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eastAsia="黑体"/>
          <w:b/>
          <w:sz w:val="44"/>
        </w:rPr>
      </w:pPr>
    </w:p>
    <w:p>
      <w:pPr>
        <w:spacing w:line="480" w:lineRule="auto"/>
        <w:jc w:val="center"/>
        <w:rPr>
          <w:rFonts w:hint="eastAsia" w:ascii="黑体" w:hAnsi="黑体" w:eastAsia="黑体" w:cs="Times New Roman"/>
          <w:sz w:val="52"/>
          <w:szCs w:val="52"/>
          <w:lang w:val="en-US" w:eastAsia="zh-CN"/>
        </w:rPr>
      </w:pPr>
      <w:r>
        <w:rPr>
          <w:rFonts w:hint="eastAsia" w:ascii="黑体" w:hAnsi="黑体" w:eastAsia="黑体" w:cs="Times New Roman"/>
          <w:sz w:val="52"/>
          <w:szCs w:val="52"/>
          <w:lang w:val="en-US" w:eastAsia="zh-CN"/>
        </w:rPr>
        <w:t>2023年-2024年度生产技改项目</w:t>
      </w:r>
    </w:p>
    <w:p>
      <w:pPr>
        <w:spacing w:line="480" w:lineRule="auto"/>
        <w:jc w:val="center"/>
        <w:rPr>
          <w:rFonts w:hint="eastAsia" w:ascii="黑体" w:hAnsi="黑体" w:eastAsia="黑体"/>
          <w:sz w:val="52"/>
          <w:szCs w:val="52"/>
        </w:rPr>
      </w:pPr>
      <w:r>
        <w:rPr>
          <w:rFonts w:hint="eastAsia" w:ascii="黑体" w:hAnsi="黑体" w:eastAsia="黑体"/>
          <w:sz w:val="52"/>
          <w:szCs w:val="52"/>
        </w:rPr>
        <w:t>监理服务</w:t>
      </w:r>
    </w:p>
    <w:p>
      <w:pPr>
        <w:spacing w:line="480" w:lineRule="auto"/>
        <w:jc w:val="center"/>
        <w:rPr>
          <w:rFonts w:ascii="黑体" w:hAnsi="黑体" w:eastAsia="黑体"/>
          <w:sz w:val="52"/>
          <w:szCs w:val="52"/>
        </w:rPr>
      </w:pPr>
    </w:p>
    <w:p>
      <w:pPr>
        <w:spacing w:line="480" w:lineRule="auto"/>
        <w:jc w:val="center"/>
        <w:rPr>
          <w:rFonts w:hint="eastAsia" w:ascii="黑体" w:hAnsi="黑体" w:eastAsia="黑体"/>
          <w:sz w:val="52"/>
          <w:szCs w:val="52"/>
        </w:rPr>
      </w:pPr>
      <w:r>
        <w:rPr>
          <w:rFonts w:hint="eastAsia" w:ascii="黑体" w:hAnsi="黑体" w:eastAsia="黑体"/>
          <w:sz w:val="52"/>
          <w:szCs w:val="52"/>
        </w:rPr>
        <w:t>招标文件</w:t>
      </w:r>
    </w:p>
    <w:p>
      <w:pPr>
        <w:spacing w:line="480" w:lineRule="auto"/>
        <w:jc w:val="center"/>
        <w:rPr>
          <w:rFonts w:hint="eastAsia"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hint="eastAsia" w:ascii="宋体" w:hAnsi="宋体"/>
          <w:b/>
          <w:sz w:val="44"/>
        </w:rPr>
      </w:pPr>
    </w:p>
    <w:p>
      <w:pPr>
        <w:spacing w:line="520" w:lineRule="exact"/>
        <w:ind w:firstLine="1920" w:firstLineChars="600"/>
        <w:rPr>
          <w:rFonts w:hint="eastAsia" w:ascii="黑体" w:hAnsi="宋体" w:eastAsia="黑体"/>
          <w:color w:val="000000"/>
          <w:sz w:val="32"/>
          <w:szCs w:val="32"/>
          <w:u w:val="single"/>
        </w:rPr>
      </w:pPr>
      <w:r>
        <w:rPr>
          <w:rFonts w:hint="eastAsia" w:ascii="黑体" w:hAnsi="宋体" w:eastAsia="黑体"/>
          <w:color w:val="000000"/>
          <w:sz w:val="32"/>
          <w:szCs w:val="32"/>
        </w:rPr>
        <w:t>招标单位：</w:t>
      </w:r>
      <w:r>
        <w:rPr>
          <w:rFonts w:hint="eastAsia" w:ascii="黑体" w:hAnsi="宋体" w:eastAsia="黑体"/>
          <w:color w:val="000000"/>
          <w:sz w:val="32"/>
          <w:szCs w:val="32"/>
          <w:u w:val="single"/>
        </w:rPr>
        <w:t>江苏索普化工股份有限公司</w:t>
      </w:r>
    </w:p>
    <w:p>
      <w:pPr>
        <w:spacing w:line="520" w:lineRule="exact"/>
        <w:ind w:firstLine="1920" w:firstLineChars="600"/>
        <w:rPr>
          <w:rFonts w:ascii="宋体" w:hAnsi="宋体" w:eastAsia="黑体"/>
          <w:b/>
          <w:sz w:val="40"/>
          <w:szCs w:val="32"/>
          <w:u w:val="single"/>
        </w:rPr>
      </w:pPr>
      <w:r>
        <w:rPr>
          <w:rFonts w:hint="eastAsia" w:ascii="黑体" w:hAnsi="宋体" w:eastAsia="黑体"/>
          <w:color w:val="000000"/>
          <w:sz w:val="32"/>
          <w:szCs w:val="32"/>
        </w:rPr>
        <w:t>招标日期：</w:t>
      </w:r>
      <w:r>
        <w:rPr>
          <w:rFonts w:hint="eastAsia" w:ascii="黑体" w:hAnsi="宋体" w:eastAsia="黑体"/>
          <w:color w:val="000000"/>
          <w:sz w:val="32"/>
          <w:szCs w:val="32"/>
          <w:u w:val="single"/>
        </w:rPr>
        <w:t xml:space="preserve"> 20</w:t>
      </w:r>
      <w:r>
        <w:rPr>
          <w:rFonts w:ascii="黑体" w:hAnsi="宋体" w:eastAsia="黑体"/>
          <w:color w:val="000000"/>
          <w:sz w:val="32"/>
          <w:szCs w:val="32"/>
          <w:u w:val="single"/>
        </w:rPr>
        <w:t>2</w:t>
      </w:r>
      <w:r>
        <w:rPr>
          <w:rFonts w:hint="eastAsia" w:ascii="黑体" w:hAnsi="宋体" w:eastAsia="黑体"/>
          <w:color w:val="000000"/>
          <w:sz w:val="32"/>
          <w:szCs w:val="32"/>
          <w:u w:val="single"/>
          <w:lang w:val="en-US" w:eastAsia="zh-CN"/>
        </w:rPr>
        <w:t>3</w:t>
      </w:r>
      <w:r>
        <w:rPr>
          <w:rFonts w:hint="eastAsia" w:ascii="黑体" w:hAnsi="宋体" w:eastAsia="黑体"/>
          <w:color w:val="000000"/>
          <w:sz w:val="32"/>
          <w:szCs w:val="32"/>
          <w:u w:val="single"/>
        </w:rPr>
        <w:t>年</w:t>
      </w:r>
      <w:r>
        <w:rPr>
          <w:rFonts w:hint="eastAsia" w:ascii="黑体" w:hAnsi="宋体" w:eastAsia="黑体"/>
          <w:color w:val="000000"/>
          <w:sz w:val="32"/>
          <w:szCs w:val="32"/>
          <w:u w:val="single"/>
          <w:lang w:val="en-US" w:eastAsia="zh-CN"/>
        </w:rPr>
        <w:t>9</w:t>
      </w:r>
      <w:r>
        <w:rPr>
          <w:rFonts w:hint="eastAsia" w:ascii="黑体" w:hAnsi="宋体" w:eastAsia="黑体"/>
          <w:color w:val="000000"/>
          <w:sz w:val="32"/>
          <w:szCs w:val="32"/>
          <w:u w:val="single"/>
        </w:rPr>
        <w:t>月</w:t>
      </w:r>
      <w:r>
        <w:rPr>
          <w:rFonts w:hint="eastAsia" w:ascii="黑体" w:hAnsi="宋体" w:eastAsia="黑体"/>
          <w:color w:val="000000"/>
          <w:sz w:val="32"/>
          <w:szCs w:val="32"/>
          <w:u w:val="single"/>
          <w:lang w:val="en-US" w:eastAsia="zh-CN"/>
        </w:rPr>
        <w:t>15</w:t>
      </w:r>
      <w:r>
        <w:rPr>
          <w:rFonts w:hint="eastAsia" w:ascii="黑体" w:hAnsi="宋体" w:eastAsia="黑体"/>
          <w:color w:val="000000"/>
          <w:sz w:val="32"/>
          <w:szCs w:val="32"/>
          <w:u w:val="single"/>
        </w:rPr>
        <w:t>日</w:t>
      </w:r>
    </w:p>
    <w:p>
      <w:pPr>
        <w:adjustRightInd w:val="0"/>
        <w:snapToGrid w:val="0"/>
        <w:spacing w:line="300" w:lineRule="auto"/>
        <w:ind w:firstLine="3600" w:firstLineChars="1000"/>
        <w:rPr>
          <w:rFonts w:ascii="宋体" w:hAnsi="宋体"/>
          <w:b/>
          <w:snapToGrid w:val="0"/>
          <w:sz w:val="36"/>
          <w:szCs w:val="36"/>
        </w:rPr>
        <w:sectPr>
          <w:headerReference r:id="rId3" w:type="default"/>
          <w:footerReference r:id="rId4" w:type="default"/>
          <w:footerReference r:id="rId5" w:type="even"/>
          <w:pgSz w:w="11906" w:h="16838"/>
          <w:pgMar w:top="1418" w:right="1134" w:bottom="1418" w:left="1418" w:header="567" w:footer="851" w:gutter="0"/>
          <w:pgNumType w:start="0"/>
          <w:cols w:space="720" w:num="1"/>
          <w:titlePg/>
          <w:docGrid w:type="linesAndChars" w:linePitch="312" w:charSpace="0"/>
        </w:sectPr>
      </w:pPr>
    </w:p>
    <w:p>
      <w:pPr>
        <w:adjustRightInd w:val="0"/>
        <w:snapToGrid w:val="0"/>
        <w:spacing w:line="600" w:lineRule="exact"/>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我公司现需</w:t>
      </w:r>
      <w:r>
        <w:rPr>
          <w:rFonts w:hint="eastAsia" w:ascii="仿宋" w:hAnsi="仿宋" w:eastAsia="仿宋" w:cs="仿宋"/>
          <w:bCs/>
          <w:color w:val="auto"/>
          <w:sz w:val="30"/>
          <w:szCs w:val="30"/>
          <w:lang w:val="en-US" w:eastAsia="zh-CN"/>
        </w:rPr>
        <w:t>对</w:t>
      </w:r>
      <w:r>
        <w:rPr>
          <w:rFonts w:hint="eastAsia" w:ascii="仿宋" w:hAnsi="仿宋" w:eastAsia="仿宋" w:cs="仿宋"/>
          <w:bCs/>
          <w:color w:val="auto"/>
          <w:sz w:val="30"/>
          <w:szCs w:val="30"/>
          <w:u w:val="single"/>
        </w:rPr>
        <w:t xml:space="preserve">  醋酸厂片区水系统应急能力提升</w:t>
      </w:r>
      <w:r>
        <w:rPr>
          <w:rFonts w:hint="eastAsia" w:ascii="仿宋" w:hAnsi="仿宋" w:eastAsia="仿宋" w:cs="仿宋"/>
          <w:bCs/>
          <w:color w:val="auto"/>
          <w:sz w:val="30"/>
          <w:szCs w:val="30"/>
          <w:u w:val="single"/>
          <w:lang w:val="en-US" w:eastAsia="zh-CN"/>
        </w:rPr>
        <w:t>等2023-2024年度生产技改</w:t>
      </w:r>
      <w:r>
        <w:rPr>
          <w:rFonts w:hint="eastAsia" w:ascii="仿宋" w:hAnsi="仿宋" w:eastAsia="仿宋" w:cs="仿宋"/>
          <w:bCs/>
          <w:color w:val="auto"/>
          <w:sz w:val="30"/>
          <w:szCs w:val="30"/>
          <w:u w:val="single"/>
        </w:rPr>
        <w:t>项目</w:t>
      </w:r>
      <w:r>
        <w:rPr>
          <w:rFonts w:hint="eastAsia" w:ascii="仿宋" w:hAnsi="仿宋" w:eastAsia="仿宋" w:cs="仿宋"/>
          <w:bCs/>
          <w:color w:val="auto"/>
          <w:sz w:val="30"/>
          <w:szCs w:val="30"/>
          <w:u w:val="single"/>
          <w:lang w:val="en-US" w:eastAsia="zh-CN"/>
        </w:rPr>
        <w:t>土建、装饰、电仪、防腐、保温、脚手架、动静设备安装等</w:t>
      </w:r>
      <w:r>
        <w:rPr>
          <w:rFonts w:hint="eastAsia" w:ascii="仿宋" w:hAnsi="仿宋" w:eastAsia="仿宋" w:cs="仿宋"/>
          <w:bCs/>
          <w:color w:val="auto"/>
          <w:sz w:val="30"/>
          <w:szCs w:val="30"/>
          <w:u w:val="single"/>
        </w:rPr>
        <w:t>施工图、工程量清单范围内的工程施工阶段及质量保修期的全过程</w:t>
      </w:r>
      <w:r>
        <w:rPr>
          <w:rFonts w:hint="eastAsia" w:ascii="仿宋" w:hAnsi="仿宋" w:eastAsia="仿宋" w:cs="仿宋"/>
          <w:bCs/>
          <w:color w:val="auto"/>
          <w:sz w:val="30"/>
          <w:szCs w:val="30"/>
          <w:u w:val="single"/>
          <w:lang w:val="en-US" w:eastAsia="zh-CN"/>
        </w:rPr>
        <w:t>选定</w:t>
      </w:r>
      <w:r>
        <w:rPr>
          <w:rFonts w:hint="eastAsia" w:ascii="仿宋" w:hAnsi="仿宋" w:eastAsia="仿宋" w:cs="仿宋"/>
          <w:bCs/>
          <w:color w:val="auto"/>
          <w:sz w:val="30"/>
          <w:szCs w:val="30"/>
          <w:u w:val="single"/>
        </w:rPr>
        <w:t>监理</w:t>
      </w:r>
      <w:r>
        <w:rPr>
          <w:rFonts w:hint="eastAsia" w:ascii="仿宋" w:hAnsi="仿宋" w:eastAsia="仿宋" w:cs="仿宋"/>
          <w:bCs/>
          <w:color w:val="auto"/>
          <w:sz w:val="30"/>
          <w:szCs w:val="30"/>
          <w:u w:val="single"/>
          <w:lang w:val="en-US" w:eastAsia="zh-CN"/>
        </w:rPr>
        <w:t>单位</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r>
        <w:rPr>
          <w:rFonts w:hint="eastAsia" w:ascii="仿宋" w:hAnsi="仿宋" w:eastAsia="仿宋" w:cs="仿宋"/>
          <w:bCs/>
          <w:color w:val="auto"/>
          <w:sz w:val="30"/>
          <w:szCs w:val="30"/>
          <w:lang w:val="zh-CN"/>
        </w:rPr>
        <w:t>采用自主公开招标的方式选定</w:t>
      </w:r>
      <w:r>
        <w:rPr>
          <w:rFonts w:hint="eastAsia" w:ascii="仿宋" w:hAnsi="仿宋" w:eastAsia="仿宋" w:cs="仿宋"/>
          <w:bCs/>
          <w:color w:val="auto"/>
          <w:sz w:val="30"/>
          <w:szCs w:val="30"/>
          <w:lang w:val="en-US" w:eastAsia="zh-CN"/>
        </w:rPr>
        <w:t>服务单位</w:t>
      </w:r>
      <w:r>
        <w:rPr>
          <w:rFonts w:hint="eastAsia" w:ascii="仿宋" w:hAnsi="仿宋" w:eastAsia="仿宋" w:cs="仿宋"/>
          <w:bCs/>
          <w:color w:val="auto"/>
          <w:sz w:val="30"/>
          <w:szCs w:val="30"/>
          <w:lang w:val="zh-CN"/>
        </w:rPr>
        <w:t>，</w:t>
      </w:r>
      <w:r>
        <w:rPr>
          <w:rFonts w:hint="eastAsia" w:ascii="仿宋" w:hAnsi="仿宋" w:eastAsia="仿宋" w:cs="仿宋"/>
          <w:bCs/>
          <w:color w:val="auto"/>
          <w:sz w:val="30"/>
          <w:szCs w:val="30"/>
        </w:rPr>
        <w:t>特邀请贵单位参与投标。</w:t>
      </w:r>
    </w:p>
    <w:p>
      <w:pPr>
        <w:pStyle w:val="2"/>
        <w:rPr>
          <w:rFonts w:hint="eastAsia"/>
        </w:rPr>
      </w:pPr>
      <w:r>
        <w:rPr>
          <w:rFonts w:hint="eastAsia" w:ascii="仿宋" w:hAnsi="仿宋" w:eastAsia="仿宋" w:cs="仿宋"/>
          <w:b/>
          <w:color w:val="auto"/>
          <w:sz w:val="30"/>
          <w:szCs w:val="30"/>
        </w:rPr>
        <w:t>一、招标概况：</w:t>
      </w:r>
    </w:p>
    <w:p>
      <w:pPr>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w:t>
      </w:r>
      <w:r>
        <w:rPr>
          <w:rFonts w:hint="eastAsia" w:ascii="仿宋" w:hAnsi="仿宋" w:eastAsia="仿宋" w:cs="仿宋"/>
          <w:bCs/>
          <w:color w:val="auto"/>
          <w:sz w:val="30"/>
          <w:szCs w:val="30"/>
        </w:rPr>
        <w:t>标的物名称：</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 xml:space="preserve"> 2023-2024年度生产技改</w:t>
      </w:r>
      <w:r>
        <w:rPr>
          <w:rFonts w:hint="eastAsia" w:ascii="仿宋" w:hAnsi="仿宋" w:eastAsia="仿宋" w:cs="仿宋"/>
          <w:bCs/>
          <w:color w:val="auto"/>
          <w:sz w:val="30"/>
          <w:szCs w:val="30"/>
          <w:u w:val="single"/>
        </w:rPr>
        <w:t>项目</w:t>
      </w:r>
      <w:r>
        <w:rPr>
          <w:rFonts w:hint="eastAsia" w:ascii="仿宋" w:hAnsi="仿宋" w:eastAsia="仿宋" w:cs="仿宋"/>
          <w:bCs/>
          <w:color w:val="auto"/>
          <w:sz w:val="30"/>
          <w:szCs w:val="30"/>
          <w:u w:val="single"/>
          <w:lang w:val="en-US" w:eastAsia="zh-CN"/>
        </w:rPr>
        <w:t>监理</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w:t>
      </w:r>
      <w:r>
        <w:rPr>
          <w:rFonts w:hint="eastAsia" w:ascii="仿宋" w:hAnsi="仿宋" w:eastAsia="仿宋" w:cs="仿宋"/>
          <w:bCs/>
          <w:color w:val="auto"/>
          <w:sz w:val="30"/>
          <w:szCs w:val="30"/>
          <w:lang w:val="en-US" w:eastAsia="zh-CN"/>
        </w:rPr>
        <w:t>服务</w:t>
      </w:r>
      <w:r>
        <w:rPr>
          <w:rFonts w:hint="eastAsia" w:ascii="仿宋" w:hAnsi="仿宋" w:eastAsia="仿宋" w:cs="仿宋"/>
          <w:bCs/>
          <w:color w:val="auto"/>
          <w:sz w:val="30"/>
          <w:szCs w:val="30"/>
        </w:rPr>
        <w:t>时间：</w:t>
      </w:r>
      <w:r>
        <w:rPr>
          <w:rFonts w:hint="eastAsia" w:ascii="仿宋" w:hAnsi="仿宋" w:eastAsia="仿宋" w:cs="仿宋"/>
          <w:bCs/>
          <w:color w:val="auto"/>
          <w:sz w:val="30"/>
          <w:szCs w:val="30"/>
          <w:u w:val="single"/>
        </w:rPr>
        <w:t xml:space="preserve">   2023年</w:t>
      </w:r>
      <w:r>
        <w:rPr>
          <w:rFonts w:hint="eastAsia" w:ascii="仿宋" w:hAnsi="仿宋" w:eastAsia="仿宋" w:cs="仿宋"/>
          <w:bCs/>
          <w:color w:val="auto"/>
          <w:sz w:val="30"/>
          <w:szCs w:val="30"/>
          <w:u w:val="single"/>
          <w:lang w:val="en-US" w:eastAsia="zh-CN"/>
        </w:rPr>
        <w:t>10</w:t>
      </w:r>
      <w:r>
        <w:rPr>
          <w:rFonts w:hint="eastAsia" w:ascii="仿宋" w:hAnsi="仿宋" w:eastAsia="仿宋" w:cs="仿宋"/>
          <w:bCs/>
          <w:color w:val="auto"/>
          <w:sz w:val="30"/>
          <w:szCs w:val="30"/>
          <w:u w:val="single"/>
        </w:rPr>
        <w:t>月</w:t>
      </w:r>
      <w:r>
        <w:rPr>
          <w:rFonts w:hint="eastAsia" w:ascii="仿宋" w:hAnsi="仿宋" w:eastAsia="仿宋" w:cs="仿宋"/>
          <w:bCs/>
          <w:color w:val="auto"/>
          <w:sz w:val="30"/>
          <w:szCs w:val="30"/>
          <w:u w:val="single"/>
          <w:lang w:val="en-US" w:eastAsia="zh-CN"/>
        </w:rPr>
        <w:t>7</w:t>
      </w:r>
      <w:r>
        <w:rPr>
          <w:rFonts w:hint="eastAsia" w:ascii="仿宋" w:hAnsi="仿宋" w:eastAsia="仿宋" w:cs="仿宋"/>
          <w:bCs/>
          <w:color w:val="auto"/>
          <w:sz w:val="30"/>
          <w:szCs w:val="30"/>
          <w:u w:val="single"/>
        </w:rPr>
        <w:t xml:space="preserve">日 </w:t>
      </w:r>
      <w:r>
        <w:rPr>
          <w:rFonts w:hint="eastAsia" w:ascii="仿宋" w:hAnsi="仿宋" w:eastAsia="仿宋" w:cs="仿宋"/>
          <w:bCs/>
          <w:color w:val="auto"/>
          <w:sz w:val="30"/>
          <w:szCs w:val="30"/>
          <w:u w:val="single"/>
          <w:lang w:val="en-US" w:eastAsia="zh-CN"/>
        </w:rPr>
        <w:t>-2024.12.31</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ind w:firstLine="579" w:firstLineChars="193"/>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（三）</w:t>
      </w:r>
      <w:r>
        <w:rPr>
          <w:rFonts w:hint="eastAsia" w:ascii="仿宋" w:hAnsi="仿宋" w:eastAsia="仿宋" w:cs="仿宋"/>
          <w:bCs/>
          <w:color w:val="auto"/>
          <w:sz w:val="30"/>
          <w:szCs w:val="30"/>
          <w:lang w:val="en-US" w:eastAsia="zh-CN"/>
        </w:rPr>
        <w:t>服务</w:t>
      </w:r>
      <w:r>
        <w:rPr>
          <w:rFonts w:hint="eastAsia" w:ascii="仿宋" w:hAnsi="仿宋" w:eastAsia="仿宋" w:cs="仿宋"/>
          <w:bCs/>
          <w:color w:val="auto"/>
          <w:sz w:val="30"/>
          <w:szCs w:val="30"/>
        </w:rPr>
        <w:t>地点：</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江苏索普化工股份有限公司生产装置区域</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 xml:space="preserve">    </w:t>
      </w:r>
      <w:r>
        <w:rPr>
          <w:rFonts w:hint="eastAsia" w:ascii="仿宋" w:hAnsi="仿宋" w:eastAsia="仿宋" w:cs="仿宋"/>
          <w:bCs/>
          <w:color w:val="auto"/>
          <w:kern w:val="1"/>
          <w:sz w:val="30"/>
          <w:szCs w:val="30"/>
        </w:rPr>
        <w:t>（四）</w:t>
      </w:r>
      <w:r>
        <w:rPr>
          <w:rFonts w:hint="eastAsia" w:ascii="仿宋" w:hAnsi="仿宋" w:eastAsia="仿宋" w:cs="仿宋"/>
          <w:bCs/>
          <w:color w:val="auto"/>
          <w:sz w:val="30"/>
          <w:szCs w:val="30"/>
        </w:rPr>
        <w:t>投标截止时间2023年</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9</w:t>
      </w:r>
      <w:r>
        <w:rPr>
          <w:rFonts w:hint="eastAsia" w:ascii="仿宋" w:hAnsi="仿宋" w:eastAsia="仿宋" w:cs="仿宋"/>
          <w:bCs/>
          <w:color w:val="auto"/>
          <w:sz w:val="30"/>
          <w:szCs w:val="30"/>
        </w:rPr>
        <w:t>月</w:t>
      </w:r>
      <w:r>
        <w:rPr>
          <w:rFonts w:hint="eastAsia" w:ascii="仿宋" w:hAnsi="仿宋" w:eastAsia="仿宋" w:cs="仿宋"/>
          <w:bCs/>
          <w:color w:val="auto"/>
          <w:sz w:val="30"/>
          <w:szCs w:val="30"/>
          <w:u w:val="single"/>
          <w:lang w:val="en-US" w:eastAsia="zh-CN"/>
        </w:rPr>
        <w:t>27</w:t>
      </w:r>
      <w:r>
        <w:rPr>
          <w:rFonts w:hint="eastAsia" w:ascii="仿宋" w:hAnsi="仿宋" w:eastAsia="仿宋" w:cs="仿宋"/>
          <w:bCs/>
          <w:color w:val="auto"/>
          <w:sz w:val="30"/>
          <w:szCs w:val="30"/>
        </w:rPr>
        <w:t>日</w:t>
      </w:r>
      <w:r>
        <w:rPr>
          <w:rFonts w:hint="eastAsia" w:ascii="仿宋" w:hAnsi="仿宋" w:eastAsia="仿宋" w:cs="仿宋"/>
          <w:bCs/>
          <w:color w:val="auto"/>
          <w:sz w:val="30"/>
          <w:szCs w:val="30"/>
          <w:u w:val="single"/>
        </w:rPr>
        <w:t xml:space="preserve"> 1</w:t>
      </w:r>
      <w:r>
        <w:rPr>
          <w:rFonts w:hint="eastAsia" w:ascii="仿宋" w:hAnsi="仿宋" w:eastAsia="仿宋" w:cs="仿宋"/>
          <w:bCs/>
          <w:color w:val="auto"/>
          <w:sz w:val="30"/>
          <w:szCs w:val="30"/>
          <w:u w:val="single"/>
          <w:lang w:val="en-US" w:eastAsia="zh-CN"/>
        </w:rPr>
        <w:t>2</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时（北京时间）；</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（五）开标时间</w:t>
      </w:r>
      <w:r>
        <w:rPr>
          <w:rFonts w:hint="eastAsia" w:ascii="仿宋" w:hAnsi="仿宋" w:eastAsia="仿宋" w:cs="仿宋"/>
          <w:bCs/>
          <w:color w:val="auto"/>
          <w:sz w:val="30"/>
          <w:szCs w:val="30"/>
        </w:rPr>
        <w:t>2023年</w:t>
      </w:r>
      <w:r>
        <w:rPr>
          <w:rFonts w:hint="eastAsia" w:ascii="仿宋" w:hAnsi="仿宋" w:eastAsia="仿宋" w:cs="仿宋"/>
          <w:bCs/>
          <w:color w:val="auto"/>
          <w:sz w:val="30"/>
          <w:szCs w:val="30"/>
          <w:u w:val="single"/>
          <w:lang w:val="en-US" w:eastAsia="zh-CN"/>
        </w:rPr>
        <w:t>9</w:t>
      </w:r>
      <w:r>
        <w:rPr>
          <w:rFonts w:hint="eastAsia" w:ascii="仿宋" w:hAnsi="仿宋" w:eastAsia="仿宋" w:cs="仿宋"/>
          <w:bCs/>
          <w:color w:val="auto"/>
          <w:sz w:val="30"/>
          <w:szCs w:val="30"/>
        </w:rPr>
        <w:t>月</w:t>
      </w:r>
      <w:r>
        <w:rPr>
          <w:rFonts w:hint="eastAsia" w:ascii="仿宋" w:hAnsi="仿宋" w:eastAsia="仿宋" w:cs="仿宋"/>
          <w:bCs/>
          <w:color w:val="auto"/>
          <w:sz w:val="30"/>
          <w:szCs w:val="30"/>
          <w:u w:val="single"/>
        </w:rPr>
        <w:t>2</w:t>
      </w:r>
      <w:r>
        <w:rPr>
          <w:rFonts w:hint="eastAsia" w:ascii="仿宋" w:hAnsi="仿宋" w:eastAsia="仿宋" w:cs="仿宋"/>
          <w:bCs/>
          <w:color w:val="auto"/>
          <w:sz w:val="30"/>
          <w:szCs w:val="30"/>
          <w:u w:val="single"/>
          <w:lang w:val="en-US" w:eastAsia="zh-CN"/>
        </w:rPr>
        <w:t>7</w:t>
      </w:r>
      <w:r>
        <w:rPr>
          <w:rFonts w:hint="eastAsia" w:ascii="仿宋" w:hAnsi="仿宋" w:eastAsia="仿宋" w:cs="仿宋"/>
          <w:bCs/>
          <w:color w:val="auto"/>
          <w:sz w:val="30"/>
          <w:szCs w:val="30"/>
        </w:rPr>
        <w:t>日</w:t>
      </w:r>
      <w:r>
        <w:rPr>
          <w:rFonts w:hint="eastAsia" w:ascii="仿宋" w:hAnsi="仿宋" w:eastAsia="仿宋" w:cs="仿宋"/>
          <w:bCs/>
          <w:color w:val="auto"/>
          <w:sz w:val="30"/>
          <w:szCs w:val="30"/>
          <w:u w:val="single"/>
        </w:rPr>
        <w:t xml:space="preserve"> 14 </w:t>
      </w:r>
      <w:r>
        <w:rPr>
          <w:rFonts w:hint="eastAsia" w:ascii="仿宋" w:hAnsi="仿宋" w:eastAsia="仿宋" w:cs="仿宋"/>
          <w:bCs/>
          <w:color w:val="auto"/>
          <w:sz w:val="30"/>
          <w:szCs w:val="30"/>
        </w:rPr>
        <w:t>时（北京时间）</w:t>
      </w:r>
      <w:r>
        <w:rPr>
          <w:rFonts w:hint="eastAsia" w:ascii="仿宋" w:hAnsi="仿宋" w:eastAsia="仿宋" w:cs="仿宋"/>
          <w:bCs/>
          <w:color w:val="auto"/>
          <w:kern w:val="1"/>
          <w:sz w:val="30"/>
          <w:szCs w:val="30"/>
        </w:rPr>
        <w:t>；</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（六）开标地点：江苏索普(集团)有限公司招标中心；</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（七）中标公示：中标信息将于开标后在索普集团官网公示，请各投标人登录http://www.sopo.com.cn查询。</w:t>
      </w:r>
    </w:p>
    <w:p>
      <w:pPr>
        <w:adjustRightInd w:val="0"/>
        <w:snapToGrid w:val="0"/>
        <w:spacing w:line="600" w:lineRule="exact"/>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二、招标内容：</w:t>
      </w:r>
    </w:p>
    <w:p>
      <w:pPr>
        <w:adjustRightInd w:val="0"/>
        <w:snapToGrid w:val="0"/>
        <w:spacing w:line="600" w:lineRule="exact"/>
        <w:rPr>
          <w:rFonts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（一）标的物内容    </w:t>
      </w:r>
    </w:p>
    <w:p>
      <w:pPr>
        <w:adjustRightInd w:val="0"/>
        <w:snapToGrid w:val="0"/>
        <w:spacing w:line="600" w:lineRule="exact"/>
        <w:ind w:firstLine="600" w:firstLineChars="200"/>
        <w:rPr>
          <w:rFonts w:hint="eastAsia" w:ascii="仿宋_GB2312" w:hAnsi="宋体" w:eastAsia="仿宋_GB2312"/>
          <w:sz w:val="30"/>
          <w:szCs w:val="30"/>
          <w:u w:val="single"/>
          <w:lang w:val="en-US" w:eastAsia="zh-CN"/>
        </w:rPr>
      </w:pPr>
      <w:r>
        <w:rPr>
          <w:rFonts w:ascii="仿宋_GB2312" w:hAnsi="宋体" w:eastAsia="仿宋_GB2312"/>
          <w:sz w:val="30"/>
          <w:szCs w:val="30"/>
        </w:rPr>
        <w:t>工程规模</w:t>
      </w:r>
      <w:r>
        <w:rPr>
          <w:rFonts w:hint="eastAsia" w:ascii="仿宋_GB2312" w:hAnsi="宋体" w:eastAsia="仿宋_GB2312"/>
          <w:sz w:val="30"/>
          <w:szCs w:val="30"/>
        </w:rPr>
        <w:t>：</w:t>
      </w:r>
      <w:r>
        <w:rPr>
          <w:rFonts w:hint="eastAsia" w:ascii="仿宋_GB2312" w:hAnsi="Times New Roman" w:eastAsia="仿宋_GB2312" w:cs="Times New Roman"/>
          <w:sz w:val="30"/>
          <w:szCs w:val="30"/>
          <w:u w:val="single"/>
          <w:lang w:val="en-US" w:eastAsia="zh-CN"/>
        </w:rPr>
        <w:t>建筑面积约</w:t>
      </w:r>
      <w:r>
        <w:rPr>
          <w:rFonts w:hint="eastAsia" w:ascii="仿宋_GB2312" w:eastAsia="仿宋_GB2312" w:cs="Times New Roman"/>
          <w:sz w:val="30"/>
          <w:szCs w:val="30"/>
          <w:u w:val="single"/>
          <w:lang w:val="en-US" w:eastAsia="zh-CN"/>
        </w:rPr>
        <w:t>1300000</w:t>
      </w:r>
      <w:r>
        <w:rPr>
          <w:rFonts w:hint="eastAsia" w:ascii="仿宋_GB2312" w:hAnsi="Times New Roman" w:eastAsia="仿宋_GB2312" w:cs="Times New Roman"/>
          <w:sz w:val="30"/>
          <w:szCs w:val="30"/>
          <w:u w:val="single"/>
          <w:lang w:val="en-US" w:eastAsia="zh-CN"/>
        </w:rPr>
        <w:t>m</w:t>
      </w:r>
      <w:r>
        <w:rPr>
          <w:rFonts w:hint="eastAsia" w:ascii="仿宋_GB2312" w:hAnsi="Times New Roman" w:eastAsia="仿宋_GB2312" w:cs="Times New Roman"/>
          <w:sz w:val="30"/>
          <w:szCs w:val="30"/>
          <w:u w:val="single"/>
          <w:vertAlign w:val="superscript"/>
          <w:lang w:val="en-US" w:eastAsia="zh-CN"/>
        </w:rPr>
        <w:t>2</w:t>
      </w:r>
      <w:r>
        <w:rPr>
          <w:rFonts w:hint="eastAsia" w:ascii="宋体" w:hAnsi="宋体"/>
          <w:sz w:val="30"/>
          <w:szCs w:val="30"/>
        </w:rPr>
        <w:t>；</w:t>
      </w:r>
    </w:p>
    <w:p>
      <w:pPr>
        <w:adjustRightInd w:val="0"/>
        <w:snapToGrid w:val="0"/>
        <w:spacing w:line="600" w:lineRule="exact"/>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lang w:eastAsia="zh-CN"/>
        </w:rPr>
        <w:t>建安</w:t>
      </w:r>
      <w:r>
        <w:rPr>
          <w:rFonts w:ascii="仿宋_GB2312" w:hAnsi="宋体" w:eastAsia="仿宋_GB2312" w:cs="Times New Roman"/>
          <w:sz w:val="30"/>
          <w:szCs w:val="30"/>
        </w:rPr>
        <w:t>总投资</w:t>
      </w:r>
      <w:r>
        <w:rPr>
          <w:rFonts w:hint="eastAsia" w:ascii="仿宋_GB2312" w:hAnsi="宋体" w:eastAsia="仿宋_GB2312" w:cs="Times New Roman"/>
          <w:sz w:val="30"/>
          <w:szCs w:val="30"/>
        </w:rPr>
        <w:t>：</w:t>
      </w:r>
      <w:r>
        <w:rPr>
          <w:rFonts w:hint="eastAsia" w:ascii="仿宋_GB2312" w:hAnsi="宋体" w:eastAsia="仿宋_GB2312" w:cs="Times New Roman"/>
          <w:sz w:val="30"/>
          <w:szCs w:val="30"/>
          <w:u w:val="single"/>
          <w:lang w:val="en-US" w:eastAsia="zh-CN"/>
        </w:rPr>
        <w:t>约4000万元，</w:t>
      </w:r>
      <w:r>
        <w:rPr>
          <w:rFonts w:hint="eastAsia" w:ascii="仿宋_GB2312" w:hAnsi="宋体" w:eastAsia="仿宋_GB2312" w:cs="Times New Roman"/>
          <w:sz w:val="30"/>
          <w:szCs w:val="30"/>
          <w:u w:val="single"/>
        </w:rPr>
        <w:t>具体以</w:t>
      </w:r>
      <w:bookmarkStart w:id="0" w:name="_GoBack"/>
      <w:bookmarkEnd w:id="0"/>
      <w:r>
        <w:rPr>
          <w:rFonts w:hint="eastAsia" w:ascii="仿宋_GB2312" w:hAnsi="宋体" w:eastAsia="仿宋_GB2312" w:cs="Times New Roman"/>
          <w:sz w:val="30"/>
          <w:szCs w:val="30"/>
          <w:u w:val="single"/>
          <w:lang w:val="en-US" w:eastAsia="zh-CN"/>
        </w:rPr>
        <w:t>最终审定价</w:t>
      </w:r>
      <w:r>
        <w:rPr>
          <w:rFonts w:hint="eastAsia" w:ascii="仿宋_GB2312" w:hAnsi="宋体" w:eastAsia="仿宋_GB2312" w:cs="Times New Roman"/>
          <w:sz w:val="30"/>
          <w:szCs w:val="30"/>
          <w:u w:val="single"/>
        </w:rPr>
        <w:t>为准。</w:t>
      </w:r>
    </w:p>
    <w:p>
      <w:pPr>
        <w:tabs>
          <w:tab w:val="left" w:pos="1719"/>
        </w:tabs>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（二）技术要求</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投标人按照</w:t>
      </w:r>
      <w:r>
        <w:rPr>
          <w:rFonts w:hint="eastAsia" w:ascii="仿宋" w:hAnsi="仿宋" w:eastAsia="仿宋" w:cs="仿宋"/>
          <w:bCs/>
          <w:color w:val="auto"/>
          <w:kern w:val="1"/>
          <w:sz w:val="30"/>
          <w:szCs w:val="30"/>
          <w:lang w:val="en-US" w:eastAsia="zh-CN"/>
        </w:rPr>
        <w:t>规范要求对</w:t>
      </w:r>
      <w:r>
        <w:rPr>
          <w:rFonts w:hint="eastAsia" w:ascii="仿宋_GB2312" w:eastAsia="仿宋_GB2312"/>
          <w:kern w:val="0"/>
          <w:sz w:val="30"/>
          <w:szCs w:val="30"/>
          <w:u w:val="single"/>
        </w:rPr>
        <w:t>施工图、工程量清单范围内的工程施工阶段及质量保修期的全过程监理</w:t>
      </w:r>
      <w:r>
        <w:rPr>
          <w:rFonts w:hint="eastAsia" w:ascii="仿宋" w:hAnsi="仿宋" w:eastAsia="仿宋" w:cs="仿宋"/>
          <w:bCs/>
          <w:color w:val="auto"/>
          <w:kern w:val="1"/>
          <w:sz w:val="30"/>
          <w:szCs w:val="30"/>
        </w:rPr>
        <w:t>。</w:t>
      </w:r>
    </w:p>
    <w:p>
      <w:pPr>
        <w:adjustRightInd w:val="0"/>
        <w:snapToGrid w:val="0"/>
        <w:spacing w:line="600" w:lineRule="exact"/>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三、投标人资质与要求：</w:t>
      </w:r>
    </w:p>
    <w:p>
      <w:pPr>
        <w:pStyle w:val="2"/>
        <w:spacing w:line="600" w:lineRule="exact"/>
        <w:jc w:val="left"/>
        <w:rPr>
          <w:rFonts w:hint="eastAsia" w:ascii="仿宋" w:hAnsi="仿宋" w:eastAsia="仿宋" w:cs="仿宋"/>
          <w:bCs/>
          <w:color w:val="auto"/>
          <w:kern w:val="1"/>
          <w:sz w:val="30"/>
          <w:szCs w:val="30"/>
        </w:rPr>
      </w:pPr>
      <w:r>
        <w:rPr>
          <w:rFonts w:hint="eastAsia" w:ascii="仿宋" w:hAnsi="仿宋" w:eastAsia="仿宋" w:cs="仿宋"/>
          <w:b/>
          <w:color w:val="auto"/>
          <w:sz w:val="30"/>
          <w:szCs w:val="30"/>
        </w:rPr>
        <w:t xml:space="preserve">   </w:t>
      </w:r>
      <w:r>
        <w:rPr>
          <w:rFonts w:hint="eastAsia" w:ascii="仿宋" w:hAnsi="仿宋" w:eastAsia="仿宋" w:cs="仿宋"/>
          <w:bCs/>
          <w:color w:val="auto"/>
          <w:kern w:val="1"/>
          <w:sz w:val="30"/>
          <w:szCs w:val="30"/>
        </w:rPr>
        <w:t>（一）投标人资质要求：</w:t>
      </w:r>
    </w:p>
    <w:p>
      <w:pPr>
        <w:pStyle w:val="6"/>
        <w:adjustRightInd w:val="0"/>
        <w:snapToGrid w:val="0"/>
        <w:spacing w:after="0" w:line="540" w:lineRule="exact"/>
        <w:ind w:left="0" w:leftChars="0" w:firstLine="600" w:firstLineChars="200"/>
        <w:jc w:val="left"/>
        <w:rPr>
          <w:rFonts w:hint="eastAsia" w:ascii="仿宋_GB2312" w:eastAsia="仿宋_GB2312"/>
          <w:sz w:val="28"/>
          <w:szCs w:val="28"/>
          <w:u w:val="single"/>
          <w:lang w:val="zh-CN"/>
        </w:rPr>
      </w:pPr>
      <w:r>
        <w:rPr>
          <w:rFonts w:hint="eastAsia" w:ascii="仿宋" w:hAnsi="仿宋" w:eastAsia="仿宋" w:cs="仿宋"/>
          <w:bCs/>
          <w:color w:val="auto"/>
          <w:kern w:val="1"/>
          <w:sz w:val="30"/>
          <w:szCs w:val="30"/>
          <w:lang w:val="en-US" w:eastAsia="zh-CN" w:bidi="ar-SA"/>
        </w:rPr>
        <w:t>1.参加投标的建设监理单位必须具备</w:t>
      </w:r>
      <w:r>
        <w:rPr>
          <w:rFonts w:hint="eastAsia" w:ascii="仿宋" w:hAnsi="仿宋" w:eastAsia="仿宋" w:cs="仿宋"/>
          <w:bCs/>
          <w:color w:val="auto"/>
          <w:kern w:val="1"/>
          <w:sz w:val="30"/>
          <w:szCs w:val="30"/>
          <w:u w:val="single"/>
          <w:lang w:val="zh-CN" w:eastAsia="zh-CN" w:bidi="ar-SA"/>
        </w:rPr>
        <w:t>房屋建筑工程监理甲级资质（提供复印件并加盖公章，未提供按无效标处理）</w:t>
      </w:r>
    </w:p>
    <w:p>
      <w:pPr>
        <w:pStyle w:val="6"/>
        <w:adjustRightInd w:val="0"/>
        <w:snapToGrid w:val="0"/>
        <w:spacing w:after="0" w:line="540" w:lineRule="exact"/>
        <w:ind w:left="0" w:leftChars="0" w:firstLine="560" w:firstLineChars="200"/>
        <w:jc w:val="left"/>
        <w:rPr>
          <w:rFonts w:hint="eastAsia" w:ascii="仿宋_GB2312" w:eastAsia="仿宋_GB2312"/>
          <w:kern w:val="0"/>
          <w:sz w:val="28"/>
          <w:szCs w:val="28"/>
          <w:u w:val="single"/>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 w:hAnsi="仿宋" w:eastAsia="仿宋" w:cs="仿宋"/>
          <w:bCs/>
          <w:color w:val="auto"/>
          <w:kern w:val="1"/>
          <w:sz w:val="30"/>
          <w:szCs w:val="30"/>
          <w:lang w:val="en-US" w:eastAsia="zh-CN" w:bidi="ar-SA"/>
        </w:rPr>
        <w:t>拟选派项目总监理工程师资质等级：</w:t>
      </w:r>
      <w:r>
        <w:rPr>
          <w:rFonts w:hint="eastAsia" w:ascii="仿宋" w:hAnsi="仿宋" w:eastAsia="仿宋" w:cs="仿宋"/>
          <w:bCs/>
          <w:color w:val="auto"/>
          <w:kern w:val="1"/>
          <w:sz w:val="30"/>
          <w:szCs w:val="30"/>
          <w:u w:val="single"/>
          <w:lang w:val="zh-CN" w:eastAsia="zh-CN" w:bidi="ar-SA"/>
        </w:rPr>
        <w:t>国家注册监理工程师（[国家注册监理师]并且具备[房屋建筑工程]工程专业）（提供复印件并加盖公章，未提供按无效标处理）</w:t>
      </w:r>
    </w:p>
    <w:p>
      <w:pPr>
        <w:adjustRightInd w:val="0"/>
        <w:snapToGrid w:val="0"/>
        <w:spacing w:line="540" w:lineRule="exact"/>
        <w:ind w:firstLine="600" w:firstLineChars="200"/>
        <w:jc w:val="left"/>
        <w:rPr>
          <w:rFonts w:hint="eastAsia" w:ascii="仿宋" w:hAnsi="仿宋" w:eastAsia="仿宋" w:cs="仿宋"/>
          <w:bCs/>
          <w:color w:val="auto"/>
          <w:kern w:val="1"/>
          <w:sz w:val="30"/>
          <w:szCs w:val="30"/>
          <w:u w:val="single"/>
          <w:lang w:val="zh-CN" w:eastAsia="zh-CN" w:bidi="ar-SA"/>
        </w:rPr>
      </w:pPr>
      <w:r>
        <w:rPr>
          <w:rFonts w:hint="eastAsia" w:ascii="仿宋" w:hAnsi="仿宋" w:eastAsia="仿宋" w:cs="仿宋"/>
          <w:bCs/>
          <w:color w:val="auto"/>
          <w:kern w:val="1"/>
          <w:sz w:val="30"/>
          <w:szCs w:val="30"/>
          <w:u w:val="single"/>
          <w:lang w:val="zh-CN" w:eastAsia="zh-CN" w:bidi="ar-SA"/>
        </w:rPr>
        <w:t>3</w:t>
      </w:r>
      <w:r>
        <w:rPr>
          <w:rFonts w:hint="eastAsia" w:ascii="仿宋" w:hAnsi="仿宋" w:eastAsia="仿宋" w:cs="仿宋"/>
          <w:bCs/>
          <w:color w:val="auto"/>
          <w:kern w:val="1"/>
          <w:sz w:val="30"/>
          <w:szCs w:val="30"/>
          <w:u w:val="single"/>
          <w:lang w:val="en-US" w:eastAsia="zh-CN" w:bidi="ar-SA"/>
        </w:rPr>
        <w:t>.</w:t>
      </w:r>
      <w:r>
        <w:rPr>
          <w:rFonts w:hint="eastAsia" w:ascii="仿宋" w:hAnsi="仿宋" w:eastAsia="仿宋" w:cs="仿宋"/>
          <w:bCs/>
          <w:color w:val="auto"/>
          <w:kern w:val="1"/>
          <w:sz w:val="30"/>
          <w:szCs w:val="30"/>
          <w:u w:val="single"/>
          <w:lang w:val="zh-CN" w:eastAsia="zh-CN" w:bidi="ar-SA"/>
        </w:rPr>
        <w:t>投标单位中标后必经我公司安全教育培训后方可进入厂区内开展相关工作。</w:t>
      </w:r>
    </w:p>
    <w:p>
      <w:pPr>
        <w:adjustRightInd w:val="0"/>
        <w:snapToGrid w:val="0"/>
        <w:spacing w:line="540" w:lineRule="exact"/>
        <w:ind w:firstLine="600" w:firstLineChars="200"/>
        <w:jc w:val="left"/>
        <w:rPr>
          <w:rFonts w:hint="eastAsia" w:ascii="仿宋" w:hAnsi="仿宋" w:eastAsia="仿宋" w:cs="仿宋"/>
          <w:bCs/>
          <w:color w:val="auto"/>
          <w:kern w:val="1"/>
          <w:sz w:val="30"/>
          <w:szCs w:val="30"/>
          <w:u w:val="single"/>
          <w:lang w:val="zh-CN" w:eastAsia="zh-CN" w:bidi="ar-SA"/>
        </w:rPr>
      </w:pPr>
      <w:r>
        <w:rPr>
          <w:rFonts w:hint="eastAsia" w:ascii="仿宋" w:hAnsi="仿宋" w:eastAsia="仿宋" w:cs="仿宋"/>
          <w:bCs/>
          <w:color w:val="auto"/>
          <w:kern w:val="1"/>
          <w:sz w:val="30"/>
          <w:szCs w:val="30"/>
          <w:u w:val="single"/>
          <w:lang w:val="zh-CN" w:eastAsia="zh-CN" w:bidi="ar-SA"/>
        </w:rPr>
        <w:t>4</w:t>
      </w:r>
      <w:r>
        <w:rPr>
          <w:rFonts w:hint="eastAsia" w:ascii="仿宋" w:hAnsi="仿宋" w:eastAsia="仿宋" w:cs="仿宋"/>
          <w:bCs/>
          <w:color w:val="auto"/>
          <w:kern w:val="1"/>
          <w:sz w:val="30"/>
          <w:szCs w:val="30"/>
          <w:u w:val="single"/>
          <w:lang w:val="en-US" w:eastAsia="zh-CN" w:bidi="ar-SA"/>
        </w:rPr>
        <w:t>.</w:t>
      </w:r>
      <w:r>
        <w:rPr>
          <w:rFonts w:hint="eastAsia" w:ascii="仿宋" w:hAnsi="仿宋" w:eastAsia="仿宋" w:cs="仿宋"/>
          <w:bCs/>
          <w:color w:val="auto"/>
          <w:kern w:val="1"/>
          <w:sz w:val="30"/>
          <w:szCs w:val="30"/>
          <w:u w:val="single"/>
          <w:lang w:val="zh-CN" w:eastAsia="zh-CN" w:bidi="ar-SA"/>
        </w:rPr>
        <w:t>招标人根据实际情况保留对部分工程项目指定发包的权利 。</w:t>
      </w:r>
    </w:p>
    <w:p>
      <w:pPr>
        <w:adjustRightInd w:val="0"/>
        <w:snapToGrid w:val="0"/>
        <w:spacing w:line="540" w:lineRule="exact"/>
        <w:ind w:firstLine="600" w:firstLineChars="200"/>
        <w:jc w:val="left"/>
        <w:rPr>
          <w:rFonts w:hint="default" w:ascii="仿宋_GB2312" w:eastAsia="仿宋_GB2312"/>
          <w:kern w:val="0"/>
          <w:sz w:val="28"/>
          <w:szCs w:val="28"/>
          <w:u w:val="single"/>
          <w:lang w:val="en-US"/>
        </w:rPr>
      </w:pPr>
      <w:r>
        <w:rPr>
          <w:rFonts w:hint="eastAsia" w:ascii="仿宋" w:hAnsi="仿宋" w:eastAsia="仿宋" w:cs="仿宋"/>
          <w:bCs/>
          <w:color w:val="auto"/>
          <w:kern w:val="1"/>
          <w:sz w:val="30"/>
          <w:szCs w:val="30"/>
          <w:u w:val="single"/>
          <w:lang w:val="en-US" w:eastAsia="zh-CN" w:bidi="ar-SA"/>
        </w:rPr>
        <w:t>5.严格按照《苏建建管〔2014〕701号》要求配备监理人员。</w:t>
      </w:r>
    </w:p>
    <w:p>
      <w:pPr>
        <w:pStyle w:val="2"/>
        <w:spacing w:line="600" w:lineRule="exac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 xml:space="preserve">   （</w:t>
      </w:r>
      <w:r>
        <w:rPr>
          <w:rFonts w:hint="eastAsia" w:ascii="仿宋" w:hAnsi="仿宋" w:eastAsia="仿宋" w:cs="仿宋"/>
          <w:bCs/>
          <w:color w:val="auto"/>
          <w:kern w:val="1"/>
          <w:sz w:val="30"/>
          <w:szCs w:val="30"/>
          <w:lang w:val="en-US" w:eastAsia="zh-CN"/>
        </w:rPr>
        <w:t>二</w:t>
      </w:r>
      <w:r>
        <w:rPr>
          <w:rFonts w:hint="eastAsia" w:ascii="仿宋" w:hAnsi="仿宋" w:eastAsia="仿宋" w:cs="仿宋"/>
          <w:bCs/>
          <w:color w:val="auto"/>
          <w:kern w:val="1"/>
          <w:sz w:val="30"/>
          <w:szCs w:val="30"/>
        </w:rPr>
        <w:t>）</w:t>
      </w:r>
      <w:r>
        <w:rPr>
          <w:rFonts w:hint="eastAsia" w:ascii="仿宋" w:hAnsi="仿宋" w:eastAsia="仿宋" w:cs="仿宋"/>
          <w:bCs/>
          <w:color w:val="auto"/>
          <w:sz w:val="30"/>
          <w:szCs w:val="30"/>
        </w:rPr>
        <w:t>不接受被列入失信被执行人、重大违法案件当事人投标；</w:t>
      </w:r>
    </w:p>
    <w:p>
      <w:pPr>
        <w:adjustRightInd w:val="0"/>
        <w:snapToGrid w:val="0"/>
        <w:spacing w:line="600" w:lineRule="exact"/>
        <w:jc w:val="lef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 xml:space="preserve">   （</w:t>
      </w:r>
      <w:r>
        <w:rPr>
          <w:rFonts w:hint="eastAsia" w:ascii="仿宋" w:hAnsi="仿宋" w:eastAsia="仿宋" w:cs="仿宋"/>
          <w:bCs/>
          <w:color w:val="auto"/>
          <w:kern w:val="1"/>
          <w:sz w:val="30"/>
          <w:szCs w:val="30"/>
          <w:lang w:val="en-US" w:eastAsia="zh-CN"/>
        </w:rPr>
        <w:t>三</w:t>
      </w:r>
      <w:r>
        <w:rPr>
          <w:rFonts w:hint="eastAsia" w:ascii="仿宋" w:hAnsi="仿宋" w:eastAsia="仿宋" w:cs="仿宋"/>
          <w:bCs/>
          <w:color w:val="auto"/>
          <w:kern w:val="1"/>
          <w:sz w:val="30"/>
          <w:szCs w:val="30"/>
        </w:rPr>
        <w:t>）投标人应</w:t>
      </w:r>
      <w:r>
        <w:rPr>
          <w:rFonts w:hint="eastAsia" w:ascii="仿宋" w:hAnsi="仿宋" w:eastAsia="仿宋" w:cs="仿宋"/>
          <w:bCs/>
          <w:color w:val="auto"/>
          <w:sz w:val="30"/>
          <w:szCs w:val="30"/>
        </w:rPr>
        <w:t>具备良好的售后服务能力，要求电话联系后</w:t>
      </w:r>
      <w:r>
        <w:rPr>
          <w:rFonts w:hint="eastAsia" w:ascii="仿宋" w:hAnsi="仿宋" w:eastAsia="仿宋" w:cs="仿宋"/>
          <w:bCs/>
          <w:color w:val="auto"/>
          <w:sz w:val="30"/>
          <w:szCs w:val="30"/>
          <w:u w:val="single"/>
        </w:rPr>
        <w:t xml:space="preserve"> 8 </w:t>
      </w:r>
      <w:r>
        <w:rPr>
          <w:rFonts w:hint="eastAsia" w:ascii="仿宋" w:hAnsi="仿宋" w:eastAsia="仿宋" w:cs="仿宋"/>
          <w:bCs/>
          <w:color w:val="auto"/>
          <w:sz w:val="30"/>
          <w:szCs w:val="30"/>
        </w:rPr>
        <w:t>小时内必须给予回复，明确解决方案；</w:t>
      </w:r>
    </w:p>
    <w:p>
      <w:pPr>
        <w:adjustRightInd w:val="0"/>
        <w:snapToGrid w:val="0"/>
        <w:spacing w:line="600" w:lineRule="exac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 xml:space="preserve">   （</w:t>
      </w:r>
      <w:r>
        <w:rPr>
          <w:rFonts w:hint="eastAsia" w:ascii="仿宋" w:hAnsi="仿宋" w:eastAsia="仿宋" w:cs="仿宋"/>
          <w:bCs/>
          <w:color w:val="auto"/>
          <w:kern w:val="1"/>
          <w:sz w:val="30"/>
          <w:szCs w:val="30"/>
          <w:lang w:val="en-US" w:eastAsia="zh-CN"/>
        </w:rPr>
        <w:t>四</w:t>
      </w:r>
      <w:r>
        <w:rPr>
          <w:rFonts w:hint="eastAsia" w:ascii="仿宋" w:hAnsi="仿宋" w:eastAsia="仿宋" w:cs="仿宋"/>
          <w:bCs/>
          <w:color w:val="auto"/>
          <w:kern w:val="1"/>
          <w:sz w:val="30"/>
          <w:szCs w:val="30"/>
        </w:rPr>
        <w:t>）</w:t>
      </w:r>
      <w:r>
        <w:rPr>
          <w:rFonts w:hint="eastAsia" w:ascii="仿宋" w:hAnsi="仿宋" w:eastAsia="仿宋" w:cs="仿宋"/>
          <w:bCs/>
          <w:color w:val="auto"/>
          <w:sz w:val="30"/>
          <w:szCs w:val="30"/>
        </w:rPr>
        <w:t>投标人所供产品引起的知识产权方面的纠纷，由投标人承担一切后果，招标人不承担任何责任；</w:t>
      </w:r>
    </w:p>
    <w:p>
      <w:pPr>
        <w:adjustRightInd w:val="0"/>
        <w:snapToGrid w:val="0"/>
        <w:spacing w:line="600" w:lineRule="exact"/>
        <w:ind w:firstLine="480"/>
        <w:rPr>
          <w:rFonts w:hint="eastAsia" w:ascii="仿宋" w:hAnsi="仿宋" w:eastAsia="仿宋" w:cs="仿宋"/>
          <w:b/>
          <w:color w:val="auto"/>
          <w:kern w:val="2"/>
          <w:sz w:val="30"/>
          <w:szCs w:val="30"/>
        </w:rPr>
      </w:pPr>
      <w:r>
        <w:rPr>
          <w:rFonts w:hint="eastAsia" w:ascii="仿宋" w:hAnsi="仿宋" w:eastAsia="仿宋" w:cs="仿宋"/>
          <w:b/>
          <w:color w:val="auto"/>
          <w:kern w:val="2"/>
          <w:sz w:val="30"/>
          <w:szCs w:val="30"/>
        </w:rPr>
        <w:t>四、投标：</w:t>
      </w:r>
    </w:p>
    <w:p>
      <w:pPr>
        <w:adjustRightInd w:val="0"/>
        <w:snapToGrid w:val="0"/>
        <w:spacing w:line="600" w:lineRule="exact"/>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（一）报价方式：</w:t>
      </w:r>
      <w:r>
        <w:rPr>
          <w:rFonts w:hint="eastAsia" w:ascii="仿宋" w:hAnsi="仿宋" w:eastAsia="仿宋" w:cs="仿宋"/>
          <w:bCs/>
          <w:color w:val="auto"/>
          <w:sz w:val="30"/>
          <w:szCs w:val="30"/>
        </w:rPr>
        <w:t>报价为含增值税价。如国家税率调整，按合同含税价格/（1+合同约定税率）*（1+国家规定的新税率）调整合同价格开具发票；</w:t>
      </w:r>
    </w:p>
    <w:p>
      <w:pPr>
        <w:adjustRightInd w:val="0"/>
        <w:snapToGrid w:val="0"/>
        <w:spacing w:line="600" w:lineRule="exact"/>
        <w:ind w:firstLine="600" w:firstLineChars="200"/>
        <w:jc w:val="left"/>
        <w:rPr>
          <w:rFonts w:ascii="仿宋" w:hAnsi="仿宋" w:eastAsia="仿宋" w:cs="仿宋"/>
          <w:bCs/>
          <w:color w:val="auto"/>
          <w:kern w:val="1"/>
          <w:sz w:val="30"/>
          <w:szCs w:val="30"/>
        </w:rPr>
      </w:pPr>
      <w:r>
        <w:rPr>
          <w:rFonts w:hint="eastAsia" w:ascii="仿宋" w:hAnsi="仿宋" w:eastAsia="仿宋" w:cs="仿宋"/>
          <w:bCs/>
          <w:color w:val="auto"/>
          <w:kern w:val="1"/>
          <w:sz w:val="30"/>
          <w:szCs w:val="30"/>
        </w:rPr>
        <w:t>（二）付款方式：货到增值税专用发票到</w:t>
      </w:r>
      <w:r>
        <w:rPr>
          <w:rFonts w:hint="eastAsia" w:ascii="仿宋" w:hAnsi="仿宋" w:eastAsia="仿宋" w:cs="仿宋"/>
          <w:bCs/>
          <w:color w:val="auto"/>
          <w:kern w:val="1"/>
          <w:sz w:val="30"/>
          <w:szCs w:val="30"/>
          <w:u w:val="single"/>
        </w:rPr>
        <w:t>90日</w:t>
      </w:r>
      <w:r>
        <w:rPr>
          <w:rFonts w:hint="eastAsia" w:ascii="仿宋" w:hAnsi="仿宋" w:eastAsia="仿宋" w:cs="仿宋"/>
          <w:bCs/>
          <w:color w:val="auto"/>
          <w:kern w:val="1"/>
          <w:sz w:val="30"/>
          <w:szCs w:val="30"/>
        </w:rPr>
        <w:t>内付款。货值小于20万元时，采用现汇付款；货值大于等于20万元时，采用承兑付款。如投标人不接受招标人提出的付款方式，可在线下报价书中明确能够接受的付款方式及付款时间，评标时作为参考。如付款方式涉及到预付款，投标人必须在投标文件中提供开标前3个月内中国人民银行征信中心出具的企业信用报告并加盖企业公章。</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（三）本项目投标可通过线下方式进行：</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采用线下投标应将报价书及相关资料以标袋形式送达，标袋外包装必须用“封条”密封，封条“格式自定”，另需加盖公章、法人章，填写密封日期；在标袋封面上需注明“投标项目名称，投标方名称、地址、联系人、联系电话”等，如快递邮件破损或封面无投标注释被误拆，我方概不负责；且必须在投标截止日之前送达，逾期将作为作废标处理。</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（四）与本投标有关的一切往来通讯请密封寄：</w:t>
      </w:r>
    </w:p>
    <w:p>
      <w:pPr>
        <w:pStyle w:val="17"/>
        <w:tabs>
          <w:tab w:val="left" w:pos="180"/>
        </w:tabs>
        <w:adjustRightInd w:val="0"/>
        <w:snapToGrid w:val="0"/>
        <w:spacing w:line="600" w:lineRule="exact"/>
        <w:ind w:firstLine="6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公司：江苏索普化工股份有限公司</w:t>
      </w:r>
      <w:r>
        <w:rPr>
          <w:rFonts w:hint="eastAsia" w:ascii="仿宋" w:hAnsi="仿宋" w:eastAsia="仿宋" w:cs="仿宋"/>
          <w:bCs/>
          <w:color w:val="auto"/>
          <w:kern w:val="1"/>
          <w:sz w:val="30"/>
          <w:szCs w:val="30"/>
          <w:lang w:val="en-US" w:eastAsia="zh-CN"/>
        </w:rPr>
        <w:t>计划运行部</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地址：江苏省镇江市京口区求索路101号</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邮编：212006</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收件人：</w:t>
      </w:r>
      <w:r>
        <w:rPr>
          <w:rFonts w:hint="eastAsia" w:ascii="仿宋" w:hAnsi="仿宋" w:eastAsia="仿宋" w:cs="仿宋"/>
          <w:bCs/>
          <w:color w:val="auto"/>
          <w:kern w:val="1"/>
          <w:sz w:val="30"/>
          <w:szCs w:val="30"/>
          <w:lang w:val="en-US" w:eastAsia="zh-CN"/>
        </w:rPr>
        <w:t>贺云</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联系电话：</w:t>
      </w:r>
      <w:r>
        <w:rPr>
          <w:rFonts w:hint="eastAsia" w:ascii="仿宋" w:hAnsi="仿宋" w:eastAsia="仿宋" w:cs="仿宋"/>
          <w:bCs/>
          <w:color w:val="auto"/>
          <w:kern w:val="1"/>
          <w:sz w:val="30"/>
          <w:szCs w:val="30"/>
          <w:lang w:val="en-US" w:eastAsia="zh-CN"/>
        </w:rPr>
        <w:t>15850453391</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（五）凡对招标文件条款有疑义的，请在开标前按以下方式联系：</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联系单位：江苏索普化工股份有限公司供应保障部</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地址：江苏省镇江市京口区求索路101号，邮编：212006</w:t>
      </w:r>
    </w:p>
    <w:p>
      <w:pPr>
        <w:adjustRightInd w:val="0"/>
        <w:snapToGrid w:val="0"/>
        <w:spacing w:line="600" w:lineRule="exact"/>
        <w:ind w:firstLine="585"/>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招标业务联系人：</w:t>
      </w:r>
      <w:r>
        <w:rPr>
          <w:rFonts w:hint="eastAsia" w:ascii="仿宋" w:hAnsi="仿宋" w:eastAsia="仿宋" w:cs="仿宋"/>
          <w:bCs/>
          <w:color w:val="auto"/>
          <w:kern w:val="1"/>
          <w:sz w:val="30"/>
          <w:szCs w:val="30"/>
          <w:lang w:val="en-US" w:eastAsia="zh-CN"/>
        </w:rPr>
        <w:t>贺云</w:t>
      </w:r>
      <w:r>
        <w:rPr>
          <w:rFonts w:hint="eastAsia" w:ascii="仿宋" w:hAnsi="仿宋" w:eastAsia="仿宋" w:cs="仿宋"/>
          <w:bCs/>
          <w:color w:val="auto"/>
          <w:kern w:val="1"/>
          <w:sz w:val="30"/>
          <w:szCs w:val="30"/>
        </w:rPr>
        <w:t xml:space="preserve">     电话：1</w:t>
      </w:r>
      <w:r>
        <w:rPr>
          <w:rFonts w:hint="eastAsia" w:ascii="仿宋" w:hAnsi="仿宋" w:eastAsia="仿宋" w:cs="仿宋"/>
          <w:bCs/>
          <w:color w:val="auto"/>
          <w:kern w:val="1"/>
          <w:sz w:val="30"/>
          <w:szCs w:val="30"/>
          <w:lang w:val="en-US" w:eastAsia="zh-CN"/>
        </w:rPr>
        <w:t>5850453391</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招标部门负责人：</w:t>
      </w:r>
      <w:r>
        <w:rPr>
          <w:rFonts w:hint="eastAsia" w:ascii="仿宋" w:hAnsi="仿宋" w:eastAsia="仿宋" w:cs="仿宋"/>
          <w:bCs/>
          <w:color w:val="auto"/>
          <w:kern w:val="1"/>
          <w:sz w:val="30"/>
          <w:szCs w:val="30"/>
          <w:lang w:val="en-US" w:eastAsia="zh-CN"/>
        </w:rPr>
        <w:t>蔡可庆</w:t>
      </w:r>
      <w:r>
        <w:rPr>
          <w:rFonts w:hint="eastAsia" w:ascii="仿宋" w:hAnsi="仿宋" w:eastAsia="仿宋" w:cs="仿宋"/>
          <w:bCs/>
          <w:color w:val="auto"/>
          <w:kern w:val="1"/>
          <w:sz w:val="30"/>
          <w:szCs w:val="30"/>
        </w:rPr>
        <w:t xml:space="preserve">   电话：</w:t>
      </w:r>
      <w:r>
        <w:rPr>
          <w:rFonts w:hint="eastAsia" w:ascii="仿宋" w:hAnsi="仿宋" w:eastAsia="仿宋" w:cs="仿宋"/>
          <w:bCs/>
          <w:color w:val="auto"/>
          <w:kern w:val="1"/>
          <w:sz w:val="30"/>
          <w:szCs w:val="30"/>
          <w:lang w:val="en-US" w:eastAsia="zh-CN"/>
        </w:rPr>
        <w:t>13775352194</w:t>
      </w:r>
    </w:p>
    <w:p>
      <w:pPr>
        <w:adjustRightInd w:val="0"/>
        <w:snapToGrid w:val="0"/>
        <w:spacing w:line="600" w:lineRule="exact"/>
        <w:ind w:firstLine="600" w:firstLineChars="200"/>
        <w:jc w:val="left"/>
        <w:rPr>
          <w:rFonts w:hint="eastAsia" w:ascii="仿宋" w:hAnsi="仿宋" w:eastAsia="仿宋" w:cs="仿宋"/>
          <w:b/>
          <w:color w:val="auto"/>
          <w:kern w:val="1"/>
          <w:sz w:val="30"/>
          <w:szCs w:val="30"/>
        </w:rPr>
      </w:pPr>
      <w:r>
        <w:rPr>
          <w:rFonts w:hint="eastAsia" w:ascii="仿宋" w:hAnsi="仿宋" w:eastAsia="仿宋" w:cs="仿宋"/>
          <w:b/>
          <w:color w:val="auto"/>
          <w:kern w:val="1"/>
          <w:sz w:val="30"/>
          <w:szCs w:val="30"/>
        </w:rPr>
        <w:t>五、开标、评标、流标及废标：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（一）开标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本项目由招标人组织评标小组负责开标工作，对各投标人报价进行评标，确定最终中标人。</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1.请各投标人保持通讯畅通，便于</w:t>
      </w:r>
      <w:r>
        <w:rPr>
          <w:rFonts w:hint="eastAsia" w:ascii="仿宋_GB2312" w:hAnsi="宋体" w:eastAsia="仿宋_GB2312" w:cs="‹ÎSå"/>
          <w:color w:val="auto"/>
          <w:kern w:val="1"/>
          <w:sz w:val="30"/>
          <w:szCs w:val="30"/>
        </w:rPr>
        <w:t>评标小组在开标现场电话联系</w:t>
      </w:r>
      <w:r>
        <w:rPr>
          <w:rFonts w:hint="eastAsia" w:ascii="仿宋" w:hAnsi="仿宋" w:eastAsia="仿宋" w:cs="仿宋"/>
          <w:bCs/>
          <w:color w:val="auto"/>
          <w:kern w:val="1"/>
          <w:sz w:val="30"/>
          <w:szCs w:val="30"/>
        </w:rPr>
        <w:t>。</w:t>
      </w:r>
    </w:p>
    <w:p>
      <w:pPr>
        <w:pStyle w:val="2"/>
        <w:spacing w:line="600" w:lineRule="exact"/>
        <w:ind w:firstLine="600" w:firstLineChars="200"/>
        <w:rPr>
          <w:rFonts w:hint="eastAsia"/>
          <w:color w:val="auto"/>
        </w:rPr>
      </w:pPr>
      <w:r>
        <w:rPr>
          <w:rFonts w:hint="eastAsia" w:ascii="仿宋" w:hAnsi="仿宋" w:eastAsia="仿宋" w:cs="仿宋"/>
          <w:bCs/>
          <w:color w:val="auto"/>
          <w:kern w:val="1"/>
          <w:sz w:val="30"/>
          <w:szCs w:val="30"/>
        </w:rPr>
        <w:t xml:space="preserve">2.评标小组不得泄露各投标人的报价。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（二）评标</w:t>
      </w:r>
    </w:p>
    <w:p>
      <w:pPr>
        <w:pStyle w:val="2"/>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在能够满足招标人技术要求及</w:t>
      </w:r>
      <w:r>
        <w:rPr>
          <w:rFonts w:hint="eastAsia" w:ascii="仿宋" w:hAnsi="仿宋" w:eastAsia="仿宋" w:cs="仿宋"/>
          <w:bCs/>
          <w:color w:val="auto"/>
          <w:kern w:val="1"/>
          <w:sz w:val="30"/>
          <w:szCs w:val="30"/>
          <w:lang w:val="en-US" w:eastAsia="zh-CN"/>
        </w:rPr>
        <w:t>培训</w:t>
      </w:r>
      <w:r>
        <w:rPr>
          <w:rFonts w:hint="eastAsia" w:ascii="仿宋" w:hAnsi="仿宋" w:eastAsia="仿宋" w:cs="仿宋"/>
          <w:bCs/>
          <w:color w:val="auto"/>
          <w:kern w:val="1"/>
          <w:sz w:val="30"/>
          <w:szCs w:val="30"/>
        </w:rPr>
        <w:t>期要求的投标人中选择总价最低的一家投标人作为中标候选人。</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（三）流标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招标人如发现招标过程中有串标、陪标等扰乱招标人经营秩序的恶劣情况，经招标人评标小组评定可作流标处理，并可将相关投标方列入供应商负面清单，一年内不再接受参与投标工作。</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凡投标人不具备招标人明确要求资质的，或投标文件填写不完整、报价有空项的，或不符合技术要求条款的，或者存在其他不符合招标人有关要求的问题，经招标人评标小组评定，可作废标处理。</w:t>
      </w:r>
    </w:p>
    <w:p>
      <w:pPr>
        <w:numPr>
          <w:ilvl w:val="0"/>
          <w:numId w:val="1"/>
        </w:numPr>
        <w:adjustRightInd w:val="0"/>
        <w:snapToGrid w:val="0"/>
        <w:spacing w:line="600" w:lineRule="exact"/>
        <w:ind w:firstLine="600" w:firstLineChars="200"/>
        <w:jc w:val="left"/>
        <w:rPr>
          <w:rFonts w:hint="eastAsia"/>
          <w:color w:val="auto"/>
          <w:sz w:val="30"/>
          <w:szCs w:val="30"/>
        </w:rPr>
      </w:pPr>
      <w:r>
        <w:rPr>
          <w:rFonts w:hint="eastAsia" w:ascii="仿宋" w:hAnsi="仿宋" w:eastAsia="仿宋" w:cs="仿宋"/>
          <w:b/>
          <w:color w:val="auto"/>
          <w:kern w:val="1"/>
          <w:sz w:val="30"/>
          <w:szCs w:val="30"/>
        </w:rPr>
        <w:t>其他注意事项：</w:t>
      </w:r>
      <w:r>
        <w:rPr>
          <w:rFonts w:hint="eastAsia"/>
          <w:color w:val="auto"/>
          <w:sz w:val="30"/>
          <w:szCs w:val="30"/>
        </w:rPr>
        <w:t>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如</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没有按照规定的时间交货或提供服务，</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将支付违约金，违约金应从</w:t>
      </w:r>
      <w:r>
        <w:rPr>
          <w:rFonts w:hint="eastAsia" w:ascii="仿宋" w:hAnsi="仿宋" w:eastAsia="仿宋" w:cs="仿宋"/>
          <w:bCs/>
          <w:color w:val="auto"/>
          <w:kern w:val="1"/>
          <w:sz w:val="30"/>
          <w:szCs w:val="30"/>
          <w:lang w:val="en-US" w:eastAsia="zh-CN"/>
        </w:rPr>
        <w:t>服务金</w:t>
      </w:r>
      <w:r>
        <w:rPr>
          <w:rFonts w:hint="eastAsia" w:ascii="仿宋" w:hAnsi="仿宋" w:eastAsia="仿宋" w:cs="仿宋"/>
          <w:bCs/>
          <w:color w:val="auto"/>
          <w:kern w:val="1"/>
          <w:sz w:val="30"/>
          <w:szCs w:val="30"/>
        </w:rPr>
        <w:t>中扣除，未提供服务的违约金逾期每日应按合同总金额的1%计收。但未提供服务超过20日，</w:t>
      </w:r>
      <w:r>
        <w:rPr>
          <w:rFonts w:hint="eastAsia" w:ascii="仿宋" w:hAnsi="仿宋" w:eastAsia="仿宋" w:cs="仿宋"/>
          <w:bCs/>
          <w:color w:val="auto"/>
          <w:kern w:val="1"/>
          <w:sz w:val="30"/>
          <w:szCs w:val="30"/>
          <w:lang w:val="en-US" w:eastAsia="zh-CN"/>
        </w:rPr>
        <w:t>委托人</w:t>
      </w:r>
      <w:r>
        <w:rPr>
          <w:rFonts w:hint="eastAsia" w:ascii="仿宋" w:hAnsi="仿宋" w:eastAsia="仿宋" w:cs="仿宋"/>
          <w:bCs/>
          <w:color w:val="auto"/>
          <w:kern w:val="1"/>
          <w:sz w:val="30"/>
          <w:szCs w:val="30"/>
        </w:rPr>
        <w:t>有权解除合同,要求</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五个工作日内返还</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合同货款并按合同总额20%追究</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（二）中标人中标以后应严格按照标书约定与招标方签定供需合同，并按合同约定做好物资供应和服务工作。对中标人所有违背标书及合同约定的行为，招标人均可持续保留与中标方中止合作的一切权利。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三</w:t>
      </w:r>
      <w:r>
        <w:rPr>
          <w:rFonts w:hint="eastAsia" w:ascii="仿宋" w:hAnsi="仿宋" w:eastAsia="仿宋" w:cs="仿宋"/>
          <w:bCs/>
          <w:color w:val="auto"/>
          <w:kern w:val="1"/>
          <w:sz w:val="30"/>
          <w:szCs w:val="30"/>
        </w:rPr>
        <w:t>）如因投标人不能正常履约，如严重影响招标人生产经营活动的，招标人将依法追究投标方法律责任。</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四</w:t>
      </w:r>
      <w:r>
        <w:rPr>
          <w:rFonts w:hint="eastAsia" w:ascii="仿宋" w:hAnsi="仿宋" w:eastAsia="仿宋" w:cs="仿宋"/>
          <w:bCs/>
          <w:color w:val="auto"/>
          <w:kern w:val="1"/>
          <w:sz w:val="30"/>
          <w:szCs w:val="30"/>
        </w:rPr>
        <w:t>）投标人在中标后无正当理由不与招标人签订合同的，将承担违约责任，列入招标人供应商负面清单，同时招标人将向阿里巴巴进行投诉。</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（七）投标人应详细阅读本招标书，参与报价投标即视为对本招标书所列之条款均表示接受。</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（八）招标人对违反约定的投标人或中标人将按《江苏索普化工股份有限公司供应商负面清单管理规定》对投标人进行管理考核（详见附件1）。</w:t>
      </w:r>
    </w:p>
    <w:p>
      <w:pPr>
        <w:adjustRightInd w:val="0"/>
        <w:snapToGrid w:val="0"/>
        <w:spacing w:line="600" w:lineRule="exact"/>
        <w:ind w:firstLine="600" w:firstLineChars="200"/>
        <w:rPr>
          <w:rFonts w:hint="eastAsia" w:ascii="仿宋" w:hAnsi="仿宋" w:eastAsia="仿宋" w:cs="仿宋"/>
          <w:bCs/>
          <w:color w:val="auto"/>
          <w:kern w:val="2"/>
          <w:sz w:val="30"/>
          <w:szCs w:val="30"/>
        </w:rPr>
      </w:pPr>
      <w:r>
        <w:rPr>
          <w:rFonts w:hint="eastAsia" w:ascii="仿宋" w:hAnsi="仿宋" w:eastAsia="仿宋" w:cs="仿宋"/>
          <w:bCs/>
          <w:color w:val="auto"/>
          <w:kern w:val="1"/>
          <w:sz w:val="30"/>
          <w:szCs w:val="30"/>
        </w:rPr>
        <w:t>（九）本次招标解释权归江苏索普化工股份有限公司供应保障部所有</w:t>
      </w:r>
      <w:r>
        <w:rPr>
          <w:rFonts w:hint="eastAsia" w:ascii="仿宋" w:hAnsi="仿宋" w:eastAsia="仿宋" w:cs="仿宋"/>
          <w:bCs/>
          <w:color w:val="auto"/>
          <w:kern w:val="2"/>
          <w:sz w:val="30"/>
          <w:szCs w:val="30"/>
        </w:rPr>
        <w:t>；招标业务监督电话：0511-88995150、88995690。</w:t>
      </w:r>
    </w:p>
    <w:p>
      <w:pPr>
        <w:adjustRightInd w:val="0"/>
        <w:snapToGrid w:val="0"/>
        <w:spacing w:line="600" w:lineRule="exact"/>
        <w:ind w:firstLine="480" w:firstLineChars="200"/>
        <w:jc w:val="left"/>
        <w:rPr>
          <w:rFonts w:hint="eastAsia" w:ascii="仿宋_GB2312" w:eastAsia="仿宋_GB2312" w:cs="‹ÎSå"/>
          <w:bCs/>
          <w:color w:val="auto"/>
          <w:kern w:val="1"/>
          <w:sz w:val="24"/>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pStyle w:val="4"/>
        <w:pageBreakBefore/>
        <w:spacing w:line="600" w:lineRule="exact"/>
        <w:jc w:val="center"/>
        <w:rPr>
          <w:rFonts w:hint="eastAsia" w:ascii="方正小标宋简体" w:hAnsi="黑体" w:eastAsia="方正小标宋简体" w:cs="黑体"/>
          <w:color w:val="auto"/>
        </w:rPr>
      </w:pPr>
      <w:r>
        <w:rPr>
          <w:rFonts w:hint="eastAsia" w:ascii="方正小标宋简体" w:hAnsi="黑体" w:eastAsia="方正小标宋简体" w:cs="黑体"/>
          <w:color w:val="auto"/>
        </w:rPr>
        <w:t>报价函</w:t>
      </w:r>
    </w:p>
    <w:p>
      <w:pPr>
        <w:tabs>
          <w:tab w:val="left" w:pos="180"/>
        </w:tabs>
        <w:spacing w:line="600" w:lineRule="exac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江苏索普化工股份有限公司：</w:t>
      </w:r>
    </w:p>
    <w:p>
      <w:pPr>
        <w:spacing w:line="600" w:lineRule="exact"/>
        <w:ind w:firstLine="600" w:firstLineChars="200"/>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rPr>
        <w:t>(投标单位全称)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rPr>
        <w:t>(全权代表姓名)(职务、职称)</w:t>
      </w:r>
      <w:r>
        <w:rPr>
          <w:rFonts w:hint="eastAsia" w:ascii="仿宋_GB2312" w:hAnsi="仿宋_GB2312" w:eastAsia="仿宋_GB2312" w:cs="仿宋_GB2312"/>
          <w:color w:val="auto"/>
          <w:kern w:val="1"/>
          <w:sz w:val="30"/>
          <w:szCs w:val="30"/>
        </w:rPr>
        <w:t>为全权代表，参加贵方组织的自主公开招标有关活动，并对该项目进行报价。</w:t>
      </w:r>
    </w:p>
    <w:p>
      <w:pPr>
        <w:pStyle w:val="2"/>
        <w:spacing w:line="600" w:lineRule="exact"/>
        <w:ind w:firstLine="600" w:firstLineChars="200"/>
        <w:rPr>
          <w:rFonts w:hint="eastAsia" w:ascii="仿宋_GB2312" w:eastAsia="仿宋_GB2312"/>
          <w:b w:val="0"/>
          <w:bCs/>
          <w:sz w:val="30"/>
          <w:szCs w:val="30"/>
          <w:u w:val="none"/>
          <w:lang w:val="en-US" w:eastAsia="zh-CN"/>
        </w:rPr>
      </w:pPr>
      <w:r>
        <w:rPr>
          <w:rFonts w:hint="eastAsia" w:ascii="仿宋_GB2312" w:hAnsi="仿宋_GB2312" w:eastAsia="仿宋_GB2312" w:cs="仿宋_GB2312"/>
          <w:color w:val="auto"/>
          <w:kern w:val="1"/>
          <w:sz w:val="30"/>
          <w:szCs w:val="30"/>
        </w:rPr>
        <w:t>1、</w:t>
      </w:r>
      <w:r>
        <w:rPr>
          <w:rFonts w:hint="eastAsia" w:ascii="仿宋_GB2312" w:eastAsia="仿宋_GB2312"/>
          <w:b w:val="0"/>
          <w:bCs/>
          <w:sz w:val="30"/>
          <w:szCs w:val="30"/>
          <w:u w:val="none"/>
          <w:lang w:val="en-US" w:eastAsia="zh-CN"/>
        </w:rPr>
        <w:t>报价</w:t>
      </w:r>
      <w:r>
        <w:rPr>
          <w:rFonts w:hint="eastAsia" w:ascii="仿宋_GB2312" w:eastAsia="仿宋_GB2312"/>
          <w:b w:val="0"/>
          <w:bCs/>
          <w:sz w:val="30"/>
          <w:szCs w:val="30"/>
          <w:u w:val="single"/>
          <w:lang w:val="en-US" w:eastAsia="zh-CN"/>
        </w:rPr>
        <w:t xml:space="preserve">      </w:t>
      </w:r>
      <w:r>
        <w:rPr>
          <w:rFonts w:hint="eastAsia" w:ascii="仿宋_GB2312" w:eastAsia="仿宋_GB2312"/>
          <w:b w:val="0"/>
          <w:bCs/>
          <w:sz w:val="30"/>
          <w:szCs w:val="30"/>
          <w:u w:val="none"/>
          <w:lang w:val="en-US" w:eastAsia="zh-CN"/>
        </w:rPr>
        <w:t>万元，（监理费率</w:t>
      </w:r>
      <w:r>
        <w:rPr>
          <w:rFonts w:hint="eastAsia" w:ascii="仿宋_GB2312" w:eastAsia="仿宋_GB2312"/>
          <w:b w:val="0"/>
          <w:bCs/>
          <w:sz w:val="30"/>
          <w:szCs w:val="30"/>
          <w:u w:val="single"/>
          <w:lang w:val="en-US" w:eastAsia="zh-CN"/>
        </w:rPr>
        <w:t xml:space="preserve">     </w:t>
      </w:r>
      <w:r>
        <w:rPr>
          <w:rFonts w:hint="eastAsia" w:ascii="仿宋_GB2312" w:eastAsia="仿宋_GB2312"/>
          <w:b w:val="0"/>
          <w:bCs/>
          <w:sz w:val="30"/>
          <w:szCs w:val="30"/>
          <w:u w:val="none"/>
          <w:lang w:val="en-US" w:eastAsia="zh-CN"/>
        </w:rPr>
        <w:t>），按招标文件和合同约定，实施和完成各项监理任务。</w:t>
      </w:r>
    </w:p>
    <w:p>
      <w:pPr>
        <w:pStyle w:val="2"/>
        <w:spacing w:line="600" w:lineRule="exact"/>
        <w:ind w:firstLine="600" w:firstLineChars="200"/>
        <w:rPr>
          <w:rFonts w:hint="eastAsia" w:ascii="仿宋_GB2312" w:hAnsi="仿宋_GB2312" w:eastAsia="仿宋_GB2312" w:cs="仿宋_GB2312"/>
          <w:color w:val="auto"/>
          <w:kern w:val="1"/>
          <w:sz w:val="30"/>
          <w:szCs w:val="30"/>
        </w:rPr>
      </w:pPr>
      <w:r>
        <w:rPr>
          <w:rFonts w:hint="eastAsia"/>
          <w:b w:val="0"/>
          <w:bCs/>
          <w:sz w:val="30"/>
          <w:szCs w:val="30"/>
          <w:u w:val="none"/>
          <w:lang w:val="en-US" w:eastAsia="zh-CN"/>
        </w:rPr>
        <w:t>2.</w:t>
      </w:r>
      <w:r>
        <w:rPr>
          <w:rFonts w:hint="eastAsia" w:ascii="仿宋_GB2312" w:eastAsia="仿宋_GB2312"/>
          <w:b w:val="0"/>
          <w:bCs/>
          <w:sz w:val="30"/>
          <w:szCs w:val="30"/>
          <w:u w:val="none"/>
          <w:lang w:val="en-US" w:eastAsia="zh-CN"/>
        </w:rPr>
        <w:t>我单位派驻现场的总监理工程师是</w:t>
      </w:r>
      <w:r>
        <w:rPr>
          <w:rFonts w:hint="eastAsia" w:ascii="仿宋_GB2312" w:eastAsia="仿宋_GB2312"/>
          <w:b w:val="0"/>
          <w:bCs/>
          <w:sz w:val="30"/>
          <w:szCs w:val="30"/>
          <w:u w:val="single"/>
          <w:lang w:val="en-US" w:eastAsia="zh-CN"/>
        </w:rPr>
        <w:t xml:space="preserve">       </w:t>
      </w:r>
      <w:r>
        <w:rPr>
          <w:rFonts w:hint="eastAsia" w:ascii="仿宋_GB2312" w:eastAsia="仿宋_GB2312"/>
          <w:b w:val="0"/>
          <w:bCs/>
          <w:sz w:val="30"/>
          <w:szCs w:val="30"/>
          <w:u w:val="none"/>
          <w:lang w:val="en-US" w:eastAsia="zh-CN"/>
        </w:rPr>
        <w:t>。</w:t>
      </w:r>
    </w:p>
    <w:p>
      <w:pPr>
        <w:spacing w:line="600" w:lineRule="exact"/>
        <w:ind w:firstLine="600" w:firstLineChars="200"/>
        <w:jc w:val="left"/>
        <w:rPr>
          <w:rFonts w:ascii="仿宋_GB2312" w:hAnsi="仿宋_GB2312" w:eastAsia="仿宋_GB2312" w:cs="仿宋_GB2312"/>
          <w:bCs/>
          <w:color w:val="auto"/>
          <w:kern w:val="1"/>
          <w:sz w:val="30"/>
          <w:szCs w:val="30"/>
        </w:rPr>
      </w:pPr>
      <w:r>
        <w:rPr>
          <w:rFonts w:hint="eastAsia" w:ascii="仿宋_GB2312" w:hAnsi="仿宋_GB2312" w:eastAsia="仿宋_GB2312" w:cs="仿宋_GB2312"/>
          <w:color w:val="auto"/>
          <w:sz w:val="30"/>
          <w:szCs w:val="30"/>
          <w:shd w:val="clear" w:color="auto" w:fill="FFFFFF"/>
        </w:rPr>
        <w:t>3、我公司已详细审查全部自主公开招标文件，包括补充文件（如有）。我公司完全理解并同意放弃对这方面有不明及误解的权力，同时完全接受自主公开招标文件所有条款。如果自主公开招标文件有相互矛盾之处，我公司同意按贵方的解释处理；</w:t>
      </w:r>
    </w:p>
    <w:p>
      <w:pPr>
        <w:spacing w:line="600" w:lineRule="exact"/>
        <w:ind w:firstLine="600" w:firstLineChars="200"/>
        <w:jc w:val="left"/>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bCs/>
          <w:color w:val="auto"/>
          <w:kern w:val="1"/>
          <w:sz w:val="30"/>
          <w:szCs w:val="30"/>
        </w:rPr>
        <w:t>4、我公司愿意向江苏索普化工股份有限公司提供任何与该项报价有关的数据、情况和技术资料，</w:t>
      </w:r>
      <w:r>
        <w:rPr>
          <w:rFonts w:hint="eastAsia" w:ascii="仿宋_GB2312" w:hAnsi="仿宋_GB2312" w:eastAsia="仿宋_GB2312" w:cs="仿宋_GB2312"/>
          <w:color w:val="auto"/>
          <w:sz w:val="30"/>
          <w:szCs w:val="30"/>
          <w:shd w:val="clear" w:color="auto" w:fill="FFFFFF"/>
        </w:rPr>
        <w:t>完全理解贵方不一定接受最低价的报价或收到的任何报价；</w:t>
      </w:r>
    </w:p>
    <w:p>
      <w:pPr>
        <w:pStyle w:val="2"/>
        <w:spacing w:line="600" w:lineRule="exact"/>
        <w:ind w:firstLine="600" w:firstLineChars="200"/>
        <w:rPr>
          <w:rFonts w:hint="eastAsia" w:ascii="仿宋_GB2312" w:hAnsi="仿宋_GB2312" w:eastAsia="仿宋_GB2312" w:cs="仿宋_GB2312"/>
          <w:color w:val="auto"/>
          <w:kern w:val="1"/>
          <w:sz w:val="30"/>
          <w:szCs w:val="30"/>
          <w:u w:val="single"/>
        </w:rPr>
      </w:pPr>
      <w:r>
        <w:rPr>
          <w:rFonts w:hint="eastAsia" w:ascii="仿宋_GB2312" w:hAnsi="仿宋_GB2312" w:eastAsia="仿宋_GB2312" w:cs="仿宋_GB2312"/>
          <w:bCs/>
          <w:color w:val="auto"/>
          <w:kern w:val="1"/>
          <w:sz w:val="30"/>
          <w:szCs w:val="30"/>
        </w:rPr>
        <w:t>5、对</w:t>
      </w:r>
      <w:r>
        <w:rPr>
          <w:rFonts w:hint="eastAsia" w:ascii="仿宋_GB2312" w:hAnsi="仿宋_GB2312" w:eastAsia="仿宋_GB2312" w:cs="仿宋_GB2312"/>
          <w:color w:val="auto"/>
          <w:sz w:val="30"/>
          <w:szCs w:val="30"/>
          <w:shd w:val="clear" w:color="auto" w:fill="FFFFFF"/>
        </w:rPr>
        <w:t>自主公开招标文件</w:t>
      </w:r>
      <w:r>
        <w:rPr>
          <w:rFonts w:hint="eastAsia" w:ascii="仿宋_GB2312" w:hAnsi="仿宋_GB2312" w:eastAsia="仿宋_GB2312" w:cs="仿宋_GB2312"/>
          <w:bCs/>
          <w:color w:val="auto"/>
          <w:kern w:val="1"/>
          <w:sz w:val="30"/>
          <w:szCs w:val="30"/>
        </w:rPr>
        <w:t>的不接受项：</w:t>
      </w:r>
      <w:r>
        <w:rPr>
          <w:rFonts w:hint="eastAsia" w:ascii="仿宋_GB2312" w:hAnsi="仿宋_GB2312" w:eastAsia="仿宋_GB2312" w:cs="仿宋_GB2312"/>
          <w:color w:val="auto"/>
          <w:kern w:val="1"/>
          <w:sz w:val="30"/>
          <w:szCs w:val="30"/>
          <w:u w:val="single"/>
        </w:rPr>
        <w:t xml:space="preserve">                                              </w:t>
      </w:r>
    </w:p>
    <w:p>
      <w:pPr>
        <w:pStyle w:val="2"/>
        <w:spacing w:line="600" w:lineRule="exac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color w:val="auto"/>
          <w:kern w:val="1"/>
          <w:sz w:val="30"/>
          <w:szCs w:val="30"/>
          <w:u w:val="single"/>
        </w:rPr>
        <w:t xml:space="preserve">                                                              </w:t>
      </w:r>
    </w:p>
    <w:p>
      <w:pPr>
        <w:spacing w:line="600" w:lineRule="exact"/>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我公司郑重承诺：</w:t>
      </w:r>
      <w:r>
        <w:rPr>
          <w:rFonts w:hint="eastAsia" w:ascii="仿宋_GB2312" w:hAnsi="仿宋_GB2312" w:eastAsia="仿宋_GB2312" w:cs="仿宋_GB2312"/>
          <w:color w:val="auto"/>
          <w:kern w:val="1"/>
          <w:sz w:val="30"/>
          <w:szCs w:val="30"/>
        </w:rPr>
        <w:t>遵守</w:t>
      </w:r>
      <w:r>
        <w:rPr>
          <w:rFonts w:hint="eastAsia" w:ascii="仿宋_GB2312" w:hAnsi="仿宋_GB2312" w:eastAsia="仿宋_GB2312" w:cs="仿宋_GB2312"/>
          <w:bCs/>
          <w:color w:val="auto"/>
          <w:kern w:val="1"/>
          <w:sz w:val="30"/>
          <w:szCs w:val="30"/>
        </w:rPr>
        <w:t>江苏索普化工股份有限公司</w:t>
      </w:r>
      <w:r>
        <w:rPr>
          <w:rFonts w:hint="eastAsia" w:ascii="仿宋_GB2312" w:hAnsi="仿宋_GB2312" w:eastAsia="仿宋_GB2312" w:cs="仿宋_GB2312"/>
          <w:color w:val="auto"/>
          <w:sz w:val="30"/>
          <w:szCs w:val="30"/>
          <w:shd w:val="clear" w:color="auto" w:fill="FFFFFF"/>
        </w:rPr>
        <w:t>自主公开招标文件</w:t>
      </w:r>
      <w:r>
        <w:rPr>
          <w:rFonts w:hint="eastAsia" w:ascii="仿宋_GB2312" w:hAnsi="仿宋_GB2312" w:eastAsia="仿宋_GB2312" w:cs="仿宋_GB2312"/>
          <w:color w:val="auto"/>
          <w:kern w:val="1"/>
          <w:sz w:val="30"/>
          <w:szCs w:val="30"/>
        </w:rPr>
        <w:t>中的全部规定，</w:t>
      </w:r>
      <w:r>
        <w:rPr>
          <w:rFonts w:hint="eastAsia" w:ascii="仿宋_GB2312" w:hAnsi="仿宋_GB2312" w:eastAsia="仿宋_GB2312" w:cs="仿宋_GB2312"/>
          <w:bCs/>
          <w:color w:val="auto"/>
          <w:kern w:val="1"/>
          <w:sz w:val="30"/>
          <w:szCs w:val="30"/>
        </w:rPr>
        <w:t>中标后及时签订合同,并承担合同规定的责任和义务；在报价过程中将严格遵守江苏索普化工股份有限公司自主公开招标的各项管理要求；不发生与关联公司共同参与报价竞争情况，不发生围标、串标情况；所提供信息真实、准确、合法、有效，不存在为规避江苏索普化工股份有限公司有关要求采取的变通行为。上述信息如有虚假我公司将承担法律责任，同意按江苏索普化工股份有限公司相关管理规定接受处理。我公司将严格遵守江苏索普化工股份有限公司对供应商管理的要求，无条件接受和配合江苏索普化工股份有限公司或其委托的有关机构进行的与上述内容相关的核查与审计。</w:t>
      </w:r>
    </w:p>
    <w:p>
      <w:pPr>
        <w:spacing w:before="156" w:beforeLines="50" w:line="600" w:lineRule="exact"/>
        <w:jc w:val="left"/>
        <w:rPr>
          <w:rFonts w:hint="eastAsia" w:ascii="仿宋_GB2312" w:hAnsi="仿宋_GB2312" w:eastAsia="仿宋_GB2312" w:cs="仿宋_GB2312"/>
          <w:color w:val="auto"/>
          <w:kern w:val="1"/>
          <w:sz w:val="30"/>
          <w:szCs w:val="30"/>
        </w:rPr>
      </w:pPr>
    </w:p>
    <w:p>
      <w:pPr>
        <w:spacing w:before="156" w:beforeLines="50" w:line="600" w:lineRule="exact"/>
        <w:jc w:val="left"/>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全权代表（签字）：</w:t>
      </w:r>
    </w:p>
    <w:p>
      <w:pPr>
        <w:spacing w:before="156" w:beforeLines="50" w:line="600" w:lineRule="exact"/>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联系电话：</w:t>
      </w:r>
    </w:p>
    <w:p>
      <w:pPr>
        <w:spacing w:before="156" w:beforeLines="50" w:line="600" w:lineRule="exact"/>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报价单位（盖章）：</w:t>
      </w:r>
    </w:p>
    <w:p>
      <w:pPr>
        <w:spacing w:before="156" w:beforeLines="50" w:line="600" w:lineRule="exact"/>
        <w:jc w:val="left"/>
        <w:rPr>
          <w:rFonts w:ascii="仿宋_GB2312" w:hAnsi="仿宋_GB2312" w:eastAsia="仿宋_GB2312" w:cs="仿宋_GB2312"/>
          <w:bCs/>
          <w:color w:val="auto"/>
          <w:kern w:val="1"/>
          <w:sz w:val="30"/>
          <w:szCs w:val="30"/>
        </w:rPr>
      </w:pPr>
      <w:r>
        <w:rPr>
          <w:rFonts w:hint="eastAsia" w:ascii="仿宋_GB2312" w:hAnsi="仿宋_GB2312" w:eastAsia="仿宋_GB2312" w:cs="仿宋_GB2312"/>
          <w:color w:val="auto"/>
          <w:kern w:val="1"/>
          <w:sz w:val="30"/>
          <w:szCs w:val="30"/>
        </w:rPr>
        <w:t>日期：</w:t>
      </w:r>
    </w:p>
    <w:p>
      <w:pPr>
        <w:pageBreakBefore/>
        <w:spacing w:line="600" w:lineRule="exact"/>
        <w:jc w:val="left"/>
        <w:rPr>
          <w:rFonts w:hint="eastAsia" w:ascii="仿宋_GB2312" w:eastAsia="仿宋_GB2312" w:cs="‹ÎSå"/>
          <w:bCs/>
          <w:color w:val="auto"/>
          <w:kern w:val="1"/>
          <w:sz w:val="30"/>
          <w:szCs w:val="30"/>
        </w:rPr>
      </w:pPr>
      <w:r>
        <w:rPr>
          <w:rFonts w:hint="eastAsia" w:ascii="仿宋_GB2312" w:eastAsia="仿宋_GB2312" w:cs="‹ÎSå"/>
          <w:bCs/>
          <w:color w:val="auto"/>
          <w:kern w:val="1"/>
          <w:sz w:val="30"/>
          <w:szCs w:val="30"/>
        </w:rPr>
        <w:t>附件1：</w:t>
      </w:r>
    </w:p>
    <w:p>
      <w:pPr>
        <w:tabs>
          <w:tab w:val="left" w:pos="2565"/>
        </w:tabs>
        <w:spacing w:line="600" w:lineRule="exact"/>
        <w:jc w:val="center"/>
        <w:rPr>
          <w:rFonts w:hint="eastAsia" w:ascii="方正小标宋简体" w:hAnsi="楷体" w:eastAsia="方正小标宋简体"/>
          <w:b/>
          <w:sz w:val="44"/>
          <w:szCs w:val="44"/>
        </w:rPr>
      </w:pPr>
      <w:r>
        <w:rPr>
          <w:rFonts w:hint="eastAsia" w:ascii="方正小标宋简体" w:hAnsi="黑体" w:eastAsia="方正小标宋简体"/>
          <w:b/>
          <w:sz w:val="44"/>
          <w:szCs w:val="44"/>
        </w:rPr>
        <w:t>供应商负面清单管理</w:t>
      </w:r>
    </w:p>
    <w:p>
      <w:pPr>
        <w:tabs>
          <w:tab w:val="left" w:pos="2565"/>
        </w:tabs>
        <w:spacing w:line="600" w:lineRule="exact"/>
        <w:ind w:firstLine="680" w:firstLineChars="200"/>
        <w:rPr>
          <w:rFonts w:hint="eastAsia" w:ascii="仿宋_GB2312" w:hAnsi="仿宋" w:eastAsia="仿宋_GB2312"/>
          <w:sz w:val="34"/>
          <w:szCs w:val="34"/>
        </w:rPr>
      </w:pPr>
    </w:p>
    <w:p>
      <w:pPr>
        <w:tabs>
          <w:tab w:val="left" w:pos="2565"/>
        </w:tabs>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凡按国家标准及相关准则或规定组织生产销售的原辅材料、备品备件、劳保用品等物资供应商以及运输等服务商，资质证照齐全且满足公司招标要求，均视为合格供应商，可参与公司组织的招投标、比价采购等商务活动。</w:t>
      </w:r>
    </w:p>
    <w:p>
      <w:pPr>
        <w:tabs>
          <w:tab w:val="left" w:pos="2565"/>
        </w:tabs>
        <w:spacing w:line="600" w:lineRule="exact"/>
        <w:ind w:firstLine="680" w:firstLineChars="200"/>
        <w:rPr>
          <w:rFonts w:hint="eastAsia" w:ascii="黑体" w:hAnsi="黑体" w:eastAsia="黑体"/>
          <w:sz w:val="34"/>
          <w:szCs w:val="34"/>
        </w:rPr>
      </w:pPr>
      <w:r>
        <w:rPr>
          <w:rFonts w:hint="eastAsia" w:ascii="黑体" w:hAnsi="黑体" w:eastAsia="黑体"/>
          <w:b/>
          <w:sz w:val="34"/>
          <w:szCs w:val="34"/>
        </w:rPr>
        <w:t>一、</w:t>
      </w:r>
      <w:r>
        <w:rPr>
          <w:rFonts w:hint="eastAsia" w:ascii="黑体" w:hAnsi="黑体" w:eastAsia="黑体"/>
          <w:sz w:val="34"/>
          <w:szCs w:val="34"/>
        </w:rPr>
        <w:t>供应商负面清单管理</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（一）管理职责</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1.</w:t>
      </w:r>
      <w:r>
        <w:rPr>
          <w:rFonts w:hint="eastAsia" w:ascii="仿宋_GB2312" w:hAnsi="仿宋" w:eastAsia="仿宋_GB2312"/>
          <w:bCs/>
          <w:sz w:val="34"/>
          <w:szCs w:val="34"/>
        </w:rPr>
        <w:t>使用部门负责</w:t>
      </w:r>
      <w:r>
        <w:rPr>
          <w:rFonts w:hint="eastAsia" w:ascii="仿宋_GB2312" w:hAnsi="仿宋" w:eastAsia="仿宋_GB2312"/>
          <w:sz w:val="34"/>
          <w:szCs w:val="34"/>
        </w:rPr>
        <w:t>提供技术参数或提出服务要求，对采购物资或服务的质量进行验收，对供应商所供货物在使用效果、产品质量、服务质量等方面进行评价。</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2.</w:t>
      </w:r>
      <w:r>
        <w:rPr>
          <w:rFonts w:hint="eastAsia" w:ascii="仿宋_GB2312" w:hAnsi="仿宋" w:eastAsia="仿宋_GB2312"/>
          <w:bCs/>
          <w:sz w:val="34"/>
          <w:szCs w:val="34"/>
        </w:rPr>
        <w:t>专业管理部门负责</w:t>
      </w:r>
      <w:r>
        <w:rPr>
          <w:rFonts w:hint="eastAsia" w:ascii="仿宋_GB2312" w:hAnsi="仿宋" w:eastAsia="仿宋_GB2312"/>
          <w:sz w:val="34"/>
          <w:szCs w:val="34"/>
        </w:rPr>
        <w:t>监管使用过程，对标的物样品或试供原料的质量进行检验，判定其是否符合公司所需的技术要求。</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3.</w:t>
      </w:r>
      <w:r>
        <w:rPr>
          <w:rFonts w:hint="eastAsia" w:ascii="仿宋_GB2312" w:hAnsi="仿宋" w:eastAsia="仿宋_GB2312"/>
          <w:bCs/>
          <w:sz w:val="34"/>
          <w:szCs w:val="34"/>
        </w:rPr>
        <w:t>供应保障部负责</w:t>
      </w:r>
      <w:r>
        <w:rPr>
          <w:rFonts w:hint="eastAsia" w:ascii="仿宋_GB2312" w:hAnsi="仿宋" w:eastAsia="仿宋_GB2312"/>
          <w:sz w:val="34"/>
          <w:szCs w:val="34"/>
        </w:rPr>
        <w:t>通过线上或线下途径不断开发有能力满足公司所需物资或服务的供应商，对目标供应商所提供的材料完整性、交货期、价格等作为筛选的依据进行资格初审，收集供应商资料并建立档案。</w:t>
      </w:r>
    </w:p>
    <w:p>
      <w:pPr>
        <w:spacing w:line="600" w:lineRule="exact"/>
        <w:ind w:firstLine="680" w:firstLineChars="200"/>
        <w:rPr>
          <w:rFonts w:ascii="仿宋" w:hAnsi="仿宋" w:eastAsia="仿宋"/>
          <w:sz w:val="34"/>
          <w:szCs w:val="34"/>
        </w:rPr>
      </w:pPr>
      <w:r>
        <w:rPr>
          <w:rFonts w:hint="eastAsia" w:ascii="仿宋_GB2312" w:hAnsi="仿宋" w:eastAsia="仿宋_GB2312"/>
          <w:b/>
          <w:bCs/>
          <w:sz w:val="34"/>
          <w:szCs w:val="34"/>
        </w:rPr>
        <w:t>4.</w:t>
      </w:r>
      <w:r>
        <w:rPr>
          <w:rFonts w:hint="eastAsia" w:ascii="仿宋_GB2312" w:hAnsi="仿宋" w:eastAsia="仿宋_GB2312"/>
          <w:bCs/>
          <w:sz w:val="34"/>
          <w:szCs w:val="34"/>
        </w:rPr>
        <w:t>风险控制部</w:t>
      </w:r>
      <w:r>
        <w:rPr>
          <w:rFonts w:hint="eastAsia" w:ascii="仿宋_GB2312" w:hAnsi="仿宋" w:eastAsia="仿宋_GB2312"/>
          <w:sz w:val="34"/>
          <w:szCs w:val="34"/>
        </w:rPr>
        <w:t>负责对采购流程的合规性进行监督。</w:t>
      </w:r>
    </w:p>
    <w:p>
      <w:pPr>
        <w:spacing w:line="600" w:lineRule="exact"/>
        <w:ind w:firstLine="680" w:firstLineChars="200"/>
        <w:rPr>
          <w:rFonts w:hint="eastAsia" w:ascii="楷体" w:hAnsi="楷体" w:eastAsia="楷体"/>
          <w:bCs/>
          <w:sz w:val="34"/>
          <w:szCs w:val="34"/>
        </w:rPr>
      </w:pPr>
      <w:r>
        <w:rPr>
          <w:rFonts w:hint="eastAsia" w:ascii="楷体" w:hAnsi="楷体" w:eastAsia="楷体"/>
          <w:bCs/>
          <w:sz w:val="34"/>
          <w:szCs w:val="34"/>
        </w:rPr>
        <w:t>（二）供应商负面清单确定流程</w:t>
      </w:r>
    </w:p>
    <w:p>
      <w:pPr>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由供应保障部负责供应商负面清单管理，其他职能部门在招标过程中产生的供应商考核意见应报供应保障部统一管理。</w:t>
      </w:r>
    </w:p>
    <w:p>
      <w:pPr>
        <w:pStyle w:val="2"/>
        <w:spacing w:line="600" w:lineRule="exact"/>
        <w:rPr>
          <w:rFonts w:hint="eastAsia"/>
        </w:rPr>
      </w:pPr>
    </w:p>
    <w:p>
      <w:pPr>
        <w:pStyle w:val="2"/>
        <w:spacing w:line="600" w:lineRule="exact"/>
        <w:rPr>
          <w:rFonts w:hint="eastAsia"/>
        </w:rPr>
      </w:pPr>
      <w:r>
        <w:drawing>
          <wp:anchor distT="0" distB="0" distL="114300" distR="114300" simplePos="0" relativeHeight="251658240" behindDoc="0" locked="0" layoutInCell="1" allowOverlap="1">
            <wp:simplePos x="0" y="0"/>
            <wp:positionH relativeFrom="column">
              <wp:posOffset>277495</wp:posOffset>
            </wp:positionH>
            <wp:positionV relativeFrom="paragraph">
              <wp:posOffset>340995</wp:posOffset>
            </wp:positionV>
            <wp:extent cx="5267325" cy="60960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rcRect t="2280"/>
                    <a:stretch>
                      <a:fillRect/>
                    </a:stretch>
                  </pic:blipFill>
                  <pic:spPr>
                    <a:xfrm>
                      <a:off x="0" y="0"/>
                      <a:ext cx="5267325" cy="6096000"/>
                    </a:xfrm>
                    <a:prstGeom prst="rect">
                      <a:avLst/>
                    </a:prstGeom>
                    <a:noFill/>
                    <a:ln w="9525">
                      <a:noFill/>
                    </a:ln>
                  </pic:spPr>
                </pic:pic>
              </a:graphicData>
            </a:graphic>
          </wp:anchor>
        </w:drawing>
      </w:r>
    </w:p>
    <w:p>
      <w:pPr>
        <w:pStyle w:val="2"/>
        <w:spacing w:line="600" w:lineRule="exact"/>
        <w:rPr>
          <w:rFonts w:hint="eastAsia"/>
        </w:rPr>
      </w:pPr>
    </w:p>
    <w:p>
      <w:pPr>
        <w:pStyle w:val="2"/>
        <w:spacing w:line="600" w:lineRule="exact"/>
        <w:rPr>
          <w:rFonts w:hint="eastAsia"/>
        </w:rPr>
      </w:pPr>
    </w:p>
    <w:p>
      <w:pPr>
        <w:pStyle w:val="2"/>
        <w:spacing w:line="600" w:lineRule="exact"/>
        <w:rPr>
          <w:rFonts w:hint="eastAsia"/>
        </w:rPr>
      </w:pPr>
    </w:p>
    <w:p>
      <w:pPr>
        <w:pStyle w:val="2"/>
        <w:spacing w:line="600" w:lineRule="exact"/>
        <w:rPr>
          <w:rFonts w:hint="eastAsia"/>
        </w:rPr>
      </w:pPr>
    </w:p>
    <w:p>
      <w:pPr>
        <w:pStyle w:val="2"/>
        <w:spacing w:line="600" w:lineRule="exact"/>
        <w:rPr>
          <w:rFonts w:hint="eastAsia"/>
        </w:rPr>
      </w:pPr>
    </w:p>
    <w:p>
      <w:pPr>
        <w:pStyle w:val="2"/>
        <w:spacing w:line="600" w:lineRule="exact"/>
        <w:rPr>
          <w:rFonts w:hint="eastAsia"/>
        </w:rPr>
      </w:pPr>
    </w:p>
    <w:p>
      <w:pPr>
        <w:pStyle w:val="2"/>
        <w:spacing w:line="600" w:lineRule="exact"/>
        <w:rPr>
          <w:rFonts w:hint="eastAsia"/>
        </w:rPr>
      </w:pPr>
    </w:p>
    <w:p>
      <w:pPr>
        <w:pStyle w:val="2"/>
        <w:spacing w:line="600" w:lineRule="exact"/>
        <w:rPr>
          <w:rFonts w:hint="eastAsia"/>
        </w:rPr>
      </w:pPr>
    </w:p>
    <w:p>
      <w:pPr>
        <w:pStyle w:val="2"/>
        <w:spacing w:line="600" w:lineRule="exact"/>
        <w:rPr>
          <w:rFonts w:hint="eastAsia"/>
        </w:rPr>
      </w:pPr>
    </w:p>
    <w:p>
      <w:pPr>
        <w:tabs>
          <w:tab w:val="left" w:pos="2565"/>
        </w:tabs>
        <w:spacing w:line="600" w:lineRule="exact"/>
        <w:ind w:firstLine="680" w:firstLineChars="200"/>
        <w:rPr>
          <w:rFonts w:hint="eastAsia" w:ascii="仿宋_GB2312" w:hAnsi="楷体" w:eastAsia="仿宋_GB2312"/>
          <w:b/>
          <w:sz w:val="34"/>
          <w:szCs w:val="34"/>
        </w:rPr>
      </w:pPr>
    </w:p>
    <w:p>
      <w:pPr>
        <w:tabs>
          <w:tab w:val="left" w:pos="2565"/>
        </w:tabs>
        <w:spacing w:line="600" w:lineRule="exact"/>
        <w:ind w:firstLine="680" w:firstLineChars="200"/>
        <w:rPr>
          <w:rFonts w:hint="eastAsia" w:ascii="仿宋_GB2312" w:hAnsi="楷体" w:eastAsia="仿宋_GB2312"/>
          <w:b/>
          <w:sz w:val="34"/>
          <w:szCs w:val="34"/>
        </w:rPr>
      </w:pPr>
    </w:p>
    <w:p>
      <w:pPr>
        <w:tabs>
          <w:tab w:val="left" w:pos="2565"/>
        </w:tabs>
        <w:spacing w:line="600" w:lineRule="exact"/>
        <w:ind w:firstLine="680" w:firstLineChars="200"/>
        <w:rPr>
          <w:rFonts w:hint="eastAsia" w:ascii="仿宋_GB2312" w:hAnsi="楷体" w:eastAsia="仿宋_GB2312"/>
          <w:b/>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（三）供应商积分考核</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供应商积分从供货质量、交货周期、售后服务、资质信誉四个方面进行考核，依据考核累计积分作对应处理。使用部门、供应保障部均可书面提出考核意见，供应保障部组织相关参与评标部门根据本规定对供应商进行考核并建立《供应商考核情况登记表》（见附件3），根据扣分情况分为继续合作及列入负面清单两种情形。考核记分周期为1年，自被考核当日起计满1年后，考核分自动清零。</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1.继续合作供应商：</w:t>
      </w:r>
      <w:r>
        <w:rPr>
          <w:rFonts w:hint="eastAsia" w:ascii="仿宋_GB2312" w:hAnsi="仿宋_GB2312" w:eastAsia="仿宋_GB2312" w:cs="仿宋_GB2312"/>
          <w:bCs/>
          <w:sz w:val="34"/>
          <w:szCs w:val="34"/>
        </w:rPr>
        <w:t>考核扣分介于0</w:t>
      </w:r>
      <w:r>
        <w:rPr>
          <w:rFonts w:hint="eastAsia" w:ascii="仿宋_GB2312" w:hAnsi="宋体" w:eastAsia="仿宋_GB2312" w:cs="宋体"/>
          <w:sz w:val="34"/>
          <w:szCs w:val="34"/>
        </w:rPr>
        <w:t>～9</w:t>
      </w:r>
      <w:r>
        <w:rPr>
          <w:rFonts w:hint="eastAsia" w:ascii="仿宋_GB2312" w:hAnsi="仿宋_GB2312" w:eastAsia="仿宋_GB2312" w:cs="仿宋_GB2312"/>
          <w:bCs/>
          <w:sz w:val="34"/>
          <w:szCs w:val="34"/>
        </w:rPr>
        <w:t>分之间，为可继续合作的供应商。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2.列入负面清单供应商：</w:t>
      </w:r>
      <w:r>
        <w:rPr>
          <w:rFonts w:hint="eastAsia" w:ascii="仿宋_GB2312" w:hAnsi="仿宋_GB2312" w:eastAsia="仿宋_GB2312" w:cs="仿宋_GB2312"/>
          <w:bCs/>
          <w:sz w:val="34"/>
          <w:szCs w:val="34"/>
        </w:rPr>
        <w:t>考核扣分10分及以上的，列入负面清单供应商，1年内不接受该供应商投标或报价。</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（四）供应商考核方法</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1.质量方面</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（1）所供产品出现质量问题，经调换未对生产造成影响的，每次扣3分。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（2）所供产品出现质量问题，对生产造成影响，但未导致减产或停车事故的，每次扣9分。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（3）所供产品出现质量问题，导致减产或停车事故的，或导致公司产品存在质量缺陷的，每次扣10分。</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2.交货方面</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（1）交货时无质检报告或合格证等必要资料的，每次扣1分。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（2）交货时未按规定包装的，每次扣2分。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（3）延期交货，未对生产造成影响的，每次扣3分；导致减产或停车事故的，每次扣10分。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（4）交货过程中存在隐瞒质量缺陷或以次充好，每次扣10分。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（5）运输单位未能按要求完成运输任务，每次扣1分。</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3.售后方面</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（1）对我公司的售后服务要求不能及时响应，每次扣1分。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（2）对我公司的售后服务要求不能及时响应，对生产造成影响的，每次扣3分。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（3）售后人员不能及时解决问题，每次扣3分。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（4）在质保期之内，拒绝按合同提供售后服务，每次扣10分。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4.资信方面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（1）中标之后因报价、参数错误等原因，经双方协商终止合同签订，每次扣3分。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（2）中标之后拒绝签订合同或拒绝履行合同，每次扣10分。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（3）无正当理由未及时开具发票给我公司，每次扣1分。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（4）未按合同约定价格开票，每次扣2分。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（5）注册信息及基本资质证书不属实，每次扣10分。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（6）违反廉洁协议，每次扣10分。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（7）因知识产权引起纠纷，每次扣10分。</w:t>
      </w:r>
    </w:p>
    <w:p>
      <w:pPr>
        <w:spacing w:line="600" w:lineRule="exact"/>
        <w:ind w:left="68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5.其他方面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为保证招标工作的严肃性，投标人对投标结果存有异议，可向风险控制部或公司申诉。申诉经风险控制部核实后代表公司给予书面回复；申诉理由不成立，风险控制部给予回复后，投标人仍不接受解释采取重复申诉，扰乱公司经营秩序，每次扣3分；投标人在申诉过程中拒不接受解释，存在无理取闹、恶意投诉、捏造事实、聚众围堵等严重扰乱公司经营秩序的违法行为，每次扣10分。</w:t>
      </w:r>
    </w:p>
    <w:p>
      <w:pPr>
        <w:spacing w:line="600" w:lineRule="exact"/>
        <w:ind w:firstLine="680" w:firstLineChars="200"/>
        <w:rPr>
          <w:rFonts w:hint="eastAsia" w:ascii="黑体" w:hAnsi="黑体" w:eastAsia="黑体"/>
          <w:b/>
          <w:sz w:val="34"/>
          <w:szCs w:val="34"/>
        </w:rPr>
      </w:pPr>
      <w:r>
        <w:rPr>
          <w:rFonts w:hint="eastAsia" w:ascii="黑体" w:hAnsi="黑体" w:eastAsia="黑体"/>
          <w:b/>
          <w:sz w:val="34"/>
          <w:szCs w:val="34"/>
        </w:rPr>
        <w:t>二、</w:t>
      </w:r>
      <w:r>
        <w:rPr>
          <w:rFonts w:hint="eastAsia" w:ascii="黑体" w:hAnsi="黑体" w:eastAsia="黑体" w:cs="仿宋"/>
          <w:color w:val="auto"/>
          <w:sz w:val="34"/>
          <w:szCs w:val="34"/>
        </w:rPr>
        <w:t>从负面清单中消除的流程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列入负面清单中的供应商通过自身完善、整改等措施，其产品或服务质量满足公司要求，原则上满1年以后，由供应商提出书面申请经供应商能力确认流程鉴定后可从负面清单中消除。</w:t>
      </w:r>
    </w:p>
    <w:p>
      <w:pPr>
        <w:spacing w:line="600" w:lineRule="exact"/>
        <w:ind w:firstLine="680" w:firstLineChars="200"/>
        <w:rPr>
          <w:rFonts w:ascii="仿宋" w:hAnsi="仿宋" w:eastAsia="仿宋_GB2312" w:cs="仿宋"/>
          <w:sz w:val="34"/>
          <w:szCs w:val="34"/>
        </w:rPr>
      </w:pPr>
      <w:r>
        <w:rPr>
          <w:rFonts w:hint="eastAsia" w:ascii="仿宋_GB2312" w:hAnsi="仿宋_GB2312" w:eastAsia="仿宋_GB2312" w:cs="仿宋_GB2312"/>
          <w:sz w:val="34"/>
          <w:szCs w:val="34"/>
        </w:rPr>
        <w:t>相关流程如下：</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（一）供应商提出负面清单消除的书面申请以及针对考核项的整改措施、效果等相关文件材料；</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（二）供应保障部牵头组织相关部门对供应商提供的文件材料进行确认，必要时组织现场考察；</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（三）供应保障部根据材料确认及考察情况提出建议，</w:t>
      </w:r>
      <w:r>
        <w:rPr>
          <w:rFonts w:hint="eastAsia" w:ascii="仿宋_GB2312" w:hAnsi="宋体" w:eastAsia="仿宋_GB2312"/>
          <w:sz w:val="34"/>
          <w:szCs w:val="34"/>
        </w:rPr>
        <w:t>经供应保障部、风险控制部、</w:t>
      </w:r>
      <w:r>
        <w:rPr>
          <w:rFonts w:hint="eastAsia" w:ascii="仿宋_GB2312" w:hAnsi="宋体" w:eastAsia="仿宋_GB2312" w:cs="宋体"/>
          <w:sz w:val="34"/>
          <w:szCs w:val="34"/>
        </w:rPr>
        <w:t>公司采购总监、公司分管领导、公司总经理</w:t>
      </w:r>
      <w:r>
        <w:rPr>
          <w:rFonts w:hint="eastAsia" w:ascii="仿宋_GB2312" w:hAnsi="宋体" w:eastAsia="仿宋_GB2312"/>
          <w:sz w:val="34"/>
          <w:szCs w:val="34"/>
        </w:rPr>
        <w:t>审核批准</w:t>
      </w:r>
      <w:r>
        <w:rPr>
          <w:rFonts w:hint="eastAsia" w:ascii="仿宋_GB2312" w:hAnsi="仿宋" w:eastAsia="仿宋_GB2312" w:cs="仿宋"/>
          <w:sz w:val="34"/>
          <w:szCs w:val="34"/>
        </w:rPr>
        <w:t>后从负面清单中消除。</w:t>
      </w:r>
    </w:p>
    <w:p>
      <w:pPr>
        <w:spacing w:line="600" w:lineRule="exact"/>
        <w:rPr>
          <w:rFonts w:hint="eastAsia"/>
          <w:color w:val="auto"/>
        </w:rPr>
      </w:pPr>
      <w:r>
        <w:rPr>
          <w:rFonts w:hint="eastAsia"/>
          <w:color w:val="auto"/>
        </w:rPr>
        <w:t xml:space="preserve">  </w:t>
      </w:r>
    </w:p>
    <w:p>
      <w:pPr>
        <w:spacing w:line="600" w:lineRule="exact"/>
        <w:ind w:firstLine="680" w:firstLineChars="200"/>
        <w:rPr>
          <w:rFonts w:hint="eastAsia" w:ascii="仿宋_GB2312" w:hAnsi="仿宋" w:eastAsia="仿宋_GB2312"/>
          <w:color w:val="auto"/>
          <w:sz w:val="28"/>
          <w:szCs w:val="28"/>
        </w:rPr>
      </w:pPr>
      <w:r>
        <w:rPr>
          <w:rFonts w:hint="eastAsia" w:ascii="仿宋_GB2312" w:hAnsi="宋体" w:eastAsia="仿宋_GB2312" w:cs="宋体"/>
          <w:sz w:val="34"/>
          <w:szCs w:val="34"/>
        </w:rPr>
        <w:t>注：供应保障部负责条款解释。</w:t>
      </w:r>
    </w:p>
    <w:p>
      <w:pPr>
        <w:spacing w:line="600" w:lineRule="exact"/>
        <w:ind w:firstLine="420" w:firstLineChars="200"/>
        <w:rPr>
          <w:rFonts w:hint="eastAsia"/>
          <w:color w:val="auto"/>
        </w:rPr>
      </w:pPr>
    </w:p>
    <w:p>
      <w:pPr>
        <w:spacing w:line="600" w:lineRule="exact"/>
        <w:contextualSpacing/>
        <w:jc w:val="center"/>
        <w:rPr>
          <w:rFonts w:hint="eastAsia" w:ascii="仿宋_GB2312" w:eastAsia="仿宋_GB2312" w:cs="‹ÎSå"/>
          <w:bCs/>
          <w:color w:val="auto"/>
          <w:kern w:val="1"/>
          <w:sz w:val="24"/>
        </w:rPr>
      </w:pPr>
    </w:p>
    <w:p/>
    <w:sectPr>
      <w:pgSz w:w="11906" w:h="16838"/>
      <w:pgMar w:top="1418" w:right="1134" w:bottom="1418" w:left="1418" w:header="567" w:footer="851"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ÎSå">
    <w:altName w:val="Arial"/>
    <w:panose1 w:val="00000000000000000000"/>
    <w:charset w:val="00"/>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ind w:right="360"/>
      <w:rPr>
        <w:rStyle w:val="13"/>
        <w:rFonts w:hint="eastAsia"/>
      </w:rPr>
    </w:pPr>
    <w:r>
      <w:rPr>
        <w:rStyle w:val="1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2F910"/>
    <w:multiLevelType w:val="singleLevel"/>
    <w:tmpl w:val="BCD2F91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5410B"/>
    <w:rsid w:val="1550275D"/>
    <w:rsid w:val="15624335"/>
    <w:rsid w:val="1D895567"/>
    <w:rsid w:val="22D6790B"/>
    <w:rsid w:val="27BB4A98"/>
    <w:rsid w:val="28712C4D"/>
    <w:rsid w:val="30E63DB4"/>
    <w:rsid w:val="37F9054D"/>
    <w:rsid w:val="3AD66FA5"/>
    <w:rsid w:val="3F85410B"/>
    <w:rsid w:val="430B700D"/>
    <w:rsid w:val="509D64EC"/>
    <w:rsid w:val="538966AA"/>
    <w:rsid w:val="5E1E5BF8"/>
    <w:rsid w:val="5E2D7869"/>
    <w:rsid w:val="6F0B6209"/>
    <w:rsid w:val="6FB71779"/>
    <w:rsid w:val="72F905C1"/>
    <w:rsid w:val="7D7E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28"/>
    </w:rPr>
  </w:style>
  <w:style w:type="paragraph" w:styleId="3">
    <w:name w:val="Plain Text"/>
    <w:basedOn w:val="1"/>
    <w:qFormat/>
    <w:uiPriority w:val="0"/>
    <w:rPr>
      <w:rFonts w:ascii="宋体" w:hAnsi="Courier New"/>
      <w:szCs w:val="21"/>
    </w:rPr>
  </w:style>
  <w:style w:type="paragraph" w:styleId="5">
    <w:name w:val="annotation text"/>
    <w:basedOn w:val="1"/>
    <w:qFormat/>
    <w:uiPriority w:val="0"/>
    <w:pPr>
      <w:jc w:val="left"/>
    </w:pPr>
  </w:style>
  <w:style w:type="paragraph" w:styleId="6">
    <w:name w:val="Body Text Indent"/>
    <w:basedOn w:val="1"/>
    <w:qFormat/>
    <w:uiPriority w:val="0"/>
    <w:pPr>
      <w:spacing w:after="120" w:afterLines="0"/>
      <w:ind w:left="420" w:leftChars="200"/>
    </w:pPr>
  </w:style>
  <w:style w:type="paragraph" w:styleId="7">
    <w:name w:val="toc 3"/>
    <w:basedOn w:val="1"/>
    <w:next w:val="1"/>
    <w:qFormat/>
    <w:uiPriority w:val="0"/>
    <w:pPr>
      <w:ind w:left="840" w:leftChars="400"/>
    </w:pPr>
    <w:rPr>
      <w:rFonts w:ascii="Calibri" w:hAnsi="Calibri"/>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Calibri" w:hAnsi="Calibri"/>
      <w:szCs w:val="22"/>
    </w:rPr>
  </w:style>
  <w:style w:type="paragraph" w:styleId="11">
    <w:name w:val="toc 2"/>
    <w:basedOn w:val="1"/>
    <w:next w:val="1"/>
    <w:qFormat/>
    <w:uiPriority w:val="0"/>
    <w:pPr>
      <w:ind w:left="420" w:leftChars="200"/>
    </w:pPr>
    <w:rPr>
      <w:rFonts w:ascii="Calibri" w:hAnsi="Calibri"/>
      <w:szCs w:val="22"/>
    </w:r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6">
    <w:name w:val="_Style 4"/>
    <w:basedOn w:val="4"/>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6158</Words>
  <Characters>6257</Characters>
  <Lines>0</Lines>
  <Paragraphs>0</Paragraphs>
  <TotalTime>11</TotalTime>
  <ScaleCrop>false</ScaleCrop>
  <LinksUpToDate>false</LinksUpToDate>
  <CharactersWithSpaces>7665</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2022-04-25T05:04:00Z</dcterms:created>
  <dc:creator>贺云</dc:creator>
  <cp:lastModifiedBy>贺云</cp:lastModifiedBy>
  <dcterms:modified xsi:type="dcterms:W3CDTF">2023-09-19T03:47:01Z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030D859C54F74844BB1D2906C4E1A5D7</vt:lpwstr>
  </property>
</Properties>
</file>