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B1C" w:rsidRDefault="001F473A">
      <w:pPr>
        <w:ind w:firstLineChars="0" w:firstLine="0"/>
        <w:jc w:val="center"/>
        <w:rPr>
          <w:b/>
          <w:bCs/>
          <w:sz w:val="44"/>
          <w:szCs w:val="44"/>
        </w:rPr>
      </w:pPr>
      <w:r>
        <w:rPr>
          <w:rFonts w:hint="eastAsia"/>
          <w:b/>
          <w:bCs/>
          <w:sz w:val="44"/>
          <w:szCs w:val="44"/>
        </w:rPr>
        <w:t>电动阀控制箱技术要求</w:t>
      </w:r>
    </w:p>
    <w:p w:rsidR="00345B1C" w:rsidRDefault="00345B1C">
      <w:pPr>
        <w:tabs>
          <w:tab w:val="left" w:pos="1560"/>
        </w:tabs>
        <w:spacing w:line="400" w:lineRule="atLeast"/>
        <w:ind w:firstLineChars="0" w:firstLine="0"/>
        <w:rPr>
          <w:rFonts w:ascii="宋体" w:hAnsi="宋体"/>
          <w:szCs w:val="21"/>
        </w:rPr>
      </w:pPr>
    </w:p>
    <w:p w:rsidR="00345B1C" w:rsidRDefault="001F473A">
      <w:pPr>
        <w:tabs>
          <w:tab w:val="left" w:pos="1560"/>
        </w:tabs>
        <w:spacing w:line="400" w:lineRule="atLeast"/>
        <w:ind w:firstLineChars="0" w:firstLine="0"/>
        <w:rPr>
          <w:rFonts w:ascii="宋体" w:hAnsi="宋体"/>
          <w:color w:val="000000"/>
          <w:szCs w:val="21"/>
        </w:rPr>
      </w:pPr>
      <w:r>
        <w:rPr>
          <w:rFonts w:ascii="宋体" w:hAnsi="宋体" w:hint="eastAsia"/>
          <w:color w:val="000000"/>
          <w:szCs w:val="21"/>
        </w:rPr>
        <w:t>1.</w:t>
      </w:r>
      <w:r>
        <w:rPr>
          <w:rFonts w:ascii="宋体" w:hAnsi="宋体" w:hint="eastAsia"/>
          <w:color w:val="000000"/>
          <w:szCs w:val="21"/>
        </w:rPr>
        <w:t>额定电压：</w:t>
      </w:r>
      <w:r>
        <w:rPr>
          <w:rFonts w:ascii="宋体" w:hAnsi="宋体" w:hint="eastAsia"/>
          <w:color w:val="000000"/>
          <w:szCs w:val="21"/>
        </w:rPr>
        <w:t>220V/380V AC</w:t>
      </w:r>
    </w:p>
    <w:p w:rsidR="00345B1C" w:rsidRDefault="001F473A">
      <w:pPr>
        <w:tabs>
          <w:tab w:val="left" w:pos="1560"/>
        </w:tabs>
        <w:spacing w:line="400" w:lineRule="atLeast"/>
        <w:ind w:firstLineChars="0" w:firstLine="0"/>
        <w:rPr>
          <w:rFonts w:ascii="宋体" w:hAnsi="宋体"/>
          <w:color w:val="000000"/>
          <w:szCs w:val="21"/>
        </w:rPr>
      </w:pPr>
      <w:r>
        <w:rPr>
          <w:rFonts w:ascii="宋体" w:hAnsi="宋体" w:hint="eastAsia"/>
          <w:color w:val="000000"/>
          <w:szCs w:val="21"/>
        </w:rPr>
        <w:t>2.</w:t>
      </w:r>
      <w:r>
        <w:rPr>
          <w:rFonts w:ascii="宋体" w:hAnsi="宋体" w:hint="eastAsia"/>
          <w:color w:val="000000"/>
          <w:szCs w:val="21"/>
        </w:rPr>
        <w:t>防爆、防护、防腐等级：</w:t>
      </w:r>
      <w:r>
        <w:rPr>
          <w:rFonts w:ascii="宋体" w:hAnsi="宋体" w:hint="eastAsia"/>
          <w:color w:val="000000"/>
          <w:szCs w:val="21"/>
        </w:rPr>
        <w:t xml:space="preserve"> </w:t>
      </w:r>
      <w:proofErr w:type="spellStart"/>
      <w:r>
        <w:rPr>
          <w:rFonts w:ascii="宋体" w:hAnsi="宋体" w:hint="eastAsia"/>
          <w:color w:val="000000"/>
          <w:szCs w:val="21"/>
        </w:rPr>
        <w:t>Exd</w:t>
      </w:r>
      <w:proofErr w:type="spellEnd"/>
      <w:r>
        <w:rPr>
          <w:rFonts w:ascii="宋体" w:hAnsi="宋体" w:hint="eastAsia"/>
          <w:color w:val="000000"/>
          <w:szCs w:val="21"/>
        </w:rPr>
        <w:t>Ⅱ</w:t>
      </w:r>
      <w:r>
        <w:rPr>
          <w:rFonts w:ascii="宋体" w:hAnsi="宋体" w:hint="eastAsia"/>
          <w:color w:val="000000"/>
          <w:szCs w:val="21"/>
        </w:rPr>
        <w:t xml:space="preserve">CT6 </w:t>
      </w:r>
      <w:r w:rsidRPr="00795669">
        <w:rPr>
          <w:rFonts w:ascii="宋体" w:hAnsi="宋体" w:hint="eastAsia"/>
          <w:color w:val="000000"/>
          <w:szCs w:val="21"/>
        </w:rPr>
        <w:t xml:space="preserve"> IP66</w:t>
      </w:r>
      <w:r>
        <w:rPr>
          <w:rFonts w:ascii="宋体" w:hAnsi="宋体" w:hint="eastAsia"/>
          <w:color w:val="000000"/>
          <w:szCs w:val="21"/>
        </w:rPr>
        <w:t xml:space="preserve"> </w:t>
      </w:r>
      <w:r w:rsidRPr="00795669">
        <w:rPr>
          <w:rFonts w:ascii="宋体" w:hAnsi="宋体" w:hint="eastAsia"/>
          <w:color w:val="000000"/>
          <w:szCs w:val="21"/>
        </w:rPr>
        <w:t>防</w:t>
      </w:r>
      <w:r>
        <w:rPr>
          <w:rFonts w:ascii="宋体" w:hAnsi="宋体" w:cs="HiddenHorzOCR" w:hint="eastAsia"/>
          <w:color w:val="000000"/>
          <w:kern w:val="0"/>
        </w:rPr>
        <w:t>腐等级</w:t>
      </w:r>
      <w:r>
        <w:rPr>
          <w:rFonts w:ascii="宋体" w:hAnsi="宋体" w:cs="HiddenHorzOCR" w:hint="eastAsia"/>
          <w:color w:val="000000"/>
          <w:kern w:val="0"/>
        </w:rPr>
        <w:t xml:space="preserve">WF2 </w:t>
      </w:r>
      <w:r>
        <w:rPr>
          <w:rFonts w:ascii="宋体" w:hAnsi="宋体" w:hint="eastAsia"/>
          <w:color w:val="000000"/>
          <w:szCs w:val="21"/>
        </w:rPr>
        <w:t xml:space="preserve">                 </w:t>
      </w:r>
    </w:p>
    <w:p w:rsidR="00345B1C" w:rsidRDefault="001F473A">
      <w:pPr>
        <w:tabs>
          <w:tab w:val="left" w:pos="1560"/>
        </w:tabs>
        <w:spacing w:line="400" w:lineRule="atLeast"/>
        <w:ind w:firstLineChars="0" w:firstLine="0"/>
        <w:rPr>
          <w:rFonts w:ascii="宋体" w:hAnsi="宋体"/>
          <w:color w:val="000000"/>
          <w:szCs w:val="21"/>
        </w:rPr>
      </w:pPr>
      <w:r>
        <w:rPr>
          <w:rFonts w:ascii="宋体" w:hAnsi="宋体" w:hint="eastAsia"/>
          <w:color w:val="000000"/>
          <w:szCs w:val="21"/>
        </w:rPr>
        <w:t>3.</w:t>
      </w:r>
      <w:r>
        <w:rPr>
          <w:rFonts w:ascii="宋体" w:hAnsi="宋体" w:hint="eastAsia"/>
          <w:color w:val="000000"/>
          <w:szCs w:val="21"/>
        </w:rPr>
        <w:t>额定电流：≤</w:t>
      </w:r>
      <w:r>
        <w:rPr>
          <w:rFonts w:ascii="宋体" w:hAnsi="宋体" w:hint="eastAsia"/>
          <w:color w:val="000000"/>
          <w:szCs w:val="21"/>
        </w:rPr>
        <w:t>32A</w:t>
      </w:r>
    </w:p>
    <w:p w:rsidR="00345B1C" w:rsidRDefault="001F473A">
      <w:pPr>
        <w:pStyle w:val="a3"/>
        <w:spacing w:line="400" w:lineRule="atLeast"/>
        <w:ind w:firstLineChars="0" w:firstLine="0"/>
        <w:rPr>
          <w:rFonts w:ascii="宋体" w:hAnsi="宋体" w:cs="HiddenHorzOCR"/>
          <w:color w:val="000000"/>
          <w:kern w:val="0"/>
        </w:rPr>
      </w:pPr>
      <w:r>
        <w:rPr>
          <w:rFonts w:ascii="宋体" w:hAnsi="宋体" w:cs="HiddenHorzOCR" w:hint="eastAsia"/>
          <w:color w:val="000000"/>
          <w:kern w:val="0"/>
        </w:rPr>
        <w:t>4.</w:t>
      </w:r>
      <w:r>
        <w:rPr>
          <w:rFonts w:ascii="宋体" w:hAnsi="宋体" w:cs="HiddenHorzOCR" w:hint="eastAsia"/>
          <w:color w:val="0000FF"/>
          <w:kern w:val="0"/>
        </w:rPr>
        <w:t xml:space="preserve"> </w:t>
      </w:r>
      <w:r>
        <w:rPr>
          <w:rFonts w:ascii="宋体" w:hAnsi="宋体" w:cs="HiddenHorzOCR" w:hint="eastAsia"/>
          <w:color w:val="000000"/>
          <w:kern w:val="0"/>
        </w:rPr>
        <w:t>控制箱箱壳体采用工程塑料。</w:t>
      </w:r>
    </w:p>
    <w:p w:rsidR="00345B1C" w:rsidRDefault="001F473A">
      <w:pPr>
        <w:pStyle w:val="a3"/>
        <w:spacing w:line="400" w:lineRule="atLeast"/>
        <w:ind w:firstLineChars="0" w:firstLine="0"/>
        <w:rPr>
          <w:rFonts w:ascii="宋体" w:hAnsi="宋体" w:cs="HiddenHorzOCR"/>
          <w:color w:val="000000"/>
          <w:kern w:val="0"/>
        </w:rPr>
      </w:pPr>
      <w:r>
        <w:rPr>
          <w:rFonts w:ascii="宋体" w:hAnsi="宋体" w:cs="HiddenHorzOCR" w:hint="eastAsia"/>
          <w:color w:val="000000"/>
          <w:kern w:val="0"/>
        </w:rPr>
        <w:t>5.</w:t>
      </w:r>
      <w:r>
        <w:rPr>
          <w:rFonts w:ascii="宋体" w:hAnsi="宋体" w:cs="HiddenHorzOCR" w:hint="eastAsia"/>
          <w:color w:val="000000"/>
          <w:kern w:val="0"/>
        </w:rPr>
        <w:t>防爆控制箱整体采用防爆结构，开关腔、母线腔、接线腔为隔爆型。</w:t>
      </w:r>
    </w:p>
    <w:p w:rsidR="00345B1C" w:rsidRDefault="001F473A">
      <w:pPr>
        <w:pStyle w:val="a3"/>
        <w:spacing w:line="400" w:lineRule="atLeast"/>
        <w:ind w:firstLineChars="0" w:firstLine="0"/>
        <w:rPr>
          <w:rFonts w:ascii="宋体" w:hAnsi="宋体" w:cs="HiddenHorzOCR"/>
          <w:color w:val="000000"/>
          <w:kern w:val="0"/>
        </w:rPr>
      </w:pPr>
      <w:r>
        <w:rPr>
          <w:rFonts w:ascii="宋体" w:hAnsi="宋体" w:cs="HiddenHorzOCR" w:hint="eastAsia"/>
          <w:color w:val="000000"/>
          <w:kern w:val="0"/>
        </w:rPr>
        <w:t>6.</w:t>
      </w:r>
      <w:r>
        <w:rPr>
          <w:rFonts w:ascii="宋体" w:hAnsi="宋体" w:cs="HiddenHorzOCR" w:hint="eastAsia"/>
          <w:color w:val="000000"/>
          <w:kern w:val="0"/>
        </w:rPr>
        <w:t>防爆控制箱总电路电源线采用电缆，采用下进下出。出线回路采用接线端子；</w:t>
      </w:r>
      <w:r>
        <w:rPr>
          <w:rFonts w:ascii="宋体" w:hAnsi="宋体"/>
          <w:color w:val="000000"/>
        </w:rPr>
        <w:t>所有接线端子</w:t>
      </w:r>
      <w:r>
        <w:rPr>
          <w:rFonts w:ascii="宋体" w:hAnsi="宋体" w:hint="eastAsia"/>
          <w:color w:val="000000"/>
        </w:rPr>
        <w:t>均为</w:t>
      </w:r>
      <w:r>
        <w:rPr>
          <w:rFonts w:ascii="宋体" w:hAnsi="宋体"/>
          <w:color w:val="000000"/>
        </w:rPr>
        <w:t>魏德米勒</w:t>
      </w:r>
      <w:r>
        <w:rPr>
          <w:rFonts w:ascii="宋体" w:hAnsi="宋体" w:hint="eastAsia"/>
          <w:color w:val="000000"/>
        </w:rPr>
        <w:t>或菲尼克斯品牌，设备内部需预备</w:t>
      </w:r>
      <w:r>
        <w:rPr>
          <w:rFonts w:ascii="宋体" w:hAnsi="宋体" w:hint="eastAsia"/>
          <w:color w:val="000000"/>
        </w:rPr>
        <w:t>20%</w:t>
      </w:r>
      <w:r>
        <w:rPr>
          <w:rFonts w:ascii="宋体" w:hAnsi="宋体" w:hint="eastAsia"/>
          <w:color w:val="000000"/>
        </w:rPr>
        <w:t>备用端子；接线端子应有相应的编号。断路器、接触器选用施耐德或</w:t>
      </w:r>
      <w:r>
        <w:rPr>
          <w:rFonts w:ascii="宋体" w:hAnsi="宋体" w:hint="eastAsia"/>
          <w:color w:val="000000"/>
        </w:rPr>
        <w:t>ABB</w:t>
      </w:r>
      <w:r>
        <w:rPr>
          <w:rFonts w:ascii="宋体" w:hAnsi="宋体" w:hint="eastAsia"/>
          <w:color w:val="000000"/>
        </w:rPr>
        <w:t>，其它元器件按图纸选用。</w:t>
      </w:r>
    </w:p>
    <w:p w:rsidR="00345B1C" w:rsidRDefault="001F473A">
      <w:pPr>
        <w:pStyle w:val="a3"/>
        <w:spacing w:line="400" w:lineRule="atLeast"/>
        <w:ind w:firstLineChars="0" w:firstLine="0"/>
        <w:rPr>
          <w:rFonts w:ascii="宋体" w:hAnsi="宋体" w:cs="HiddenHorzOCR"/>
          <w:color w:val="000000"/>
          <w:kern w:val="0"/>
          <w:highlight w:val="green"/>
        </w:rPr>
      </w:pPr>
      <w:r>
        <w:rPr>
          <w:rFonts w:ascii="宋体" w:hAnsi="宋体" w:cs="HiddenHorzOCR" w:hint="eastAsia"/>
          <w:color w:val="000000"/>
          <w:kern w:val="0"/>
        </w:rPr>
        <w:t>7.</w:t>
      </w:r>
      <w:r>
        <w:rPr>
          <w:rFonts w:ascii="宋体" w:hAnsi="宋体" w:cs="HiddenHorzOCR" w:hint="eastAsia"/>
          <w:color w:val="000000"/>
          <w:kern w:val="0"/>
        </w:rPr>
        <w:t>所有进线和配出线回路的出口尺寸及样式应与详细设计的电缆型号与截面或配管的尺寸相适应，配置不锈钢格兰头。（进线电缆</w:t>
      </w:r>
      <w:r>
        <w:rPr>
          <w:rFonts w:ascii="宋体" w:hAnsi="宋体" w:cs="HiddenHorzOCR" w:hint="eastAsia"/>
          <w:color w:val="000000"/>
          <w:kern w:val="0"/>
        </w:rPr>
        <w:t>4</w:t>
      </w:r>
      <w:r>
        <w:rPr>
          <w:rFonts w:ascii="宋体" w:hAnsi="宋体" w:cs="HiddenHorzOCR" w:hint="eastAsia"/>
          <w:color w:val="000000"/>
          <w:kern w:val="0"/>
        </w:rPr>
        <w:t>×</w:t>
      </w:r>
      <w:r>
        <w:rPr>
          <w:rFonts w:ascii="宋体" w:hAnsi="宋体" w:cs="HiddenHorzOCR" w:hint="eastAsia"/>
          <w:color w:val="000000"/>
          <w:kern w:val="0"/>
        </w:rPr>
        <w:t>4mm</w:t>
      </w:r>
      <w:r>
        <w:rPr>
          <w:rFonts w:ascii="宋体" w:hAnsi="宋体" w:cs="HiddenHorzOCR" w:hint="eastAsia"/>
          <w:color w:val="000000"/>
          <w:kern w:val="0"/>
          <w:vertAlign w:val="superscript"/>
        </w:rPr>
        <w:t>2</w:t>
      </w:r>
      <w:r>
        <w:rPr>
          <w:rFonts w:ascii="宋体" w:hAnsi="宋体" w:cs="HiddenHorzOCR" w:hint="eastAsia"/>
          <w:color w:val="000000"/>
          <w:kern w:val="0"/>
        </w:rPr>
        <w:t>，出线电缆</w:t>
      </w:r>
      <w:r>
        <w:rPr>
          <w:rFonts w:ascii="宋体" w:hAnsi="宋体" w:cs="HiddenHorzOCR" w:hint="eastAsia"/>
          <w:color w:val="000000"/>
          <w:kern w:val="0"/>
        </w:rPr>
        <w:t>3</w:t>
      </w:r>
      <w:r>
        <w:rPr>
          <w:rFonts w:ascii="宋体" w:hAnsi="宋体" w:cs="HiddenHorzOCR" w:hint="eastAsia"/>
          <w:color w:val="000000"/>
          <w:kern w:val="0"/>
        </w:rPr>
        <w:t>×</w:t>
      </w:r>
      <w:r>
        <w:rPr>
          <w:rFonts w:ascii="宋体" w:hAnsi="宋体" w:cs="HiddenHorzOCR" w:hint="eastAsia"/>
          <w:color w:val="000000"/>
          <w:kern w:val="0"/>
        </w:rPr>
        <w:t>2.5mm</w:t>
      </w:r>
      <w:r>
        <w:rPr>
          <w:rFonts w:ascii="宋体" w:hAnsi="宋体" w:cs="HiddenHorzOCR" w:hint="eastAsia"/>
          <w:color w:val="000000"/>
          <w:kern w:val="0"/>
          <w:vertAlign w:val="superscript"/>
        </w:rPr>
        <w:t>2</w:t>
      </w:r>
      <w:r>
        <w:rPr>
          <w:rFonts w:ascii="宋体" w:hAnsi="宋体" w:cs="HiddenHorzOCR" w:hint="eastAsia"/>
          <w:color w:val="000000"/>
          <w:kern w:val="0"/>
        </w:rPr>
        <w:t>、</w:t>
      </w:r>
      <w:r>
        <w:rPr>
          <w:rFonts w:ascii="宋体" w:hAnsi="宋体" w:cs="HiddenHorzOCR" w:hint="eastAsia"/>
          <w:color w:val="000000"/>
          <w:kern w:val="0"/>
        </w:rPr>
        <w:t>12</w:t>
      </w:r>
      <w:r>
        <w:rPr>
          <w:rFonts w:ascii="宋体" w:hAnsi="宋体" w:cs="HiddenHorzOCR" w:hint="eastAsia"/>
          <w:color w:val="000000"/>
          <w:kern w:val="0"/>
        </w:rPr>
        <w:t>×</w:t>
      </w:r>
      <w:r>
        <w:rPr>
          <w:rFonts w:ascii="宋体" w:hAnsi="宋体" w:cs="HiddenHorzOCR" w:hint="eastAsia"/>
          <w:color w:val="000000"/>
          <w:kern w:val="0"/>
        </w:rPr>
        <w:t>1mm</w:t>
      </w:r>
      <w:r>
        <w:rPr>
          <w:rFonts w:ascii="宋体" w:hAnsi="宋体" w:cs="HiddenHorzOCR" w:hint="eastAsia"/>
          <w:color w:val="000000"/>
          <w:kern w:val="0"/>
          <w:vertAlign w:val="superscript"/>
        </w:rPr>
        <w:t>2</w:t>
      </w:r>
      <w:r>
        <w:rPr>
          <w:rFonts w:ascii="宋体" w:hAnsi="宋体" w:cs="HiddenHorzOCR" w:hint="eastAsia"/>
          <w:color w:val="000000"/>
          <w:kern w:val="0"/>
        </w:rPr>
        <w:t>、</w:t>
      </w:r>
      <w:r>
        <w:rPr>
          <w:rFonts w:ascii="宋体" w:hAnsi="宋体" w:cs="HiddenHorzOCR" w:hint="eastAsia"/>
          <w:color w:val="000000"/>
          <w:kern w:val="0"/>
        </w:rPr>
        <w:t>10</w:t>
      </w:r>
      <w:r>
        <w:rPr>
          <w:rFonts w:ascii="宋体" w:hAnsi="宋体" w:cs="HiddenHorzOCR" w:hint="eastAsia"/>
          <w:color w:val="000000"/>
          <w:kern w:val="0"/>
        </w:rPr>
        <w:t>×</w:t>
      </w:r>
      <w:r>
        <w:rPr>
          <w:rFonts w:ascii="宋体" w:hAnsi="宋体" w:cs="HiddenHorzOCR" w:hint="eastAsia"/>
          <w:color w:val="000000"/>
          <w:kern w:val="0"/>
        </w:rPr>
        <w:t>1mm</w:t>
      </w:r>
      <w:r>
        <w:rPr>
          <w:rFonts w:ascii="宋体" w:hAnsi="宋体" w:cs="HiddenHorzOCR" w:hint="eastAsia"/>
          <w:color w:val="000000"/>
          <w:kern w:val="0"/>
          <w:vertAlign w:val="superscript"/>
        </w:rPr>
        <w:t>2</w:t>
      </w:r>
      <w:r>
        <w:rPr>
          <w:rFonts w:ascii="宋体" w:hAnsi="宋体" w:cs="HiddenHorzOCR" w:hint="eastAsia"/>
          <w:color w:val="000000"/>
          <w:kern w:val="0"/>
        </w:rPr>
        <w:t>）</w:t>
      </w:r>
    </w:p>
    <w:p w:rsidR="00345B1C" w:rsidRDefault="001F473A">
      <w:pPr>
        <w:pStyle w:val="a3"/>
        <w:spacing w:line="400" w:lineRule="atLeast"/>
        <w:ind w:firstLineChars="0" w:firstLine="0"/>
        <w:rPr>
          <w:rFonts w:ascii="宋体" w:hAnsi="宋体" w:cs="HiddenHorzOCR"/>
          <w:color w:val="000000"/>
          <w:kern w:val="0"/>
        </w:rPr>
      </w:pPr>
      <w:r>
        <w:rPr>
          <w:rFonts w:ascii="宋体" w:hAnsi="宋体" w:cs="HiddenHorzOCR" w:hint="eastAsia"/>
          <w:color w:val="000000"/>
          <w:kern w:val="0"/>
        </w:rPr>
        <w:t>8.</w:t>
      </w:r>
      <w:r>
        <w:rPr>
          <w:rFonts w:ascii="宋体" w:hAnsi="宋体" w:cs="HiddenHorzOCR" w:hint="eastAsia"/>
          <w:color w:val="000000"/>
          <w:kern w:val="0"/>
        </w:rPr>
        <w:t>配电箱为壁挂式安装。</w:t>
      </w:r>
    </w:p>
    <w:p w:rsidR="00345B1C" w:rsidRDefault="001F473A">
      <w:pPr>
        <w:pStyle w:val="a3"/>
        <w:spacing w:line="400" w:lineRule="atLeast"/>
        <w:ind w:firstLineChars="0" w:firstLine="0"/>
        <w:rPr>
          <w:rFonts w:ascii="宋体" w:hAnsi="宋体"/>
          <w:color w:val="000000"/>
        </w:rPr>
      </w:pPr>
      <w:r>
        <w:rPr>
          <w:rFonts w:ascii="宋体" w:hAnsi="宋体" w:hint="eastAsia"/>
          <w:color w:val="000000"/>
        </w:rPr>
        <w:t>9.</w:t>
      </w:r>
      <w:r>
        <w:rPr>
          <w:rFonts w:ascii="宋体" w:hAnsi="宋体" w:hint="eastAsia"/>
          <w:color w:val="000000"/>
        </w:rPr>
        <w:t>进出线回路面板需采用永久性金属标识牌，标识内容含有开关型号、回路名称等参数，便于识别。</w:t>
      </w:r>
    </w:p>
    <w:p w:rsidR="00345B1C" w:rsidRDefault="001F473A">
      <w:pPr>
        <w:pStyle w:val="a3"/>
        <w:spacing w:line="400" w:lineRule="atLeast"/>
        <w:ind w:firstLineChars="0" w:firstLine="0"/>
        <w:rPr>
          <w:rFonts w:ascii="宋体" w:hAnsi="宋体"/>
          <w:color w:val="000000"/>
        </w:rPr>
      </w:pPr>
      <w:r>
        <w:rPr>
          <w:rFonts w:ascii="宋体" w:hAnsi="宋体" w:hint="eastAsia"/>
          <w:color w:val="000000"/>
        </w:rPr>
        <w:t>10.</w:t>
      </w:r>
      <w:proofErr w:type="gramStart"/>
      <w:r>
        <w:rPr>
          <w:rFonts w:ascii="宋体" w:hAnsi="宋体" w:hint="eastAsia"/>
          <w:color w:val="000000"/>
        </w:rPr>
        <w:t>须配不锈钢</w:t>
      </w:r>
      <w:proofErr w:type="gramEnd"/>
      <w:r>
        <w:rPr>
          <w:rFonts w:ascii="宋体" w:hAnsi="宋体" w:hint="eastAsia"/>
          <w:color w:val="000000"/>
        </w:rPr>
        <w:t>防雨罩。</w:t>
      </w:r>
    </w:p>
    <w:p w:rsidR="00795669" w:rsidRDefault="00795669" w:rsidP="00795669">
      <w:pPr>
        <w:pStyle w:val="a3"/>
        <w:spacing w:line="400" w:lineRule="atLeast"/>
        <w:ind w:firstLineChars="0" w:firstLine="0"/>
        <w:rPr>
          <w:rFonts w:ascii="宋体" w:hAnsi="宋体"/>
          <w:color w:val="000000"/>
        </w:rPr>
      </w:pPr>
      <w:bookmarkStart w:id="0" w:name="_GoBack"/>
      <w:r w:rsidRPr="00795669">
        <w:rPr>
          <w:rFonts w:ascii="宋体" w:hAnsi="宋体" w:hint="eastAsia"/>
          <w:color w:val="000000"/>
        </w:rPr>
        <w:t>11.</w:t>
      </w:r>
      <w:r>
        <w:rPr>
          <w:rFonts w:ascii="宋体" w:hAnsi="宋体" w:hint="eastAsia"/>
          <w:color w:val="000000"/>
        </w:rPr>
        <w:t>防爆配电箱必须有防爆标志（Ex）、产品铭牌，铭牌须采用金属制铭牌，铭牌中至少有产品名称、型号、厂家名称、主要技术参数、出厂编号、生产日期等。</w:t>
      </w:r>
    </w:p>
    <w:p w:rsidR="00795669" w:rsidRDefault="00795669" w:rsidP="00795669">
      <w:pPr>
        <w:pStyle w:val="a3"/>
        <w:spacing w:line="400" w:lineRule="atLeast"/>
        <w:ind w:firstLineChars="0" w:firstLine="0"/>
        <w:rPr>
          <w:rFonts w:ascii="宋体" w:hAnsi="宋体" w:hint="eastAsia"/>
          <w:color w:val="000000"/>
        </w:rPr>
      </w:pPr>
    </w:p>
    <w:p w:rsidR="00345B1C" w:rsidRPr="00795669" w:rsidRDefault="00345B1C">
      <w:pPr>
        <w:pStyle w:val="a3"/>
        <w:spacing w:line="400" w:lineRule="atLeast"/>
        <w:ind w:firstLineChars="0" w:firstLine="0"/>
        <w:rPr>
          <w:rFonts w:ascii="宋体" w:hAnsi="宋体"/>
          <w:color w:val="000000"/>
        </w:rPr>
      </w:pPr>
    </w:p>
    <w:bookmarkEnd w:id="0"/>
    <w:p w:rsidR="00345B1C" w:rsidRDefault="00345B1C">
      <w:pPr>
        <w:pStyle w:val="a3"/>
        <w:spacing w:line="400" w:lineRule="atLeast"/>
        <w:ind w:firstLineChars="0" w:firstLine="0"/>
        <w:rPr>
          <w:rFonts w:ascii="宋体" w:hAnsi="宋体"/>
          <w:color w:val="FF0000"/>
        </w:rPr>
      </w:pPr>
    </w:p>
    <w:sectPr w:rsidR="00345B1C" w:rsidSect="00345B1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73A" w:rsidRDefault="001F473A" w:rsidP="00795669">
      <w:pPr>
        <w:spacing w:line="240" w:lineRule="auto"/>
        <w:ind w:firstLine="480"/>
      </w:pPr>
      <w:r>
        <w:separator/>
      </w:r>
    </w:p>
  </w:endnote>
  <w:endnote w:type="continuationSeparator" w:id="0">
    <w:p w:rsidR="001F473A" w:rsidRDefault="001F473A" w:rsidP="00795669">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iddenHorzOCR">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B1C" w:rsidRDefault="00345B1C">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B1C" w:rsidRDefault="00345B1C">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B1C" w:rsidRDefault="00345B1C">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73A" w:rsidRDefault="001F473A" w:rsidP="00795669">
      <w:pPr>
        <w:spacing w:line="240" w:lineRule="auto"/>
        <w:ind w:firstLine="480"/>
      </w:pPr>
      <w:r>
        <w:separator/>
      </w:r>
    </w:p>
  </w:footnote>
  <w:footnote w:type="continuationSeparator" w:id="0">
    <w:p w:rsidR="001F473A" w:rsidRDefault="001F473A" w:rsidP="00795669">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B1C" w:rsidRDefault="00345B1C">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B1C" w:rsidRDefault="00345B1C">
    <w:pPr>
      <w:pStyle w:val="a6"/>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B1C" w:rsidRDefault="00345B1C">
    <w:pPr>
      <w:pStyle w:val="a6"/>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7EE25E4F"/>
    <w:rsid w:val="00104355"/>
    <w:rsid w:val="001539A6"/>
    <w:rsid w:val="0018236F"/>
    <w:rsid w:val="001E3F6D"/>
    <w:rsid w:val="001F473A"/>
    <w:rsid w:val="002215EA"/>
    <w:rsid w:val="00260783"/>
    <w:rsid w:val="002609CE"/>
    <w:rsid w:val="00295C29"/>
    <w:rsid w:val="002D525B"/>
    <w:rsid w:val="00345B1C"/>
    <w:rsid w:val="0035749E"/>
    <w:rsid w:val="003756BB"/>
    <w:rsid w:val="003B1F15"/>
    <w:rsid w:val="003E1017"/>
    <w:rsid w:val="00415567"/>
    <w:rsid w:val="004A3E9D"/>
    <w:rsid w:val="004B78E0"/>
    <w:rsid w:val="00546A38"/>
    <w:rsid w:val="005B4AEF"/>
    <w:rsid w:val="005C1F7B"/>
    <w:rsid w:val="005E5A2C"/>
    <w:rsid w:val="006326CB"/>
    <w:rsid w:val="00650424"/>
    <w:rsid w:val="00663254"/>
    <w:rsid w:val="00682FE5"/>
    <w:rsid w:val="00690E15"/>
    <w:rsid w:val="00752661"/>
    <w:rsid w:val="00785925"/>
    <w:rsid w:val="00795669"/>
    <w:rsid w:val="007A13F9"/>
    <w:rsid w:val="007E20FD"/>
    <w:rsid w:val="00847351"/>
    <w:rsid w:val="008A2E09"/>
    <w:rsid w:val="008A68A4"/>
    <w:rsid w:val="00920070"/>
    <w:rsid w:val="0095275D"/>
    <w:rsid w:val="00961615"/>
    <w:rsid w:val="009C696D"/>
    <w:rsid w:val="00A54109"/>
    <w:rsid w:val="00A93F1A"/>
    <w:rsid w:val="00BD2AE4"/>
    <w:rsid w:val="00CC5081"/>
    <w:rsid w:val="00CC6334"/>
    <w:rsid w:val="00D26C0D"/>
    <w:rsid w:val="00DB6294"/>
    <w:rsid w:val="00DD6202"/>
    <w:rsid w:val="00E10041"/>
    <w:rsid w:val="00E14541"/>
    <w:rsid w:val="00E760F2"/>
    <w:rsid w:val="00E82DBE"/>
    <w:rsid w:val="00E869EA"/>
    <w:rsid w:val="00E92E76"/>
    <w:rsid w:val="00ED3557"/>
    <w:rsid w:val="00EF0287"/>
    <w:rsid w:val="00F1154B"/>
    <w:rsid w:val="00F96B73"/>
    <w:rsid w:val="0B553DE2"/>
    <w:rsid w:val="0BF57D89"/>
    <w:rsid w:val="20A11184"/>
    <w:rsid w:val="297F40BD"/>
    <w:rsid w:val="2A28085E"/>
    <w:rsid w:val="2B643682"/>
    <w:rsid w:val="3C9F59E9"/>
    <w:rsid w:val="423B6627"/>
    <w:rsid w:val="47204D55"/>
    <w:rsid w:val="47CE5141"/>
    <w:rsid w:val="4D252CC5"/>
    <w:rsid w:val="4D4536F8"/>
    <w:rsid w:val="4F782750"/>
    <w:rsid w:val="60002310"/>
    <w:rsid w:val="626E1A28"/>
    <w:rsid w:val="6BE73206"/>
    <w:rsid w:val="6F0D5554"/>
    <w:rsid w:val="718C5CD4"/>
    <w:rsid w:val="7EC8064E"/>
    <w:rsid w:val="7EE25E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5B1C"/>
    <w:pPr>
      <w:widowControl w:val="0"/>
      <w:spacing w:line="360" w:lineRule="auto"/>
      <w:ind w:firstLineChars="200" w:firstLine="42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First Indent"/>
    <w:basedOn w:val="a4"/>
    <w:link w:val="Char"/>
    <w:rsid w:val="00345B1C"/>
    <w:pPr>
      <w:ind w:firstLineChars="100" w:firstLine="100"/>
    </w:pPr>
  </w:style>
  <w:style w:type="paragraph" w:styleId="a4">
    <w:name w:val="Body Text"/>
    <w:basedOn w:val="a"/>
    <w:rsid w:val="00345B1C"/>
  </w:style>
  <w:style w:type="paragraph" w:styleId="a5">
    <w:name w:val="footer"/>
    <w:basedOn w:val="a"/>
    <w:link w:val="Char0"/>
    <w:rsid w:val="00345B1C"/>
    <w:pPr>
      <w:tabs>
        <w:tab w:val="center" w:pos="4153"/>
        <w:tab w:val="right" w:pos="8306"/>
      </w:tabs>
      <w:snapToGrid w:val="0"/>
      <w:spacing w:line="240" w:lineRule="auto"/>
      <w:jc w:val="left"/>
    </w:pPr>
    <w:rPr>
      <w:sz w:val="18"/>
      <w:szCs w:val="18"/>
    </w:rPr>
  </w:style>
  <w:style w:type="paragraph" w:styleId="a6">
    <w:name w:val="header"/>
    <w:basedOn w:val="a"/>
    <w:link w:val="Char1"/>
    <w:rsid w:val="00345B1C"/>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6"/>
    <w:rsid w:val="00345B1C"/>
    <w:rPr>
      <w:kern w:val="2"/>
      <w:sz w:val="18"/>
      <w:szCs w:val="18"/>
    </w:rPr>
  </w:style>
  <w:style w:type="character" w:customStyle="1" w:styleId="Char0">
    <w:name w:val="页脚 Char"/>
    <w:basedOn w:val="a0"/>
    <w:link w:val="a5"/>
    <w:rsid w:val="00345B1C"/>
    <w:rPr>
      <w:kern w:val="2"/>
      <w:sz w:val="18"/>
      <w:szCs w:val="18"/>
    </w:rPr>
  </w:style>
  <w:style w:type="character" w:customStyle="1" w:styleId="Char">
    <w:name w:val="正文首行缩进 Char"/>
    <w:basedOn w:val="a0"/>
    <w:link w:val="a3"/>
    <w:rsid w:val="00795669"/>
    <w:rPr>
      <w:kern w:val="2"/>
      <w:sz w:val="24"/>
      <w:szCs w:val="24"/>
    </w:rPr>
  </w:style>
</w:styles>
</file>

<file path=word/webSettings.xml><?xml version="1.0" encoding="utf-8"?>
<w:webSettings xmlns:r="http://schemas.openxmlformats.org/officeDocument/2006/relationships" xmlns:w="http://schemas.openxmlformats.org/wordprocessingml/2006/main">
  <w:divs>
    <w:div w:id="1705448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429</Characters>
  <Application>Microsoft Office Word</Application>
  <DocSecurity>0</DocSecurity>
  <Lines>3</Lines>
  <Paragraphs>1</Paragraphs>
  <ScaleCrop>false</ScaleCrop>
  <Company>sopo</Company>
  <LinksUpToDate>false</LinksUpToDate>
  <CharactersWithSpaces>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电动阀控制箱技术要求</dc:title>
  <dc:creator>王强-上海宝临防爆电器有</dc:creator>
  <cp:lastModifiedBy>王鑫</cp:lastModifiedBy>
  <cp:revision>1</cp:revision>
  <dcterms:created xsi:type="dcterms:W3CDTF">2019-07-19T05:41:00Z</dcterms:created>
  <dcterms:modified xsi:type="dcterms:W3CDTF">2023-10-09T09:09:00Z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2052-9.1.0.5026</vt:lpwstr>
  </property>
</Properties>
</file>