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DC6" w:rsidRPr="00FB78BA" w:rsidRDefault="00FB0DC6" w:rsidP="00FB0DC6">
      <w:pPr>
        <w:spacing w:line="360" w:lineRule="auto"/>
        <w:ind w:left="31680" w:hangingChars="445" w:firstLine="31680"/>
        <w:rPr>
          <w:rFonts w:ascii="黑体" w:eastAsia="黑体" w:hAnsi="黑体"/>
          <w:b/>
          <w:sz w:val="44"/>
          <w:szCs w:val="44"/>
        </w:rPr>
      </w:pPr>
      <w:r>
        <w:rPr>
          <w:rFonts w:ascii="黑体" w:eastAsia="黑体" w:hAnsi="黑体" w:hint="eastAsia"/>
          <w:b/>
          <w:sz w:val="44"/>
          <w:szCs w:val="44"/>
        </w:rPr>
        <w:t>索普新材料安全仪表系统安全要求技术规格书</w:t>
      </w:r>
      <w:r w:rsidRPr="00FB78BA">
        <w:rPr>
          <w:rFonts w:ascii="黑体" w:eastAsia="黑体" w:hAnsi="黑体" w:hint="eastAsia"/>
          <w:b/>
          <w:sz w:val="44"/>
          <w:szCs w:val="44"/>
        </w:rPr>
        <w:t>招标技术文件</w:t>
      </w:r>
    </w:p>
    <w:p w:rsidR="00FB0DC6" w:rsidRPr="003A6FFF" w:rsidRDefault="00FB0DC6">
      <w:pPr>
        <w:spacing w:line="360" w:lineRule="auto"/>
        <w:rPr>
          <w:rFonts w:ascii="仿宋" w:eastAsia="仿宋" w:hAnsi="仿宋"/>
          <w:b/>
          <w:sz w:val="30"/>
          <w:szCs w:val="30"/>
        </w:rPr>
      </w:pPr>
      <w:r w:rsidRPr="003A6FFF">
        <w:rPr>
          <w:rFonts w:ascii="仿宋" w:eastAsia="仿宋" w:hAnsi="仿宋"/>
          <w:b/>
          <w:sz w:val="30"/>
          <w:szCs w:val="30"/>
        </w:rPr>
        <w:t>1</w:t>
      </w:r>
      <w:r w:rsidRPr="003A6FFF">
        <w:rPr>
          <w:rFonts w:ascii="仿宋" w:eastAsia="仿宋" w:hAnsi="仿宋" w:hint="eastAsia"/>
          <w:b/>
          <w:sz w:val="30"/>
          <w:szCs w:val="30"/>
        </w:rPr>
        <w:t>、总则</w:t>
      </w:r>
    </w:p>
    <w:p w:rsidR="00FB0DC6" w:rsidRPr="003A6FFF" w:rsidRDefault="00FB0DC6">
      <w:pPr>
        <w:spacing w:line="360" w:lineRule="auto"/>
        <w:rPr>
          <w:rFonts w:ascii="仿宋" w:eastAsia="仿宋" w:hAnsi="仿宋"/>
          <w:sz w:val="30"/>
          <w:szCs w:val="30"/>
        </w:rPr>
      </w:pPr>
      <w:r w:rsidRPr="003A6FFF">
        <w:rPr>
          <w:rFonts w:ascii="仿宋" w:eastAsia="仿宋" w:hAnsi="仿宋"/>
          <w:sz w:val="30"/>
          <w:szCs w:val="30"/>
        </w:rPr>
        <w:t>1.1</w:t>
      </w:r>
      <w:r w:rsidRPr="003A6FFF">
        <w:rPr>
          <w:rFonts w:ascii="仿宋" w:eastAsia="仿宋" w:hAnsi="仿宋" w:hint="eastAsia"/>
          <w:sz w:val="30"/>
          <w:szCs w:val="30"/>
        </w:rPr>
        <w:t>本技术规格书适用于</w:t>
      </w:r>
      <w:r>
        <w:rPr>
          <w:rFonts w:ascii="仿宋" w:eastAsia="仿宋" w:hAnsi="仿宋" w:hint="eastAsia"/>
          <w:sz w:val="30"/>
          <w:szCs w:val="30"/>
        </w:rPr>
        <w:t>江苏索普新材料科技有限公司</w:t>
      </w:r>
      <w:r>
        <w:rPr>
          <w:rFonts w:ascii="仿宋" w:eastAsia="仿宋" w:hAnsi="仿宋"/>
          <w:sz w:val="30"/>
          <w:szCs w:val="30"/>
        </w:rPr>
        <w:t>SIS</w:t>
      </w:r>
      <w:r>
        <w:rPr>
          <w:rFonts w:ascii="仿宋" w:eastAsia="仿宋" w:hAnsi="仿宋" w:hint="eastAsia"/>
          <w:sz w:val="30"/>
          <w:szCs w:val="30"/>
        </w:rPr>
        <w:t>系统安全要求技术规格书招标</w:t>
      </w:r>
      <w:r w:rsidRPr="003A6FFF">
        <w:rPr>
          <w:rFonts w:ascii="仿宋" w:eastAsia="仿宋" w:hAnsi="仿宋" w:hint="eastAsia"/>
          <w:sz w:val="30"/>
          <w:szCs w:val="30"/>
        </w:rPr>
        <w:t>。本技术规格书提出的是最低限度的技术要求，并未对一切技术细节作出规定，也未充分引述有关标准和规范的条文。投标人应</w:t>
      </w:r>
      <w:r>
        <w:rPr>
          <w:rFonts w:ascii="仿宋" w:eastAsia="仿宋" w:hAnsi="仿宋" w:hint="eastAsia"/>
          <w:sz w:val="30"/>
          <w:szCs w:val="30"/>
        </w:rPr>
        <w:t>出具完全满足规范要求的安全要求技术规格书</w:t>
      </w:r>
      <w:r w:rsidRPr="003A6FFF">
        <w:rPr>
          <w:rFonts w:ascii="仿宋" w:eastAsia="仿宋" w:hAnsi="仿宋" w:hint="eastAsia"/>
          <w:sz w:val="30"/>
          <w:szCs w:val="30"/>
        </w:rPr>
        <w:t>。</w:t>
      </w:r>
    </w:p>
    <w:p w:rsidR="00FB0DC6" w:rsidRPr="003A6FFF" w:rsidRDefault="00FB0DC6">
      <w:pPr>
        <w:spacing w:line="360" w:lineRule="auto"/>
        <w:rPr>
          <w:rFonts w:ascii="仿宋" w:eastAsia="仿宋" w:hAnsi="仿宋"/>
          <w:sz w:val="30"/>
          <w:szCs w:val="30"/>
        </w:rPr>
      </w:pPr>
      <w:bookmarkStart w:id="0" w:name="_Toc137187752"/>
      <w:bookmarkStart w:id="1" w:name="_Toc137188124"/>
      <w:bookmarkStart w:id="2" w:name="_Toc137190318"/>
      <w:bookmarkStart w:id="3" w:name="_Toc137193788"/>
      <w:r w:rsidRPr="003A6FFF">
        <w:rPr>
          <w:rFonts w:ascii="仿宋" w:eastAsia="仿宋" w:hAnsi="仿宋"/>
          <w:sz w:val="30"/>
          <w:szCs w:val="30"/>
        </w:rPr>
        <w:t xml:space="preserve">1.2 </w:t>
      </w:r>
      <w:r w:rsidRPr="003A6FFF">
        <w:rPr>
          <w:rFonts w:ascii="仿宋" w:eastAsia="仿宋" w:hAnsi="仿宋" w:hint="eastAsia"/>
          <w:sz w:val="30"/>
          <w:szCs w:val="30"/>
        </w:rPr>
        <w:t>投标人应对本技术规格书中所列明的各项内容和要求逐项作出明确的响应，不能简单地应答满足或不满足。如不按本技术规格书的要求做出应答或所提供的资料不能满足要求，将承担被废标的风险。</w:t>
      </w:r>
      <w:bookmarkEnd w:id="0"/>
      <w:bookmarkEnd w:id="1"/>
      <w:bookmarkEnd w:id="2"/>
      <w:bookmarkEnd w:id="3"/>
    </w:p>
    <w:p w:rsidR="00FB0DC6" w:rsidRPr="003A6FFF" w:rsidRDefault="00FB0DC6">
      <w:pPr>
        <w:spacing w:line="360" w:lineRule="auto"/>
        <w:rPr>
          <w:rFonts w:ascii="仿宋" w:eastAsia="仿宋" w:hAnsi="仿宋"/>
          <w:sz w:val="30"/>
          <w:szCs w:val="30"/>
        </w:rPr>
      </w:pPr>
      <w:bookmarkStart w:id="4" w:name="_Toc137187756"/>
      <w:bookmarkStart w:id="5" w:name="_Toc137188128"/>
      <w:bookmarkStart w:id="6" w:name="_Toc137190322"/>
      <w:bookmarkStart w:id="7" w:name="_Toc137193792"/>
      <w:r>
        <w:rPr>
          <w:rFonts w:ascii="仿宋" w:eastAsia="仿宋" w:hAnsi="仿宋"/>
          <w:sz w:val="30"/>
          <w:szCs w:val="30"/>
        </w:rPr>
        <w:t>1.3</w:t>
      </w:r>
      <w:r w:rsidRPr="003A6FFF">
        <w:rPr>
          <w:rFonts w:ascii="仿宋" w:eastAsia="仿宋" w:hAnsi="仿宋"/>
          <w:sz w:val="30"/>
          <w:szCs w:val="30"/>
        </w:rPr>
        <w:t xml:space="preserve"> </w:t>
      </w:r>
      <w:r w:rsidRPr="003A6FFF">
        <w:rPr>
          <w:rFonts w:ascii="仿宋" w:eastAsia="仿宋" w:hAnsi="仿宋" w:hint="eastAsia"/>
          <w:sz w:val="30"/>
          <w:szCs w:val="30"/>
        </w:rPr>
        <w:t>本技术规格书所引用的标准如与投标人所执行的标准发生矛盾时，应按较高的标准执行。</w:t>
      </w:r>
      <w:bookmarkEnd w:id="4"/>
      <w:bookmarkEnd w:id="5"/>
      <w:bookmarkEnd w:id="6"/>
      <w:bookmarkEnd w:id="7"/>
    </w:p>
    <w:p w:rsidR="00FB0DC6" w:rsidRPr="003A6FFF" w:rsidRDefault="00FB0DC6" w:rsidP="00D97B5C">
      <w:pPr>
        <w:pStyle w:val="ListParagraph"/>
        <w:numPr>
          <w:ilvl w:val="0"/>
          <w:numId w:val="15"/>
        </w:numPr>
        <w:spacing w:beforeLines="50" w:afterLines="50"/>
        <w:ind w:firstLineChars="0"/>
        <w:rPr>
          <w:rFonts w:ascii="仿宋" w:eastAsia="仿宋" w:hAnsi="仿宋"/>
          <w:kern w:val="0"/>
          <w:sz w:val="30"/>
          <w:szCs w:val="30"/>
        </w:rPr>
      </w:pPr>
      <w:r w:rsidRPr="003A6FFF">
        <w:rPr>
          <w:rFonts w:ascii="仿宋" w:eastAsia="仿宋" w:hAnsi="仿宋" w:hint="eastAsia"/>
          <w:b/>
          <w:sz w:val="30"/>
          <w:szCs w:val="30"/>
        </w:rPr>
        <w:t>技术要求</w:t>
      </w:r>
      <w:bookmarkStart w:id="8" w:name="_Toc386309322"/>
      <w:bookmarkStart w:id="9" w:name="_Toc482126473"/>
    </w:p>
    <w:p w:rsidR="00FB0DC6" w:rsidRPr="002D227F" w:rsidRDefault="00FB0DC6" w:rsidP="002D227F">
      <w:pPr>
        <w:rPr>
          <w:rFonts w:ascii="仿宋" w:eastAsia="仿宋" w:hAnsi="仿宋"/>
          <w:sz w:val="32"/>
          <w:szCs w:val="32"/>
        </w:rPr>
      </w:pPr>
      <w:r>
        <w:rPr>
          <w:rFonts w:ascii="仿宋" w:eastAsia="仿宋" w:hAnsi="仿宋"/>
          <w:sz w:val="32"/>
          <w:szCs w:val="32"/>
        </w:rPr>
        <w:t xml:space="preserve">2.1 </w:t>
      </w:r>
      <w:r>
        <w:rPr>
          <w:rFonts w:ascii="仿宋" w:eastAsia="仿宋" w:hAnsi="仿宋" w:hint="eastAsia"/>
          <w:sz w:val="32"/>
          <w:szCs w:val="32"/>
        </w:rPr>
        <w:t>本次技术要求规格书包括盐化</w:t>
      </w:r>
      <w:r>
        <w:rPr>
          <w:rFonts w:ascii="仿宋" w:eastAsia="仿宋" w:hAnsi="仿宋"/>
          <w:sz w:val="32"/>
          <w:szCs w:val="32"/>
        </w:rPr>
        <w:t>SIS</w:t>
      </w:r>
      <w:r>
        <w:rPr>
          <w:rFonts w:ascii="仿宋" w:eastAsia="仿宋" w:hAnsi="仿宋" w:hint="eastAsia"/>
          <w:sz w:val="32"/>
          <w:szCs w:val="32"/>
        </w:rPr>
        <w:t>系统、硫化</w:t>
      </w:r>
      <w:r>
        <w:rPr>
          <w:rFonts w:ascii="仿宋" w:eastAsia="仿宋" w:hAnsi="仿宋"/>
          <w:sz w:val="32"/>
          <w:szCs w:val="32"/>
        </w:rPr>
        <w:t>SIS</w:t>
      </w:r>
      <w:r>
        <w:rPr>
          <w:rFonts w:ascii="仿宋" w:eastAsia="仿宋" w:hAnsi="仿宋" w:hint="eastAsia"/>
          <w:sz w:val="32"/>
          <w:szCs w:val="32"/>
        </w:rPr>
        <w:t>系统、精化</w:t>
      </w:r>
      <w:r>
        <w:rPr>
          <w:rFonts w:ascii="仿宋" w:eastAsia="仿宋" w:hAnsi="仿宋"/>
          <w:sz w:val="32"/>
          <w:szCs w:val="32"/>
        </w:rPr>
        <w:t>SIS</w:t>
      </w:r>
      <w:r>
        <w:rPr>
          <w:rFonts w:ascii="仿宋" w:eastAsia="仿宋" w:hAnsi="仿宋" w:hint="eastAsia"/>
          <w:sz w:val="32"/>
          <w:szCs w:val="32"/>
        </w:rPr>
        <w:t>系统、氯苯</w:t>
      </w:r>
      <w:r>
        <w:rPr>
          <w:rFonts w:ascii="仿宋" w:eastAsia="仿宋" w:hAnsi="仿宋"/>
          <w:sz w:val="32"/>
          <w:szCs w:val="32"/>
        </w:rPr>
        <w:t>SIS</w:t>
      </w:r>
      <w:r>
        <w:rPr>
          <w:rFonts w:ascii="仿宋" w:eastAsia="仿宋" w:hAnsi="仿宋" w:hint="eastAsia"/>
          <w:sz w:val="32"/>
          <w:szCs w:val="32"/>
        </w:rPr>
        <w:t>系统、氯乙酸</w:t>
      </w:r>
      <w:r>
        <w:rPr>
          <w:rFonts w:ascii="仿宋" w:eastAsia="仿宋" w:hAnsi="仿宋"/>
          <w:sz w:val="32"/>
          <w:szCs w:val="32"/>
        </w:rPr>
        <w:t>SIS</w:t>
      </w:r>
      <w:r>
        <w:rPr>
          <w:rFonts w:ascii="仿宋" w:eastAsia="仿宋" w:hAnsi="仿宋" w:hint="eastAsia"/>
          <w:sz w:val="32"/>
          <w:szCs w:val="32"/>
        </w:rPr>
        <w:t>系统共五份。</w:t>
      </w:r>
    </w:p>
    <w:bookmarkEnd w:id="8"/>
    <w:bookmarkEnd w:id="9"/>
    <w:p w:rsidR="00FB0DC6" w:rsidRDefault="00FB0DC6" w:rsidP="007D48B4">
      <w:pPr>
        <w:rPr>
          <w:rFonts w:ascii="仿宋" w:eastAsia="仿宋" w:hAnsi="仿宋" w:cs="宋体"/>
          <w:sz w:val="32"/>
          <w:szCs w:val="32"/>
        </w:rPr>
      </w:pPr>
      <w:r>
        <w:rPr>
          <w:rFonts w:ascii="仿宋" w:eastAsia="仿宋" w:hAnsi="仿宋" w:cs="宋体"/>
          <w:sz w:val="32"/>
          <w:szCs w:val="32"/>
        </w:rPr>
        <w:t xml:space="preserve">2.2 </w:t>
      </w:r>
      <w:r w:rsidRPr="006C27DE">
        <w:rPr>
          <w:rFonts w:ascii="仿宋_GB2312" w:eastAsia="仿宋_GB2312" w:hAnsi="仿宋" w:cs="宋体" w:hint="eastAsia"/>
          <w:sz w:val="32"/>
          <w:szCs w:val="32"/>
        </w:rPr>
        <w:t>本技术规格书需满足</w:t>
      </w:r>
      <w:r w:rsidRPr="006C27DE">
        <w:rPr>
          <w:rFonts w:ascii="仿宋_GB2312" w:eastAsia="仿宋_GB2312" w:hAnsi="仿宋" w:cs="宋体"/>
          <w:sz w:val="32"/>
          <w:szCs w:val="32"/>
        </w:rPr>
        <w:t xml:space="preserve">T/CIS71001-2021 </w:t>
      </w:r>
      <w:r w:rsidRPr="006C27DE">
        <w:rPr>
          <w:rFonts w:ascii="仿宋_GB2312" w:eastAsia="仿宋_GB2312" w:hint="eastAsia"/>
          <w:color w:val="000000"/>
          <w:kern w:val="0"/>
          <w:sz w:val="32"/>
          <w:szCs w:val="32"/>
        </w:rPr>
        <w:t>《石油化工安全仪表系统设计规范》（</w:t>
      </w:r>
      <w:r w:rsidRPr="006C27DE">
        <w:rPr>
          <w:rStyle w:val="font31"/>
          <w:rFonts w:ascii="仿宋_GB2312" w:eastAsia="仿宋_GB2312"/>
          <w:sz w:val="32"/>
          <w:szCs w:val="32"/>
        </w:rPr>
        <w:t>GB/T50770-2013</w:t>
      </w:r>
      <w:r>
        <w:rPr>
          <w:rStyle w:val="font71"/>
          <w:rFonts w:ascii="仿宋_GB2312" w:eastAsia="仿宋_GB2312" w:hAnsi="Times New Roman" w:hint="eastAsia"/>
          <w:sz w:val="32"/>
          <w:szCs w:val="32"/>
        </w:rPr>
        <w:t>）相关要求。</w:t>
      </w:r>
    </w:p>
    <w:p w:rsidR="00FB0DC6" w:rsidRDefault="00FB0DC6" w:rsidP="00D97B5C">
      <w:pPr>
        <w:spacing w:beforeLines="50" w:afterLines="50"/>
        <w:rPr>
          <w:rFonts w:ascii="仿宋" w:eastAsia="仿宋" w:hAnsi="仿宋"/>
          <w:b/>
          <w:kern w:val="0"/>
          <w:sz w:val="30"/>
          <w:szCs w:val="30"/>
        </w:rPr>
      </w:pPr>
      <w:r>
        <w:rPr>
          <w:rFonts w:ascii="仿宋" w:eastAsia="仿宋" w:hAnsi="仿宋"/>
          <w:b/>
          <w:kern w:val="0"/>
          <w:sz w:val="30"/>
          <w:szCs w:val="30"/>
        </w:rPr>
        <w:t>3</w:t>
      </w:r>
      <w:r>
        <w:rPr>
          <w:rFonts w:ascii="仿宋" w:eastAsia="仿宋" w:hAnsi="仿宋" w:hint="eastAsia"/>
          <w:b/>
          <w:kern w:val="0"/>
          <w:sz w:val="30"/>
          <w:szCs w:val="30"/>
        </w:rPr>
        <w:t>、</w:t>
      </w:r>
      <w:r>
        <w:rPr>
          <w:rFonts w:ascii="仿宋" w:eastAsia="仿宋" w:hAnsi="仿宋"/>
          <w:b/>
          <w:kern w:val="0"/>
          <w:sz w:val="30"/>
          <w:szCs w:val="30"/>
        </w:rPr>
        <w:t xml:space="preserve"> </w:t>
      </w:r>
      <w:r>
        <w:rPr>
          <w:rFonts w:ascii="仿宋" w:eastAsia="仿宋" w:hAnsi="仿宋" w:hint="eastAsia"/>
          <w:b/>
          <w:kern w:val="0"/>
          <w:sz w:val="30"/>
          <w:szCs w:val="30"/>
        </w:rPr>
        <w:t>中标方应提供的资料</w:t>
      </w:r>
    </w:p>
    <w:p w:rsidR="00FB0DC6" w:rsidRDefault="00FB0DC6" w:rsidP="00D97B5C">
      <w:pPr>
        <w:spacing w:beforeLines="50" w:afterLines="50"/>
        <w:rPr>
          <w:rFonts w:ascii="仿宋" w:eastAsia="仿宋" w:hAnsi="仿宋"/>
          <w:kern w:val="0"/>
          <w:sz w:val="30"/>
          <w:szCs w:val="30"/>
        </w:rPr>
      </w:pPr>
      <w:r>
        <w:rPr>
          <w:rFonts w:ascii="仿宋" w:eastAsia="仿宋" w:hAnsi="仿宋"/>
          <w:kern w:val="0"/>
          <w:sz w:val="30"/>
          <w:szCs w:val="30"/>
        </w:rPr>
        <w:t>3.1</w:t>
      </w:r>
      <w:r>
        <w:rPr>
          <w:rFonts w:ascii="仿宋" w:eastAsia="仿宋" w:hAnsi="仿宋" w:hint="eastAsia"/>
          <w:kern w:val="0"/>
          <w:sz w:val="30"/>
          <w:szCs w:val="30"/>
        </w:rPr>
        <w:t>合同签字后一个月内应提交完整的安全仪表技术规格书。盐化、硫化、氯苯、精化、氯乙酸共五套，一式三份。</w:t>
      </w:r>
    </w:p>
    <w:p w:rsidR="00FB0DC6" w:rsidRDefault="00FB0DC6" w:rsidP="00D97B5C">
      <w:pPr>
        <w:spacing w:beforeLines="50" w:afterLines="50"/>
        <w:rPr>
          <w:rFonts w:ascii="仿宋" w:eastAsia="仿宋" w:hAnsi="仿宋"/>
          <w:kern w:val="0"/>
          <w:sz w:val="30"/>
          <w:szCs w:val="30"/>
        </w:rPr>
      </w:pPr>
      <w:r>
        <w:rPr>
          <w:rFonts w:ascii="仿宋" w:eastAsia="仿宋" w:hAnsi="仿宋"/>
          <w:kern w:val="0"/>
          <w:sz w:val="30"/>
          <w:szCs w:val="30"/>
        </w:rPr>
        <w:t xml:space="preserve">3.2 </w:t>
      </w:r>
      <w:r>
        <w:rPr>
          <w:rFonts w:ascii="仿宋" w:eastAsia="仿宋" w:hAnsi="仿宋" w:hint="eastAsia"/>
          <w:kern w:val="0"/>
          <w:sz w:val="30"/>
          <w:szCs w:val="30"/>
        </w:rPr>
        <w:t>投标方需提供</w:t>
      </w:r>
      <w:r>
        <w:rPr>
          <w:rFonts w:ascii="仿宋" w:eastAsia="仿宋" w:hAnsi="仿宋"/>
          <w:kern w:val="0"/>
          <w:sz w:val="30"/>
          <w:szCs w:val="30"/>
        </w:rPr>
        <w:t>TUV</w:t>
      </w:r>
      <w:r>
        <w:rPr>
          <w:rFonts w:ascii="仿宋" w:eastAsia="仿宋" w:hAnsi="仿宋" w:hint="eastAsia"/>
          <w:kern w:val="0"/>
          <w:sz w:val="30"/>
          <w:szCs w:val="30"/>
        </w:rPr>
        <w:t>功能安全工程师证书</w:t>
      </w:r>
    </w:p>
    <w:p w:rsidR="00FB0DC6" w:rsidRPr="00574DA6" w:rsidRDefault="00FB0DC6" w:rsidP="00CC52F2">
      <w:pPr>
        <w:spacing w:beforeLines="50" w:afterLines="50"/>
        <w:ind w:left="31680" w:hangingChars="200" w:firstLine="31680"/>
        <w:rPr>
          <w:rFonts w:ascii="仿宋" w:eastAsia="仿宋" w:hAnsi="仿宋"/>
          <w:b/>
          <w:kern w:val="0"/>
          <w:sz w:val="30"/>
          <w:szCs w:val="30"/>
        </w:rPr>
      </w:pPr>
      <w:bookmarkStart w:id="10" w:name="_Toc492558812"/>
      <w:r w:rsidRPr="00574DA6">
        <w:rPr>
          <w:rFonts w:ascii="仿宋" w:eastAsia="仿宋" w:hAnsi="仿宋"/>
          <w:b/>
          <w:kern w:val="0"/>
          <w:sz w:val="30"/>
          <w:szCs w:val="30"/>
        </w:rPr>
        <w:t xml:space="preserve"> 4</w:t>
      </w:r>
      <w:r w:rsidRPr="00574DA6">
        <w:rPr>
          <w:rFonts w:ascii="仿宋" w:eastAsia="仿宋" w:hAnsi="仿宋" w:hint="eastAsia"/>
          <w:b/>
          <w:kern w:val="0"/>
          <w:sz w:val="30"/>
          <w:szCs w:val="30"/>
        </w:rPr>
        <w:t>、</w:t>
      </w:r>
      <w:r w:rsidRPr="00574DA6">
        <w:rPr>
          <w:rFonts w:ascii="仿宋" w:eastAsia="仿宋" w:hAnsi="仿宋"/>
          <w:b/>
          <w:kern w:val="0"/>
          <w:sz w:val="30"/>
          <w:szCs w:val="30"/>
        </w:rPr>
        <w:t xml:space="preserve"> </w:t>
      </w:r>
      <w:bookmarkEnd w:id="10"/>
      <w:r w:rsidRPr="00574DA6">
        <w:rPr>
          <w:rFonts w:ascii="仿宋" w:eastAsia="仿宋" w:hAnsi="仿宋" w:hint="eastAsia"/>
          <w:b/>
          <w:kern w:val="0"/>
          <w:sz w:val="30"/>
          <w:szCs w:val="30"/>
        </w:rPr>
        <w:t>甲方提供的资料</w:t>
      </w:r>
    </w:p>
    <w:p w:rsidR="00FB0DC6" w:rsidRDefault="00FB0DC6" w:rsidP="00CC52F2">
      <w:pPr>
        <w:spacing w:beforeLines="50" w:afterLines="50"/>
        <w:ind w:left="31680" w:hangingChars="150" w:firstLine="31680"/>
        <w:rPr>
          <w:rFonts w:ascii="仿宋" w:eastAsia="仿宋" w:hAnsi="仿宋"/>
          <w:kern w:val="0"/>
          <w:sz w:val="30"/>
          <w:szCs w:val="30"/>
        </w:rPr>
      </w:pPr>
      <w:r>
        <w:rPr>
          <w:rFonts w:ascii="仿宋" w:eastAsia="仿宋" w:hAnsi="仿宋"/>
          <w:kern w:val="0"/>
          <w:sz w:val="30"/>
          <w:szCs w:val="30"/>
        </w:rPr>
        <w:t xml:space="preserve">4.1  </w:t>
      </w:r>
      <w:r>
        <w:rPr>
          <w:rFonts w:ascii="仿宋" w:eastAsia="仿宋" w:hAnsi="仿宋" w:hint="eastAsia"/>
          <w:kern w:val="0"/>
          <w:sz w:val="30"/>
          <w:szCs w:val="30"/>
        </w:rPr>
        <w:t>五套装置</w:t>
      </w:r>
      <w:r>
        <w:rPr>
          <w:rFonts w:ascii="仿宋" w:eastAsia="仿宋" w:hAnsi="仿宋"/>
          <w:kern w:val="0"/>
          <w:sz w:val="30"/>
          <w:szCs w:val="30"/>
        </w:rPr>
        <w:t>SIS</w:t>
      </w:r>
      <w:r>
        <w:rPr>
          <w:rFonts w:ascii="仿宋" w:eastAsia="仿宋" w:hAnsi="仿宋" w:hint="eastAsia"/>
          <w:kern w:val="0"/>
          <w:sz w:val="30"/>
          <w:szCs w:val="30"/>
        </w:rPr>
        <w:t>系统联锁逻辑图、仪表流程图、操作范围以及联锁设定值。</w:t>
      </w:r>
    </w:p>
    <w:p w:rsidR="00FB0DC6" w:rsidRDefault="00FB0DC6" w:rsidP="00D97B5C">
      <w:pPr>
        <w:spacing w:beforeLines="50" w:afterLines="50"/>
        <w:rPr>
          <w:rFonts w:ascii="仿宋" w:eastAsia="仿宋" w:hAnsi="仿宋"/>
          <w:kern w:val="0"/>
          <w:sz w:val="30"/>
          <w:szCs w:val="30"/>
        </w:rPr>
      </w:pPr>
      <w:r>
        <w:rPr>
          <w:rFonts w:ascii="仿宋" w:eastAsia="仿宋" w:hAnsi="仿宋"/>
          <w:kern w:val="0"/>
          <w:sz w:val="30"/>
          <w:szCs w:val="30"/>
        </w:rPr>
        <w:t>4.2  SIF</w:t>
      </w:r>
      <w:r>
        <w:rPr>
          <w:rFonts w:ascii="仿宋" w:eastAsia="仿宋" w:hAnsi="仿宋" w:hint="eastAsia"/>
          <w:kern w:val="0"/>
          <w:sz w:val="30"/>
          <w:szCs w:val="30"/>
        </w:rPr>
        <w:t>清单以及</w:t>
      </w:r>
      <w:r>
        <w:rPr>
          <w:rFonts w:ascii="仿宋" w:eastAsia="仿宋" w:hAnsi="仿宋"/>
          <w:kern w:val="0"/>
          <w:sz w:val="30"/>
          <w:szCs w:val="30"/>
        </w:rPr>
        <w:t>SIL</w:t>
      </w:r>
      <w:r>
        <w:rPr>
          <w:rFonts w:ascii="仿宋" w:eastAsia="仿宋" w:hAnsi="仿宋" w:hint="eastAsia"/>
          <w:kern w:val="0"/>
          <w:sz w:val="30"/>
          <w:szCs w:val="30"/>
        </w:rPr>
        <w:t>定级报告。</w:t>
      </w:r>
    </w:p>
    <w:p w:rsidR="00FB0DC6" w:rsidRDefault="00FB0DC6" w:rsidP="00D97B5C">
      <w:pPr>
        <w:spacing w:beforeLines="50" w:afterLines="50"/>
        <w:rPr>
          <w:rFonts w:ascii="仿宋" w:eastAsia="仿宋" w:hAnsi="仿宋"/>
          <w:kern w:val="0"/>
          <w:sz w:val="30"/>
          <w:szCs w:val="30"/>
        </w:rPr>
      </w:pPr>
      <w:r>
        <w:rPr>
          <w:rFonts w:ascii="仿宋" w:eastAsia="仿宋" w:hAnsi="仿宋"/>
          <w:kern w:val="0"/>
          <w:sz w:val="30"/>
          <w:szCs w:val="30"/>
        </w:rPr>
        <w:t xml:space="preserve">4.3  </w:t>
      </w:r>
      <w:r>
        <w:rPr>
          <w:rFonts w:ascii="仿宋" w:eastAsia="仿宋" w:hAnsi="仿宋" w:hint="eastAsia"/>
          <w:kern w:val="0"/>
          <w:sz w:val="30"/>
          <w:szCs w:val="30"/>
        </w:rPr>
        <w:t>仪表数据表，现场使用仪表情况说明。</w:t>
      </w:r>
    </w:p>
    <w:p w:rsidR="00FB0DC6" w:rsidRDefault="00FB0DC6" w:rsidP="00D97B5C">
      <w:pPr>
        <w:spacing w:beforeLines="50" w:afterLines="50"/>
        <w:rPr>
          <w:rFonts w:ascii="仿宋" w:eastAsia="仿宋" w:hAnsi="仿宋"/>
          <w:kern w:val="0"/>
          <w:sz w:val="30"/>
          <w:szCs w:val="30"/>
        </w:rPr>
      </w:pPr>
      <w:r>
        <w:rPr>
          <w:rFonts w:ascii="仿宋" w:eastAsia="仿宋" w:hAnsi="仿宋"/>
          <w:kern w:val="0"/>
          <w:sz w:val="30"/>
          <w:szCs w:val="30"/>
        </w:rPr>
        <w:t xml:space="preserve">4.4  </w:t>
      </w:r>
      <w:r>
        <w:rPr>
          <w:rFonts w:ascii="仿宋" w:eastAsia="仿宋" w:hAnsi="仿宋" w:hint="eastAsia"/>
          <w:kern w:val="0"/>
          <w:sz w:val="30"/>
          <w:szCs w:val="30"/>
        </w:rPr>
        <w:t>相关仪表管理制度。</w:t>
      </w:r>
    </w:p>
    <w:p w:rsidR="00FB0DC6" w:rsidRDefault="00FB0DC6" w:rsidP="00D97B5C">
      <w:pPr>
        <w:spacing w:beforeLines="50" w:afterLines="50"/>
        <w:rPr>
          <w:rFonts w:ascii="仿宋" w:eastAsia="仿宋" w:hAnsi="仿宋"/>
          <w:kern w:val="0"/>
          <w:sz w:val="30"/>
          <w:szCs w:val="30"/>
        </w:rPr>
      </w:pPr>
      <w:r>
        <w:rPr>
          <w:rFonts w:ascii="仿宋" w:eastAsia="仿宋" w:hAnsi="仿宋"/>
          <w:kern w:val="0"/>
          <w:sz w:val="30"/>
          <w:szCs w:val="30"/>
        </w:rPr>
        <w:t xml:space="preserve">4.5  </w:t>
      </w:r>
      <w:r>
        <w:rPr>
          <w:rFonts w:ascii="仿宋" w:eastAsia="仿宋" w:hAnsi="仿宋" w:hint="eastAsia"/>
          <w:kern w:val="0"/>
          <w:sz w:val="30"/>
          <w:szCs w:val="30"/>
        </w:rPr>
        <w:t>还需配合提供的相关资料需在中标单位确定后及时通知甲方，列出相关明细清单</w:t>
      </w:r>
    </w:p>
    <w:p w:rsidR="00FB0DC6" w:rsidRDefault="00FB0DC6" w:rsidP="00D97B5C">
      <w:pPr>
        <w:spacing w:beforeLines="50" w:afterLines="50"/>
        <w:rPr>
          <w:rFonts w:ascii="仿宋" w:eastAsia="仿宋" w:hAnsi="仿宋"/>
          <w:b/>
          <w:kern w:val="0"/>
          <w:sz w:val="30"/>
          <w:szCs w:val="30"/>
        </w:rPr>
      </w:pPr>
      <w:bookmarkStart w:id="11" w:name="_Toc492558818"/>
      <w:r>
        <w:rPr>
          <w:rFonts w:ascii="仿宋" w:eastAsia="仿宋" w:hAnsi="仿宋"/>
          <w:b/>
          <w:kern w:val="0"/>
          <w:sz w:val="30"/>
          <w:szCs w:val="30"/>
        </w:rPr>
        <w:t>5</w:t>
      </w:r>
      <w:r>
        <w:rPr>
          <w:rFonts w:ascii="仿宋" w:eastAsia="仿宋" w:hAnsi="仿宋" w:hint="eastAsia"/>
          <w:b/>
          <w:kern w:val="0"/>
          <w:sz w:val="30"/>
          <w:szCs w:val="30"/>
        </w:rPr>
        <w:t>、</w:t>
      </w:r>
      <w:r>
        <w:rPr>
          <w:rFonts w:ascii="仿宋" w:eastAsia="仿宋" w:hAnsi="仿宋"/>
          <w:b/>
          <w:kern w:val="0"/>
          <w:sz w:val="30"/>
          <w:szCs w:val="30"/>
        </w:rPr>
        <w:t xml:space="preserve"> </w:t>
      </w:r>
      <w:r>
        <w:rPr>
          <w:rFonts w:ascii="仿宋" w:eastAsia="仿宋" w:hAnsi="仿宋" w:hint="eastAsia"/>
          <w:b/>
          <w:kern w:val="0"/>
          <w:sz w:val="30"/>
          <w:szCs w:val="30"/>
        </w:rPr>
        <w:t>其它</w:t>
      </w:r>
      <w:bookmarkEnd w:id="11"/>
    </w:p>
    <w:p w:rsidR="00FB0DC6" w:rsidRDefault="00FB0DC6" w:rsidP="00D97B5C">
      <w:pPr>
        <w:spacing w:beforeLines="50" w:afterLines="50"/>
        <w:rPr>
          <w:rFonts w:ascii="仿宋" w:eastAsia="仿宋" w:hAnsi="仿宋"/>
          <w:kern w:val="0"/>
          <w:sz w:val="30"/>
          <w:szCs w:val="30"/>
        </w:rPr>
      </w:pPr>
      <w:r>
        <w:rPr>
          <w:rFonts w:ascii="仿宋" w:eastAsia="仿宋" w:hAnsi="仿宋"/>
          <w:kern w:val="0"/>
          <w:sz w:val="30"/>
          <w:szCs w:val="30"/>
        </w:rPr>
        <w:t xml:space="preserve">5.1 </w:t>
      </w:r>
      <w:r>
        <w:rPr>
          <w:rFonts w:ascii="仿宋" w:eastAsia="仿宋" w:hAnsi="仿宋" w:hint="eastAsia"/>
          <w:kern w:val="0"/>
          <w:sz w:val="30"/>
          <w:szCs w:val="30"/>
        </w:rPr>
        <w:t>本协议为合同附件，与合同有同等法律效力。</w:t>
      </w:r>
    </w:p>
    <w:p w:rsidR="00FB0DC6" w:rsidRPr="00DA44B3" w:rsidRDefault="00FB0DC6" w:rsidP="00D97B5C">
      <w:pPr>
        <w:spacing w:beforeLines="50" w:afterLines="50"/>
        <w:rPr>
          <w:rFonts w:ascii="仿宋" w:eastAsia="仿宋" w:hAnsi="仿宋"/>
          <w:kern w:val="0"/>
          <w:sz w:val="30"/>
          <w:szCs w:val="30"/>
        </w:rPr>
      </w:pPr>
      <w:r>
        <w:rPr>
          <w:rFonts w:ascii="仿宋" w:eastAsia="仿宋" w:hAnsi="仿宋"/>
          <w:kern w:val="0"/>
          <w:sz w:val="30"/>
          <w:szCs w:val="30"/>
        </w:rPr>
        <w:t xml:space="preserve">5.2 </w:t>
      </w:r>
      <w:r>
        <w:rPr>
          <w:rFonts w:ascii="仿宋" w:eastAsia="仿宋" w:hAnsi="仿宋" w:hint="eastAsia"/>
          <w:kern w:val="0"/>
          <w:sz w:val="30"/>
          <w:szCs w:val="30"/>
        </w:rPr>
        <w:t>未尽事宜，双方协商。</w:t>
      </w:r>
      <w:r>
        <w:rPr>
          <w:rFonts w:ascii="仿宋" w:eastAsia="仿宋" w:hAnsi="仿宋"/>
          <w:kern w:val="0"/>
          <w:sz w:val="30"/>
          <w:szCs w:val="30"/>
        </w:rPr>
        <w:t xml:space="preserve">    </w:t>
      </w:r>
    </w:p>
    <w:p w:rsidR="00FB0DC6" w:rsidRPr="00DC2B3C" w:rsidRDefault="00FB0DC6" w:rsidP="00DC2B3C">
      <w:pPr>
        <w:spacing w:line="360" w:lineRule="auto"/>
        <w:rPr>
          <w:rFonts w:ascii="宋体"/>
          <w:sz w:val="24"/>
        </w:rPr>
      </w:pPr>
      <w:bookmarkStart w:id="12" w:name="_GoBack"/>
      <w:bookmarkEnd w:id="12"/>
    </w:p>
    <w:sectPr w:rsidR="00FB0DC6" w:rsidRPr="00DC2B3C" w:rsidSect="006E7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DC6" w:rsidRDefault="00FB0DC6" w:rsidP="002F128E">
      <w:r>
        <w:separator/>
      </w:r>
    </w:p>
  </w:endnote>
  <w:endnote w:type="continuationSeparator" w:id="0">
    <w:p w:rsidR="00FB0DC6" w:rsidRDefault="00FB0DC6" w:rsidP="002F128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长城仿宋">
    <w:altName w:val="宋体"/>
    <w:panose1 w:val="00000000000000000000"/>
    <w:charset w:val="86"/>
    <w:family w:val="modern"/>
    <w:notTrueType/>
    <w:pitch w:val="default"/>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DC6" w:rsidRDefault="00FB0DC6" w:rsidP="002F128E">
      <w:r>
        <w:separator/>
      </w:r>
    </w:p>
  </w:footnote>
  <w:footnote w:type="continuationSeparator" w:id="0">
    <w:p w:rsidR="00FB0DC6" w:rsidRDefault="00FB0DC6" w:rsidP="002F12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bullet"/>
      <w:lvlText w:val=""/>
      <w:lvlJc w:val="left"/>
      <w:pPr>
        <w:tabs>
          <w:tab w:val="num" w:pos="533"/>
        </w:tabs>
        <w:ind w:left="533" w:hanging="420"/>
      </w:pPr>
      <w:rPr>
        <w:rFonts w:ascii="Wingdings" w:hAnsi="Wingdings" w:hint="default"/>
      </w:rPr>
    </w:lvl>
    <w:lvl w:ilvl="1">
      <w:start w:val="1"/>
      <w:numFmt w:val="bullet"/>
      <w:lvlText w:val=""/>
      <w:lvlJc w:val="left"/>
      <w:pPr>
        <w:tabs>
          <w:tab w:val="num" w:pos="953"/>
        </w:tabs>
        <w:ind w:left="953" w:hanging="420"/>
      </w:pPr>
      <w:rPr>
        <w:rFonts w:ascii="Wingdings" w:hAnsi="Wingdings" w:hint="default"/>
      </w:rPr>
    </w:lvl>
    <w:lvl w:ilvl="2">
      <w:start w:val="1"/>
      <w:numFmt w:val="bullet"/>
      <w:lvlText w:val=""/>
      <w:lvlJc w:val="left"/>
      <w:pPr>
        <w:tabs>
          <w:tab w:val="num" w:pos="1373"/>
        </w:tabs>
        <w:ind w:left="1373" w:hanging="420"/>
      </w:pPr>
      <w:rPr>
        <w:rFonts w:ascii="Wingdings" w:hAnsi="Wingdings" w:hint="default"/>
      </w:rPr>
    </w:lvl>
    <w:lvl w:ilvl="3">
      <w:start w:val="1"/>
      <w:numFmt w:val="bullet"/>
      <w:lvlText w:val=""/>
      <w:lvlJc w:val="left"/>
      <w:pPr>
        <w:tabs>
          <w:tab w:val="num" w:pos="1793"/>
        </w:tabs>
        <w:ind w:left="1793" w:hanging="420"/>
      </w:pPr>
      <w:rPr>
        <w:rFonts w:ascii="Wingdings" w:hAnsi="Wingdings" w:hint="default"/>
      </w:rPr>
    </w:lvl>
    <w:lvl w:ilvl="4">
      <w:start w:val="1"/>
      <w:numFmt w:val="bullet"/>
      <w:lvlText w:val=""/>
      <w:lvlJc w:val="left"/>
      <w:pPr>
        <w:tabs>
          <w:tab w:val="num" w:pos="2213"/>
        </w:tabs>
        <w:ind w:left="2213" w:hanging="420"/>
      </w:pPr>
      <w:rPr>
        <w:rFonts w:ascii="Wingdings" w:hAnsi="Wingdings" w:hint="default"/>
      </w:rPr>
    </w:lvl>
    <w:lvl w:ilvl="5">
      <w:start w:val="1"/>
      <w:numFmt w:val="bullet"/>
      <w:lvlText w:val=""/>
      <w:lvlJc w:val="left"/>
      <w:pPr>
        <w:tabs>
          <w:tab w:val="num" w:pos="2633"/>
        </w:tabs>
        <w:ind w:left="2633" w:hanging="420"/>
      </w:pPr>
      <w:rPr>
        <w:rFonts w:ascii="Wingdings" w:hAnsi="Wingdings" w:hint="default"/>
      </w:rPr>
    </w:lvl>
    <w:lvl w:ilvl="6">
      <w:start w:val="1"/>
      <w:numFmt w:val="bullet"/>
      <w:lvlText w:val=""/>
      <w:lvlJc w:val="left"/>
      <w:pPr>
        <w:tabs>
          <w:tab w:val="num" w:pos="3053"/>
        </w:tabs>
        <w:ind w:left="3053" w:hanging="420"/>
      </w:pPr>
      <w:rPr>
        <w:rFonts w:ascii="Wingdings" w:hAnsi="Wingdings" w:hint="default"/>
      </w:rPr>
    </w:lvl>
    <w:lvl w:ilvl="7">
      <w:start w:val="1"/>
      <w:numFmt w:val="bullet"/>
      <w:lvlText w:val=""/>
      <w:lvlJc w:val="left"/>
      <w:pPr>
        <w:tabs>
          <w:tab w:val="num" w:pos="3473"/>
        </w:tabs>
        <w:ind w:left="3473" w:hanging="420"/>
      </w:pPr>
      <w:rPr>
        <w:rFonts w:ascii="Wingdings" w:hAnsi="Wingdings" w:hint="default"/>
      </w:rPr>
    </w:lvl>
    <w:lvl w:ilvl="8">
      <w:start w:val="1"/>
      <w:numFmt w:val="bullet"/>
      <w:lvlText w:val=""/>
      <w:lvlJc w:val="left"/>
      <w:pPr>
        <w:tabs>
          <w:tab w:val="num" w:pos="3893"/>
        </w:tabs>
        <w:ind w:left="3893" w:hanging="420"/>
      </w:pPr>
      <w:rPr>
        <w:rFonts w:ascii="Wingdings" w:hAnsi="Wingdings" w:hint="default"/>
      </w:rPr>
    </w:lvl>
  </w:abstractNum>
  <w:abstractNum w:abstractNumId="1">
    <w:nsid w:val="194F26E0"/>
    <w:multiLevelType w:val="hybridMultilevel"/>
    <w:tmpl w:val="CFFCACDE"/>
    <w:lvl w:ilvl="0" w:tplc="04090011">
      <w:start w:val="1"/>
      <w:numFmt w:val="decimal"/>
      <w:lvlText w:val="%1)"/>
      <w:lvlJc w:val="left"/>
      <w:pPr>
        <w:ind w:left="865" w:hanging="720"/>
      </w:pPr>
      <w:rPr>
        <w:rFonts w:cs="Times New Roman" w:hint="default"/>
      </w:rPr>
    </w:lvl>
    <w:lvl w:ilvl="1" w:tplc="04090019" w:tentative="1">
      <w:start w:val="1"/>
      <w:numFmt w:val="lowerLetter"/>
      <w:lvlText w:val="%2)"/>
      <w:lvlJc w:val="left"/>
      <w:pPr>
        <w:ind w:left="985" w:hanging="420"/>
      </w:pPr>
      <w:rPr>
        <w:rFonts w:cs="Times New Roman"/>
      </w:rPr>
    </w:lvl>
    <w:lvl w:ilvl="2" w:tplc="0409001B" w:tentative="1">
      <w:start w:val="1"/>
      <w:numFmt w:val="lowerRoman"/>
      <w:lvlText w:val="%3."/>
      <w:lvlJc w:val="right"/>
      <w:pPr>
        <w:ind w:left="1405" w:hanging="420"/>
      </w:pPr>
      <w:rPr>
        <w:rFonts w:cs="Times New Roman"/>
      </w:rPr>
    </w:lvl>
    <w:lvl w:ilvl="3" w:tplc="0409000F" w:tentative="1">
      <w:start w:val="1"/>
      <w:numFmt w:val="decimal"/>
      <w:lvlText w:val="%4."/>
      <w:lvlJc w:val="left"/>
      <w:pPr>
        <w:ind w:left="1825" w:hanging="420"/>
      </w:pPr>
      <w:rPr>
        <w:rFonts w:cs="Times New Roman"/>
      </w:rPr>
    </w:lvl>
    <w:lvl w:ilvl="4" w:tplc="04090019" w:tentative="1">
      <w:start w:val="1"/>
      <w:numFmt w:val="lowerLetter"/>
      <w:lvlText w:val="%5)"/>
      <w:lvlJc w:val="left"/>
      <w:pPr>
        <w:ind w:left="2245" w:hanging="420"/>
      </w:pPr>
      <w:rPr>
        <w:rFonts w:cs="Times New Roman"/>
      </w:rPr>
    </w:lvl>
    <w:lvl w:ilvl="5" w:tplc="0409001B" w:tentative="1">
      <w:start w:val="1"/>
      <w:numFmt w:val="lowerRoman"/>
      <w:lvlText w:val="%6."/>
      <w:lvlJc w:val="right"/>
      <w:pPr>
        <w:ind w:left="2665" w:hanging="420"/>
      </w:pPr>
      <w:rPr>
        <w:rFonts w:cs="Times New Roman"/>
      </w:rPr>
    </w:lvl>
    <w:lvl w:ilvl="6" w:tplc="0409000F" w:tentative="1">
      <w:start w:val="1"/>
      <w:numFmt w:val="decimal"/>
      <w:lvlText w:val="%7."/>
      <w:lvlJc w:val="left"/>
      <w:pPr>
        <w:ind w:left="3085" w:hanging="420"/>
      </w:pPr>
      <w:rPr>
        <w:rFonts w:cs="Times New Roman"/>
      </w:rPr>
    </w:lvl>
    <w:lvl w:ilvl="7" w:tplc="04090019" w:tentative="1">
      <w:start w:val="1"/>
      <w:numFmt w:val="lowerLetter"/>
      <w:lvlText w:val="%8)"/>
      <w:lvlJc w:val="left"/>
      <w:pPr>
        <w:ind w:left="3505" w:hanging="420"/>
      </w:pPr>
      <w:rPr>
        <w:rFonts w:cs="Times New Roman"/>
      </w:rPr>
    </w:lvl>
    <w:lvl w:ilvl="8" w:tplc="0409001B" w:tentative="1">
      <w:start w:val="1"/>
      <w:numFmt w:val="lowerRoman"/>
      <w:lvlText w:val="%9."/>
      <w:lvlJc w:val="right"/>
      <w:pPr>
        <w:ind w:left="3925" w:hanging="420"/>
      </w:pPr>
      <w:rPr>
        <w:rFonts w:cs="Times New Roman"/>
      </w:rPr>
    </w:lvl>
  </w:abstractNum>
  <w:abstractNum w:abstractNumId="2">
    <w:nsid w:val="1E6B2787"/>
    <w:multiLevelType w:val="multilevel"/>
    <w:tmpl w:val="1E6B2787"/>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3">
    <w:nsid w:val="1FDF71F6"/>
    <w:multiLevelType w:val="hybridMultilevel"/>
    <w:tmpl w:val="A6D00DA6"/>
    <w:lvl w:ilvl="0" w:tplc="AF5000EC">
      <w:start w:val="2"/>
      <w:numFmt w:val="decimal"/>
      <w:lvlText w:val="%1、"/>
      <w:lvlJc w:val="left"/>
      <w:pPr>
        <w:ind w:left="480" w:hanging="480"/>
      </w:pPr>
      <w:rPr>
        <w:rFonts w:ascii="仿宋" w:eastAsia="仿宋" w:hAnsi="仿宋" w:cs="Times New Roman" w:hint="default"/>
        <w:b/>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59D2722"/>
    <w:multiLevelType w:val="multilevel"/>
    <w:tmpl w:val="259D2722"/>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5">
    <w:nsid w:val="2DAA0820"/>
    <w:multiLevelType w:val="multilevel"/>
    <w:tmpl w:val="2DAA0820"/>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6">
    <w:nsid w:val="2FA6C011"/>
    <w:multiLevelType w:val="singleLevel"/>
    <w:tmpl w:val="2FA6C011"/>
    <w:lvl w:ilvl="0">
      <w:start w:val="1"/>
      <w:numFmt w:val="decimal"/>
      <w:lvlText w:val="%1."/>
      <w:lvlJc w:val="left"/>
      <w:pPr>
        <w:tabs>
          <w:tab w:val="left" w:pos="312"/>
        </w:tabs>
      </w:pPr>
      <w:rPr>
        <w:rFonts w:cs="Times New Roman"/>
      </w:rPr>
    </w:lvl>
  </w:abstractNum>
  <w:abstractNum w:abstractNumId="7">
    <w:nsid w:val="331019D7"/>
    <w:multiLevelType w:val="multilevel"/>
    <w:tmpl w:val="331019D7"/>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8">
    <w:nsid w:val="374E6B58"/>
    <w:multiLevelType w:val="multilevel"/>
    <w:tmpl w:val="374E6B58"/>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9">
    <w:nsid w:val="37794BEE"/>
    <w:multiLevelType w:val="multilevel"/>
    <w:tmpl w:val="37794BEE"/>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0">
    <w:nsid w:val="3AB85F86"/>
    <w:multiLevelType w:val="multilevel"/>
    <w:tmpl w:val="3AB85F86"/>
    <w:lvl w:ilvl="0">
      <w:start w:val="3"/>
      <w:numFmt w:val="decimalEnclosedCircle"/>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1">
    <w:nsid w:val="3F637066"/>
    <w:multiLevelType w:val="multilevel"/>
    <w:tmpl w:val="3F637066"/>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2">
    <w:nsid w:val="4B0C50B8"/>
    <w:multiLevelType w:val="multilevel"/>
    <w:tmpl w:val="4B0C50B8"/>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3">
    <w:nsid w:val="60CC3433"/>
    <w:multiLevelType w:val="multilevel"/>
    <w:tmpl w:val="60CC3433"/>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4">
    <w:nsid w:val="680309E5"/>
    <w:multiLevelType w:val="multilevel"/>
    <w:tmpl w:val="680309E5"/>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5">
    <w:nsid w:val="6FF3053C"/>
    <w:multiLevelType w:val="multilevel"/>
    <w:tmpl w:val="6FF3053C"/>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6">
    <w:nsid w:val="7EB237E8"/>
    <w:multiLevelType w:val="multilevel"/>
    <w:tmpl w:val="7EB237E8"/>
    <w:lvl w:ilvl="0">
      <w:start w:val="1"/>
      <w:numFmt w:val="bullet"/>
      <w:lvlText w:val=""/>
      <w:lvlJc w:val="left"/>
      <w:pPr>
        <w:tabs>
          <w:tab w:val="left" w:pos="780"/>
        </w:tabs>
        <w:ind w:left="780" w:hanging="420"/>
      </w:pPr>
      <w:rPr>
        <w:rFonts w:ascii="Wingdings" w:hAnsi="Wingdings" w:hint="default"/>
      </w:rPr>
    </w:lvl>
    <w:lvl w:ilvl="1">
      <w:start w:val="1"/>
      <w:numFmt w:val="bullet"/>
      <w:lvlText w:val=""/>
      <w:lvlJc w:val="left"/>
      <w:pPr>
        <w:tabs>
          <w:tab w:val="left" w:pos="1200"/>
        </w:tabs>
        <w:ind w:left="1200" w:hanging="420"/>
      </w:pPr>
      <w:rPr>
        <w:rFonts w:ascii="Wingdings" w:hAnsi="Wingdings" w:hint="default"/>
      </w:rPr>
    </w:lvl>
    <w:lvl w:ilvl="2">
      <w:start w:val="1"/>
      <w:numFmt w:val="bullet"/>
      <w:lvlText w:val=""/>
      <w:lvlJc w:val="left"/>
      <w:pPr>
        <w:tabs>
          <w:tab w:val="left" w:pos="1620"/>
        </w:tabs>
        <w:ind w:left="1620" w:hanging="420"/>
      </w:pPr>
      <w:rPr>
        <w:rFonts w:ascii="Wingdings" w:hAnsi="Wingdings" w:hint="default"/>
      </w:rPr>
    </w:lvl>
    <w:lvl w:ilvl="3">
      <w:start w:val="1"/>
      <w:numFmt w:val="bullet"/>
      <w:lvlText w:val=""/>
      <w:lvlJc w:val="left"/>
      <w:pPr>
        <w:tabs>
          <w:tab w:val="left" w:pos="2040"/>
        </w:tabs>
        <w:ind w:left="2040" w:hanging="420"/>
      </w:pPr>
      <w:rPr>
        <w:rFonts w:ascii="Wingdings" w:hAnsi="Wingdings" w:hint="default"/>
      </w:rPr>
    </w:lvl>
    <w:lvl w:ilvl="4">
      <w:start w:val="1"/>
      <w:numFmt w:val="bullet"/>
      <w:lvlText w:val=""/>
      <w:lvlJc w:val="left"/>
      <w:pPr>
        <w:tabs>
          <w:tab w:val="left" w:pos="2460"/>
        </w:tabs>
        <w:ind w:left="2460" w:hanging="420"/>
      </w:pPr>
      <w:rPr>
        <w:rFonts w:ascii="Wingdings" w:hAnsi="Wingdings" w:hint="default"/>
      </w:rPr>
    </w:lvl>
    <w:lvl w:ilvl="5">
      <w:start w:val="1"/>
      <w:numFmt w:val="bullet"/>
      <w:lvlText w:val=""/>
      <w:lvlJc w:val="left"/>
      <w:pPr>
        <w:tabs>
          <w:tab w:val="left" w:pos="2880"/>
        </w:tabs>
        <w:ind w:left="2880" w:hanging="420"/>
      </w:pPr>
      <w:rPr>
        <w:rFonts w:ascii="Wingdings" w:hAnsi="Wingdings" w:hint="default"/>
      </w:rPr>
    </w:lvl>
    <w:lvl w:ilvl="6">
      <w:start w:val="1"/>
      <w:numFmt w:val="bullet"/>
      <w:lvlText w:val=""/>
      <w:lvlJc w:val="left"/>
      <w:pPr>
        <w:tabs>
          <w:tab w:val="left" w:pos="3300"/>
        </w:tabs>
        <w:ind w:left="3300" w:hanging="420"/>
      </w:pPr>
      <w:rPr>
        <w:rFonts w:ascii="Wingdings" w:hAnsi="Wingdings" w:hint="default"/>
      </w:rPr>
    </w:lvl>
    <w:lvl w:ilvl="7">
      <w:start w:val="1"/>
      <w:numFmt w:val="bullet"/>
      <w:lvlText w:val=""/>
      <w:lvlJc w:val="left"/>
      <w:pPr>
        <w:tabs>
          <w:tab w:val="left" w:pos="3720"/>
        </w:tabs>
        <w:ind w:left="3720" w:hanging="420"/>
      </w:pPr>
      <w:rPr>
        <w:rFonts w:ascii="Wingdings" w:hAnsi="Wingdings" w:hint="default"/>
      </w:rPr>
    </w:lvl>
    <w:lvl w:ilvl="8">
      <w:start w:val="1"/>
      <w:numFmt w:val="bullet"/>
      <w:lvlText w:val=""/>
      <w:lvlJc w:val="left"/>
      <w:pPr>
        <w:tabs>
          <w:tab w:val="left" w:pos="4140"/>
        </w:tabs>
        <w:ind w:left="4140" w:hanging="420"/>
      </w:pPr>
      <w:rPr>
        <w:rFonts w:ascii="Wingdings" w:hAnsi="Wingdings" w:hint="default"/>
      </w:rPr>
    </w:lvl>
  </w:abstractNum>
  <w:num w:numId="1">
    <w:abstractNumId w:val="4"/>
  </w:num>
  <w:num w:numId="2">
    <w:abstractNumId w:val="12"/>
  </w:num>
  <w:num w:numId="3">
    <w:abstractNumId w:val="15"/>
  </w:num>
  <w:num w:numId="4">
    <w:abstractNumId w:val="14"/>
  </w:num>
  <w:num w:numId="5">
    <w:abstractNumId w:val="9"/>
  </w:num>
  <w:num w:numId="6">
    <w:abstractNumId w:val="16"/>
  </w:num>
  <w:num w:numId="7">
    <w:abstractNumId w:val="10"/>
  </w:num>
  <w:num w:numId="8">
    <w:abstractNumId w:val="2"/>
  </w:num>
  <w:num w:numId="9">
    <w:abstractNumId w:val="7"/>
  </w:num>
  <w:num w:numId="10">
    <w:abstractNumId w:val="8"/>
  </w:num>
  <w:num w:numId="11">
    <w:abstractNumId w:val="11"/>
  </w:num>
  <w:num w:numId="12">
    <w:abstractNumId w:val="5"/>
  </w:num>
  <w:num w:numId="13">
    <w:abstractNumId w:val="13"/>
  </w:num>
  <w:num w:numId="14">
    <w:abstractNumId w:val="1"/>
  </w:num>
  <w:num w:numId="15">
    <w:abstractNumId w:val="3"/>
  </w:num>
  <w:num w:numId="16">
    <w:abstractNumId w:val="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7E23"/>
    <w:rsid w:val="00031CF2"/>
    <w:rsid w:val="00040F0C"/>
    <w:rsid w:val="0004533E"/>
    <w:rsid w:val="0005033E"/>
    <w:rsid w:val="00065DF4"/>
    <w:rsid w:val="000712B1"/>
    <w:rsid w:val="000717EB"/>
    <w:rsid w:val="000830D1"/>
    <w:rsid w:val="000A7B50"/>
    <w:rsid w:val="000D3CE4"/>
    <w:rsid w:val="000F503D"/>
    <w:rsid w:val="00117210"/>
    <w:rsid w:val="00144F79"/>
    <w:rsid w:val="00172A02"/>
    <w:rsid w:val="001753B8"/>
    <w:rsid w:val="00184261"/>
    <w:rsid w:val="001977D3"/>
    <w:rsid w:val="001E6D2F"/>
    <w:rsid w:val="00210FA0"/>
    <w:rsid w:val="00222940"/>
    <w:rsid w:val="00232E5D"/>
    <w:rsid w:val="00235842"/>
    <w:rsid w:val="0024370B"/>
    <w:rsid w:val="00260174"/>
    <w:rsid w:val="00273121"/>
    <w:rsid w:val="002B68B9"/>
    <w:rsid w:val="002B79D6"/>
    <w:rsid w:val="002B7C62"/>
    <w:rsid w:val="002D227F"/>
    <w:rsid w:val="002D325B"/>
    <w:rsid w:val="002F128E"/>
    <w:rsid w:val="00301A4E"/>
    <w:rsid w:val="00313076"/>
    <w:rsid w:val="00334E6B"/>
    <w:rsid w:val="003964AA"/>
    <w:rsid w:val="003A0395"/>
    <w:rsid w:val="003A6FFF"/>
    <w:rsid w:val="003E6AD7"/>
    <w:rsid w:val="00403984"/>
    <w:rsid w:val="00406700"/>
    <w:rsid w:val="004150A4"/>
    <w:rsid w:val="00416463"/>
    <w:rsid w:val="004219F6"/>
    <w:rsid w:val="0043506E"/>
    <w:rsid w:val="00451BEF"/>
    <w:rsid w:val="00483CD8"/>
    <w:rsid w:val="00490F38"/>
    <w:rsid w:val="00491504"/>
    <w:rsid w:val="00491ADD"/>
    <w:rsid w:val="004E0E48"/>
    <w:rsid w:val="004E2182"/>
    <w:rsid w:val="004E5FED"/>
    <w:rsid w:val="00504653"/>
    <w:rsid w:val="005458BA"/>
    <w:rsid w:val="0055135F"/>
    <w:rsid w:val="00551F6D"/>
    <w:rsid w:val="00574DA6"/>
    <w:rsid w:val="005764BB"/>
    <w:rsid w:val="00576C58"/>
    <w:rsid w:val="00585100"/>
    <w:rsid w:val="005906F5"/>
    <w:rsid w:val="005A0F05"/>
    <w:rsid w:val="005A1B68"/>
    <w:rsid w:val="005A2FBF"/>
    <w:rsid w:val="005D0E30"/>
    <w:rsid w:val="005D49E9"/>
    <w:rsid w:val="005D5FD4"/>
    <w:rsid w:val="005E71D0"/>
    <w:rsid w:val="00617407"/>
    <w:rsid w:val="006200F2"/>
    <w:rsid w:val="006203E5"/>
    <w:rsid w:val="00645B2D"/>
    <w:rsid w:val="0066493D"/>
    <w:rsid w:val="006660BE"/>
    <w:rsid w:val="00676B04"/>
    <w:rsid w:val="006820FE"/>
    <w:rsid w:val="006C27DE"/>
    <w:rsid w:val="006E7E23"/>
    <w:rsid w:val="006F433B"/>
    <w:rsid w:val="00712AB0"/>
    <w:rsid w:val="00733F99"/>
    <w:rsid w:val="0073539D"/>
    <w:rsid w:val="007A2A05"/>
    <w:rsid w:val="007B7CB1"/>
    <w:rsid w:val="007D1DEE"/>
    <w:rsid w:val="007D48B4"/>
    <w:rsid w:val="007D5CF6"/>
    <w:rsid w:val="007E0C02"/>
    <w:rsid w:val="007E117D"/>
    <w:rsid w:val="007E412D"/>
    <w:rsid w:val="007F2AD1"/>
    <w:rsid w:val="0085462C"/>
    <w:rsid w:val="00856346"/>
    <w:rsid w:val="008568AD"/>
    <w:rsid w:val="00872DFF"/>
    <w:rsid w:val="008B527E"/>
    <w:rsid w:val="008F1999"/>
    <w:rsid w:val="009135E3"/>
    <w:rsid w:val="00937109"/>
    <w:rsid w:val="00940A4A"/>
    <w:rsid w:val="00981BC8"/>
    <w:rsid w:val="0099703D"/>
    <w:rsid w:val="00A139B5"/>
    <w:rsid w:val="00A24112"/>
    <w:rsid w:val="00A76C1A"/>
    <w:rsid w:val="00A837F4"/>
    <w:rsid w:val="00AD2538"/>
    <w:rsid w:val="00AF5701"/>
    <w:rsid w:val="00AF70DB"/>
    <w:rsid w:val="00B072B1"/>
    <w:rsid w:val="00B22372"/>
    <w:rsid w:val="00B22FFD"/>
    <w:rsid w:val="00B531D9"/>
    <w:rsid w:val="00B77306"/>
    <w:rsid w:val="00BE453A"/>
    <w:rsid w:val="00BF7138"/>
    <w:rsid w:val="00C1712D"/>
    <w:rsid w:val="00C43BE1"/>
    <w:rsid w:val="00C471A4"/>
    <w:rsid w:val="00C65DEE"/>
    <w:rsid w:val="00C84328"/>
    <w:rsid w:val="00C84556"/>
    <w:rsid w:val="00CA216E"/>
    <w:rsid w:val="00CB27CC"/>
    <w:rsid w:val="00CB6344"/>
    <w:rsid w:val="00CC52F2"/>
    <w:rsid w:val="00CD47AD"/>
    <w:rsid w:val="00D97B5C"/>
    <w:rsid w:val="00DA44B3"/>
    <w:rsid w:val="00DC2B3C"/>
    <w:rsid w:val="00DE5F7E"/>
    <w:rsid w:val="00DF4F98"/>
    <w:rsid w:val="00E05B26"/>
    <w:rsid w:val="00E17052"/>
    <w:rsid w:val="00E3233E"/>
    <w:rsid w:val="00E56466"/>
    <w:rsid w:val="00E73BC6"/>
    <w:rsid w:val="00E91DCD"/>
    <w:rsid w:val="00E9691E"/>
    <w:rsid w:val="00EC57C2"/>
    <w:rsid w:val="00EE300D"/>
    <w:rsid w:val="00F00C3C"/>
    <w:rsid w:val="00F43CB3"/>
    <w:rsid w:val="00F44DD4"/>
    <w:rsid w:val="00F62E70"/>
    <w:rsid w:val="00FA4D40"/>
    <w:rsid w:val="00FB0DC6"/>
    <w:rsid w:val="00FB78BA"/>
    <w:rsid w:val="00FC2A6A"/>
    <w:rsid w:val="00FE5D44"/>
    <w:rsid w:val="035E47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E2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99"/>
    <w:qFormat/>
    <w:rsid w:val="006E7E23"/>
    <w:rPr>
      <w:rFonts w:cs="Times New Roman"/>
      <w:color w:val="CC0033"/>
    </w:rPr>
  </w:style>
  <w:style w:type="table" w:styleId="TableGrid">
    <w:name w:val="Table Grid"/>
    <w:basedOn w:val="TableNormal"/>
    <w:uiPriority w:val="99"/>
    <w:rsid w:val="006E7E23"/>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文档正文"/>
    <w:basedOn w:val="Normal"/>
    <w:uiPriority w:val="99"/>
    <w:rsid w:val="006E7E23"/>
    <w:pPr>
      <w:adjustRightInd w:val="0"/>
      <w:spacing w:line="312" w:lineRule="atLeast"/>
      <w:ind w:firstLine="567"/>
      <w:textAlignment w:val="baseline"/>
    </w:pPr>
    <w:rPr>
      <w:rFonts w:ascii="长城仿宋" w:eastAsia="长城仿宋"/>
      <w:kern w:val="0"/>
      <w:sz w:val="28"/>
    </w:rPr>
  </w:style>
  <w:style w:type="paragraph" w:customStyle="1" w:styleId="xl174">
    <w:name w:val="xl174"/>
    <w:basedOn w:val="Normal"/>
    <w:uiPriority w:val="99"/>
    <w:rsid w:val="006E7E23"/>
    <w:pPr>
      <w:widowControl/>
      <w:pBdr>
        <w:left w:val="single" w:sz="8" w:space="0" w:color="auto"/>
      </w:pBdr>
      <w:spacing w:before="100" w:beforeAutospacing="1" w:after="100" w:afterAutospacing="1"/>
      <w:jc w:val="center"/>
      <w:textAlignment w:val="center"/>
    </w:pPr>
    <w:rPr>
      <w:rFonts w:ascii="宋体" w:hAnsi="宋体" w:cs="Arial Unicode MS"/>
      <w:b/>
      <w:bCs/>
      <w:kern w:val="0"/>
      <w:sz w:val="24"/>
      <w:szCs w:val="24"/>
    </w:rPr>
  </w:style>
  <w:style w:type="paragraph" w:styleId="Header">
    <w:name w:val="header"/>
    <w:basedOn w:val="Normal"/>
    <w:link w:val="HeaderChar"/>
    <w:uiPriority w:val="99"/>
    <w:rsid w:val="002F128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F128E"/>
    <w:rPr>
      <w:rFonts w:cs="Times New Roman"/>
      <w:kern w:val="2"/>
      <w:sz w:val="18"/>
      <w:szCs w:val="18"/>
    </w:rPr>
  </w:style>
  <w:style w:type="paragraph" w:styleId="Footer">
    <w:name w:val="footer"/>
    <w:basedOn w:val="Normal"/>
    <w:link w:val="FooterChar"/>
    <w:uiPriority w:val="99"/>
    <w:rsid w:val="002F128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F128E"/>
    <w:rPr>
      <w:rFonts w:cs="Times New Roman"/>
      <w:kern w:val="2"/>
      <w:sz w:val="18"/>
      <w:szCs w:val="18"/>
    </w:rPr>
  </w:style>
  <w:style w:type="paragraph" w:styleId="ListParagraph">
    <w:name w:val="List Paragraph"/>
    <w:basedOn w:val="Normal"/>
    <w:uiPriority w:val="99"/>
    <w:qFormat/>
    <w:rsid w:val="006F433B"/>
    <w:pPr>
      <w:ind w:firstLineChars="200" w:firstLine="420"/>
    </w:pPr>
  </w:style>
  <w:style w:type="character" w:customStyle="1" w:styleId="font71">
    <w:name w:val="font71"/>
    <w:basedOn w:val="DefaultParagraphFont"/>
    <w:uiPriority w:val="99"/>
    <w:rsid w:val="006C27DE"/>
    <w:rPr>
      <w:rFonts w:ascii="方正仿宋_GBK" w:eastAsia="方正仿宋_GBK" w:hAnsi="方正仿宋_GBK" w:cs="方正仿宋_GBK"/>
      <w:color w:val="000000"/>
      <w:sz w:val="20"/>
      <w:szCs w:val="20"/>
      <w:u w:val="none"/>
    </w:rPr>
  </w:style>
  <w:style w:type="character" w:customStyle="1" w:styleId="font31">
    <w:name w:val="font31"/>
    <w:basedOn w:val="DefaultParagraphFont"/>
    <w:uiPriority w:val="99"/>
    <w:rsid w:val="006C27DE"/>
    <w:rPr>
      <w:rFonts w:ascii="Times New Roman" w:hAnsi="Times New Roman" w:cs="Times New Roman"/>
      <w:color w:val="000000"/>
      <w:sz w:val="20"/>
      <w:szCs w:val="2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2</Pages>
  <Words>105</Words>
  <Characters>605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Administrator.BV88XMLU2OSR5FZ</dc:creator>
  <cp:keywords/>
  <dc:description/>
  <cp:lastModifiedBy>AutoBVT</cp:lastModifiedBy>
  <cp:revision>66</cp:revision>
  <dcterms:created xsi:type="dcterms:W3CDTF">2014-10-29T12:08:00Z</dcterms:created>
  <dcterms:modified xsi:type="dcterms:W3CDTF">2023-11-01T07:53:00Z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