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1B" w:rsidRDefault="00F943C6">
      <w:pPr>
        <w:ind w:firstLineChars="0" w:firstLine="0"/>
        <w:jc w:val="center"/>
        <w:rPr>
          <w:b/>
          <w:bCs/>
          <w:sz w:val="44"/>
          <w:szCs w:val="44"/>
        </w:rPr>
      </w:pPr>
      <w:r>
        <w:rPr>
          <w:rFonts w:hint="eastAsia"/>
          <w:b/>
          <w:bCs/>
          <w:sz w:val="44"/>
          <w:szCs w:val="44"/>
        </w:rPr>
        <w:t>防爆照明箱技术要求</w:t>
      </w:r>
    </w:p>
    <w:p w:rsidR="00941F1B" w:rsidRDefault="00941F1B">
      <w:pPr>
        <w:tabs>
          <w:tab w:val="left" w:pos="1560"/>
        </w:tabs>
        <w:spacing w:line="400" w:lineRule="atLeast"/>
        <w:ind w:firstLineChars="0" w:firstLine="0"/>
        <w:rPr>
          <w:rFonts w:ascii="宋体" w:hAnsi="宋体"/>
          <w:szCs w:val="21"/>
        </w:rPr>
      </w:pPr>
    </w:p>
    <w:p w:rsidR="00941F1B" w:rsidRDefault="00F943C6">
      <w:pPr>
        <w:tabs>
          <w:tab w:val="left" w:pos="1560"/>
        </w:tabs>
        <w:spacing w:line="400" w:lineRule="atLeast"/>
        <w:ind w:firstLineChars="0" w:firstLine="0"/>
        <w:rPr>
          <w:rFonts w:ascii="宋体" w:hAnsi="宋体"/>
          <w:szCs w:val="21"/>
        </w:rPr>
      </w:pPr>
      <w:r>
        <w:rPr>
          <w:rFonts w:ascii="宋体" w:hAnsi="宋体" w:hint="eastAsia"/>
          <w:szCs w:val="21"/>
        </w:rPr>
        <w:t>1.</w:t>
      </w:r>
      <w:r>
        <w:rPr>
          <w:rFonts w:ascii="宋体" w:hAnsi="宋体" w:hint="eastAsia"/>
          <w:szCs w:val="21"/>
        </w:rPr>
        <w:t>额定电压：</w:t>
      </w:r>
      <w:r>
        <w:rPr>
          <w:rFonts w:ascii="宋体" w:hAnsi="宋体" w:hint="eastAsia"/>
          <w:szCs w:val="21"/>
        </w:rPr>
        <w:t>220V/380V AC</w:t>
      </w:r>
    </w:p>
    <w:p w:rsidR="00941F1B" w:rsidRDefault="00F943C6">
      <w:pPr>
        <w:tabs>
          <w:tab w:val="left" w:pos="1560"/>
        </w:tabs>
        <w:spacing w:line="400" w:lineRule="atLeast"/>
        <w:ind w:firstLineChars="0" w:firstLine="0"/>
        <w:rPr>
          <w:rFonts w:ascii="宋体" w:hAnsi="宋体"/>
          <w:szCs w:val="21"/>
        </w:rPr>
      </w:pPr>
      <w:r>
        <w:rPr>
          <w:rFonts w:ascii="宋体" w:hAnsi="宋体" w:hint="eastAsia"/>
          <w:szCs w:val="21"/>
        </w:rPr>
        <w:t>2.</w:t>
      </w:r>
      <w:r>
        <w:rPr>
          <w:rFonts w:ascii="宋体" w:hAnsi="宋体" w:hint="eastAsia"/>
          <w:szCs w:val="21"/>
        </w:rPr>
        <w:t>防爆、防护、防腐等级：</w:t>
      </w:r>
      <w:r>
        <w:rPr>
          <w:rFonts w:ascii="宋体" w:hAnsi="宋体" w:hint="eastAsia"/>
          <w:szCs w:val="21"/>
        </w:rPr>
        <w:t xml:space="preserve"> </w:t>
      </w:r>
      <w:proofErr w:type="spellStart"/>
      <w:r>
        <w:rPr>
          <w:rFonts w:ascii="宋体" w:hAnsi="宋体" w:hint="eastAsia"/>
          <w:szCs w:val="21"/>
        </w:rPr>
        <w:t>Exde</w:t>
      </w:r>
      <w:proofErr w:type="spellEnd"/>
      <w:r>
        <w:rPr>
          <w:rFonts w:ascii="宋体" w:hAnsi="宋体" w:hint="eastAsia"/>
          <w:szCs w:val="21"/>
        </w:rPr>
        <w:t>Ⅱ</w:t>
      </w:r>
      <w:r>
        <w:rPr>
          <w:rFonts w:ascii="宋体" w:hAnsi="宋体" w:hint="eastAsia"/>
          <w:szCs w:val="21"/>
        </w:rPr>
        <w:t xml:space="preserve">CT6 </w:t>
      </w:r>
      <w:r w:rsidRPr="00C81CA2">
        <w:rPr>
          <w:rFonts w:ascii="宋体" w:hAnsi="宋体" w:hint="eastAsia"/>
          <w:szCs w:val="21"/>
        </w:rPr>
        <w:t>IP66</w:t>
      </w:r>
      <w:r>
        <w:rPr>
          <w:rFonts w:ascii="宋体" w:hAnsi="宋体" w:hint="eastAsia"/>
          <w:szCs w:val="21"/>
        </w:rPr>
        <w:t xml:space="preserve"> </w:t>
      </w:r>
      <w:r w:rsidRPr="00C81CA2">
        <w:rPr>
          <w:rFonts w:ascii="宋体" w:hAnsi="宋体" w:hint="eastAsia"/>
          <w:szCs w:val="21"/>
        </w:rPr>
        <w:t>防腐等级</w:t>
      </w:r>
      <w:r w:rsidRPr="00C81CA2">
        <w:rPr>
          <w:rFonts w:ascii="宋体" w:hAnsi="宋体" w:hint="eastAsia"/>
          <w:szCs w:val="21"/>
        </w:rPr>
        <w:t xml:space="preserve">WF2 </w:t>
      </w:r>
      <w:r>
        <w:rPr>
          <w:rFonts w:ascii="宋体" w:hAnsi="宋体" w:hint="eastAsia"/>
          <w:szCs w:val="21"/>
        </w:rPr>
        <w:t xml:space="preserve">                 </w:t>
      </w:r>
    </w:p>
    <w:p w:rsidR="00941F1B" w:rsidRPr="00C81CA2" w:rsidRDefault="00F943C6">
      <w:pPr>
        <w:tabs>
          <w:tab w:val="left" w:pos="1560"/>
        </w:tabs>
        <w:spacing w:line="400" w:lineRule="atLeast"/>
        <w:ind w:firstLineChars="0" w:firstLine="0"/>
        <w:rPr>
          <w:rFonts w:ascii="宋体" w:hAnsi="宋体"/>
          <w:szCs w:val="21"/>
        </w:rPr>
      </w:pPr>
      <w:r>
        <w:rPr>
          <w:rFonts w:ascii="宋体" w:hAnsi="宋体" w:hint="eastAsia"/>
          <w:szCs w:val="21"/>
        </w:rPr>
        <w:t>3.</w:t>
      </w:r>
      <w:r w:rsidRPr="00C81CA2">
        <w:rPr>
          <w:rFonts w:ascii="宋体" w:hAnsi="宋体" w:hint="eastAsia"/>
          <w:szCs w:val="21"/>
        </w:rPr>
        <w:t>额定电流：</w:t>
      </w:r>
      <w:r w:rsidRPr="00C81CA2">
        <w:rPr>
          <w:rFonts w:ascii="宋体" w:hAnsi="宋体" w:hint="eastAsia"/>
          <w:szCs w:val="21"/>
        </w:rPr>
        <w:t>40A</w:t>
      </w:r>
    </w:p>
    <w:p w:rsidR="00941F1B" w:rsidRPr="00C81CA2" w:rsidRDefault="00F943C6">
      <w:pPr>
        <w:pStyle w:val="a7"/>
        <w:spacing w:line="400" w:lineRule="atLeast"/>
        <w:ind w:firstLineChars="0" w:firstLine="0"/>
        <w:rPr>
          <w:rFonts w:ascii="宋体" w:hAnsi="宋体"/>
          <w:szCs w:val="21"/>
        </w:rPr>
      </w:pPr>
      <w:r w:rsidRPr="00C81CA2">
        <w:rPr>
          <w:rFonts w:ascii="宋体" w:hAnsi="宋体" w:hint="eastAsia"/>
          <w:szCs w:val="21"/>
        </w:rPr>
        <w:t>4.</w:t>
      </w:r>
      <w:r w:rsidRPr="00C81CA2">
        <w:rPr>
          <w:rFonts w:ascii="宋体" w:hAnsi="宋体" w:hint="eastAsia"/>
          <w:szCs w:val="21"/>
        </w:rPr>
        <w:t>所有检修箱壳体均采用铸铝材质，</w:t>
      </w:r>
      <w:r w:rsidRPr="00C81CA2">
        <w:rPr>
          <w:rFonts w:ascii="宋体" w:hAnsi="宋体"/>
          <w:szCs w:val="21"/>
        </w:rPr>
        <w:t>产品均要求经钢模</w:t>
      </w:r>
      <w:r w:rsidRPr="00C81CA2">
        <w:rPr>
          <w:rFonts w:ascii="宋体" w:hAnsi="宋体" w:hint="eastAsia"/>
          <w:szCs w:val="21"/>
        </w:rPr>
        <w:t>高压</w:t>
      </w:r>
      <w:r w:rsidRPr="00C81CA2">
        <w:rPr>
          <w:rFonts w:ascii="宋体" w:hAnsi="宋体"/>
          <w:szCs w:val="21"/>
        </w:rPr>
        <w:t>铸</w:t>
      </w:r>
      <w:r w:rsidRPr="00C81CA2">
        <w:rPr>
          <w:rFonts w:ascii="宋体" w:hAnsi="宋体" w:hint="eastAsia"/>
          <w:szCs w:val="21"/>
        </w:rPr>
        <w:t>造</w:t>
      </w:r>
      <w:r w:rsidRPr="00C81CA2">
        <w:rPr>
          <w:rFonts w:ascii="宋体" w:hAnsi="宋体"/>
          <w:szCs w:val="21"/>
        </w:rPr>
        <w:t>成型，抗冲击能量不小于</w:t>
      </w:r>
      <w:r w:rsidRPr="00C81CA2">
        <w:rPr>
          <w:rFonts w:ascii="宋体" w:hAnsi="宋体"/>
          <w:szCs w:val="21"/>
        </w:rPr>
        <w:t>7</w:t>
      </w:r>
      <w:r w:rsidRPr="00C81CA2">
        <w:rPr>
          <w:rFonts w:ascii="宋体" w:hAnsi="宋体" w:hint="eastAsia"/>
          <w:szCs w:val="21"/>
        </w:rPr>
        <w:t>焦耳；隔爆壳体壁厚不小于</w:t>
      </w:r>
      <w:r w:rsidRPr="00C81CA2">
        <w:rPr>
          <w:rFonts w:ascii="宋体" w:hAnsi="宋体" w:hint="eastAsia"/>
          <w:szCs w:val="21"/>
        </w:rPr>
        <w:t>8mm,</w:t>
      </w:r>
      <w:r w:rsidRPr="00C81CA2">
        <w:rPr>
          <w:rFonts w:ascii="宋体" w:hAnsi="宋体"/>
          <w:szCs w:val="21"/>
        </w:rPr>
        <w:t>表面经过高速抛丸后高压静电喷塑，具有较强的防腐蚀能力，</w:t>
      </w:r>
      <w:r w:rsidRPr="00C81CA2">
        <w:rPr>
          <w:rFonts w:ascii="宋体" w:hAnsi="宋体" w:hint="eastAsia"/>
          <w:szCs w:val="21"/>
        </w:rPr>
        <w:t>铸铝合金</w:t>
      </w:r>
      <w:proofErr w:type="gramStart"/>
      <w:r w:rsidRPr="00C81CA2">
        <w:rPr>
          <w:rFonts w:ascii="宋体" w:hAnsi="宋体"/>
          <w:szCs w:val="21"/>
        </w:rPr>
        <w:t>材质需</w:t>
      </w:r>
      <w:proofErr w:type="gramEnd"/>
      <w:r w:rsidRPr="00C81CA2">
        <w:rPr>
          <w:rFonts w:ascii="宋体" w:hAnsi="宋体"/>
          <w:szCs w:val="21"/>
        </w:rPr>
        <w:t>提供原厂家的材质检测报告</w:t>
      </w:r>
      <w:r w:rsidRPr="00C81CA2">
        <w:rPr>
          <w:rFonts w:ascii="宋体" w:hAnsi="宋体" w:hint="eastAsia"/>
          <w:szCs w:val="21"/>
        </w:rPr>
        <w:t>；</w:t>
      </w:r>
    </w:p>
    <w:p w:rsidR="00941F1B" w:rsidRDefault="00F943C6">
      <w:pPr>
        <w:pStyle w:val="a7"/>
        <w:spacing w:line="400" w:lineRule="atLeast"/>
        <w:ind w:firstLineChars="0" w:firstLine="0"/>
        <w:rPr>
          <w:rFonts w:ascii="宋体" w:hAnsi="宋体"/>
          <w:szCs w:val="21"/>
        </w:rPr>
      </w:pPr>
      <w:r w:rsidRPr="00C81CA2">
        <w:rPr>
          <w:rFonts w:ascii="宋体" w:hAnsi="宋体" w:hint="eastAsia"/>
          <w:szCs w:val="21"/>
        </w:rPr>
        <w:t>5.</w:t>
      </w:r>
      <w:r w:rsidRPr="00C81CA2">
        <w:rPr>
          <w:rFonts w:ascii="宋体" w:hAnsi="宋体" w:hint="eastAsia"/>
          <w:szCs w:val="21"/>
        </w:rPr>
        <w:t>防爆照明</w:t>
      </w:r>
      <w:proofErr w:type="gramStart"/>
      <w:r w:rsidRPr="00C81CA2">
        <w:rPr>
          <w:rFonts w:ascii="宋体" w:hAnsi="宋体" w:hint="eastAsia"/>
          <w:szCs w:val="21"/>
        </w:rPr>
        <w:t>箱整体</w:t>
      </w:r>
      <w:proofErr w:type="gramEnd"/>
      <w:r w:rsidRPr="00C81CA2">
        <w:rPr>
          <w:rFonts w:ascii="宋体" w:hAnsi="宋体" w:hint="eastAsia"/>
          <w:szCs w:val="21"/>
        </w:rPr>
        <w:t>为复合型防爆结构，</w:t>
      </w:r>
      <w:r w:rsidRPr="00C81CA2">
        <w:rPr>
          <w:rFonts w:ascii="宋体" w:hAnsi="宋体" w:hint="eastAsia"/>
          <w:szCs w:val="21"/>
        </w:rPr>
        <w:t>采用</w:t>
      </w:r>
      <w:r w:rsidRPr="00C81CA2">
        <w:rPr>
          <w:rFonts w:ascii="宋体" w:hAnsi="宋体"/>
          <w:szCs w:val="21"/>
        </w:rPr>
        <w:t>模块结构，任意组合各种形式，各种回路可以自由选择</w:t>
      </w:r>
      <w:r w:rsidRPr="00C81CA2">
        <w:rPr>
          <w:rFonts w:ascii="宋体" w:hAnsi="宋体" w:hint="eastAsia"/>
          <w:szCs w:val="21"/>
        </w:rPr>
        <w:t>；</w:t>
      </w:r>
    </w:p>
    <w:p w:rsidR="00941F1B" w:rsidRPr="00C81CA2" w:rsidRDefault="00F943C6">
      <w:pPr>
        <w:pStyle w:val="a7"/>
        <w:spacing w:line="400" w:lineRule="atLeast"/>
        <w:ind w:firstLineChars="0" w:firstLine="0"/>
        <w:rPr>
          <w:rFonts w:ascii="宋体" w:hAnsi="宋体"/>
          <w:szCs w:val="21"/>
        </w:rPr>
      </w:pPr>
      <w:r w:rsidRPr="00C81CA2">
        <w:rPr>
          <w:rFonts w:ascii="宋体" w:hAnsi="宋体" w:hint="eastAsia"/>
          <w:szCs w:val="21"/>
        </w:rPr>
        <w:t>6.</w:t>
      </w:r>
      <w:r w:rsidRPr="00C81CA2">
        <w:rPr>
          <w:rFonts w:ascii="宋体" w:hAnsi="宋体" w:hint="eastAsia"/>
          <w:szCs w:val="21"/>
        </w:rPr>
        <w:t>防爆</w:t>
      </w:r>
      <w:proofErr w:type="gramStart"/>
      <w:r w:rsidRPr="00C81CA2">
        <w:rPr>
          <w:rFonts w:ascii="宋体" w:hAnsi="宋体" w:hint="eastAsia"/>
          <w:szCs w:val="21"/>
        </w:rPr>
        <w:t>照明箱线总</w:t>
      </w:r>
      <w:proofErr w:type="gramEnd"/>
      <w:r w:rsidRPr="00C81CA2">
        <w:rPr>
          <w:rFonts w:ascii="宋体" w:hAnsi="宋体" w:hint="eastAsia"/>
          <w:szCs w:val="21"/>
        </w:rPr>
        <w:t>电路电源线采用电缆，</w:t>
      </w:r>
      <w:r w:rsidRPr="00C81CA2">
        <w:rPr>
          <w:rFonts w:ascii="宋体" w:hAnsi="宋体" w:hint="eastAsia"/>
          <w:szCs w:val="21"/>
        </w:rPr>
        <w:t>配电箱</w:t>
      </w:r>
      <w:proofErr w:type="gramStart"/>
      <w:r w:rsidRPr="00C81CA2">
        <w:rPr>
          <w:rFonts w:ascii="宋体" w:hAnsi="宋体" w:hint="eastAsia"/>
          <w:szCs w:val="21"/>
        </w:rPr>
        <w:t>进线端均要求</w:t>
      </w:r>
      <w:proofErr w:type="gramEnd"/>
      <w:r w:rsidRPr="00C81CA2">
        <w:rPr>
          <w:rFonts w:ascii="宋体" w:hAnsi="宋体" w:hint="eastAsia"/>
          <w:szCs w:val="21"/>
        </w:rPr>
        <w:t>加装浪涌保护器，</w:t>
      </w:r>
      <w:r w:rsidRPr="00C81CA2">
        <w:rPr>
          <w:rFonts w:ascii="宋体" w:hAnsi="宋体" w:hint="eastAsia"/>
          <w:szCs w:val="21"/>
        </w:rPr>
        <w:t>出线回路采用接线端子；</w:t>
      </w:r>
      <w:r w:rsidRPr="00C81CA2">
        <w:rPr>
          <w:rFonts w:ascii="宋体" w:hAnsi="宋体"/>
          <w:szCs w:val="21"/>
        </w:rPr>
        <w:t>所有接线端子</w:t>
      </w:r>
      <w:r w:rsidRPr="00C81CA2">
        <w:rPr>
          <w:rFonts w:ascii="宋体" w:hAnsi="宋体" w:hint="eastAsia"/>
          <w:szCs w:val="21"/>
        </w:rPr>
        <w:t>均为</w:t>
      </w:r>
      <w:r w:rsidRPr="00C81CA2">
        <w:rPr>
          <w:rFonts w:ascii="宋体" w:hAnsi="宋体"/>
          <w:szCs w:val="21"/>
        </w:rPr>
        <w:t>魏德米勒</w:t>
      </w:r>
      <w:r w:rsidRPr="00C81CA2">
        <w:rPr>
          <w:rFonts w:ascii="宋体" w:hAnsi="宋体" w:hint="eastAsia"/>
          <w:szCs w:val="21"/>
        </w:rPr>
        <w:t>或菲尼克斯品牌，设备内部需预备</w:t>
      </w:r>
      <w:r w:rsidRPr="00C81CA2">
        <w:rPr>
          <w:rFonts w:ascii="宋体" w:hAnsi="宋体" w:hint="eastAsia"/>
          <w:szCs w:val="21"/>
        </w:rPr>
        <w:t>20%</w:t>
      </w:r>
      <w:r w:rsidRPr="00C81CA2">
        <w:rPr>
          <w:rFonts w:ascii="宋体" w:hAnsi="宋体" w:hint="eastAsia"/>
          <w:szCs w:val="21"/>
        </w:rPr>
        <w:t>备用端子；接线端子应有相应的编号；</w:t>
      </w:r>
    </w:p>
    <w:p w:rsidR="00941F1B" w:rsidRPr="00C81CA2" w:rsidRDefault="00F943C6">
      <w:pPr>
        <w:pStyle w:val="a7"/>
        <w:spacing w:line="400" w:lineRule="atLeast"/>
        <w:ind w:firstLineChars="0" w:firstLine="0"/>
        <w:rPr>
          <w:rFonts w:ascii="宋体" w:hAnsi="宋体"/>
          <w:szCs w:val="21"/>
        </w:rPr>
      </w:pPr>
      <w:r w:rsidRPr="00C81CA2">
        <w:rPr>
          <w:rFonts w:ascii="宋体" w:hAnsi="宋体" w:hint="eastAsia"/>
          <w:szCs w:val="21"/>
        </w:rPr>
        <w:t>7.</w:t>
      </w:r>
      <w:r w:rsidRPr="00C81CA2">
        <w:rPr>
          <w:rFonts w:ascii="宋体" w:hAnsi="宋体" w:hint="eastAsia"/>
          <w:szCs w:val="21"/>
        </w:rPr>
        <w:t>所有进线和配出线回路的出口尺寸及样式应与详细设计的电缆型号与截面或配管的尺寸相适应；</w:t>
      </w:r>
    </w:p>
    <w:p w:rsidR="00941F1B" w:rsidRPr="00C81CA2" w:rsidRDefault="00F943C6">
      <w:pPr>
        <w:pStyle w:val="a7"/>
        <w:spacing w:line="400" w:lineRule="atLeast"/>
        <w:ind w:firstLineChars="0" w:firstLine="0"/>
        <w:rPr>
          <w:rFonts w:ascii="宋体" w:hAnsi="宋体"/>
          <w:szCs w:val="21"/>
        </w:rPr>
      </w:pPr>
      <w:r w:rsidRPr="00C81CA2">
        <w:rPr>
          <w:rFonts w:ascii="宋体" w:hAnsi="宋体" w:hint="eastAsia"/>
          <w:szCs w:val="21"/>
        </w:rPr>
        <w:t>8.</w:t>
      </w:r>
      <w:r w:rsidRPr="00C81CA2">
        <w:rPr>
          <w:rFonts w:ascii="宋体" w:hAnsi="宋体" w:hint="eastAsia"/>
          <w:szCs w:val="21"/>
        </w:rPr>
        <w:t>配电箱为壁挂式安装；</w:t>
      </w:r>
    </w:p>
    <w:p w:rsidR="00941F1B" w:rsidRPr="00C81CA2" w:rsidRDefault="00F943C6">
      <w:pPr>
        <w:pStyle w:val="a7"/>
        <w:spacing w:line="400" w:lineRule="atLeast"/>
        <w:ind w:firstLineChars="0" w:firstLine="0"/>
        <w:rPr>
          <w:rFonts w:ascii="宋体" w:hAnsi="宋体"/>
          <w:szCs w:val="21"/>
        </w:rPr>
      </w:pPr>
      <w:r w:rsidRPr="00C81CA2">
        <w:rPr>
          <w:rFonts w:ascii="宋体" w:hAnsi="宋体" w:hint="eastAsia"/>
          <w:szCs w:val="21"/>
        </w:rPr>
        <w:t>9.</w:t>
      </w:r>
      <w:r w:rsidRPr="00C81CA2">
        <w:rPr>
          <w:rFonts w:ascii="宋体" w:hAnsi="宋体" w:hint="eastAsia"/>
          <w:szCs w:val="21"/>
        </w:rPr>
        <w:t>防爆配电</w:t>
      </w:r>
      <w:proofErr w:type="gramStart"/>
      <w:r w:rsidRPr="00C81CA2">
        <w:rPr>
          <w:rFonts w:ascii="宋体" w:hAnsi="宋体" w:hint="eastAsia"/>
          <w:szCs w:val="21"/>
        </w:rPr>
        <w:t>箱所有</w:t>
      </w:r>
      <w:proofErr w:type="gramEnd"/>
      <w:r w:rsidRPr="00C81CA2">
        <w:rPr>
          <w:rFonts w:ascii="宋体" w:hAnsi="宋体" w:hint="eastAsia"/>
          <w:szCs w:val="21"/>
        </w:rPr>
        <w:t>进出线回路必须配置相应的防爆</w:t>
      </w:r>
      <w:r w:rsidRPr="00C81CA2">
        <w:rPr>
          <w:rFonts w:ascii="宋体" w:hAnsi="宋体" w:hint="eastAsia"/>
          <w:szCs w:val="21"/>
        </w:rPr>
        <w:t>LED</w:t>
      </w:r>
      <w:r w:rsidRPr="00C81CA2">
        <w:rPr>
          <w:rFonts w:ascii="宋体" w:hAnsi="宋体" w:hint="eastAsia"/>
          <w:szCs w:val="21"/>
        </w:rPr>
        <w:t>指示灯；</w:t>
      </w:r>
    </w:p>
    <w:p w:rsidR="00941F1B" w:rsidRPr="00C81CA2" w:rsidRDefault="00F943C6">
      <w:pPr>
        <w:pStyle w:val="a7"/>
        <w:spacing w:line="400" w:lineRule="atLeast"/>
        <w:ind w:firstLineChars="0" w:firstLine="0"/>
        <w:rPr>
          <w:rFonts w:ascii="宋体" w:hAnsi="宋体"/>
          <w:szCs w:val="21"/>
        </w:rPr>
      </w:pPr>
      <w:r w:rsidRPr="00C81CA2">
        <w:rPr>
          <w:rFonts w:ascii="宋体" w:hAnsi="宋体" w:hint="eastAsia"/>
          <w:szCs w:val="21"/>
        </w:rPr>
        <w:t>10.</w:t>
      </w:r>
      <w:r w:rsidRPr="00C81CA2">
        <w:rPr>
          <w:rFonts w:ascii="宋体" w:hAnsi="宋体" w:hint="eastAsia"/>
          <w:szCs w:val="21"/>
        </w:rPr>
        <w:t>进出线回路面板需采用永久性金属标识牌，标识内容含有开关型号、回路名称等参数，便于识别；</w:t>
      </w:r>
    </w:p>
    <w:p w:rsidR="00941F1B" w:rsidRPr="00C81CA2" w:rsidRDefault="00F943C6">
      <w:pPr>
        <w:pStyle w:val="a7"/>
        <w:spacing w:line="400" w:lineRule="atLeast"/>
        <w:ind w:firstLineChars="0" w:firstLine="0"/>
        <w:rPr>
          <w:rFonts w:ascii="宋体" w:hAnsi="宋体"/>
          <w:szCs w:val="21"/>
        </w:rPr>
      </w:pPr>
      <w:r w:rsidRPr="00C81CA2">
        <w:rPr>
          <w:rFonts w:ascii="宋体" w:hAnsi="宋体" w:hint="eastAsia"/>
          <w:szCs w:val="21"/>
        </w:rPr>
        <w:t>11.</w:t>
      </w:r>
      <w:r w:rsidRPr="00C81CA2">
        <w:rPr>
          <w:rFonts w:ascii="宋体" w:hAnsi="宋体" w:hint="eastAsia"/>
          <w:szCs w:val="21"/>
        </w:rPr>
        <w:t>各种操作把手、操作机构各配</w:t>
      </w:r>
      <w:r w:rsidRPr="00C81CA2">
        <w:rPr>
          <w:rFonts w:ascii="宋体" w:hAnsi="宋体" w:hint="eastAsia"/>
          <w:szCs w:val="21"/>
        </w:rPr>
        <w:t>5</w:t>
      </w:r>
      <w:r w:rsidRPr="00C81CA2">
        <w:rPr>
          <w:rFonts w:ascii="宋体" w:hAnsi="宋体" w:hint="eastAsia"/>
          <w:szCs w:val="21"/>
        </w:rPr>
        <w:t>套。</w:t>
      </w:r>
    </w:p>
    <w:p w:rsidR="00941F1B" w:rsidRPr="00C81CA2" w:rsidRDefault="00F943C6">
      <w:pPr>
        <w:pStyle w:val="a7"/>
        <w:spacing w:line="400" w:lineRule="atLeast"/>
        <w:ind w:firstLineChars="0" w:firstLine="0"/>
        <w:rPr>
          <w:rFonts w:ascii="宋体" w:hAnsi="宋体"/>
          <w:szCs w:val="21"/>
        </w:rPr>
      </w:pPr>
      <w:r w:rsidRPr="00C81CA2">
        <w:rPr>
          <w:rFonts w:ascii="宋体" w:hAnsi="宋体" w:hint="eastAsia"/>
          <w:szCs w:val="21"/>
        </w:rPr>
        <w:t>12.</w:t>
      </w:r>
      <w:r w:rsidRPr="00C81CA2">
        <w:rPr>
          <w:rFonts w:ascii="宋体" w:hAnsi="宋体" w:hint="eastAsia"/>
          <w:szCs w:val="21"/>
        </w:rPr>
        <w:t>断路器选用</w:t>
      </w:r>
      <w:r w:rsidRPr="00C81CA2">
        <w:rPr>
          <w:rFonts w:ascii="宋体" w:hAnsi="宋体" w:hint="eastAsia"/>
          <w:szCs w:val="21"/>
        </w:rPr>
        <w:t>ABB</w:t>
      </w:r>
      <w:r w:rsidRPr="00C81CA2">
        <w:rPr>
          <w:rFonts w:ascii="宋体" w:hAnsi="宋体" w:hint="eastAsia"/>
          <w:szCs w:val="21"/>
        </w:rPr>
        <w:t>或施耐德</w:t>
      </w:r>
    </w:p>
    <w:p w:rsidR="00941F1B" w:rsidRPr="00C81CA2" w:rsidRDefault="00F943C6">
      <w:pPr>
        <w:pStyle w:val="a7"/>
        <w:spacing w:line="400" w:lineRule="atLeast"/>
        <w:ind w:firstLineChars="0" w:firstLine="0"/>
        <w:rPr>
          <w:rFonts w:ascii="宋体" w:hAnsi="宋体"/>
          <w:szCs w:val="21"/>
        </w:rPr>
      </w:pPr>
      <w:r w:rsidRPr="00C81CA2">
        <w:rPr>
          <w:rFonts w:ascii="宋体" w:hAnsi="宋体" w:hint="eastAsia"/>
          <w:szCs w:val="21"/>
        </w:rPr>
        <w:t>13.</w:t>
      </w:r>
      <w:r w:rsidRPr="00C81CA2">
        <w:rPr>
          <w:rFonts w:ascii="宋体" w:hAnsi="宋体" w:hint="eastAsia"/>
          <w:szCs w:val="21"/>
        </w:rPr>
        <w:t>所有进线和配出线回路的出口尺寸及样式应与详细设计的电缆型号与截面或配管的尺寸相适应；所有进出线口均为下进下出。</w:t>
      </w:r>
    </w:p>
    <w:p w:rsidR="00941F1B" w:rsidRPr="00C81CA2" w:rsidRDefault="00F943C6">
      <w:pPr>
        <w:tabs>
          <w:tab w:val="left" w:pos="1560"/>
        </w:tabs>
        <w:ind w:firstLineChars="0" w:firstLine="0"/>
        <w:rPr>
          <w:rFonts w:ascii="宋体" w:hAnsi="宋体"/>
          <w:szCs w:val="21"/>
        </w:rPr>
      </w:pPr>
      <w:r w:rsidRPr="00C81CA2">
        <w:rPr>
          <w:rFonts w:ascii="宋体" w:hAnsi="宋体" w:hint="eastAsia"/>
          <w:szCs w:val="21"/>
        </w:rPr>
        <w:t>14.</w:t>
      </w:r>
      <w:r w:rsidRPr="00C81CA2">
        <w:rPr>
          <w:rFonts w:ascii="宋体" w:hAnsi="宋体" w:hint="eastAsia"/>
          <w:szCs w:val="21"/>
        </w:rPr>
        <w:t>需配备防雨罩。</w:t>
      </w:r>
    </w:p>
    <w:p w:rsidR="00941F1B" w:rsidRPr="00C81CA2" w:rsidRDefault="00F943C6">
      <w:pPr>
        <w:tabs>
          <w:tab w:val="left" w:pos="1560"/>
        </w:tabs>
        <w:ind w:firstLineChars="0" w:firstLine="0"/>
        <w:rPr>
          <w:rFonts w:ascii="宋体" w:hAnsi="宋体"/>
          <w:szCs w:val="21"/>
        </w:rPr>
      </w:pPr>
      <w:r w:rsidRPr="00C81CA2">
        <w:rPr>
          <w:rFonts w:ascii="宋体" w:hAnsi="宋体" w:hint="eastAsia"/>
          <w:szCs w:val="21"/>
        </w:rPr>
        <w:t>15.</w:t>
      </w:r>
      <w:r w:rsidRPr="00C81CA2">
        <w:rPr>
          <w:rFonts w:ascii="宋体" w:hAnsi="宋体" w:hint="eastAsia"/>
          <w:szCs w:val="21"/>
        </w:rPr>
        <w:t>中标单位中标后需出图给本单位审核后才可生产。</w:t>
      </w:r>
    </w:p>
    <w:p w:rsidR="00941F1B" w:rsidRPr="00C81CA2" w:rsidRDefault="00F943C6">
      <w:pPr>
        <w:tabs>
          <w:tab w:val="left" w:pos="1560"/>
        </w:tabs>
        <w:ind w:firstLineChars="0" w:firstLine="0"/>
        <w:rPr>
          <w:rFonts w:ascii="宋体" w:hAnsi="宋体"/>
          <w:szCs w:val="21"/>
        </w:rPr>
      </w:pPr>
      <w:r w:rsidRPr="00C81CA2">
        <w:rPr>
          <w:rFonts w:ascii="宋体" w:hAnsi="宋体" w:hint="eastAsia"/>
          <w:szCs w:val="21"/>
        </w:rPr>
        <w:t>16.</w:t>
      </w:r>
      <w:r w:rsidRPr="00C81CA2">
        <w:rPr>
          <w:rFonts w:ascii="宋体" w:hAnsi="宋体" w:hint="eastAsia"/>
          <w:szCs w:val="21"/>
        </w:rPr>
        <w:t>所有防爆接线盒固定螺丝为</w:t>
      </w:r>
      <w:r w:rsidRPr="00C81CA2">
        <w:rPr>
          <w:rFonts w:ascii="宋体" w:hAnsi="宋体" w:hint="eastAsia"/>
          <w:szCs w:val="21"/>
        </w:rPr>
        <w:t>304</w:t>
      </w:r>
      <w:r w:rsidRPr="00C81CA2">
        <w:rPr>
          <w:rFonts w:ascii="宋体" w:hAnsi="宋体" w:hint="eastAsia"/>
          <w:szCs w:val="21"/>
        </w:rPr>
        <w:t>白锈钢。</w:t>
      </w:r>
    </w:p>
    <w:sectPr w:rsidR="00941F1B" w:rsidRPr="00C81CA2" w:rsidSect="00941F1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3C6" w:rsidRDefault="00F943C6">
      <w:pPr>
        <w:spacing w:line="240" w:lineRule="auto"/>
        <w:ind w:firstLine="480"/>
      </w:pPr>
      <w:r>
        <w:separator/>
      </w:r>
    </w:p>
  </w:endnote>
  <w:endnote w:type="continuationSeparator" w:id="0">
    <w:p w:rsidR="00F943C6" w:rsidRDefault="00F943C6">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1B" w:rsidRDefault="00941F1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1B" w:rsidRDefault="00941F1B">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1B" w:rsidRDefault="00941F1B">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3C6" w:rsidRDefault="00F943C6">
      <w:pPr>
        <w:ind w:firstLine="480"/>
      </w:pPr>
      <w:r>
        <w:separator/>
      </w:r>
    </w:p>
  </w:footnote>
  <w:footnote w:type="continuationSeparator" w:id="0">
    <w:p w:rsidR="00F943C6" w:rsidRDefault="00F943C6">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1B" w:rsidRDefault="00941F1B">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1B" w:rsidRDefault="00941F1B">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1B" w:rsidRDefault="00941F1B">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55D"/>
    <w:multiLevelType w:val="multilevel"/>
    <w:tmpl w:val="02DF5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CCF12F3"/>
    <w:multiLevelType w:val="multilevel"/>
    <w:tmpl w:val="6CCF12F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QyNDU1ZGJhMTUzOTQwMTUwNTlhYzhhODRjYWM5NjEifQ=="/>
  </w:docVars>
  <w:rsids>
    <w:rsidRoot w:val="7EE25E4F"/>
    <w:rsid w:val="002609CE"/>
    <w:rsid w:val="002A7F10"/>
    <w:rsid w:val="00504860"/>
    <w:rsid w:val="007D134E"/>
    <w:rsid w:val="007E20FD"/>
    <w:rsid w:val="00913615"/>
    <w:rsid w:val="009314B9"/>
    <w:rsid w:val="00941F1B"/>
    <w:rsid w:val="00C81CA2"/>
    <w:rsid w:val="00CC5081"/>
    <w:rsid w:val="00DC02C1"/>
    <w:rsid w:val="00F943C6"/>
    <w:rsid w:val="0BF57D89"/>
    <w:rsid w:val="10C54B92"/>
    <w:rsid w:val="297F40BD"/>
    <w:rsid w:val="2A28085E"/>
    <w:rsid w:val="31682C84"/>
    <w:rsid w:val="37AA56E6"/>
    <w:rsid w:val="404F2DEA"/>
    <w:rsid w:val="423B6627"/>
    <w:rsid w:val="465869CB"/>
    <w:rsid w:val="47204D55"/>
    <w:rsid w:val="47CE5141"/>
    <w:rsid w:val="4B256293"/>
    <w:rsid w:val="4D4536F8"/>
    <w:rsid w:val="4F782750"/>
    <w:rsid w:val="5BDC633B"/>
    <w:rsid w:val="626E1A28"/>
    <w:rsid w:val="6A70612A"/>
    <w:rsid w:val="6BE73206"/>
    <w:rsid w:val="6F0D5554"/>
    <w:rsid w:val="7116291C"/>
    <w:rsid w:val="718C5CD4"/>
    <w:rsid w:val="7EE25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1F1B"/>
    <w:pPr>
      <w:widowControl w:val="0"/>
      <w:spacing w:line="360" w:lineRule="auto"/>
      <w:ind w:firstLineChars="200" w:firstLine="42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1F1B"/>
  </w:style>
  <w:style w:type="paragraph" w:styleId="a4">
    <w:name w:val="Balloon Text"/>
    <w:basedOn w:val="a"/>
    <w:link w:val="Char"/>
    <w:autoRedefine/>
    <w:qFormat/>
    <w:rsid w:val="00941F1B"/>
    <w:pPr>
      <w:spacing w:line="240" w:lineRule="auto"/>
    </w:pPr>
    <w:rPr>
      <w:sz w:val="18"/>
      <w:szCs w:val="18"/>
    </w:rPr>
  </w:style>
  <w:style w:type="paragraph" w:styleId="a5">
    <w:name w:val="footer"/>
    <w:basedOn w:val="a"/>
    <w:link w:val="Char0"/>
    <w:autoRedefine/>
    <w:qFormat/>
    <w:rsid w:val="00941F1B"/>
    <w:pPr>
      <w:tabs>
        <w:tab w:val="center" w:pos="4153"/>
        <w:tab w:val="right" w:pos="8306"/>
      </w:tabs>
      <w:snapToGrid w:val="0"/>
      <w:spacing w:line="240" w:lineRule="auto"/>
      <w:jc w:val="left"/>
    </w:pPr>
    <w:rPr>
      <w:sz w:val="18"/>
      <w:szCs w:val="18"/>
    </w:rPr>
  </w:style>
  <w:style w:type="paragraph" w:styleId="a6">
    <w:name w:val="header"/>
    <w:basedOn w:val="a"/>
    <w:link w:val="Char1"/>
    <w:autoRedefine/>
    <w:qFormat/>
    <w:rsid w:val="00941F1B"/>
    <w:pPr>
      <w:pBdr>
        <w:bottom w:val="single" w:sz="6" w:space="1" w:color="auto"/>
      </w:pBdr>
      <w:tabs>
        <w:tab w:val="center" w:pos="4153"/>
        <w:tab w:val="right" w:pos="8306"/>
      </w:tabs>
      <w:snapToGrid w:val="0"/>
      <w:spacing w:line="240" w:lineRule="auto"/>
      <w:jc w:val="center"/>
    </w:pPr>
    <w:rPr>
      <w:sz w:val="18"/>
      <w:szCs w:val="18"/>
    </w:rPr>
  </w:style>
  <w:style w:type="paragraph" w:styleId="a7">
    <w:name w:val="Body Text First Indent"/>
    <w:basedOn w:val="a3"/>
    <w:autoRedefine/>
    <w:qFormat/>
    <w:rsid w:val="00941F1B"/>
    <w:pPr>
      <w:ind w:firstLineChars="100" w:firstLine="100"/>
    </w:pPr>
  </w:style>
  <w:style w:type="character" w:customStyle="1" w:styleId="Char1">
    <w:name w:val="页眉 Char"/>
    <w:basedOn w:val="a0"/>
    <w:link w:val="a6"/>
    <w:autoRedefine/>
    <w:qFormat/>
    <w:rsid w:val="00941F1B"/>
    <w:rPr>
      <w:kern w:val="2"/>
      <w:sz w:val="18"/>
      <w:szCs w:val="18"/>
    </w:rPr>
  </w:style>
  <w:style w:type="character" w:customStyle="1" w:styleId="Char0">
    <w:name w:val="页脚 Char"/>
    <w:basedOn w:val="a0"/>
    <w:link w:val="a5"/>
    <w:autoRedefine/>
    <w:qFormat/>
    <w:rsid w:val="00941F1B"/>
    <w:rPr>
      <w:kern w:val="2"/>
      <w:sz w:val="18"/>
      <w:szCs w:val="18"/>
    </w:rPr>
  </w:style>
  <w:style w:type="character" w:customStyle="1" w:styleId="Char">
    <w:name w:val="批注框文本 Char"/>
    <w:basedOn w:val="a0"/>
    <w:link w:val="a4"/>
    <w:autoRedefine/>
    <w:qFormat/>
    <w:rsid w:val="00941F1B"/>
    <w:rPr>
      <w:kern w:val="2"/>
      <w:sz w:val="18"/>
      <w:szCs w:val="18"/>
    </w:rPr>
  </w:style>
  <w:style w:type="paragraph" w:styleId="a8">
    <w:name w:val="List Paragraph"/>
    <w:basedOn w:val="a"/>
    <w:autoRedefine/>
    <w:uiPriority w:val="34"/>
    <w:qFormat/>
    <w:rsid w:val="00941F1B"/>
    <w:pPr>
      <w:spacing w:line="240" w:lineRule="auto"/>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539</Characters>
  <Application>Microsoft Office Word</Application>
  <DocSecurity>0</DocSecurity>
  <Lines>4</Lines>
  <Paragraphs>1</Paragraphs>
  <ScaleCrop>false</ScaleCrop>
  <Company>sopo</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王强-上海宝临防爆电器有</dc:creator>
  <cp:lastModifiedBy>王鑫</cp:lastModifiedBy>
  <cp:revision>7</cp:revision>
  <dcterms:created xsi:type="dcterms:W3CDTF">2019-07-19T05:41:00Z</dcterms:created>
  <dcterms:modified xsi:type="dcterms:W3CDTF">2024-05-21T02:48:00Z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D20677F40E4E40C3A39237B6224A854C_12</vt:lpwstr>
  </property>
</Properties>
</file>