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07F33AB">
      <w:pPr>
        <w:pStyle w:val="2"/>
        <w:rPr>
          <w:rFonts w:hint="eastAsia" w:ascii="方正小标宋简体" w:hAnsi="宋体" w:eastAsia="方正小标宋简体" w:cs="宋体"/>
        </w:rPr>
      </w:pPr>
      <w:r>
        <w:rPr>
          <w:rFonts w:hint="eastAsia" w:ascii="方正小标宋简体" w:hAnsi="宋体" w:eastAsia="方正小标宋简体" w:cs="宋体"/>
        </w:rPr>
        <w:t>镇江海纳川公铁运输有限公司</w:t>
      </w:r>
    </w:p>
    <w:p w14:paraId="056A7854">
      <w:pPr>
        <w:pStyle w:val="2"/>
        <w:rPr>
          <w:rFonts w:ascii="方正小标宋简体" w:eastAsia="方正小标宋简体" w:cs="宋体"/>
        </w:rPr>
      </w:pPr>
      <w:r>
        <w:rPr>
          <w:rFonts w:hint="eastAsia" w:ascii="方正小标宋简体" w:hAnsi="宋体" w:eastAsia="方正小标宋简体" w:cs="宋体"/>
        </w:rPr>
        <w:t>招标文件</w:t>
      </w:r>
    </w:p>
    <w:p w14:paraId="23C45FE4">
      <w:pPr>
        <w:spacing w:line="600" w:lineRule="exact"/>
        <w:ind w:firstLine="640" w:firstLineChars="200"/>
        <w:rPr>
          <w:rFonts w:ascii="方正仿宋简体" w:hAnsi="方正仿宋简体" w:eastAsia="方正仿宋简体" w:cs="方正仿宋简体"/>
          <w:bCs/>
          <w:color w:val="auto"/>
          <w:sz w:val="32"/>
          <w:szCs w:val="32"/>
        </w:rPr>
      </w:pPr>
      <w:r>
        <w:rPr>
          <w:rFonts w:hint="eastAsia" w:ascii="方正仿宋简体" w:hAnsi="方正仿宋简体" w:eastAsia="方正仿宋简体" w:cs="方正仿宋简体"/>
          <w:bCs/>
          <w:color w:val="auto"/>
          <w:sz w:val="32"/>
          <w:szCs w:val="32"/>
        </w:rPr>
        <w:t>我公司现</w:t>
      </w:r>
      <w:r>
        <w:rPr>
          <w:rFonts w:hint="eastAsia" w:ascii="方正仿宋简体" w:hAnsi="方正仿宋简体" w:eastAsia="方正仿宋简体" w:cs="方正仿宋简体"/>
          <w:bCs/>
          <w:color w:val="auto"/>
          <w:sz w:val="32"/>
          <w:szCs w:val="32"/>
          <w:lang w:val="zh-CN"/>
        </w:rPr>
        <w:t>采用自主公开招标的方式选定供应商，</w:t>
      </w:r>
      <w:r>
        <w:rPr>
          <w:rFonts w:hint="eastAsia" w:ascii="方正仿宋简体" w:hAnsi="方正仿宋简体" w:eastAsia="方正仿宋简体" w:cs="方正仿宋简体"/>
          <w:color w:val="auto"/>
          <w:sz w:val="32"/>
          <w:szCs w:val="32"/>
        </w:rPr>
        <w:t>欢迎具有相关资质的厂商前来投标。</w:t>
      </w:r>
    </w:p>
    <w:p w14:paraId="40D87083">
      <w:pPr>
        <w:spacing w:line="600" w:lineRule="exact"/>
        <w:ind w:firstLine="640" w:firstLineChars="200"/>
        <w:rPr>
          <w:rFonts w:ascii="方正仿宋简体" w:hAnsi="方正仿宋简体" w:eastAsia="方正仿宋简体" w:cs="方正仿宋简体"/>
          <w:sz w:val="32"/>
          <w:szCs w:val="32"/>
        </w:rPr>
      </w:pPr>
      <w:r>
        <w:rPr>
          <w:rFonts w:hint="eastAsia" w:ascii="方正黑体_GBK" w:hAnsi="方正黑体_GBK" w:eastAsia="方正黑体_GBK" w:cs="方正黑体_GBK"/>
          <w:sz w:val="32"/>
          <w:szCs w:val="32"/>
        </w:rPr>
        <w:t>一、招标概况</w:t>
      </w:r>
    </w:p>
    <w:p w14:paraId="03712240">
      <w:pPr>
        <w:spacing w:line="600" w:lineRule="exact"/>
        <w:ind w:firstLine="640" w:firstLineChars="200"/>
        <w:jc w:val="left"/>
        <w:rPr>
          <w:rFonts w:ascii="方正仿宋简体" w:hAnsi="方正仿宋简体" w:eastAsia="方正仿宋简体" w:cs="方正仿宋简体"/>
          <w:sz w:val="32"/>
          <w:szCs w:val="32"/>
        </w:rPr>
      </w:pPr>
      <w:r>
        <w:rPr>
          <w:rFonts w:hint="eastAsia" w:ascii="方正楷体_GBK" w:hAnsi="方正楷体_GBK" w:eastAsia="方正楷体_GBK" w:cs="方正楷体_GBK"/>
          <w:sz w:val="32"/>
          <w:szCs w:val="32"/>
        </w:rPr>
        <w:t>（一）</w:t>
      </w:r>
      <w:r>
        <w:rPr>
          <w:rFonts w:hint="eastAsia" w:ascii="方正仿宋简体" w:hAnsi="方正仿宋简体" w:eastAsia="方正仿宋简体" w:cs="方正仿宋简体"/>
          <w:bCs/>
          <w:sz w:val="32"/>
          <w:szCs w:val="32"/>
        </w:rPr>
        <w:t>项目名称：</w:t>
      </w:r>
      <w:r>
        <w:rPr>
          <w:rFonts w:hint="eastAsia" w:ascii="方正仿宋简体" w:hAnsi="方正仿宋简体" w:eastAsia="方正仿宋简体" w:cs="方正仿宋简体"/>
          <w:sz w:val="32"/>
          <w:szCs w:val="32"/>
          <w:u w:val="single"/>
        </w:rPr>
        <w:t>2024</w:t>
      </w:r>
      <w:r>
        <w:rPr>
          <w:rFonts w:hint="eastAsia" w:ascii="方正仿宋简体" w:hAnsi="方正仿宋简体" w:eastAsia="方正仿宋简体" w:cs="方正仿宋简体"/>
          <w:sz w:val="32"/>
          <w:szCs w:val="32"/>
          <w:u w:val="single"/>
          <w:lang w:val="en-US" w:eastAsia="zh-CN"/>
        </w:rPr>
        <w:t>1110</w:t>
      </w:r>
      <w:r>
        <w:rPr>
          <w:rFonts w:hint="eastAsia" w:ascii="方正仿宋简体" w:hAnsi="方正仿宋简体" w:eastAsia="方正仿宋简体" w:cs="方正仿宋简体"/>
          <w:sz w:val="32"/>
          <w:szCs w:val="32"/>
          <w:u w:val="single"/>
        </w:rPr>
        <w:t>公铁运输叉车智慧监控系统安装</w:t>
      </w:r>
      <w:r>
        <w:rPr>
          <w:rFonts w:hint="eastAsia" w:ascii="方正仿宋简体" w:hAnsi="方正仿宋简体" w:eastAsia="方正仿宋简体" w:cs="方正仿宋简体"/>
          <w:sz w:val="32"/>
          <w:szCs w:val="32"/>
          <w:u w:val="single"/>
          <w:lang w:eastAsia="zh-CN"/>
        </w:rPr>
        <w:t>及配套服务</w:t>
      </w:r>
      <w:r>
        <w:rPr>
          <w:rFonts w:hint="eastAsia" w:ascii="方正仿宋简体" w:hAnsi="方正仿宋简体" w:eastAsia="方正仿宋简体" w:cs="方正仿宋简体"/>
          <w:sz w:val="32"/>
          <w:szCs w:val="32"/>
        </w:rPr>
        <w:t>；</w:t>
      </w:r>
    </w:p>
    <w:p w14:paraId="2B6951FC">
      <w:pPr>
        <w:keepNext w:val="0"/>
        <w:keepLines w:val="0"/>
        <w:pageBreakBefore w:val="0"/>
        <w:widowControl w:val="0"/>
        <w:kinsoku/>
        <w:wordWrap/>
        <w:overflowPunct/>
        <w:topLinePunct w:val="0"/>
        <w:autoSpaceDE/>
        <w:autoSpaceDN/>
        <w:bidi w:val="0"/>
        <w:adjustRightInd/>
        <w:snapToGrid/>
        <w:spacing w:line="600" w:lineRule="exact"/>
        <w:ind w:left="638" w:leftChars="304" w:firstLine="0" w:firstLineChars="0"/>
        <w:jc w:val="left"/>
        <w:textAlignment w:val="auto"/>
        <w:rPr>
          <w:rFonts w:hint="eastAsia" w:ascii="方正仿宋简体" w:hAnsi="方正仿宋简体" w:eastAsia="方正仿宋简体" w:cs="方正仿宋简体"/>
          <w:sz w:val="32"/>
          <w:szCs w:val="32"/>
        </w:rPr>
      </w:pPr>
      <w:r>
        <w:rPr>
          <w:rFonts w:hint="eastAsia" w:ascii="方正楷体_GBK" w:hAnsi="方正楷体_GBK" w:eastAsia="方正楷体_GBK" w:cs="方正楷体_GBK"/>
          <w:sz w:val="32"/>
          <w:szCs w:val="32"/>
        </w:rPr>
        <w:t>（二）</w:t>
      </w:r>
      <w:r>
        <w:rPr>
          <w:rFonts w:hint="eastAsia" w:ascii="方正仿宋简体" w:hAnsi="方正仿宋简体" w:eastAsia="方正仿宋简体" w:cs="方正仿宋简体"/>
          <w:sz w:val="32"/>
          <w:szCs w:val="32"/>
        </w:rPr>
        <w:t>施工时间：</w:t>
      </w:r>
      <w:r>
        <w:rPr>
          <w:rFonts w:hint="eastAsia" w:ascii="方正仿宋简体" w:hAnsi="方正仿宋简体" w:eastAsia="方正仿宋简体" w:cs="方正仿宋简体"/>
          <w:sz w:val="32"/>
          <w:szCs w:val="32"/>
          <w:u w:val="single"/>
        </w:rPr>
        <w:t>合同签订且</w:t>
      </w:r>
      <w:r>
        <w:rPr>
          <w:rFonts w:hint="eastAsia" w:ascii="方正仿宋简体" w:hAnsi="方正仿宋简体" w:eastAsia="方正仿宋简体" w:cs="方正仿宋简体"/>
          <w:sz w:val="32"/>
          <w:szCs w:val="32"/>
          <w:u w:val="single"/>
          <w:lang w:eastAsia="zh-CN"/>
        </w:rPr>
        <w:t>招标方</w:t>
      </w:r>
      <w:r>
        <w:rPr>
          <w:rFonts w:hint="eastAsia" w:ascii="方正仿宋简体" w:hAnsi="方正仿宋简体" w:eastAsia="方正仿宋简体" w:cs="方正仿宋简体"/>
          <w:sz w:val="32"/>
          <w:szCs w:val="32"/>
          <w:u w:val="single"/>
        </w:rPr>
        <w:t>具备施工条件</w:t>
      </w:r>
      <w:r>
        <w:rPr>
          <w:rFonts w:hint="eastAsia" w:ascii="方正仿宋简体" w:hAnsi="方正仿宋简体" w:eastAsia="方正仿宋简体" w:cs="方正仿宋简体"/>
          <w:sz w:val="32"/>
          <w:szCs w:val="32"/>
          <w:u w:val="single"/>
          <w:lang w:eastAsia="zh-CN"/>
        </w:rPr>
        <w:t>后</w:t>
      </w:r>
      <w:r>
        <w:rPr>
          <w:rFonts w:hint="eastAsia" w:ascii="方正仿宋简体" w:hAnsi="方正仿宋简体" w:eastAsia="方正仿宋简体" w:cs="方正仿宋简体"/>
          <w:color w:val="FF0000"/>
          <w:sz w:val="32"/>
          <w:szCs w:val="32"/>
          <w:highlight w:val="none"/>
          <w:u w:val="single"/>
          <w:lang w:val="en-US" w:eastAsia="zh-CN"/>
        </w:rPr>
        <w:t>20</w:t>
      </w:r>
      <w:r>
        <w:rPr>
          <w:rFonts w:hint="eastAsia" w:ascii="方正仿宋简体" w:hAnsi="方正仿宋简体" w:eastAsia="方正仿宋简体" w:cs="方正仿宋简体"/>
          <w:color w:val="FF0000"/>
          <w:sz w:val="32"/>
          <w:szCs w:val="32"/>
          <w:highlight w:val="none"/>
          <w:u w:val="single"/>
        </w:rPr>
        <w:t>天内</w:t>
      </w:r>
      <w:r>
        <w:rPr>
          <w:rFonts w:hint="eastAsia" w:ascii="方正仿宋简体" w:hAnsi="方正仿宋简体" w:eastAsia="方正仿宋简体" w:cs="方正仿宋简体"/>
          <w:sz w:val="32"/>
          <w:szCs w:val="32"/>
          <w:u w:val="single"/>
          <w:lang w:eastAsia="zh-CN"/>
        </w:rPr>
        <w:t>完成</w:t>
      </w:r>
      <w:r>
        <w:rPr>
          <w:rFonts w:hint="eastAsia" w:ascii="方正仿宋简体" w:hAnsi="方正仿宋简体" w:eastAsia="方正仿宋简体" w:cs="方正仿宋简体"/>
          <w:sz w:val="32"/>
          <w:szCs w:val="32"/>
        </w:rPr>
        <w:t>；</w:t>
      </w:r>
    </w:p>
    <w:p w14:paraId="42AC65C8">
      <w:pPr>
        <w:keepNext w:val="0"/>
        <w:keepLines w:val="0"/>
        <w:pageBreakBefore w:val="0"/>
        <w:widowControl w:val="0"/>
        <w:kinsoku/>
        <w:wordWrap/>
        <w:overflowPunct/>
        <w:topLinePunct w:val="0"/>
        <w:autoSpaceDE/>
        <w:autoSpaceDN/>
        <w:bidi w:val="0"/>
        <w:adjustRightInd/>
        <w:snapToGrid/>
        <w:spacing w:line="600" w:lineRule="exact"/>
        <w:ind w:left="638" w:leftChars="304" w:firstLine="0" w:firstLineChars="0"/>
        <w:jc w:val="left"/>
        <w:textAlignment w:val="auto"/>
        <w:rPr>
          <w:rFonts w:hint="eastAsia" w:ascii="方正仿宋简体" w:hAnsi="方正仿宋简体" w:eastAsia="方正仿宋简体" w:cs="方正仿宋简体"/>
          <w:sz w:val="30"/>
          <w:szCs w:val="30"/>
          <w:u w:val="single"/>
          <w:lang w:val="en-US" w:eastAsia="zh-CN"/>
        </w:rPr>
      </w:pPr>
      <w:r>
        <w:rPr>
          <w:rFonts w:hint="eastAsia" w:ascii="方正楷体_GBK" w:hAnsi="方正楷体_GBK" w:eastAsia="方正楷体_GBK" w:cs="方正楷体_GBK"/>
          <w:sz w:val="32"/>
          <w:szCs w:val="32"/>
        </w:rPr>
        <w:t>（</w:t>
      </w:r>
      <w:r>
        <w:rPr>
          <w:rFonts w:hint="eastAsia" w:ascii="方正楷体_GBK" w:hAnsi="方正楷体_GBK" w:eastAsia="方正楷体_GBK" w:cs="方正楷体_GBK"/>
          <w:sz w:val="32"/>
          <w:szCs w:val="32"/>
          <w:lang w:eastAsia="zh-CN"/>
        </w:rPr>
        <w:t>三</w:t>
      </w:r>
      <w:r>
        <w:rPr>
          <w:rFonts w:hint="eastAsia" w:ascii="方正楷体_GBK" w:hAnsi="方正楷体_GBK" w:eastAsia="方正楷体_GBK" w:cs="方正楷体_GBK"/>
          <w:sz w:val="32"/>
          <w:szCs w:val="32"/>
        </w:rPr>
        <w:t>）</w:t>
      </w:r>
      <w:r>
        <w:rPr>
          <w:rFonts w:hint="eastAsia" w:ascii="方正仿宋简体" w:hAnsi="方正仿宋简体" w:eastAsia="方正仿宋简体" w:cs="方正仿宋简体"/>
          <w:sz w:val="32"/>
          <w:szCs w:val="32"/>
          <w:lang w:eastAsia="zh-CN"/>
        </w:rPr>
        <w:t>服务时间：</w:t>
      </w:r>
      <w:r>
        <w:rPr>
          <w:rFonts w:hint="eastAsia" w:ascii="方正仿宋简体" w:hAnsi="方正仿宋简体" w:eastAsia="方正仿宋简体" w:cs="方正仿宋简体"/>
          <w:kern w:val="2"/>
          <w:sz w:val="32"/>
          <w:szCs w:val="32"/>
          <w:u w:val="single"/>
          <w:lang w:val="en-US" w:eastAsia="zh-CN"/>
        </w:rPr>
        <w:t>叉车智慧终端安装验收合格之日起</w:t>
      </w:r>
      <w:r>
        <w:rPr>
          <w:rFonts w:hint="eastAsia" w:ascii="方正仿宋简体" w:hAnsi="方正仿宋简体" w:eastAsia="方正仿宋简体" w:cs="方正仿宋简体"/>
          <w:color w:val="FF0000"/>
          <w:kern w:val="2"/>
          <w:sz w:val="30"/>
          <w:szCs w:val="30"/>
          <w:u w:val="single"/>
          <w:lang w:val="en-US" w:eastAsia="zh-CN" w:bidi="ar"/>
        </w:rPr>
        <w:t>，提供3年服务</w:t>
      </w:r>
      <w:r>
        <w:rPr>
          <w:rFonts w:hint="eastAsia" w:ascii="方正仿宋简体" w:hAnsi="方正仿宋简体" w:eastAsia="方正仿宋简体" w:cs="方正仿宋简体"/>
          <w:sz w:val="30"/>
          <w:szCs w:val="30"/>
          <w:u w:val="single"/>
          <w:lang w:val="en-US" w:eastAsia="zh-CN"/>
        </w:rPr>
        <w:t xml:space="preserve">； </w:t>
      </w:r>
    </w:p>
    <w:p w14:paraId="33A3E09D">
      <w:pPr>
        <w:keepNext w:val="0"/>
        <w:keepLines w:val="0"/>
        <w:pageBreakBefore w:val="0"/>
        <w:widowControl w:val="0"/>
        <w:kinsoku/>
        <w:wordWrap/>
        <w:overflowPunct/>
        <w:topLinePunct w:val="0"/>
        <w:autoSpaceDE/>
        <w:autoSpaceDN/>
        <w:bidi w:val="0"/>
        <w:adjustRightInd/>
        <w:snapToGrid/>
        <w:spacing w:line="600" w:lineRule="exact"/>
        <w:ind w:left="638" w:leftChars="304" w:firstLine="0" w:firstLineChars="0"/>
        <w:jc w:val="left"/>
        <w:textAlignment w:val="auto"/>
        <w:rPr>
          <w:rFonts w:ascii="方正仿宋简体" w:hAnsi="方正仿宋简体" w:eastAsia="方正仿宋简体" w:cs="方正仿宋简体"/>
          <w:sz w:val="32"/>
          <w:szCs w:val="32"/>
        </w:rPr>
      </w:pPr>
      <w:r>
        <w:rPr>
          <w:rFonts w:hint="eastAsia" w:ascii="方正楷体_GBK" w:hAnsi="方正楷体_GBK" w:eastAsia="方正楷体_GBK" w:cs="方正楷体_GBK"/>
          <w:sz w:val="32"/>
          <w:szCs w:val="32"/>
        </w:rPr>
        <w:t>（</w:t>
      </w:r>
      <w:r>
        <w:rPr>
          <w:rFonts w:hint="eastAsia" w:ascii="方正楷体_GBK" w:hAnsi="方正楷体_GBK" w:eastAsia="方正楷体_GBK" w:cs="方正楷体_GBK"/>
          <w:sz w:val="32"/>
          <w:szCs w:val="32"/>
          <w:lang w:eastAsia="zh-CN"/>
        </w:rPr>
        <w:t>四</w:t>
      </w:r>
      <w:r>
        <w:rPr>
          <w:rFonts w:hint="eastAsia" w:ascii="方正楷体_GBK" w:hAnsi="方正楷体_GBK" w:eastAsia="方正楷体_GBK" w:cs="方正楷体_GBK"/>
          <w:sz w:val="32"/>
          <w:szCs w:val="32"/>
        </w:rPr>
        <w:t>）</w:t>
      </w:r>
      <w:r>
        <w:rPr>
          <w:rFonts w:hint="eastAsia" w:ascii="方正仿宋简体" w:hAnsi="方正仿宋简体" w:eastAsia="方正仿宋简体" w:cs="方正仿宋简体"/>
          <w:sz w:val="32"/>
          <w:szCs w:val="32"/>
        </w:rPr>
        <w:t>施工地点：</w:t>
      </w:r>
      <w:r>
        <w:rPr>
          <w:rFonts w:hint="eastAsia" w:ascii="方正仿宋简体" w:hAnsi="方正仿宋简体" w:eastAsia="方正仿宋简体" w:cs="方正仿宋简体"/>
          <w:sz w:val="32"/>
          <w:szCs w:val="32"/>
          <w:u w:val="single"/>
          <w:lang w:eastAsia="zh-CN"/>
        </w:rPr>
        <w:t>镇江</w:t>
      </w:r>
      <w:r>
        <w:rPr>
          <w:rFonts w:hint="eastAsia" w:ascii="方正仿宋简体" w:hAnsi="方正仿宋简体" w:eastAsia="方正仿宋简体" w:cs="方正仿宋简体"/>
          <w:sz w:val="32"/>
          <w:szCs w:val="32"/>
          <w:u w:val="single"/>
          <w:lang w:val="en-US" w:eastAsia="zh-CN"/>
        </w:rPr>
        <w:t>海纳川公铁运输有限公司</w:t>
      </w:r>
      <w:r>
        <w:rPr>
          <w:rFonts w:hint="eastAsia" w:ascii="方正仿宋简体" w:hAnsi="方正仿宋简体" w:eastAsia="方正仿宋简体" w:cs="方正仿宋简体"/>
          <w:sz w:val="32"/>
          <w:szCs w:val="32"/>
        </w:rPr>
        <w:t>；</w:t>
      </w:r>
    </w:p>
    <w:p w14:paraId="7CC1578E">
      <w:pPr>
        <w:spacing w:line="600" w:lineRule="exact"/>
        <w:ind w:firstLine="640" w:firstLineChars="200"/>
        <w:jc w:val="left"/>
        <w:rPr>
          <w:rFonts w:ascii="方正仿宋简体" w:hAnsi="方正仿宋简体" w:eastAsia="方正仿宋简体" w:cs="方正仿宋简体"/>
          <w:sz w:val="32"/>
          <w:szCs w:val="32"/>
        </w:rPr>
      </w:pPr>
      <w:r>
        <w:rPr>
          <w:rFonts w:hint="eastAsia" w:ascii="方正楷体_GBK" w:hAnsi="方正楷体_GBK" w:eastAsia="方正楷体_GBK" w:cs="方正楷体_GBK"/>
          <w:sz w:val="32"/>
          <w:szCs w:val="32"/>
        </w:rPr>
        <w:t>（</w:t>
      </w:r>
      <w:r>
        <w:rPr>
          <w:rFonts w:hint="eastAsia" w:ascii="方正楷体_GBK" w:hAnsi="方正楷体_GBK" w:eastAsia="方正楷体_GBK" w:cs="方正楷体_GBK"/>
          <w:sz w:val="32"/>
          <w:szCs w:val="32"/>
          <w:lang w:eastAsia="zh-CN"/>
        </w:rPr>
        <w:t>五</w:t>
      </w:r>
      <w:r>
        <w:rPr>
          <w:rFonts w:hint="eastAsia" w:ascii="方正楷体_GBK" w:hAnsi="方正楷体_GBK" w:eastAsia="方正楷体_GBK" w:cs="方正楷体_GBK"/>
          <w:sz w:val="32"/>
          <w:szCs w:val="32"/>
        </w:rPr>
        <w:t>）</w:t>
      </w:r>
      <w:r>
        <w:rPr>
          <w:rFonts w:hint="eastAsia" w:ascii="方正仿宋简体" w:hAnsi="方正仿宋简体" w:eastAsia="方正仿宋简体" w:cs="方正仿宋简体"/>
          <w:sz w:val="32"/>
          <w:szCs w:val="32"/>
        </w:rPr>
        <w:t>投标截止时间：</w:t>
      </w:r>
      <w:r>
        <w:rPr>
          <w:rFonts w:hint="eastAsia" w:ascii="方正仿宋简体" w:hAnsi="方正仿宋简体" w:eastAsia="方正仿宋简体" w:cs="方正仿宋简体"/>
          <w:sz w:val="32"/>
          <w:szCs w:val="32"/>
          <w:u w:val="single"/>
          <w:lang w:val="en-US" w:eastAsia="zh-CN"/>
        </w:rPr>
        <w:t>2024年11月19日上午10:20</w:t>
      </w:r>
      <w:r>
        <w:rPr>
          <w:rFonts w:hint="eastAsia" w:ascii="方正仿宋简体" w:hAnsi="方正仿宋简体" w:eastAsia="方正仿宋简体" w:cs="方正仿宋简体"/>
          <w:sz w:val="32"/>
          <w:szCs w:val="32"/>
        </w:rPr>
        <w:t>；</w:t>
      </w:r>
    </w:p>
    <w:p w14:paraId="65F4BDF7">
      <w:pPr>
        <w:spacing w:line="600" w:lineRule="exact"/>
        <w:ind w:firstLine="640" w:firstLineChars="200"/>
        <w:jc w:val="left"/>
        <w:rPr>
          <w:rFonts w:ascii="方正仿宋简体" w:hAnsi="方正仿宋简体" w:eastAsia="方正仿宋简体" w:cs="方正仿宋简体"/>
          <w:sz w:val="32"/>
          <w:szCs w:val="32"/>
        </w:rPr>
      </w:pPr>
      <w:r>
        <w:rPr>
          <w:rFonts w:hint="eastAsia" w:ascii="方正楷体_GBK" w:hAnsi="方正楷体_GBK" w:eastAsia="方正楷体_GBK" w:cs="方正楷体_GBK"/>
          <w:sz w:val="32"/>
          <w:szCs w:val="32"/>
        </w:rPr>
        <w:t>（</w:t>
      </w:r>
      <w:r>
        <w:rPr>
          <w:rFonts w:hint="eastAsia" w:ascii="方正楷体_GBK" w:hAnsi="方正楷体_GBK" w:eastAsia="方正楷体_GBK" w:cs="方正楷体_GBK"/>
          <w:sz w:val="32"/>
          <w:szCs w:val="32"/>
          <w:lang w:eastAsia="zh-CN"/>
        </w:rPr>
        <w:t>六</w:t>
      </w:r>
      <w:r>
        <w:rPr>
          <w:rFonts w:hint="eastAsia" w:ascii="方正楷体_GBK" w:hAnsi="方正楷体_GBK" w:eastAsia="方正楷体_GBK" w:cs="方正楷体_GBK"/>
          <w:sz w:val="32"/>
          <w:szCs w:val="32"/>
        </w:rPr>
        <w:t>）</w:t>
      </w:r>
      <w:r>
        <w:rPr>
          <w:rFonts w:hint="eastAsia" w:ascii="方正仿宋简体" w:hAnsi="方正仿宋简体" w:eastAsia="方正仿宋简体" w:cs="方正仿宋简体"/>
          <w:sz w:val="32"/>
          <w:szCs w:val="32"/>
        </w:rPr>
        <w:t>开标时间：</w:t>
      </w:r>
      <w:r>
        <w:rPr>
          <w:rFonts w:hint="eastAsia" w:ascii="方正仿宋简体" w:hAnsi="方正仿宋简体" w:eastAsia="方正仿宋简体" w:cs="方正仿宋简体"/>
          <w:sz w:val="32"/>
          <w:szCs w:val="32"/>
          <w:u w:val="single"/>
          <w:lang w:val="en-US" w:eastAsia="zh-CN"/>
        </w:rPr>
        <w:t>2024年11月19日上午10:20</w:t>
      </w:r>
      <w:r>
        <w:rPr>
          <w:rFonts w:hint="eastAsia" w:ascii="方正仿宋简体" w:hAnsi="方正仿宋简体" w:eastAsia="方正仿宋简体" w:cs="方正仿宋简体"/>
          <w:sz w:val="32"/>
          <w:szCs w:val="32"/>
        </w:rPr>
        <w:t>；</w:t>
      </w:r>
    </w:p>
    <w:p w14:paraId="53DE02CE">
      <w:pPr>
        <w:spacing w:line="600" w:lineRule="exact"/>
        <w:ind w:firstLine="640" w:firstLineChars="200"/>
        <w:jc w:val="left"/>
        <w:rPr>
          <w:rFonts w:ascii="方正仿宋简体" w:hAnsi="方正仿宋简体" w:eastAsia="方正仿宋简体" w:cs="方正仿宋简体"/>
          <w:sz w:val="32"/>
          <w:szCs w:val="32"/>
        </w:rPr>
      </w:pPr>
      <w:r>
        <w:rPr>
          <w:rFonts w:hint="eastAsia" w:ascii="方正楷体_GBK" w:hAnsi="方正楷体_GBK" w:eastAsia="方正楷体_GBK" w:cs="方正楷体_GBK"/>
          <w:sz w:val="32"/>
          <w:szCs w:val="32"/>
        </w:rPr>
        <w:t>（</w:t>
      </w:r>
      <w:r>
        <w:rPr>
          <w:rFonts w:hint="eastAsia" w:ascii="方正楷体_GBK" w:hAnsi="方正楷体_GBK" w:eastAsia="方正楷体_GBK" w:cs="方正楷体_GBK"/>
          <w:sz w:val="32"/>
          <w:szCs w:val="32"/>
          <w:lang w:eastAsia="zh-CN"/>
        </w:rPr>
        <w:t>七</w:t>
      </w:r>
      <w:r>
        <w:rPr>
          <w:rFonts w:hint="eastAsia" w:ascii="方正楷体_GBK" w:hAnsi="方正楷体_GBK" w:eastAsia="方正楷体_GBK" w:cs="方正楷体_GBK"/>
          <w:sz w:val="32"/>
          <w:szCs w:val="32"/>
        </w:rPr>
        <w:t>）</w:t>
      </w:r>
      <w:r>
        <w:rPr>
          <w:rFonts w:hint="eastAsia" w:ascii="方正仿宋简体" w:hAnsi="方正仿宋简体" w:eastAsia="方正仿宋简体" w:cs="方正仿宋简体"/>
          <w:sz w:val="32"/>
          <w:szCs w:val="32"/>
        </w:rPr>
        <w:t>开标地点：</w:t>
      </w:r>
      <w:r>
        <w:rPr>
          <w:rFonts w:hint="eastAsia" w:ascii="方正仿宋简体" w:hAnsi="方正仿宋简体" w:eastAsia="方正仿宋简体" w:cs="方正仿宋简体"/>
          <w:sz w:val="32"/>
          <w:szCs w:val="32"/>
          <w:u w:val="single"/>
        </w:rPr>
        <w:t>镇江海纳川物流产业发展有限责任公司210开标室</w:t>
      </w:r>
      <w:r>
        <w:rPr>
          <w:rFonts w:hint="eastAsia" w:ascii="方正仿宋简体" w:hAnsi="方正仿宋简体" w:eastAsia="方正仿宋简体" w:cs="方正仿宋简体"/>
          <w:sz w:val="32"/>
          <w:szCs w:val="32"/>
        </w:rPr>
        <w:t>；</w:t>
      </w:r>
    </w:p>
    <w:p w14:paraId="3DE50111">
      <w:pPr>
        <w:pStyle w:val="7"/>
        <w:spacing w:after="0" w:line="600" w:lineRule="exact"/>
        <w:ind w:firstLine="640" w:firstLineChars="200"/>
        <w:rPr>
          <w:rFonts w:ascii="方正仿宋简体" w:hAnsi="方正仿宋简体" w:eastAsia="方正仿宋简体" w:cs="方正仿宋简体"/>
          <w:sz w:val="32"/>
          <w:szCs w:val="32"/>
        </w:rPr>
      </w:pPr>
      <w:r>
        <w:rPr>
          <w:rFonts w:hint="eastAsia" w:ascii="方正楷体_GBK" w:hAnsi="方正楷体_GBK" w:eastAsia="方正楷体_GBK" w:cs="方正楷体_GBK"/>
          <w:sz w:val="32"/>
          <w:szCs w:val="32"/>
        </w:rPr>
        <w:t>（</w:t>
      </w:r>
      <w:r>
        <w:rPr>
          <w:rFonts w:hint="eastAsia" w:ascii="方正楷体_GBK" w:hAnsi="方正楷体_GBK" w:eastAsia="方正楷体_GBK" w:cs="方正楷体_GBK"/>
          <w:sz w:val="32"/>
          <w:szCs w:val="32"/>
          <w:lang w:eastAsia="zh-CN"/>
        </w:rPr>
        <w:t>八</w:t>
      </w:r>
      <w:r>
        <w:rPr>
          <w:rFonts w:hint="eastAsia" w:ascii="方正楷体_GBK" w:hAnsi="方正楷体_GBK" w:eastAsia="方正楷体_GBK" w:cs="方正楷体_GBK"/>
          <w:sz w:val="32"/>
          <w:szCs w:val="32"/>
        </w:rPr>
        <w:t>）</w:t>
      </w:r>
      <w:r>
        <w:rPr>
          <w:rFonts w:hint="eastAsia" w:ascii="方正仿宋简体" w:hAnsi="方正仿宋简体" w:eastAsia="方正仿宋简体" w:cs="方正仿宋简体"/>
          <w:sz w:val="32"/>
          <w:szCs w:val="32"/>
        </w:rPr>
        <w:t>中标公示：中标信息将于开标后在江苏索普集团官网公示，请各投标人登录</w:t>
      </w:r>
      <w:r>
        <w:rPr>
          <w:rFonts w:hint="eastAsia" w:ascii="方正仿宋简体" w:hAnsi="方正仿宋简体" w:eastAsia="方正仿宋简体" w:cs="方正仿宋简体"/>
          <w:bCs/>
          <w:sz w:val="32"/>
          <w:szCs w:val="32"/>
        </w:rPr>
        <w:t>http://www.sopo.com.cn/</w:t>
      </w:r>
      <w:r>
        <w:rPr>
          <w:rFonts w:hint="eastAsia" w:ascii="方正仿宋简体" w:hAnsi="方正仿宋简体" w:eastAsia="方正仿宋简体" w:cs="方正仿宋简体"/>
          <w:sz w:val="32"/>
          <w:szCs w:val="32"/>
        </w:rPr>
        <w:t>查询。</w:t>
      </w:r>
    </w:p>
    <w:p w14:paraId="4B9198F2">
      <w:pPr>
        <w:wordWrap w:val="0"/>
        <w:ind w:firstLine="640" w:firstLineChars="200"/>
        <w:jc w:val="left"/>
        <w:rPr>
          <w:rFonts w:ascii="方正黑体_GBK" w:hAnsi="方正黑体_GBK" w:eastAsia="方正黑体_GBK" w:cs="方正黑体_GBK"/>
          <w:sz w:val="32"/>
          <w:szCs w:val="32"/>
        </w:rPr>
      </w:pPr>
      <w:r>
        <w:rPr>
          <w:rFonts w:hint="eastAsia" w:ascii="方正黑体_GBK" w:hAnsi="方正黑体_GBK" w:eastAsia="方正黑体_GBK" w:cs="方正黑体_GBK"/>
          <w:sz w:val="32"/>
          <w:szCs w:val="32"/>
        </w:rPr>
        <w:t>二、招标内容</w:t>
      </w:r>
    </w:p>
    <w:p w14:paraId="160224D5">
      <w:pPr>
        <w:pageBreakBefore w:val="0"/>
        <w:widowControl w:val="0"/>
        <w:kinsoku/>
        <w:overflowPunct/>
        <w:topLinePunct w:val="0"/>
        <w:autoSpaceDE/>
        <w:autoSpaceDN/>
        <w:bidi w:val="0"/>
        <w:adjustRightInd w:val="0"/>
        <w:snapToGrid w:val="0"/>
        <w:spacing w:line="600" w:lineRule="exact"/>
        <w:ind w:firstLine="640" w:firstLineChars="200"/>
        <w:textAlignment w:val="auto"/>
        <w:rPr>
          <w:rFonts w:hint="eastAsia" w:ascii="仿宋_GB2312" w:hAnsi="仿宋_GB2312" w:eastAsia="仿宋_GB2312" w:cs="仿宋_GB2312"/>
          <w:bCs/>
          <w:kern w:val="1"/>
          <w:sz w:val="32"/>
          <w:szCs w:val="32"/>
        </w:rPr>
      </w:pPr>
      <w:r>
        <w:rPr>
          <w:rFonts w:hint="eastAsia" w:ascii="方正楷体_GBK" w:hAnsi="方正楷体_GBK" w:eastAsia="方正楷体_GBK" w:cs="方正楷体_GBK"/>
          <w:sz w:val="32"/>
          <w:szCs w:val="32"/>
        </w:rPr>
        <w:t>（一）</w:t>
      </w:r>
      <w:r>
        <w:rPr>
          <w:rFonts w:hint="eastAsia" w:ascii="方正仿宋简体" w:hAnsi="方正仿宋简体" w:eastAsia="方正仿宋简体" w:cs="方正仿宋简体"/>
          <w:kern w:val="1"/>
          <w:sz w:val="32"/>
          <w:szCs w:val="32"/>
          <w:lang w:eastAsia="zh-CN"/>
        </w:rPr>
        <w:t>服务时间</w:t>
      </w:r>
      <w:r>
        <w:rPr>
          <w:rFonts w:hint="eastAsia" w:ascii="方正仿宋简体" w:hAnsi="方正仿宋简体" w:eastAsia="方正仿宋简体" w:cs="方正仿宋简体"/>
          <w:sz w:val="32"/>
          <w:szCs w:val="32"/>
        </w:rPr>
        <w:t xml:space="preserve">  </w:t>
      </w:r>
      <w:r>
        <w:rPr>
          <w:rFonts w:hint="eastAsia" w:ascii="仿宋_GB2312" w:hAnsi="仿宋_GB2312" w:eastAsia="仿宋_GB2312" w:cs="仿宋_GB2312"/>
          <w:bCs/>
          <w:kern w:val="1"/>
          <w:sz w:val="32"/>
          <w:szCs w:val="32"/>
        </w:rPr>
        <w:t xml:space="preserve">  </w:t>
      </w:r>
    </w:p>
    <w:p w14:paraId="3B079A4A">
      <w:pPr>
        <w:numPr>
          <w:ilvl w:val="0"/>
          <w:numId w:val="0"/>
        </w:numPr>
        <w:spacing w:line="360" w:lineRule="auto"/>
        <w:ind w:firstLine="640" w:firstLineChars="200"/>
        <w:jc w:val="left"/>
        <w:rPr>
          <w:rFonts w:hint="eastAsia" w:ascii="方正仿宋简体" w:hAnsi="方正仿宋简体" w:eastAsia="方正仿宋简体" w:cs="方正仿宋简体"/>
          <w:kern w:val="2"/>
          <w:sz w:val="32"/>
          <w:szCs w:val="32"/>
          <w:u w:val="none"/>
          <w:lang w:val="en-US" w:eastAsia="zh-CN" w:bidi="ar-SA"/>
        </w:rPr>
      </w:pPr>
      <w:r>
        <w:rPr>
          <w:rFonts w:hint="eastAsia" w:ascii="方正仿宋简体" w:hAnsi="方正仿宋简体" w:eastAsia="方正仿宋简体" w:cs="方正仿宋简体"/>
          <w:kern w:val="2"/>
          <w:sz w:val="32"/>
          <w:szCs w:val="32"/>
          <w:lang w:val="en-US" w:eastAsia="zh-CN"/>
        </w:rPr>
        <w:t>叉车智慧终端安装验收合格之日起，提供3年服务。</w:t>
      </w:r>
    </w:p>
    <w:p w14:paraId="3E809ECE">
      <w:pPr>
        <w:numPr>
          <w:ilvl w:val="0"/>
          <w:numId w:val="0"/>
        </w:numPr>
        <w:spacing w:line="360" w:lineRule="auto"/>
        <w:ind w:firstLine="640" w:firstLineChars="200"/>
        <w:jc w:val="left"/>
        <w:rPr>
          <w:rFonts w:hint="eastAsia" w:ascii="方正仿宋简体" w:hAnsi="方正仿宋简体" w:eastAsia="方正楷体_GBK" w:cs="方正仿宋简体"/>
          <w:kern w:val="1"/>
          <w:sz w:val="32"/>
          <w:szCs w:val="32"/>
          <w:lang w:eastAsia="zh-CN"/>
        </w:rPr>
      </w:pPr>
      <w:r>
        <w:rPr>
          <w:rFonts w:hint="eastAsia" w:ascii="方正楷体_GBK" w:hAnsi="方正楷体_GBK" w:eastAsia="方正楷体_GBK" w:cs="方正楷体_GBK"/>
          <w:sz w:val="32"/>
          <w:szCs w:val="32"/>
          <w:lang w:val="en-US" w:eastAsia="zh-CN"/>
        </w:rPr>
        <w:t>（二）</w:t>
      </w:r>
      <w:r>
        <w:rPr>
          <w:rFonts w:hint="eastAsia" w:ascii="方正仿宋简体" w:hAnsi="方正仿宋简体" w:eastAsia="方正仿宋简体" w:cs="方正仿宋简体"/>
          <w:kern w:val="1"/>
          <w:sz w:val="32"/>
          <w:szCs w:val="32"/>
          <w:lang w:eastAsia="zh-CN"/>
        </w:rPr>
        <w:t>服务内容</w:t>
      </w:r>
    </w:p>
    <w:p w14:paraId="2F78AAE3">
      <w:pPr>
        <w:pStyle w:val="15"/>
        <w:widowControl w:val="0"/>
        <w:numPr>
          <w:ilvl w:val="0"/>
          <w:numId w:val="0"/>
        </w:numPr>
        <w:adjustRightInd w:val="0"/>
        <w:spacing w:after="0" w:line="312" w:lineRule="atLeast"/>
        <w:jc w:val="both"/>
        <w:textAlignment w:val="baseline"/>
        <w:sectPr>
          <w:headerReference r:id="rId3" w:type="default"/>
          <w:footerReference r:id="rId4" w:type="default"/>
          <w:pgSz w:w="11906" w:h="16838"/>
          <w:pgMar w:top="1440" w:right="1800" w:bottom="1440" w:left="1800" w:header="851" w:footer="992" w:gutter="0"/>
          <w:cols w:space="720" w:num="1"/>
          <w:docGrid w:type="lines" w:linePitch="312" w:charSpace="0"/>
        </w:sectPr>
      </w:pPr>
    </w:p>
    <w:p w14:paraId="0096D006">
      <w:pPr>
        <w:numPr>
          <w:ilvl w:val="0"/>
          <w:numId w:val="0"/>
        </w:numPr>
        <w:spacing w:line="360" w:lineRule="auto"/>
        <w:ind w:firstLine="640" w:firstLineChars="200"/>
        <w:jc w:val="left"/>
        <w:rPr>
          <w:rFonts w:hint="eastAsia" w:ascii="方正仿宋简体" w:hAnsi="方正仿宋简体" w:eastAsia="方正仿宋简体" w:cs="方正仿宋简体"/>
          <w:sz w:val="32"/>
          <w:szCs w:val="32"/>
        </w:rPr>
      </w:pPr>
      <w:r>
        <w:rPr>
          <w:rFonts w:hint="eastAsia" w:ascii="方正仿宋简体" w:hAnsi="方正仿宋简体" w:eastAsia="方正仿宋简体" w:cs="方正仿宋简体"/>
          <w:kern w:val="2"/>
          <w:sz w:val="32"/>
          <w:szCs w:val="32"/>
          <w:lang w:val="en-US" w:eastAsia="zh-CN" w:bidi="ar-SA"/>
        </w:rPr>
        <w:t>1.服务要求</w:t>
      </w:r>
    </w:p>
    <w:tbl>
      <w:tblPr>
        <w:tblStyle w:val="16"/>
        <w:tblW w:w="9568"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173"/>
        <w:gridCol w:w="6240"/>
        <w:gridCol w:w="1155"/>
      </w:tblGrid>
      <w:tr w14:paraId="1601C0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9568" w:type="dxa"/>
            <w:gridSpan w:val="3"/>
            <w:tcBorders>
              <w:top w:val="nil"/>
              <w:left w:val="nil"/>
              <w:bottom w:val="single" w:color="000000" w:sz="8" w:space="0"/>
              <w:right w:val="nil"/>
            </w:tcBorders>
            <w:noWrap/>
            <w:vAlign w:val="center"/>
          </w:tcPr>
          <w:p w14:paraId="2EBBF047">
            <w:pPr>
              <w:keepNext w:val="0"/>
              <w:keepLines w:val="0"/>
              <w:widowControl/>
              <w:suppressLineNumbers w:val="0"/>
              <w:jc w:val="center"/>
              <w:textAlignment w:val="center"/>
              <w:rPr>
                <w:rFonts w:ascii="楷体" w:hAnsi="楷体" w:eastAsia="楷体" w:cs="楷体"/>
                <w:b/>
                <w:bCs/>
                <w:i w:val="0"/>
                <w:iCs w:val="0"/>
                <w:color w:val="000000"/>
                <w:sz w:val="32"/>
                <w:szCs w:val="32"/>
                <w:u w:val="none"/>
              </w:rPr>
            </w:pPr>
            <w:r>
              <w:rPr>
                <w:rFonts w:hint="eastAsia" w:ascii="楷体" w:hAnsi="楷体" w:eastAsia="楷体" w:cs="楷体"/>
                <w:b/>
                <w:bCs/>
                <w:i w:val="0"/>
                <w:iCs w:val="0"/>
                <w:color w:val="000000"/>
                <w:kern w:val="0"/>
                <w:sz w:val="32"/>
                <w:szCs w:val="32"/>
                <w:u w:val="none"/>
                <w:lang w:val="en-US" w:eastAsia="zh-CN" w:bidi="ar"/>
              </w:rPr>
              <w:t>叉车智慧监管系统功能要求及安装工作量</w:t>
            </w:r>
          </w:p>
        </w:tc>
      </w:tr>
      <w:tr w14:paraId="20FB9E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0" w:hRule="atLeast"/>
        </w:trPr>
        <w:tc>
          <w:tcPr>
            <w:tcW w:w="2173" w:type="dxa"/>
            <w:tcBorders>
              <w:top w:val="single" w:color="000000" w:sz="8" w:space="0"/>
              <w:left w:val="single" w:color="000000" w:sz="8" w:space="0"/>
              <w:bottom w:val="single" w:color="000000" w:sz="4" w:space="0"/>
              <w:right w:val="single" w:color="000000" w:sz="4" w:space="0"/>
            </w:tcBorders>
            <w:noWrap w:val="0"/>
            <w:vAlign w:val="center"/>
          </w:tcPr>
          <w:p w14:paraId="6FA4476C">
            <w:pPr>
              <w:keepNext w:val="0"/>
              <w:keepLines w:val="0"/>
              <w:widowControl/>
              <w:suppressLineNumbers w:val="0"/>
              <w:jc w:val="center"/>
              <w:textAlignment w:val="center"/>
              <w:rPr>
                <w:rFonts w:hint="eastAsia" w:ascii="楷体" w:hAnsi="楷体" w:eastAsia="楷体" w:cs="楷体"/>
                <w:b/>
                <w:bCs/>
                <w:i w:val="0"/>
                <w:iCs w:val="0"/>
                <w:color w:val="000000"/>
                <w:sz w:val="20"/>
                <w:szCs w:val="20"/>
                <w:u w:val="none"/>
              </w:rPr>
            </w:pPr>
            <w:r>
              <w:rPr>
                <w:rFonts w:hint="eastAsia" w:ascii="楷体" w:hAnsi="楷体" w:eastAsia="楷体" w:cs="楷体"/>
                <w:b/>
                <w:bCs/>
                <w:i w:val="0"/>
                <w:iCs w:val="0"/>
                <w:color w:val="000000"/>
                <w:kern w:val="0"/>
                <w:sz w:val="20"/>
                <w:szCs w:val="20"/>
                <w:u w:val="none"/>
                <w:lang w:val="en-US" w:eastAsia="zh-CN" w:bidi="ar"/>
              </w:rPr>
              <w:t>功 能 名 称</w:t>
            </w:r>
          </w:p>
        </w:tc>
        <w:tc>
          <w:tcPr>
            <w:tcW w:w="6240" w:type="dxa"/>
            <w:tcBorders>
              <w:top w:val="single" w:color="000000" w:sz="8" w:space="0"/>
              <w:left w:val="single" w:color="000000" w:sz="4" w:space="0"/>
              <w:bottom w:val="single" w:color="000000" w:sz="4" w:space="0"/>
              <w:right w:val="single" w:color="000000" w:sz="4" w:space="0"/>
            </w:tcBorders>
            <w:noWrap w:val="0"/>
            <w:vAlign w:val="center"/>
          </w:tcPr>
          <w:p w14:paraId="062DC110">
            <w:pPr>
              <w:keepNext w:val="0"/>
              <w:keepLines w:val="0"/>
              <w:widowControl/>
              <w:suppressLineNumbers w:val="0"/>
              <w:jc w:val="center"/>
              <w:textAlignment w:val="center"/>
              <w:rPr>
                <w:rFonts w:hint="eastAsia" w:ascii="楷体" w:hAnsi="楷体" w:eastAsia="楷体" w:cs="楷体"/>
                <w:b/>
                <w:bCs/>
                <w:i w:val="0"/>
                <w:iCs w:val="0"/>
                <w:color w:val="000000"/>
                <w:sz w:val="20"/>
                <w:szCs w:val="20"/>
                <w:u w:val="none"/>
              </w:rPr>
            </w:pPr>
            <w:r>
              <w:rPr>
                <w:rFonts w:hint="eastAsia" w:ascii="楷体" w:hAnsi="楷体" w:eastAsia="楷体" w:cs="楷体"/>
                <w:b/>
                <w:bCs/>
                <w:i w:val="0"/>
                <w:iCs w:val="0"/>
                <w:color w:val="000000"/>
                <w:kern w:val="0"/>
                <w:sz w:val="20"/>
                <w:szCs w:val="20"/>
                <w:u w:val="none"/>
                <w:lang w:val="en-US" w:eastAsia="zh-CN" w:bidi="ar"/>
              </w:rPr>
              <w:t>功  能  描  述</w:t>
            </w:r>
          </w:p>
        </w:tc>
        <w:tc>
          <w:tcPr>
            <w:tcW w:w="1155" w:type="dxa"/>
            <w:tcBorders>
              <w:top w:val="single" w:color="000000" w:sz="8" w:space="0"/>
              <w:left w:val="single" w:color="000000" w:sz="4" w:space="0"/>
              <w:bottom w:val="single" w:color="000000" w:sz="4" w:space="0"/>
              <w:right w:val="single" w:color="000000" w:sz="4" w:space="0"/>
            </w:tcBorders>
            <w:noWrap/>
            <w:vAlign w:val="center"/>
          </w:tcPr>
          <w:p w14:paraId="3A7ABB61">
            <w:pPr>
              <w:keepNext w:val="0"/>
              <w:keepLines w:val="0"/>
              <w:widowControl/>
              <w:suppressLineNumbers w:val="0"/>
              <w:jc w:val="center"/>
              <w:textAlignment w:val="center"/>
              <w:rPr>
                <w:rFonts w:hint="eastAsia" w:ascii="楷体" w:hAnsi="楷体" w:eastAsia="楷体" w:cs="楷体"/>
                <w:b/>
                <w:bCs/>
                <w:i w:val="0"/>
                <w:iCs w:val="0"/>
                <w:color w:val="000000"/>
                <w:sz w:val="20"/>
                <w:szCs w:val="20"/>
                <w:u w:val="none"/>
              </w:rPr>
            </w:pPr>
            <w:r>
              <w:rPr>
                <w:rFonts w:hint="eastAsia" w:ascii="楷体" w:hAnsi="楷体" w:eastAsia="楷体" w:cs="楷体"/>
                <w:b/>
                <w:bCs/>
                <w:i w:val="0"/>
                <w:iCs w:val="0"/>
                <w:color w:val="000000"/>
                <w:kern w:val="0"/>
                <w:sz w:val="20"/>
                <w:szCs w:val="20"/>
                <w:u w:val="none"/>
                <w:lang w:val="en-US" w:eastAsia="zh-CN" w:bidi="ar"/>
              </w:rPr>
              <w:t>叉车数量</w:t>
            </w:r>
          </w:p>
        </w:tc>
      </w:tr>
      <w:tr w14:paraId="7317C2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2173" w:type="dxa"/>
            <w:tcBorders>
              <w:top w:val="nil"/>
              <w:left w:val="single" w:color="000000" w:sz="8" w:space="0"/>
              <w:bottom w:val="single" w:color="000000" w:sz="4" w:space="0"/>
              <w:right w:val="single" w:color="000000" w:sz="4" w:space="0"/>
            </w:tcBorders>
            <w:noWrap w:val="0"/>
            <w:vAlign w:val="center"/>
          </w:tcPr>
          <w:p w14:paraId="65918A0C">
            <w:pPr>
              <w:keepNext w:val="0"/>
              <w:keepLines w:val="0"/>
              <w:widowControl/>
              <w:suppressLineNumbers w:val="0"/>
              <w:jc w:val="center"/>
              <w:textAlignment w:val="center"/>
              <w:rPr>
                <w:rFonts w:hint="eastAsia" w:ascii="楷体" w:hAnsi="楷体" w:eastAsia="楷体" w:cs="楷体"/>
                <w:b/>
                <w:bCs/>
                <w:i w:val="0"/>
                <w:iCs w:val="0"/>
                <w:color w:val="000000"/>
                <w:sz w:val="20"/>
                <w:szCs w:val="20"/>
                <w:u w:val="none"/>
              </w:rPr>
            </w:pPr>
            <w:r>
              <w:rPr>
                <w:rFonts w:hint="eastAsia" w:ascii="楷体" w:hAnsi="楷体" w:eastAsia="楷体" w:cs="楷体"/>
                <w:b/>
                <w:bCs/>
                <w:i w:val="0"/>
                <w:iCs w:val="0"/>
                <w:color w:val="000000"/>
                <w:kern w:val="0"/>
                <w:sz w:val="20"/>
                <w:szCs w:val="20"/>
                <w:u w:val="none"/>
                <w:lang w:val="en-US" w:eastAsia="zh-CN" w:bidi="ar"/>
              </w:rPr>
              <w:t>运行速度</w:t>
            </w:r>
          </w:p>
        </w:tc>
        <w:tc>
          <w:tcPr>
            <w:tcW w:w="6240" w:type="dxa"/>
            <w:tcBorders>
              <w:top w:val="nil"/>
              <w:left w:val="single" w:color="000000" w:sz="4" w:space="0"/>
              <w:bottom w:val="single" w:color="000000" w:sz="4" w:space="0"/>
              <w:right w:val="single" w:color="000000" w:sz="4" w:space="0"/>
            </w:tcBorders>
            <w:noWrap w:val="0"/>
            <w:vAlign w:val="center"/>
          </w:tcPr>
          <w:p w14:paraId="2DBF7854">
            <w:pPr>
              <w:keepNext w:val="0"/>
              <w:keepLines w:val="0"/>
              <w:widowControl/>
              <w:suppressLineNumbers w:val="0"/>
              <w:jc w:val="center"/>
              <w:textAlignment w:val="center"/>
              <w:rPr>
                <w:rFonts w:hint="eastAsia" w:ascii="楷体" w:hAnsi="楷体" w:eastAsia="楷体" w:cs="楷体"/>
                <w:b/>
                <w:bCs/>
                <w:i w:val="0"/>
                <w:iCs w:val="0"/>
                <w:color w:val="000000"/>
                <w:sz w:val="20"/>
                <w:szCs w:val="20"/>
                <w:u w:val="none"/>
              </w:rPr>
            </w:pPr>
            <w:r>
              <w:rPr>
                <w:rFonts w:hint="eastAsia" w:ascii="楷体" w:hAnsi="楷体" w:eastAsia="楷体" w:cs="楷体"/>
                <w:b/>
                <w:bCs/>
                <w:i w:val="0"/>
                <w:iCs w:val="0"/>
                <w:color w:val="000000"/>
                <w:kern w:val="0"/>
                <w:sz w:val="20"/>
                <w:szCs w:val="20"/>
                <w:u w:val="none"/>
                <w:lang w:val="en-US" w:eastAsia="zh-CN" w:bidi="ar"/>
              </w:rPr>
              <w:t>对车辆速度进行监控，避免超速</w:t>
            </w:r>
          </w:p>
        </w:tc>
        <w:tc>
          <w:tcPr>
            <w:tcW w:w="1155" w:type="dxa"/>
            <w:vMerge w:val="restart"/>
            <w:tcBorders>
              <w:top w:val="nil"/>
              <w:left w:val="single" w:color="000000" w:sz="4" w:space="0"/>
              <w:bottom w:val="single" w:color="000000" w:sz="8" w:space="0"/>
              <w:right w:val="single" w:color="000000" w:sz="4" w:space="0"/>
            </w:tcBorders>
            <w:noWrap w:val="0"/>
            <w:vAlign w:val="center"/>
          </w:tcPr>
          <w:p w14:paraId="29A8D89D">
            <w:pPr>
              <w:keepNext w:val="0"/>
              <w:keepLines w:val="0"/>
              <w:widowControl/>
              <w:suppressLineNumbers w:val="0"/>
              <w:jc w:val="center"/>
              <w:textAlignment w:val="center"/>
              <w:rPr>
                <w:rFonts w:hint="eastAsia" w:ascii="楷体" w:hAnsi="楷体" w:eastAsia="楷体" w:cs="楷体"/>
                <w:b/>
                <w:bCs/>
                <w:i w:val="0"/>
                <w:iCs w:val="0"/>
                <w:color w:val="000000"/>
                <w:kern w:val="0"/>
                <w:sz w:val="20"/>
                <w:szCs w:val="20"/>
                <w:u w:val="none"/>
                <w:lang w:val="en-US" w:eastAsia="zh-CN" w:bidi="ar"/>
              </w:rPr>
            </w:pPr>
            <w:r>
              <w:rPr>
                <w:rFonts w:hint="eastAsia" w:ascii="楷体" w:hAnsi="楷体" w:eastAsia="楷体" w:cs="楷体"/>
                <w:b/>
                <w:bCs/>
                <w:i w:val="0"/>
                <w:iCs w:val="0"/>
                <w:color w:val="000000"/>
                <w:kern w:val="0"/>
                <w:sz w:val="20"/>
                <w:szCs w:val="20"/>
                <w:u w:val="none"/>
                <w:lang w:val="en-US" w:eastAsia="zh-CN" w:bidi="ar"/>
              </w:rPr>
              <w:t>18</w:t>
            </w:r>
          </w:p>
          <w:p w14:paraId="3A3640FB">
            <w:pPr>
              <w:keepNext w:val="0"/>
              <w:keepLines w:val="0"/>
              <w:widowControl/>
              <w:suppressLineNumbers w:val="0"/>
              <w:jc w:val="center"/>
              <w:textAlignment w:val="center"/>
              <w:rPr>
                <w:rFonts w:hint="default" w:ascii="楷体" w:hAnsi="楷体" w:eastAsia="楷体" w:cs="楷体"/>
                <w:b/>
                <w:bCs/>
                <w:i w:val="0"/>
                <w:iCs w:val="0"/>
                <w:color w:val="000000"/>
                <w:sz w:val="20"/>
                <w:szCs w:val="20"/>
                <w:u w:val="none"/>
                <w:lang w:val="en-US"/>
              </w:rPr>
            </w:pPr>
            <w:r>
              <w:rPr>
                <w:rFonts w:hint="eastAsia" w:ascii="楷体" w:hAnsi="楷体" w:eastAsia="楷体" w:cs="楷体"/>
                <w:b/>
                <w:bCs/>
                <w:i w:val="0"/>
                <w:iCs w:val="0"/>
                <w:color w:val="000000"/>
                <w:kern w:val="0"/>
                <w:sz w:val="20"/>
                <w:szCs w:val="20"/>
                <w:u w:val="none"/>
                <w:lang w:val="en-US" w:eastAsia="zh-CN" w:bidi="ar"/>
              </w:rPr>
              <w:t>（含1辆防爆叉车）</w:t>
            </w:r>
          </w:p>
        </w:tc>
      </w:tr>
      <w:tr w14:paraId="06D7B2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0" w:hRule="atLeast"/>
        </w:trPr>
        <w:tc>
          <w:tcPr>
            <w:tcW w:w="2173" w:type="dxa"/>
            <w:tcBorders>
              <w:top w:val="single" w:color="000000" w:sz="4" w:space="0"/>
              <w:left w:val="single" w:color="000000" w:sz="8" w:space="0"/>
              <w:bottom w:val="single" w:color="000000" w:sz="4" w:space="0"/>
              <w:right w:val="single" w:color="000000" w:sz="4" w:space="0"/>
            </w:tcBorders>
            <w:noWrap w:val="0"/>
            <w:vAlign w:val="center"/>
          </w:tcPr>
          <w:p w14:paraId="2A72B83E">
            <w:pPr>
              <w:keepNext w:val="0"/>
              <w:keepLines w:val="0"/>
              <w:widowControl/>
              <w:suppressLineNumbers w:val="0"/>
              <w:jc w:val="center"/>
              <w:textAlignment w:val="center"/>
              <w:rPr>
                <w:rFonts w:hint="eastAsia" w:ascii="楷体" w:hAnsi="楷体" w:eastAsia="楷体" w:cs="楷体"/>
                <w:b/>
                <w:bCs/>
                <w:i w:val="0"/>
                <w:iCs w:val="0"/>
                <w:color w:val="000000"/>
                <w:sz w:val="20"/>
                <w:szCs w:val="20"/>
                <w:u w:val="none"/>
              </w:rPr>
            </w:pPr>
            <w:r>
              <w:rPr>
                <w:rFonts w:hint="eastAsia" w:ascii="楷体" w:hAnsi="楷体" w:eastAsia="楷体" w:cs="楷体"/>
                <w:b/>
                <w:bCs/>
                <w:i w:val="0"/>
                <w:iCs w:val="0"/>
                <w:color w:val="000000"/>
                <w:kern w:val="0"/>
                <w:sz w:val="20"/>
                <w:szCs w:val="20"/>
                <w:u w:val="none"/>
                <w:lang w:val="en-US" w:eastAsia="zh-CN" w:bidi="ar"/>
              </w:rPr>
              <w:t>人员/物体感应距离</w:t>
            </w:r>
          </w:p>
        </w:tc>
        <w:tc>
          <w:tcPr>
            <w:tcW w:w="6240" w:type="dxa"/>
            <w:tcBorders>
              <w:top w:val="single" w:color="000000" w:sz="4" w:space="0"/>
              <w:left w:val="single" w:color="000000" w:sz="4" w:space="0"/>
              <w:bottom w:val="single" w:color="000000" w:sz="4" w:space="0"/>
              <w:right w:val="single" w:color="000000" w:sz="4" w:space="0"/>
            </w:tcBorders>
            <w:noWrap w:val="0"/>
            <w:vAlign w:val="center"/>
          </w:tcPr>
          <w:p w14:paraId="44B170B1">
            <w:pPr>
              <w:keepNext w:val="0"/>
              <w:keepLines w:val="0"/>
              <w:widowControl/>
              <w:suppressLineNumbers w:val="0"/>
              <w:jc w:val="center"/>
              <w:textAlignment w:val="center"/>
              <w:rPr>
                <w:rFonts w:hint="eastAsia" w:ascii="楷体" w:hAnsi="楷体" w:eastAsia="楷体" w:cs="楷体"/>
                <w:b/>
                <w:bCs/>
                <w:i w:val="0"/>
                <w:iCs w:val="0"/>
                <w:color w:val="000000"/>
                <w:sz w:val="20"/>
                <w:szCs w:val="20"/>
                <w:u w:val="none"/>
              </w:rPr>
            </w:pPr>
            <w:r>
              <w:rPr>
                <w:rFonts w:hint="eastAsia" w:ascii="楷体" w:hAnsi="楷体" w:eastAsia="楷体" w:cs="楷体"/>
                <w:b/>
                <w:bCs/>
                <w:i w:val="0"/>
                <w:iCs w:val="0"/>
                <w:color w:val="000000"/>
                <w:kern w:val="0"/>
                <w:sz w:val="20"/>
                <w:szCs w:val="20"/>
                <w:u w:val="none"/>
                <w:lang w:val="en-US" w:eastAsia="zh-CN" w:bidi="ar"/>
              </w:rPr>
              <w:t>当有人站在警示范围内，本地显示屏提示人和物同时闪烁，同时车辆蜂鸣器鸣响</w:t>
            </w:r>
          </w:p>
        </w:tc>
        <w:tc>
          <w:tcPr>
            <w:tcW w:w="1155" w:type="dxa"/>
            <w:vMerge w:val="continue"/>
            <w:tcBorders>
              <w:top w:val="nil"/>
              <w:left w:val="single" w:color="000000" w:sz="4" w:space="0"/>
              <w:bottom w:val="single" w:color="000000" w:sz="8" w:space="0"/>
              <w:right w:val="single" w:color="000000" w:sz="4" w:space="0"/>
            </w:tcBorders>
            <w:noWrap w:val="0"/>
            <w:vAlign w:val="center"/>
          </w:tcPr>
          <w:p w14:paraId="5B4F3E20">
            <w:pPr>
              <w:jc w:val="center"/>
              <w:rPr>
                <w:rFonts w:hint="eastAsia" w:ascii="楷体" w:hAnsi="楷体" w:eastAsia="楷体" w:cs="楷体"/>
                <w:b/>
                <w:bCs/>
                <w:i w:val="0"/>
                <w:iCs w:val="0"/>
                <w:color w:val="000000"/>
                <w:sz w:val="20"/>
                <w:szCs w:val="20"/>
                <w:u w:val="none"/>
              </w:rPr>
            </w:pPr>
          </w:p>
        </w:tc>
      </w:tr>
      <w:tr w14:paraId="77EF48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0" w:hRule="atLeast"/>
        </w:trPr>
        <w:tc>
          <w:tcPr>
            <w:tcW w:w="2173" w:type="dxa"/>
            <w:tcBorders>
              <w:top w:val="single" w:color="000000" w:sz="4" w:space="0"/>
              <w:left w:val="single" w:color="000000" w:sz="8" w:space="0"/>
              <w:bottom w:val="single" w:color="000000" w:sz="4" w:space="0"/>
              <w:right w:val="single" w:color="000000" w:sz="4" w:space="0"/>
            </w:tcBorders>
            <w:noWrap w:val="0"/>
            <w:vAlign w:val="center"/>
          </w:tcPr>
          <w:p w14:paraId="0D975CD3">
            <w:pPr>
              <w:keepNext w:val="0"/>
              <w:keepLines w:val="0"/>
              <w:widowControl/>
              <w:suppressLineNumbers w:val="0"/>
              <w:jc w:val="center"/>
              <w:textAlignment w:val="center"/>
              <w:rPr>
                <w:rFonts w:hint="eastAsia" w:ascii="楷体" w:hAnsi="楷体" w:eastAsia="楷体" w:cs="楷体"/>
                <w:b/>
                <w:bCs/>
                <w:i w:val="0"/>
                <w:iCs w:val="0"/>
                <w:color w:val="000000"/>
                <w:sz w:val="20"/>
                <w:szCs w:val="20"/>
                <w:u w:val="none"/>
              </w:rPr>
            </w:pPr>
            <w:r>
              <w:rPr>
                <w:rFonts w:hint="eastAsia" w:ascii="楷体" w:hAnsi="楷体" w:eastAsia="楷体" w:cs="楷体"/>
                <w:b/>
                <w:bCs/>
                <w:i w:val="0"/>
                <w:iCs w:val="0"/>
                <w:color w:val="000000"/>
                <w:kern w:val="0"/>
                <w:sz w:val="20"/>
                <w:szCs w:val="20"/>
                <w:u w:val="none"/>
                <w:lang w:val="en-US" w:eastAsia="zh-CN" w:bidi="ar"/>
              </w:rPr>
              <w:t>车轮转向角度</w:t>
            </w:r>
          </w:p>
        </w:tc>
        <w:tc>
          <w:tcPr>
            <w:tcW w:w="6240" w:type="dxa"/>
            <w:tcBorders>
              <w:top w:val="single" w:color="000000" w:sz="4" w:space="0"/>
              <w:left w:val="single" w:color="000000" w:sz="4" w:space="0"/>
              <w:bottom w:val="single" w:color="000000" w:sz="4" w:space="0"/>
              <w:right w:val="single" w:color="000000" w:sz="4" w:space="0"/>
            </w:tcBorders>
            <w:noWrap w:val="0"/>
            <w:vAlign w:val="center"/>
          </w:tcPr>
          <w:p w14:paraId="31A501B3">
            <w:pPr>
              <w:keepNext w:val="0"/>
              <w:keepLines w:val="0"/>
              <w:widowControl/>
              <w:suppressLineNumbers w:val="0"/>
              <w:jc w:val="center"/>
              <w:textAlignment w:val="center"/>
              <w:rPr>
                <w:rFonts w:hint="eastAsia" w:ascii="楷体" w:hAnsi="楷体" w:eastAsia="楷体" w:cs="楷体"/>
                <w:b/>
                <w:bCs/>
                <w:i w:val="0"/>
                <w:iCs w:val="0"/>
                <w:color w:val="000000"/>
                <w:sz w:val="20"/>
                <w:szCs w:val="20"/>
                <w:u w:val="none"/>
              </w:rPr>
            </w:pPr>
            <w:r>
              <w:rPr>
                <w:rFonts w:hint="eastAsia" w:ascii="楷体" w:hAnsi="楷体" w:eastAsia="楷体" w:cs="楷体"/>
                <w:b/>
                <w:bCs/>
                <w:i w:val="0"/>
                <w:iCs w:val="0"/>
                <w:color w:val="000000"/>
                <w:kern w:val="0"/>
                <w:sz w:val="20"/>
                <w:szCs w:val="20"/>
                <w:u w:val="none"/>
                <w:lang w:val="en-US" w:eastAsia="zh-CN" w:bidi="ar"/>
              </w:rPr>
              <w:t>避免高速急转弯时造成的车辆倾翻事故</w:t>
            </w:r>
          </w:p>
        </w:tc>
        <w:tc>
          <w:tcPr>
            <w:tcW w:w="1155" w:type="dxa"/>
            <w:vMerge w:val="continue"/>
            <w:tcBorders>
              <w:top w:val="nil"/>
              <w:left w:val="single" w:color="000000" w:sz="4" w:space="0"/>
              <w:bottom w:val="single" w:color="000000" w:sz="8" w:space="0"/>
              <w:right w:val="single" w:color="000000" w:sz="4" w:space="0"/>
            </w:tcBorders>
            <w:noWrap w:val="0"/>
            <w:vAlign w:val="center"/>
          </w:tcPr>
          <w:p w14:paraId="5459CA0E">
            <w:pPr>
              <w:jc w:val="center"/>
              <w:rPr>
                <w:rFonts w:hint="eastAsia" w:ascii="楷体" w:hAnsi="楷体" w:eastAsia="楷体" w:cs="楷体"/>
                <w:b/>
                <w:bCs/>
                <w:i w:val="0"/>
                <w:iCs w:val="0"/>
                <w:color w:val="000000"/>
                <w:sz w:val="20"/>
                <w:szCs w:val="20"/>
                <w:u w:val="none"/>
              </w:rPr>
            </w:pPr>
          </w:p>
        </w:tc>
      </w:tr>
      <w:tr w14:paraId="28C04A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173" w:type="dxa"/>
            <w:tcBorders>
              <w:top w:val="single" w:color="000000" w:sz="4" w:space="0"/>
              <w:left w:val="single" w:color="000000" w:sz="8" w:space="0"/>
              <w:bottom w:val="single" w:color="000000" w:sz="4" w:space="0"/>
              <w:right w:val="single" w:color="000000" w:sz="4" w:space="0"/>
            </w:tcBorders>
            <w:noWrap w:val="0"/>
            <w:vAlign w:val="center"/>
          </w:tcPr>
          <w:p w14:paraId="1F6C704B">
            <w:pPr>
              <w:keepNext w:val="0"/>
              <w:keepLines w:val="0"/>
              <w:widowControl/>
              <w:suppressLineNumbers w:val="0"/>
              <w:jc w:val="center"/>
              <w:textAlignment w:val="center"/>
              <w:rPr>
                <w:rFonts w:hint="eastAsia" w:ascii="楷体" w:hAnsi="楷体" w:eastAsia="楷体" w:cs="楷体"/>
                <w:b/>
                <w:bCs/>
                <w:i w:val="0"/>
                <w:iCs w:val="0"/>
                <w:color w:val="000000"/>
                <w:sz w:val="20"/>
                <w:szCs w:val="20"/>
                <w:u w:val="none"/>
              </w:rPr>
            </w:pPr>
            <w:r>
              <w:rPr>
                <w:rFonts w:hint="eastAsia" w:ascii="楷体" w:hAnsi="楷体" w:eastAsia="楷体" w:cs="楷体"/>
                <w:b/>
                <w:bCs/>
                <w:i w:val="0"/>
                <w:iCs w:val="0"/>
                <w:color w:val="000000"/>
                <w:kern w:val="0"/>
                <w:sz w:val="20"/>
                <w:szCs w:val="20"/>
                <w:u w:val="none"/>
                <w:lang w:val="en-US" w:eastAsia="zh-CN" w:bidi="ar"/>
              </w:rPr>
              <w:t>作业警示区域</w:t>
            </w:r>
          </w:p>
        </w:tc>
        <w:tc>
          <w:tcPr>
            <w:tcW w:w="6240" w:type="dxa"/>
            <w:tcBorders>
              <w:top w:val="single" w:color="000000" w:sz="4" w:space="0"/>
              <w:left w:val="single" w:color="000000" w:sz="4" w:space="0"/>
              <w:bottom w:val="single" w:color="000000" w:sz="4" w:space="0"/>
              <w:right w:val="single" w:color="000000" w:sz="4" w:space="0"/>
            </w:tcBorders>
            <w:noWrap w:val="0"/>
            <w:vAlign w:val="center"/>
          </w:tcPr>
          <w:p w14:paraId="3C6007A2">
            <w:pPr>
              <w:keepNext w:val="0"/>
              <w:keepLines w:val="0"/>
              <w:widowControl/>
              <w:suppressLineNumbers w:val="0"/>
              <w:jc w:val="center"/>
              <w:textAlignment w:val="center"/>
              <w:rPr>
                <w:rFonts w:hint="eastAsia" w:ascii="楷体" w:hAnsi="楷体" w:eastAsia="楷体" w:cs="楷体"/>
                <w:b/>
                <w:bCs/>
                <w:i w:val="0"/>
                <w:iCs w:val="0"/>
                <w:color w:val="000000"/>
                <w:sz w:val="20"/>
                <w:szCs w:val="20"/>
                <w:u w:val="none"/>
              </w:rPr>
            </w:pPr>
            <w:r>
              <w:rPr>
                <w:rFonts w:hint="eastAsia" w:ascii="楷体" w:hAnsi="楷体" w:eastAsia="楷体" w:cs="楷体"/>
                <w:b/>
                <w:bCs/>
                <w:i w:val="0"/>
                <w:iCs w:val="0"/>
                <w:color w:val="000000"/>
                <w:kern w:val="0"/>
                <w:sz w:val="20"/>
                <w:szCs w:val="20"/>
                <w:u w:val="none"/>
                <w:lang w:val="en-US" w:eastAsia="zh-CN" w:bidi="ar"/>
              </w:rPr>
              <w:t>可以在叉车周围构建一片高亮度，识别度高的警示区域，让叉车作业更安全</w:t>
            </w:r>
          </w:p>
        </w:tc>
        <w:tc>
          <w:tcPr>
            <w:tcW w:w="1155" w:type="dxa"/>
            <w:vMerge w:val="continue"/>
            <w:tcBorders>
              <w:top w:val="nil"/>
              <w:left w:val="single" w:color="000000" w:sz="4" w:space="0"/>
              <w:bottom w:val="single" w:color="000000" w:sz="8" w:space="0"/>
              <w:right w:val="single" w:color="000000" w:sz="4" w:space="0"/>
            </w:tcBorders>
            <w:noWrap w:val="0"/>
            <w:vAlign w:val="center"/>
          </w:tcPr>
          <w:p w14:paraId="580A8595">
            <w:pPr>
              <w:jc w:val="center"/>
              <w:rPr>
                <w:rFonts w:hint="eastAsia" w:ascii="楷体" w:hAnsi="楷体" w:eastAsia="楷体" w:cs="楷体"/>
                <w:b/>
                <w:bCs/>
                <w:i w:val="0"/>
                <w:iCs w:val="0"/>
                <w:color w:val="000000"/>
                <w:sz w:val="20"/>
                <w:szCs w:val="20"/>
                <w:u w:val="none"/>
              </w:rPr>
            </w:pPr>
          </w:p>
        </w:tc>
      </w:tr>
      <w:tr w14:paraId="0FC80E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20" w:hRule="atLeast"/>
        </w:trPr>
        <w:tc>
          <w:tcPr>
            <w:tcW w:w="2173" w:type="dxa"/>
            <w:tcBorders>
              <w:top w:val="single" w:color="000000" w:sz="4" w:space="0"/>
              <w:left w:val="single" w:color="000000" w:sz="8" w:space="0"/>
              <w:bottom w:val="single" w:color="000000" w:sz="4" w:space="0"/>
              <w:right w:val="single" w:color="000000" w:sz="4" w:space="0"/>
            </w:tcBorders>
            <w:noWrap w:val="0"/>
            <w:vAlign w:val="center"/>
          </w:tcPr>
          <w:p w14:paraId="13489244">
            <w:pPr>
              <w:keepNext w:val="0"/>
              <w:keepLines w:val="0"/>
              <w:widowControl/>
              <w:suppressLineNumbers w:val="0"/>
              <w:jc w:val="center"/>
              <w:textAlignment w:val="center"/>
              <w:rPr>
                <w:rFonts w:hint="eastAsia" w:ascii="楷体" w:hAnsi="楷体" w:eastAsia="楷体" w:cs="楷体"/>
                <w:b/>
                <w:bCs/>
                <w:i w:val="0"/>
                <w:iCs w:val="0"/>
                <w:color w:val="000000"/>
                <w:sz w:val="20"/>
                <w:szCs w:val="20"/>
                <w:u w:val="none"/>
              </w:rPr>
            </w:pPr>
            <w:r>
              <w:rPr>
                <w:rFonts w:hint="eastAsia" w:ascii="楷体" w:hAnsi="楷体" w:eastAsia="楷体" w:cs="楷体"/>
                <w:b/>
                <w:bCs/>
                <w:i w:val="0"/>
                <w:iCs w:val="0"/>
                <w:color w:val="000000"/>
                <w:kern w:val="0"/>
                <w:sz w:val="20"/>
                <w:szCs w:val="20"/>
                <w:u w:val="none"/>
                <w:lang w:val="en-US" w:eastAsia="zh-CN" w:bidi="ar"/>
              </w:rPr>
              <w:t>停车制动状态</w:t>
            </w:r>
          </w:p>
        </w:tc>
        <w:tc>
          <w:tcPr>
            <w:tcW w:w="6240" w:type="dxa"/>
            <w:tcBorders>
              <w:top w:val="single" w:color="000000" w:sz="4" w:space="0"/>
              <w:left w:val="single" w:color="000000" w:sz="4" w:space="0"/>
              <w:bottom w:val="single" w:color="000000" w:sz="4" w:space="0"/>
              <w:right w:val="single" w:color="000000" w:sz="4" w:space="0"/>
            </w:tcBorders>
            <w:noWrap w:val="0"/>
            <w:vAlign w:val="center"/>
          </w:tcPr>
          <w:p w14:paraId="4A81F3E9">
            <w:pPr>
              <w:keepNext w:val="0"/>
              <w:keepLines w:val="0"/>
              <w:widowControl/>
              <w:suppressLineNumbers w:val="0"/>
              <w:jc w:val="center"/>
              <w:textAlignment w:val="center"/>
              <w:rPr>
                <w:rFonts w:hint="eastAsia" w:ascii="楷体" w:hAnsi="楷体" w:eastAsia="楷体" w:cs="楷体"/>
                <w:b/>
                <w:bCs/>
                <w:i w:val="0"/>
                <w:iCs w:val="0"/>
                <w:color w:val="000000"/>
                <w:sz w:val="20"/>
                <w:szCs w:val="20"/>
                <w:u w:val="none"/>
              </w:rPr>
            </w:pPr>
            <w:r>
              <w:rPr>
                <w:rFonts w:hint="eastAsia" w:ascii="楷体" w:hAnsi="楷体" w:eastAsia="楷体" w:cs="楷体"/>
                <w:b/>
                <w:bCs/>
                <w:i w:val="0"/>
                <w:iCs w:val="0"/>
                <w:color w:val="000000"/>
                <w:kern w:val="0"/>
                <w:sz w:val="20"/>
                <w:szCs w:val="20"/>
                <w:u w:val="none"/>
                <w:lang w:val="en-US" w:eastAsia="zh-CN" w:bidi="ar"/>
              </w:rPr>
              <w:t>驾驶员离开位置未检测到制动，本地显示屏显示叉车前轮红黄闪烁状态。防止驾驶员离开车辆后车辆自动前滑和后溜所导致的安全事故</w:t>
            </w:r>
          </w:p>
        </w:tc>
        <w:tc>
          <w:tcPr>
            <w:tcW w:w="1155" w:type="dxa"/>
            <w:vMerge w:val="continue"/>
            <w:tcBorders>
              <w:top w:val="nil"/>
              <w:left w:val="single" w:color="000000" w:sz="4" w:space="0"/>
              <w:bottom w:val="single" w:color="000000" w:sz="8" w:space="0"/>
              <w:right w:val="single" w:color="000000" w:sz="4" w:space="0"/>
            </w:tcBorders>
            <w:noWrap w:val="0"/>
            <w:vAlign w:val="center"/>
          </w:tcPr>
          <w:p w14:paraId="1D3E1384">
            <w:pPr>
              <w:jc w:val="center"/>
              <w:rPr>
                <w:rFonts w:hint="eastAsia" w:ascii="楷体" w:hAnsi="楷体" w:eastAsia="楷体" w:cs="楷体"/>
                <w:b/>
                <w:bCs/>
                <w:i w:val="0"/>
                <w:iCs w:val="0"/>
                <w:color w:val="000000"/>
                <w:sz w:val="20"/>
                <w:szCs w:val="20"/>
                <w:u w:val="none"/>
              </w:rPr>
            </w:pPr>
          </w:p>
        </w:tc>
      </w:tr>
      <w:tr w14:paraId="70C5E9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0" w:hRule="atLeast"/>
        </w:trPr>
        <w:tc>
          <w:tcPr>
            <w:tcW w:w="2173" w:type="dxa"/>
            <w:tcBorders>
              <w:top w:val="single" w:color="000000" w:sz="4" w:space="0"/>
              <w:left w:val="single" w:color="000000" w:sz="8" w:space="0"/>
              <w:bottom w:val="single" w:color="000000" w:sz="4" w:space="0"/>
              <w:right w:val="single" w:color="000000" w:sz="4" w:space="0"/>
            </w:tcBorders>
            <w:noWrap w:val="0"/>
            <w:vAlign w:val="center"/>
          </w:tcPr>
          <w:p w14:paraId="0257A6D6">
            <w:pPr>
              <w:keepNext w:val="0"/>
              <w:keepLines w:val="0"/>
              <w:widowControl/>
              <w:suppressLineNumbers w:val="0"/>
              <w:jc w:val="center"/>
              <w:textAlignment w:val="center"/>
              <w:rPr>
                <w:rFonts w:hint="eastAsia" w:ascii="楷体" w:hAnsi="楷体" w:eastAsia="楷体" w:cs="楷体"/>
                <w:b/>
                <w:bCs/>
                <w:i w:val="0"/>
                <w:iCs w:val="0"/>
                <w:color w:val="000000"/>
                <w:sz w:val="20"/>
                <w:szCs w:val="20"/>
                <w:u w:val="none"/>
              </w:rPr>
            </w:pPr>
            <w:r>
              <w:rPr>
                <w:rFonts w:hint="eastAsia" w:ascii="楷体" w:hAnsi="楷体" w:eastAsia="楷体" w:cs="楷体"/>
                <w:b/>
                <w:bCs/>
                <w:i w:val="0"/>
                <w:iCs w:val="0"/>
                <w:color w:val="000000"/>
                <w:kern w:val="0"/>
                <w:sz w:val="20"/>
                <w:szCs w:val="20"/>
                <w:u w:val="none"/>
                <w:lang w:val="en-US" w:eastAsia="zh-CN" w:bidi="ar"/>
              </w:rPr>
              <w:t>操作者站/坐姿</w:t>
            </w:r>
          </w:p>
        </w:tc>
        <w:tc>
          <w:tcPr>
            <w:tcW w:w="6240" w:type="dxa"/>
            <w:tcBorders>
              <w:top w:val="single" w:color="000000" w:sz="4" w:space="0"/>
              <w:left w:val="single" w:color="000000" w:sz="4" w:space="0"/>
              <w:bottom w:val="single" w:color="000000" w:sz="4" w:space="0"/>
              <w:right w:val="single" w:color="000000" w:sz="4" w:space="0"/>
            </w:tcBorders>
            <w:noWrap w:val="0"/>
            <w:vAlign w:val="center"/>
          </w:tcPr>
          <w:p w14:paraId="496CD47D">
            <w:pPr>
              <w:keepNext w:val="0"/>
              <w:keepLines w:val="0"/>
              <w:widowControl/>
              <w:suppressLineNumbers w:val="0"/>
              <w:jc w:val="center"/>
              <w:textAlignment w:val="center"/>
              <w:rPr>
                <w:rFonts w:hint="eastAsia" w:ascii="楷体" w:hAnsi="楷体" w:eastAsia="楷体" w:cs="楷体"/>
                <w:b/>
                <w:bCs/>
                <w:i w:val="0"/>
                <w:iCs w:val="0"/>
                <w:color w:val="000000"/>
                <w:sz w:val="20"/>
                <w:szCs w:val="20"/>
                <w:u w:val="none"/>
              </w:rPr>
            </w:pPr>
            <w:r>
              <w:rPr>
                <w:rFonts w:hint="eastAsia" w:ascii="楷体" w:hAnsi="楷体" w:eastAsia="楷体" w:cs="楷体"/>
                <w:b/>
                <w:bCs/>
                <w:i w:val="0"/>
                <w:iCs w:val="0"/>
                <w:color w:val="000000"/>
                <w:kern w:val="0"/>
                <w:sz w:val="20"/>
                <w:szCs w:val="20"/>
                <w:u w:val="none"/>
                <w:lang w:val="en-US" w:eastAsia="zh-CN" w:bidi="ar"/>
              </w:rPr>
              <w:t>只有在正确系上安全带和车上有人的状态下才能正常开机</w:t>
            </w:r>
          </w:p>
        </w:tc>
        <w:tc>
          <w:tcPr>
            <w:tcW w:w="1155" w:type="dxa"/>
            <w:vMerge w:val="continue"/>
            <w:tcBorders>
              <w:top w:val="nil"/>
              <w:left w:val="single" w:color="000000" w:sz="4" w:space="0"/>
              <w:bottom w:val="single" w:color="000000" w:sz="8" w:space="0"/>
              <w:right w:val="single" w:color="000000" w:sz="4" w:space="0"/>
            </w:tcBorders>
            <w:noWrap w:val="0"/>
            <w:vAlign w:val="center"/>
          </w:tcPr>
          <w:p w14:paraId="15589384">
            <w:pPr>
              <w:jc w:val="center"/>
              <w:rPr>
                <w:rFonts w:hint="eastAsia" w:ascii="楷体" w:hAnsi="楷体" w:eastAsia="楷体" w:cs="楷体"/>
                <w:b/>
                <w:bCs/>
                <w:i w:val="0"/>
                <w:iCs w:val="0"/>
                <w:color w:val="000000"/>
                <w:sz w:val="20"/>
                <w:szCs w:val="20"/>
                <w:u w:val="none"/>
              </w:rPr>
            </w:pPr>
          </w:p>
        </w:tc>
      </w:tr>
      <w:tr w14:paraId="77014E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2173" w:type="dxa"/>
            <w:tcBorders>
              <w:top w:val="single" w:color="000000" w:sz="4" w:space="0"/>
              <w:left w:val="single" w:color="000000" w:sz="8" w:space="0"/>
              <w:bottom w:val="single" w:color="000000" w:sz="4" w:space="0"/>
              <w:right w:val="single" w:color="000000" w:sz="4" w:space="0"/>
            </w:tcBorders>
            <w:noWrap w:val="0"/>
            <w:vAlign w:val="center"/>
          </w:tcPr>
          <w:p w14:paraId="5789ACC6">
            <w:pPr>
              <w:keepNext w:val="0"/>
              <w:keepLines w:val="0"/>
              <w:widowControl/>
              <w:suppressLineNumbers w:val="0"/>
              <w:jc w:val="center"/>
              <w:textAlignment w:val="center"/>
              <w:rPr>
                <w:rFonts w:hint="eastAsia" w:ascii="楷体" w:hAnsi="楷体" w:eastAsia="楷体" w:cs="楷体"/>
                <w:b/>
                <w:bCs/>
                <w:i w:val="0"/>
                <w:iCs w:val="0"/>
                <w:color w:val="000000"/>
                <w:sz w:val="20"/>
                <w:szCs w:val="20"/>
                <w:u w:val="none"/>
              </w:rPr>
            </w:pPr>
            <w:r>
              <w:rPr>
                <w:rFonts w:hint="eastAsia" w:ascii="楷体" w:hAnsi="楷体" w:eastAsia="楷体" w:cs="楷体"/>
                <w:b/>
                <w:bCs/>
                <w:i w:val="0"/>
                <w:iCs w:val="0"/>
                <w:color w:val="000000"/>
                <w:kern w:val="0"/>
                <w:sz w:val="20"/>
                <w:szCs w:val="20"/>
                <w:u w:val="none"/>
                <w:lang w:val="en-US" w:eastAsia="zh-CN" w:bidi="ar"/>
              </w:rPr>
              <w:t>倒车状态</w:t>
            </w:r>
          </w:p>
        </w:tc>
        <w:tc>
          <w:tcPr>
            <w:tcW w:w="6240" w:type="dxa"/>
            <w:tcBorders>
              <w:top w:val="single" w:color="000000" w:sz="4" w:space="0"/>
              <w:left w:val="single" w:color="000000" w:sz="4" w:space="0"/>
              <w:bottom w:val="single" w:color="000000" w:sz="4" w:space="0"/>
              <w:right w:val="single" w:color="000000" w:sz="4" w:space="0"/>
            </w:tcBorders>
            <w:noWrap w:val="0"/>
            <w:vAlign w:val="center"/>
          </w:tcPr>
          <w:p w14:paraId="72D12AA9">
            <w:pPr>
              <w:keepNext w:val="0"/>
              <w:keepLines w:val="0"/>
              <w:widowControl/>
              <w:suppressLineNumbers w:val="0"/>
              <w:jc w:val="center"/>
              <w:textAlignment w:val="center"/>
              <w:rPr>
                <w:rFonts w:hint="eastAsia" w:ascii="楷体" w:hAnsi="楷体" w:eastAsia="楷体" w:cs="楷体"/>
                <w:b/>
                <w:bCs/>
                <w:i w:val="0"/>
                <w:iCs w:val="0"/>
                <w:color w:val="000000"/>
                <w:sz w:val="20"/>
                <w:szCs w:val="20"/>
                <w:u w:val="none"/>
              </w:rPr>
            </w:pPr>
            <w:r>
              <w:rPr>
                <w:rFonts w:hint="eastAsia" w:ascii="楷体" w:hAnsi="楷体" w:eastAsia="楷体" w:cs="楷体"/>
                <w:b/>
                <w:bCs/>
                <w:i w:val="0"/>
                <w:iCs w:val="0"/>
                <w:color w:val="000000"/>
                <w:kern w:val="0"/>
                <w:sz w:val="20"/>
                <w:szCs w:val="20"/>
                <w:u w:val="none"/>
                <w:lang w:val="en-US" w:eastAsia="zh-CN" w:bidi="ar"/>
              </w:rPr>
              <w:t>辅助驾驶员在倒车状态下保障作业安全，减少安全事故的发生</w:t>
            </w:r>
          </w:p>
        </w:tc>
        <w:tc>
          <w:tcPr>
            <w:tcW w:w="1155" w:type="dxa"/>
            <w:vMerge w:val="continue"/>
            <w:tcBorders>
              <w:top w:val="nil"/>
              <w:left w:val="single" w:color="000000" w:sz="4" w:space="0"/>
              <w:bottom w:val="single" w:color="000000" w:sz="8" w:space="0"/>
              <w:right w:val="single" w:color="000000" w:sz="4" w:space="0"/>
            </w:tcBorders>
            <w:noWrap w:val="0"/>
            <w:vAlign w:val="center"/>
          </w:tcPr>
          <w:p w14:paraId="0ED2B17E">
            <w:pPr>
              <w:jc w:val="center"/>
              <w:rPr>
                <w:rFonts w:hint="eastAsia" w:ascii="楷体" w:hAnsi="楷体" w:eastAsia="楷体" w:cs="楷体"/>
                <w:b/>
                <w:bCs/>
                <w:i w:val="0"/>
                <w:iCs w:val="0"/>
                <w:color w:val="000000"/>
                <w:sz w:val="20"/>
                <w:szCs w:val="20"/>
                <w:u w:val="none"/>
              </w:rPr>
            </w:pPr>
          </w:p>
        </w:tc>
      </w:tr>
      <w:tr w14:paraId="1508BB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0" w:hRule="atLeast"/>
        </w:trPr>
        <w:tc>
          <w:tcPr>
            <w:tcW w:w="2173" w:type="dxa"/>
            <w:tcBorders>
              <w:top w:val="single" w:color="000000" w:sz="4" w:space="0"/>
              <w:left w:val="single" w:color="000000" w:sz="8" w:space="0"/>
              <w:bottom w:val="single" w:color="000000" w:sz="4" w:space="0"/>
              <w:right w:val="single" w:color="000000" w:sz="4" w:space="0"/>
            </w:tcBorders>
            <w:noWrap w:val="0"/>
            <w:vAlign w:val="center"/>
          </w:tcPr>
          <w:p w14:paraId="5A3AFCD1">
            <w:pPr>
              <w:keepNext w:val="0"/>
              <w:keepLines w:val="0"/>
              <w:widowControl/>
              <w:suppressLineNumbers w:val="0"/>
              <w:jc w:val="center"/>
              <w:textAlignment w:val="center"/>
              <w:rPr>
                <w:rFonts w:hint="eastAsia" w:ascii="楷体" w:hAnsi="楷体" w:eastAsia="楷体" w:cs="楷体"/>
                <w:b/>
                <w:bCs/>
                <w:i w:val="0"/>
                <w:iCs w:val="0"/>
                <w:color w:val="000000"/>
                <w:sz w:val="20"/>
                <w:szCs w:val="20"/>
                <w:u w:val="none"/>
              </w:rPr>
            </w:pPr>
            <w:r>
              <w:rPr>
                <w:rFonts w:hint="eastAsia" w:ascii="楷体" w:hAnsi="楷体" w:eastAsia="楷体" w:cs="楷体"/>
                <w:b/>
                <w:bCs/>
                <w:i w:val="0"/>
                <w:iCs w:val="0"/>
                <w:color w:val="000000"/>
                <w:kern w:val="0"/>
                <w:sz w:val="20"/>
                <w:szCs w:val="20"/>
                <w:u w:val="none"/>
                <w:lang w:val="en-US" w:eastAsia="zh-CN" w:bidi="ar"/>
              </w:rPr>
              <w:t>操作权限</w:t>
            </w:r>
          </w:p>
        </w:tc>
        <w:tc>
          <w:tcPr>
            <w:tcW w:w="6240" w:type="dxa"/>
            <w:tcBorders>
              <w:top w:val="single" w:color="000000" w:sz="4" w:space="0"/>
              <w:left w:val="single" w:color="000000" w:sz="4" w:space="0"/>
              <w:bottom w:val="single" w:color="000000" w:sz="4" w:space="0"/>
              <w:right w:val="single" w:color="000000" w:sz="4" w:space="0"/>
            </w:tcBorders>
            <w:noWrap w:val="0"/>
            <w:vAlign w:val="center"/>
          </w:tcPr>
          <w:p w14:paraId="71532424">
            <w:pPr>
              <w:keepNext w:val="0"/>
              <w:keepLines w:val="0"/>
              <w:widowControl/>
              <w:suppressLineNumbers w:val="0"/>
              <w:jc w:val="center"/>
              <w:textAlignment w:val="center"/>
              <w:rPr>
                <w:rFonts w:hint="eastAsia" w:ascii="楷体" w:hAnsi="楷体" w:eastAsia="楷体" w:cs="楷体"/>
                <w:b/>
                <w:bCs/>
                <w:i w:val="0"/>
                <w:iCs w:val="0"/>
                <w:color w:val="000000"/>
                <w:sz w:val="20"/>
                <w:szCs w:val="20"/>
                <w:u w:val="none"/>
              </w:rPr>
            </w:pPr>
            <w:r>
              <w:rPr>
                <w:rFonts w:hint="eastAsia" w:ascii="楷体" w:hAnsi="楷体" w:eastAsia="楷体" w:cs="楷体"/>
                <w:b/>
                <w:bCs/>
                <w:i w:val="0"/>
                <w:iCs w:val="0"/>
                <w:color w:val="000000"/>
                <w:kern w:val="0"/>
                <w:sz w:val="20"/>
                <w:szCs w:val="20"/>
                <w:u w:val="none"/>
                <w:lang w:val="en-US" w:eastAsia="zh-CN" w:bidi="ar"/>
              </w:rPr>
              <w:t>记录驾驶员操作信息、驾驶证信息录入，杜绝无授权驾驶</w:t>
            </w:r>
          </w:p>
        </w:tc>
        <w:tc>
          <w:tcPr>
            <w:tcW w:w="1155" w:type="dxa"/>
            <w:vMerge w:val="continue"/>
            <w:tcBorders>
              <w:top w:val="nil"/>
              <w:left w:val="single" w:color="000000" w:sz="4" w:space="0"/>
              <w:bottom w:val="single" w:color="000000" w:sz="8" w:space="0"/>
              <w:right w:val="single" w:color="000000" w:sz="4" w:space="0"/>
            </w:tcBorders>
            <w:noWrap w:val="0"/>
            <w:vAlign w:val="center"/>
          </w:tcPr>
          <w:p w14:paraId="6A623877">
            <w:pPr>
              <w:jc w:val="center"/>
              <w:rPr>
                <w:rFonts w:hint="eastAsia" w:ascii="楷体" w:hAnsi="楷体" w:eastAsia="楷体" w:cs="楷体"/>
                <w:b/>
                <w:bCs/>
                <w:i w:val="0"/>
                <w:iCs w:val="0"/>
                <w:color w:val="000000"/>
                <w:sz w:val="20"/>
                <w:szCs w:val="20"/>
                <w:u w:val="none"/>
              </w:rPr>
            </w:pPr>
          </w:p>
        </w:tc>
      </w:tr>
      <w:tr w14:paraId="101B80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0" w:hRule="atLeast"/>
        </w:trPr>
        <w:tc>
          <w:tcPr>
            <w:tcW w:w="2173" w:type="dxa"/>
            <w:tcBorders>
              <w:top w:val="single" w:color="000000" w:sz="4" w:space="0"/>
              <w:left w:val="single" w:color="000000" w:sz="8" w:space="0"/>
              <w:bottom w:val="single" w:color="000000" w:sz="4" w:space="0"/>
              <w:right w:val="single" w:color="000000" w:sz="4" w:space="0"/>
            </w:tcBorders>
            <w:noWrap w:val="0"/>
            <w:vAlign w:val="center"/>
          </w:tcPr>
          <w:p w14:paraId="6E4808E4">
            <w:pPr>
              <w:keepNext w:val="0"/>
              <w:keepLines w:val="0"/>
              <w:widowControl/>
              <w:suppressLineNumbers w:val="0"/>
              <w:jc w:val="center"/>
              <w:textAlignment w:val="center"/>
              <w:rPr>
                <w:rFonts w:hint="eastAsia" w:ascii="楷体" w:hAnsi="楷体" w:eastAsia="楷体" w:cs="楷体"/>
                <w:b/>
                <w:bCs/>
                <w:i w:val="0"/>
                <w:iCs w:val="0"/>
                <w:color w:val="000000"/>
                <w:sz w:val="20"/>
                <w:szCs w:val="20"/>
                <w:u w:val="none"/>
              </w:rPr>
            </w:pPr>
            <w:r>
              <w:rPr>
                <w:rFonts w:hint="eastAsia" w:ascii="楷体" w:hAnsi="楷体" w:eastAsia="楷体" w:cs="楷体"/>
                <w:b/>
                <w:bCs/>
                <w:i w:val="0"/>
                <w:iCs w:val="0"/>
                <w:color w:val="000000"/>
                <w:kern w:val="0"/>
                <w:sz w:val="20"/>
                <w:szCs w:val="20"/>
                <w:u w:val="none"/>
                <w:lang w:val="en-US" w:eastAsia="zh-CN" w:bidi="ar"/>
              </w:rPr>
              <w:t>云存储统计及分析</w:t>
            </w:r>
          </w:p>
        </w:tc>
        <w:tc>
          <w:tcPr>
            <w:tcW w:w="6240" w:type="dxa"/>
            <w:tcBorders>
              <w:top w:val="single" w:color="000000" w:sz="4" w:space="0"/>
              <w:left w:val="single" w:color="000000" w:sz="4" w:space="0"/>
              <w:bottom w:val="single" w:color="000000" w:sz="4" w:space="0"/>
              <w:right w:val="single" w:color="000000" w:sz="4" w:space="0"/>
            </w:tcBorders>
            <w:noWrap w:val="0"/>
            <w:vAlign w:val="center"/>
          </w:tcPr>
          <w:p w14:paraId="42908EA1">
            <w:pPr>
              <w:keepNext w:val="0"/>
              <w:keepLines w:val="0"/>
              <w:widowControl/>
              <w:suppressLineNumbers w:val="0"/>
              <w:jc w:val="center"/>
              <w:textAlignment w:val="center"/>
              <w:rPr>
                <w:rFonts w:hint="eastAsia" w:ascii="楷体" w:hAnsi="楷体" w:eastAsia="楷体" w:cs="楷体"/>
                <w:b/>
                <w:bCs/>
                <w:i w:val="0"/>
                <w:iCs w:val="0"/>
                <w:color w:val="000000"/>
                <w:sz w:val="20"/>
                <w:szCs w:val="20"/>
                <w:u w:val="none"/>
              </w:rPr>
            </w:pPr>
            <w:r>
              <w:rPr>
                <w:rFonts w:hint="eastAsia" w:ascii="楷体" w:hAnsi="楷体" w:eastAsia="楷体" w:cs="楷体"/>
                <w:b/>
                <w:bCs/>
                <w:i w:val="0"/>
                <w:iCs w:val="0"/>
                <w:color w:val="000000"/>
                <w:kern w:val="0"/>
                <w:sz w:val="20"/>
                <w:szCs w:val="20"/>
                <w:u w:val="none"/>
                <w:lang w:val="en-US" w:eastAsia="zh-CN" w:bidi="ar"/>
              </w:rPr>
              <w:t>使得违章有据可查，加强了叉车驾驶的安全管理，让管理方能依据数据对个别驾驶员进行监督提醒和针对性教育</w:t>
            </w:r>
          </w:p>
        </w:tc>
        <w:tc>
          <w:tcPr>
            <w:tcW w:w="1155" w:type="dxa"/>
            <w:vMerge w:val="continue"/>
            <w:tcBorders>
              <w:top w:val="nil"/>
              <w:left w:val="single" w:color="000000" w:sz="4" w:space="0"/>
              <w:bottom w:val="single" w:color="000000" w:sz="8" w:space="0"/>
              <w:right w:val="single" w:color="000000" w:sz="4" w:space="0"/>
            </w:tcBorders>
            <w:noWrap w:val="0"/>
            <w:vAlign w:val="center"/>
          </w:tcPr>
          <w:p w14:paraId="061FFA6B">
            <w:pPr>
              <w:jc w:val="center"/>
              <w:rPr>
                <w:rFonts w:hint="eastAsia" w:ascii="楷体" w:hAnsi="楷体" w:eastAsia="楷体" w:cs="楷体"/>
                <w:b/>
                <w:bCs/>
                <w:i w:val="0"/>
                <w:iCs w:val="0"/>
                <w:color w:val="000000"/>
                <w:sz w:val="20"/>
                <w:szCs w:val="20"/>
                <w:u w:val="none"/>
              </w:rPr>
            </w:pPr>
          </w:p>
        </w:tc>
      </w:tr>
      <w:tr w14:paraId="1BC4A0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173" w:type="dxa"/>
            <w:tcBorders>
              <w:top w:val="single" w:color="000000" w:sz="4" w:space="0"/>
              <w:left w:val="single" w:color="000000" w:sz="8" w:space="0"/>
              <w:bottom w:val="single" w:color="000000" w:sz="4" w:space="0"/>
              <w:right w:val="single" w:color="000000" w:sz="4" w:space="0"/>
            </w:tcBorders>
            <w:noWrap w:val="0"/>
            <w:vAlign w:val="center"/>
          </w:tcPr>
          <w:p w14:paraId="55EF999C">
            <w:pPr>
              <w:keepNext w:val="0"/>
              <w:keepLines w:val="0"/>
              <w:widowControl/>
              <w:suppressLineNumbers w:val="0"/>
              <w:jc w:val="center"/>
              <w:textAlignment w:val="center"/>
              <w:rPr>
                <w:rFonts w:hint="eastAsia" w:ascii="楷体" w:hAnsi="楷体" w:eastAsia="楷体" w:cs="楷体"/>
                <w:b/>
                <w:bCs/>
                <w:i w:val="0"/>
                <w:iCs w:val="0"/>
                <w:color w:val="000000"/>
                <w:sz w:val="20"/>
                <w:szCs w:val="20"/>
                <w:u w:val="none"/>
              </w:rPr>
            </w:pPr>
            <w:r>
              <w:rPr>
                <w:rFonts w:hint="eastAsia" w:ascii="楷体" w:hAnsi="楷体" w:eastAsia="楷体" w:cs="楷体"/>
                <w:b/>
                <w:bCs/>
                <w:i w:val="0"/>
                <w:iCs w:val="0"/>
                <w:color w:val="000000"/>
                <w:kern w:val="0"/>
                <w:sz w:val="20"/>
                <w:szCs w:val="20"/>
                <w:u w:val="none"/>
                <w:lang w:val="en-US" w:eastAsia="zh-CN" w:bidi="ar"/>
              </w:rPr>
              <w:t>年检管理</w:t>
            </w:r>
          </w:p>
        </w:tc>
        <w:tc>
          <w:tcPr>
            <w:tcW w:w="6240" w:type="dxa"/>
            <w:tcBorders>
              <w:top w:val="single" w:color="000000" w:sz="4" w:space="0"/>
              <w:left w:val="single" w:color="000000" w:sz="4" w:space="0"/>
              <w:bottom w:val="single" w:color="000000" w:sz="4" w:space="0"/>
              <w:right w:val="single" w:color="000000" w:sz="4" w:space="0"/>
            </w:tcBorders>
            <w:noWrap w:val="0"/>
            <w:vAlign w:val="center"/>
          </w:tcPr>
          <w:p w14:paraId="095E7C7F">
            <w:pPr>
              <w:keepNext w:val="0"/>
              <w:keepLines w:val="0"/>
              <w:widowControl/>
              <w:suppressLineNumbers w:val="0"/>
              <w:jc w:val="center"/>
              <w:textAlignment w:val="center"/>
              <w:rPr>
                <w:rFonts w:hint="eastAsia" w:ascii="楷体" w:hAnsi="楷体" w:eastAsia="楷体" w:cs="楷体"/>
                <w:b/>
                <w:bCs/>
                <w:i w:val="0"/>
                <w:iCs w:val="0"/>
                <w:color w:val="000000"/>
                <w:sz w:val="20"/>
                <w:szCs w:val="20"/>
                <w:u w:val="none"/>
              </w:rPr>
            </w:pPr>
            <w:r>
              <w:rPr>
                <w:rFonts w:hint="eastAsia" w:ascii="楷体" w:hAnsi="楷体" w:eastAsia="楷体" w:cs="楷体"/>
                <w:b/>
                <w:bCs/>
                <w:i w:val="0"/>
                <w:iCs w:val="0"/>
                <w:color w:val="000000"/>
                <w:kern w:val="0"/>
                <w:sz w:val="20"/>
                <w:szCs w:val="20"/>
                <w:u w:val="none"/>
                <w:lang w:val="en-US" w:eastAsia="zh-CN" w:bidi="ar"/>
              </w:rPr>
              <w:t>跟踪到车的年检管理进一步升华工业车辆监控力度，利用网络技术优化监管</w:t>
            </w:r>
          </w:p>
        </w:tc>
        <w:tc>
          <w:tcPr>
            <w:tcW w:w="1155" w:type="dxa"/>
            <w:vMerge w:val="continue"/>
            <w:tcBorders>
              <w:top w:val="nil"/>
              <w:left w:val="single" w:color="000000" w:sz="4" w:space="0"/>
              <w:bottom w:val="single" w:color="000000" w:sz="8" w:space="0"/>
              <w:right w:val="single" w:color="000000" w:sz="4" w:space="0"/>
            </w:tcBorders>
            <w:noWrap w:val="0"/>
            <w:vAlign w:val="center"/>
          </w:tcPr>
          <w:p w14:paraId="2CA12BFD">
            <w:pPr>
              <w:jc w:val="center"/>
              <w:rPr>
                <w:rFonts w:hint="eastAsia" w:ascii="楷体" w:hAnsi="楷体" w:eastAsia="楷体" w:cs="楷体"/>
                <w:b/>
                <w:bCs/>
                <w:i w:val="0"/>
                <w:iCs w:val="0"/>
                <w:color w:val="000000"/>
                <w:sz w:val="20"/>
                <w:szCs w:val="20"/>
                <w:u w:val="none"/>
              </w:rPr>
            </w:pPr>
          </w:p>
        </w:tc>
      </w:tr>
      <w:tr w14:paraId="13C2CC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0" w:hRule="atLeast"/>
        </w:trPr>
        <w:tc>
          <w:tcPr>
            <w:tcW w:w="2173" w:type="dxa"/>
            <w:tcBorders>
              <w:top w:val="single" w:color="000000" w:sz="4" w:space="0"/>
              <w:left w:val="single" w:color="000000" w:sz="8" w:space="0"/>
              <w:bottom w:val="single" w:color="000000" w:sz="4" w:space="0"/>
              <w:right w:val="single" w:color="000000" w:sz="4" w:space="0"/>
            </w:tcBorders>
            <w:noWrap w:val="0"/>
            <w:vAlign w:val="center"/>
          </w:tcPr>
          <w:p w14:paraId="11F29832">
            <w:pPr>
              <w:keepNext w:val="0"/>
              <w:keepLines w:val="0"/>
              <w:widowControl/>
              <w:suppressLineNumbers w:val="0"/>
              <w:jc w:val="center"/>
              <w:textAlignment w:val="center"/>
              <w:rPr>
                <w:rFonts w:hint="eastAsia" w:ascii="楷体" w:hAnsi="楷体" w:eastAsia="楷体" w:cs="楷体"/>
                <w:b/>
                <w:bCs/>
                <w:i w:val="0"/>
                <w:iCs w:val="0"/>
                <w:color w:val="000000"/>
                <w:sz w:val="20"/>
                <w:szCs w:val="20"/>
                <w:u w:val="none"/>
              </w:rPr>
            </w:pPr>
            <w:r>
              <w:rPr>
                <w:rFonts w:hint="eastAsia" w:ascii="楷体" w:hAnsi="楷体" w:eastAsia="楷体" w:cs="楷体"/>
                <w:b/>
                <w:bCs/>
                <w:i w:val="0"/>
                <w:iCs w:val="0"/>
                <w:color w:val="000000"/>
                <w:kern w:val="0"/>
                <w:sz w:val="20"/>
                <w:szCs w:val="20"/>
                <w:u w:val="none"/>
                <w:lang w:val="en-US" w:eastAsia="zh-CN" w:bidi="ar"/>
              </w:rPr>
              <w:t>碰撞检测</w:t>
            </w:r>
          </w:p>
        </w:tc>
        <w:tc>
          <w:tcPr>
            <w:tcW w:w="6240" w:type="dxa"/>
            <w:tcBorders>
              <w:top w:val="single" w:color="000000" w:sz="4" w:space="0"/>
              <w:left w:val="single" w:color="000000" w:sz="4" w:space="0"/>
              <w:bottom w:val="single" w:color="000000" w:sz="4" w:space="0"/>
              <w:right w:val="single" w:color="000000" w:sz="4" w:space="0"/>
            </w:tcBorders>
            <w:noWrap w:val="0"/>
            <w:vAlign w:val="center"/>
          </w:tcPr>
          <w:p w14:paraId="64EB143F">
            <w:pPr>
              <w:keepNext w:val="0"/>
              <w:keepLines w:val="0"/>
              <w:widowControl/>
              <w:suppressLineNumbers w:val="0"/>
              <w:jc w:val="center"/>
              <w:textAlignment w:val="center"/>
              <w:rPr>
                <w:rFonts w:hint="eastAsia" w:ascii="楷体" w:hAnsi="楷体" w:eastAsia="楷体" w:cs="楷体"/>
                <w:b/>
                <w:bCs/>
                <w:i w:val="0"/>
                <w:iCs w:val="0"/>
                <w:color w:val="000000"/>
                <w:sz w:val="20"/>
                <w:szCs w:val="20"/>
                <w:u w:val="none"/>
              </w:rPr>
            </w:pPr>
            <w:r>
              <w:rPr>
                <w:rFonts w:hint="eastAsia" w:ascii="楷体" w:hAnsi="楷体" w:eastAsia="楷体" w:cs="楷体"/>
                <w:b/>
                <w:bCs/>
                <w:i w:val="0"/>
                <w:iCs w:val="0"/>
                <w:color w:val="000000"/>
                <w:kern w:val="0"/>
                <w:sz w:val="20"/>
                <w:szCs w:val="20"/>
                <w:u w:val="none"/>
                <w:lang w:val="en-US" w:eastAsia="zh-CN" w:bidi="ar"/>
              </w:rPr>
              <w:t>记录叉车碰撞情况，可追溯查看驾驶员撞击情况，切实提醒叉车运营企业对货物和设施的监察</w:t>
            </w:r>
          </w:p>
        </w:tc>
        <w:tc>
          <w:tcPr>
            <w:tcW w:w="1155" w:type="dxa"/>
            <w:vMerge w:val="continue"/>
            <w:tcBorders>
              <w:top w:val="nil"/>
              <w:left w:val="single" w:color="000000" w:sz="4" w:space="0"/>
              <w:bottom w:val="single" w:color="000000" w:sz="8" w:space="0"/>
              <w:right w:val="single" w:color="000000" w:sz="4" w:space="0"/>
            </w:tcBorders>
            <w:noWrap w:val="0"/>
            <w:vAlign w:val="center"/>
          </w:tcPr>
          <w:p w14:paraId="3A99485F">
            <w:pPr>
              <w:jc w:val="center"/>
              <w:rPr>
                <w:rFonts w:hint="eastAsia" w:ascii="楷体" w:hAnsi="楷体" w:eastAsia="楷体" w:cs="楷体"/>
                <w:b/>
                <w:bCs/>
                <w:i w:val="0"/>
                <w:iCs w:val="0"/>
                <w:color w:val="000000"/>
                <w:sz w:val="20"/>
                <w:szCs w:val="20"/>
                <w:u w:val="none"/>
              </w:rPr>
            </w:pPr>
          </w:p>
        </w:tc>
      </w:tr>
      <w:tr w14:paraId="5EEA18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0" w:hRule="atLeast"/>
        </w:trPr>
        <w:tc>
          <w:tcPr>
            <w:tcW w:w="2173" w:type="dxa"/>
            <w:tcBorders>
              <w:top w:val="single" w:color="000000" w:sz="4" w:space="0"/>
              <w:left w:val="single" w:color="000000" w:sz="8" w:space="0"/>
              <w:bottom w:val="single" w:color="000000" w:sz="4" w:space="0"/>
              <w:right w:val="single" w:color="000000" w:sz="4" w:space="0"/>
            </w:tcBorders>
            <w:noWrap w:val="0"/>
            <w:vAlign w:val="center"/>
          </w:tcPr>
          <w:p w14:paraId="240233D3">
            <w:pPr>
              <w:keepNext w:val="0"/>
              <w:keepLines w:val="0"/>
              <w:widowControl/>
              <w:suppressLineNumbers w:val="0"/>
              <w:jc w:val="center"/>
              <w:textAlignment w:val="center"/>
              <w:rPr>
                <w:rFonts w:hint="eastAsia" w:ascii="楷体" w:hAnsi="楷体" w:eastAsia="楷体" w:cs="楷体"/>
                <w:b/>
                <w:bCs/>
                <w:i w:val="0"/>
                <w:iCs w:val="0"/>
                <w:color w:val="000000"/>
                <w:sz w:val="20"/>
                <w:szCs w:val="20"/>
                <w:u w:val="none"/>
              </w:rPr>
            </w:pPr>
            <w:r>
              <w:rPr>
                <w:rFonts w:hint="eastAsia" w:ascii="楷体" w:hAnsi="楷体" w:eastAsia="楷体" w:cs="楷体"/>
                <w:b/>
                <w:bCs/>
                <w:i w:val="0"/>
                <w:iCs w:val="0"/>
                <w:color w:val="000000"/>
                <w:kern w:val="0"/>
                <w:sz w:val="20"/>
                <w:szCs w:val="20"/>
                <w:u w:val="none"/>
                <w:lang w:val="en-US" w:eastAsia="zh-CN" w:bidi="ar"/>
              </w:rPr>
              <w:t>运行轨迹</w:t>
            </w:r>
          </w:p>
        </w:tc>
        <w:tc>
          <w:tcPr>
            <w:tcW w:w="6240" w:type="dxa"/>
            <w:tcBorders>
              <w:top w:val="single" w:color="000000" w:sz="4" w:space="0"/>
              <w:left w:val="single" w:color="000000" w:sz="4" w:space="0"/>
              <w:bottom w:val="single" w:color="000000" w:sz="4" w:space="0"/>
              <w:right w:val="single" w:color="000000" w:sz="4" w:space="0"/>
            </w:tcBorders>
            <w:noWrap w:val="0"/>
            <w:vAlign w:val="center"/>
          </w:tcPr>
          <w:p w14:paraId="22474EA9">
            <w:pPr>
              <w:keepNext w:val="0"/>
              <w:keepLines w:val="0"/>
              <w:widowControl/>
              <w:suppressLineNumbers w:val="0"/>
              <w:jc w:val="center"/>
              <w:textAlignment w:val="center"/>
              <w:rPr>
                <w:rFonts w:hint="eastAsia" w:ascii="楷体" w:hAnsi="楷体" w:eastAsia="楷体" w:cs="楷体"/>
                <w:b/>
                <w:bCs/>
                <w:i w:val="0"/>
                <w:iCs w:val="0"/>
                <w:color w:val="000000"/>
                <w:sz w:val="20"/>
                <w:szCs w:val="20"/>
                <w:u w:val="none"/>
              </w:rPr>
            </w:pPr>
            <w:r>
              <w:rPr>
                <w:rFonts w:hint="eastAsia" w:ascii="楷体" w:hAnsi="楷体" w:eastAsia="楷体" w:cs="楷体"/>
                <w:b/>
                <w:bCs/>
                <w:i w:val="0"/>
                <w:iCs w:val="0"/>
                <w:color w:val="000000"/>
                <w:kern w:val="0"/>
                <w:sz w:val="20"/>
                <w:szCs w:val="20"/>
                <w:u w:val="none"/>
                <w:lang w:val="en-US" w:eastAsia="zh-CN" w:bidi="ar"/>
              </w:rPr>
              <w:t>提供车辆位置与相应时间点，帮助描绘车辆运行轨迹</w:t>
            </w:r>
          </w:p>
        </w:tc>
        <w:tc>
          <w:tcPr>
            <w:tcW w:w="1155" w:type="dxa"/>
            <w:vMerge w:val="continue"/>
            <w:tcBorders>
              <w:top w:val="nil"/>
              <w:left w:val="single" w:color="000000" w:sz="4" w:space="0"/>
              <w:bottom w:val="single" w:color="000000" w:sz="8" w:space="0"/>
              <w:right w:val="single" w:color="000000" w:sz="4" w:space="0"/>
            </w:tcBorders>
            <w:noWrap w:val="0"/>
            <w:vAlign w:val="center"/>
          </w:tcPr>
          <w:p w14:paraId="4EC9E7FC">
            <w:pPr>
              <w:jc w:val="center"/>
              <w:rPr>
                <w:rFonts w:hint="eastAsia" w:ascii="楷体" w:hAnsi="楷体" w:eastAsia="楷体" w:cs="楷体"/>
                <w:b/>
                <w:bCs/>
                <w:i w:val="0"/>
                <w:iCs w:val="0"/>
                <w:color w:val="000000"/>
                <w:sz w:val="20"/>
                <w:szCs w:val="20"/>
                <w:u w:val="none"/>
              </w:rPr>
            </w:pPr>
          </w:p>
        </w:tc>
      </w:tr>
      <w:tr w14:paraId="2C5899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2173" w:type="dxa"/>
            <w:tcBorders>
              <w:top w:val="single" w:color="000000" w:sz="4" w:space="0"/>
              <w:left w:val="single" w:color="000000" w:sz="8" w:space="0"/>
              <w:bottom w:val="single" w:color="auto" w:sz="4" w:space="0"/>
              <w:right w:val="single" w:color="000000" w:sz="4" w:space="0"/>
            </w:tcBorders>
            <w:noWrap w:val="0"/>
            <w:vAlign w:val="center"/>
          </w:tcPr>
          <w:p w14:paraId="057C5302">
            <w:pPr>
              <w:keepNext w:val="0"/>
              <w:keepLines w:val="0"/>
              <w:widowControl/>
              <w:suppressLineNumbers w:val="0"/>
              <w:jc w:val="center"/>
              <w:textAlignment w:val="center"/>
              <w:rPr>
                <w:rFonts w:hint="eastAsia" w:ascii="楷体" w:hAnsi="楷体" w:eastAsia="楷体" w:cs="楷体"/>
                <w:b/>
                <w:bCs/>
                <w:i w:val="0"/>
                <w:iCs w:val="0"/>
                <w:color w:val="000000"/>
                <w:sz w:val="20"/>
                <w:szCs w:val="20"/>
                <w:u w:val="none"/>
              </w:rPr>
            </w:pPr>
            <w:r>
              <w:rPr>
                <w:rFonts w:hint="eastAsia" w:ascii="楷体" w:hAnsi="楷体" w:eastAsia="楷体" w:cs="楷体"/>
                <w:b/>
                <w:bCs/>
                <w:i w:val="0"/>
                <w:iCs w:val="0"/>
                <w:color w:val="000000"/>
                <w:kern w:val="0"/>
                <w:sz w:val="20"/>
                <w:szCs w:val="20"/>
                <w:u w:val="none"/>
                <w:lang w:val="en-US" w:eastAsia="zh-CN" w:bidi="ar"/>
              </w:rPr>
              <w:t>电子围栏/GPS定位</w:t>
            </w:r>
          </w:p>
        </w:tc>
        <w:tc>
          <w:tcPr>
            <w:tcW w:w="6240" w:type="dxa"/>
            <w:tcBorders>
              <w:top w:val="single" w:color="000000" w:sz="4" w:space="0"/>
              <w:left w:val="single" w:color="000000" w:sz="4" w:space="0"/>
              <w:bottom w:val="single" w:color="auto" w:sz="4" w:space="0"/>
              <w:right w:val="single" w:color="000000" w:sz="4" w:space="0"/>
            </w:tcBorders>
            <w:noWrap w:val="0"/>
            <w:vAlign w:val="center"/>
          </w:tcPr>
          <w:p w14:paraId="074AB96F">
            <w:pPr>
              <w:keepNext w:val="0"/>
              <w:keepLines w:val="0"/>
              <w:widowControl/>
              <w:suppressLineNumbers w:val="0"/>
              <w:jc w:val="center"/>
              <w:textAlignment w:val="center"/>
              <w:rPr>
                <w:rFonts w:hint="eastAsia" w:ascii="楷体" w:hAnsi="楷体" w:eastAsia="楷体" w:cs="楷体"/>
                <w:b/>
                <w:bCs/>
                <w:i w:val="0"/>
                <w:iCs w:val="0"/>
                <w:color w:val="000000"/>
                <w:sz w:val="20"/>
                <w:szCs w:val="20"/>
                <w:u w:val="none"/>
              </w:rPr>
            </w:pPr>
            <w:r>
              <w:rPr>
                <w:rFonts w:hint="eastAsia" w:ascii="楷体" w:hAnsi="楷体" w:eastAsia="楷体" w:cs="楷体"/>
                <w:b/>
                <w:bCs/>
                <w:i w:val="0"/>
                <w:iCs w:val="0"/>
                <w:color w:val="000000"/>
                <w:kern w:val="0"/>
                <w:sz w:val="20"/>
                <w:szCs w:val="20"/>
                <w:u w:val="none"/>
                <w:lang w:val="en-US" w:eastAsia="zh-CN" w:bidi="ar"/>
              </w:rPr>
              <w:t>对车辆是否在指定工作范围内的实际情况做到实时跟踪，报警，定位，查车。规范 定位车辆的实时状态。</w:t>
            </w:r>
          </w:p>
        </w:tc>
        <w:tc>
          <w:tcPr>
            <w:tcW w:w="1155" w:type="dxa"/>
            <w:vMerge w:val="continue"/>
            <w:tcBorders>
              <w:top w:val="nil"/>
              <w:left w:val="single" w:color="000000" w:sz="4" w:space="0"/>
              <w:bottom w:val="single" w:color="auto" w:sz="4" w:space="0"/>
              <w:right w:val="single" w:color="000000" w:sz="4" w:space="0"/>
            </w:tcBorders>
            <w:noWrap w:val="0"/>
            <w:vAlign w:val="center"/>
          </w:tcPr>
          <w:p w14:paraId="49ABE930">
            <w:pPr>
              <w:jc w:val="center"/>
              <w:rPr>
                <w:rFonts w:hint="eastAsia" w:ascii="楷体" w:hAnsi="楷体" w:eastAsia="楷体" w:cs="楷体"/>
                <w:b/>
                <w:bCs/>
                <w:i w:val="0"/>
                <w:iCs w:val="0"/>
                <w:color w:val="000000"/>
                <w:sz w:val="20"/>
                <w:szCs w:val="20"/>
                <w:u w:val="none"/>
              </w:rPr>
            </w:pPr>
          </w:p>
        </w:tc>
      </w:tr>
      <w:tr w14:paraId="38C728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9568" w:type="dxa"/>
            <w:gridSpan w:val="3"/>
            <w:tcBorders>
              <w:top w:val="nil"/>
              <w:left w:val="nil"/>
              <w:bottom w:val="nil"/>
              <w:right w:val="nil"/>
            </w:tcBorders>
            <w:noWrap w:val="0"/>
            <w:vAlign w:val="center"/>
          </w:tcPr>
          <w:p w14:paraId="0451A58C">
            <w:pPr>
              <w:keepNext w:val="0"/>
              <w:keepLines w:val="0"/>
              <w:widowControl/>
              <w:suppressLineNumbers w:val="0"/>
              <w:jc w:val="both"/>
              <w:textAlignment w:val="center"/>
              <w:rPr>
                <w:rFonts w:hint="eastAsia" w:ascii="楷体" w:hAnsi="楷体" w:eastAsia="楷体" w:cs="楷体"/>
                <w:b/>
                <w:bCs/>
                <w:i w:val="0"/>
                <w:iCs w:val="0"/>
                <w:color w:val="000000"/>
                <w:kern w:val="0"/>
                <w:sz w:val="32"/>
                <w:szCs w:val="32"/>
                <w:u w:val="none"/>
                <w:lang w:val="en-US" w:eastAsia="zh-CN" w:bidi="ar"/>
              </w:rPr>
            </w:pPr>
          </w:p>
          <w:p w14:paraId="2F9DE8FC">
            <w:pPr>
              <w:keepNext w:val="0"/>
              <w:keepLines w:val="0"/>
              <w:widowControl/>
              <w:suppressLineNumbers w:val="0"/>
              <w:jc w:val="center"/>
              <w:textAlignment w:val="center"/>
              <w:rPr>
                <w:rFonts w:hint="eastAsia" w:ascii="楷体" w:hAnsi="楷体" w:eastAsia="楷体" w:cs="楷体"/>
                <w:b/>
                <w:bCs/>
                <w:i w:val="0"/>
                <w:iCs w:val="0"/>
                <w:color w:val="000000"/>
                <w:kern w:val="0"/>
                <w:sz w:val="32"/>
                <w:szCs w:val="32"/>
                <w:u w:val="none"/>
                <w:lang w:val="en-US" w:eastAsia="zh-CN" w:bidi="ar"/>
              </w:rPr>
            </w:pPr>
            <w:r>
              <w:rPr>
                <w:rFonts w:hint="eastAsia" w:ascii="楷体" w:hAnsi="楷体" w:eastAsia="楷体" w:cs="楷体"/>
                <w:b/>
                <w:bCs/>
                <w:i w:val="0"/>
                <w:iCs w:val="0"/>
                <w:color w:val="000000"/>
                <w:kern w:val="0"/>
                <w:sz w:val="32"/>
                <w:szCs w:val="32"/>
                <w:u w:val="none"/>
                <w:lang w:val="en-US" w:eastAsia="zh-CN" w:bidi="ar"/>
              </w:rPr>
              <w:t>叉车智慧监管系统服务项目要求及相应服务</w:t>
            </w:r>
          </w:p>
        </w:tc>
      </w:tr>
      <w:tr w14:paraId="5EC372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8413" w:type="dxa"/>
            <w:gridSpan w:val="2"/>
            <w:tcBorders>
              <w:top w:val="single" w:color="000000" w:sz="4" w:space="0"/>
              <w:left w:val="single" w:color="000000" w:sz="4" w:space="0"/>
              <w:bottom w:val="single" w:color="000000" w:sz="4" w:space="0"/>
              <w:right w:val="single" w:color="000000" w:sz="4" w:space="0"/>
            </w:tcBorders>
            <w:noWrap w:val="0"/>
            <w:vAlign w:val="center"/>
          </w:tcPr>
          <w:p w14:paraId="6A99F434">
            <w:pPr>
              <w:keepNext w:val="0"/>
              <w:keepLines w:val="0"/>
              <w:widowControl/>
              <w:suppressLineNumbers w:val="0"/>
              <w:jc w:val="center"/>
              <w:textAlignment w:val="center"/>
              <w:rPr>
                <w:rFonts w:hint="eastAsia" w:ascii="楷体" w:hAnsi="楷体" w:eastAsia="楷体" w:cs="楷体"/>
                <w:b/>
                <w:bCs/>
                <w:i w:val="0"/>
                <w:iCs w:val="0"/>
                <w:color w:val="000000"/>
                <w:sz w:val="20"/>
                <w:szCs w:val="20"/>
                <w:u w:val="none"/>
                <w:lang w:eastAsia="zh-CN"/>
              </w:rPr>
            </w:pPr>
            <w:r>
              <w:rPr>
                <w:rFonts w:hint="eastAsia" w:ascii="楷体" w:hAnsi="楷体" w:eastAsia="楷体" w:cs="楷体"/>
                <w:b/>
                <w:bCs/>
                <w:i w:val="0"/>
                <w:iCs w:val="0"/>
                <w:color w:val="000000"/>
                <w:sz w:val="20"/>
                <w:szCs w:val="20"/>
                <w:u w:val="none"/>
                <w:lang w:eastAsia="zh-CN"/>
              </w:rPr>
              <w:t>服务项目</w:t>
            </w:r>
          </w:p>
        </w:tc>
        <w:tc>
          <w:tcPr>
            <w:tcW w:w="1155" w:type="dxa"/>
            <w:tcBorders>
              <w:top w:val="single" w:color="000000" w:sz="4" w:space="0"/>
              <w:left w:val="single" w:color="000000" w:sz="4" w:space="0"/>
              <w:bottom w:val="single" w:color="000000" w:sz="4" w:space="0"/>
              <w:right w:val="single" w:color="000000" w:sz="4" w:space="0"/>
            </w:tcBorders>
            <w:noWrap w:val="0"/>
            <w:vAlign w:val="center"/>
          </w:tcPr>
          <w:p w14:paraId="4F6D5EFB">
            <w:pPr>
              <w:keepNext w:val="0"/>
              <w:keepLines w:val="0"/>
              <w:widowControl/>
              <w:suppressLineNumbers w:val="0"/>
              <w:jc w:val="center"/>
              <w:textAlignment w:val="center"/>
              <w:rPr>
                <w:rFonts w:hint="eastAsia" w:ascii="楷体" w:hAnsi="楷体" w:eastAsia="楷体" w:cs="楷体"/>
                <w:b/>
                <w:bCs/>
                <w:i w:val="0"/>
                <w:iCs w:val="0"/>
                <w:color w:val="000000"/>
                <w:sz w:val="20"/>
                <w:szCs w:val="20"/>
                <w:u w:val="none"/>
              </w:rPr>
            </w:pPr>
            <w:r>
              <w:rPr>
                <w:rFonts w:hint="eastAsia" w:ascii="楷体" w:hAnsi="楷体" w:eastAsia="楷体" w:cs="楷体"/>
                <w:b/>
                <w:bCs/>
                <w:i w:val="0"/>
                <w:iCs w:val="0"/>
                <w:color w:val="000000"/>
                <w:kern w:val="0"/>
                <w:sz w:val="20"/>
                <w:szCs w:val="20"/>
                <w:u w:val="none"/>
                <w:lang w:val="en-US" w:eastAsia="zh-CN" w:bidi="ar"/>
              </w:rPr>
              <w:t>叉车数量</w:t>
            </w:r>
          </w:p>
        </w:tc>
      </w:tr>
      <w:tr w14:paraId="4DE0A3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8413" w:type="dxa"/>
            <w:gridSpan w:val="2"/>
            <w:tcBorders>
              <w:top w:val="single" w:color="000000" w:sz="4" w:space="0"/>
              <w:left w:val="single" w:color="000000" w:sz="8" w:space="0"/>
              <w:bottom w:val="single" w:color="000000" w:sz="4" w:space="0"/>
              <w:right w:val="single" w:color="000000" w:sz="4" w:space="0"/>
            </w:tcBorders>
            <w:noWrap w:val="0"/>
            <w:vAlign w:val="center"/>
          </w:tcPr>
          <w:p w14:paraId="6AECB7BA">
            <w:pPr>
              <w:keepNext w:val="0"/>
              <w:keepLines w:val="0"/>
              <w:widowControl/>
              <w:suppressLineNumbers w:val="0"/>
              <w:jc w:val="center"/>
              <w:textAlignment w:val="center"/>
              <w:rPr>
                <w:rFonts w:hint="eastAsia" w:ascii="楷体" w:hAnsi="楷体" w:eastAsia="楷体" w:cs="楷体"/>
                <w:b/>
                <w:bCs/>
                <w:i w:val="0"/>
                <w:iCs w:val="0"/>
                <w:color w:val="000000"/>
                <w:sz w:val="20"/>
                <w:szCs w:val="20"/>
                <w:u w:val="none"/>
              </w:rPr>
            </w:pPr>
            <w:r>
              <w:rPr>
                <w:rFonts w:hint="eastAsia" w:ascii="楷体" w:hAnsi="楷体" w:eastAsia="楷体" w:cs="楷体"/>
                <w:b/>
                <w:bCs/>
                <w:i w:val="0"/>
                <w:iCs w:val="0"/>
                <w:color w:val="000000"/>
                <w:kern w:val="0"/>
                <w:sz w:val="20"/>
                <w:szCs w:val="20"/>
                <w:u w:val="none"/>
                <w:lang w:val="en-US" w:eastAsia="zh-CN" w:bidi="ar"/>
              </w:rPr>
              <w:t>三年平台使用费</w:t>
            </w:r>
          </w:p>
        </w:tc>
        <w:tc>
          <w:tcPr>
            <w:tcW w:w="1155" w:type="dxa"/>
            <w:vMerge w:val="restart"/>
            <w:tcBorders>
              <w:top w:val="nil"/>
              <w:left w:val="single" w:color="000000" w:sz="4" w:space="0"/>
              <w:bottom w:val="single" w:color="000000" w:sz="4" w:space="0"/>
              <w:right w:val="single" w:color="000000" w:sz="4" w:space="0"/>
            </w:tcBorders>
            <w:noWrap w:val="0"/>
            <w:vAlign w:val="center"/>
          </w:tcPr>
          <w:p w14:paraId="50977811">
            <w:pPr>
              <w:keepNext w:val="0"/>
              <w:keepLines w:val="0"/>
              <w:widowControl/>
              <w:suppressLineNumbers w:val="0"/>
              <w:jc w:val="center"/>
              <w:textAlignment w:val="center"/>
              <w:rPr>
                <w:rFonts w:hint="eastAsia" w:ascii="楷体" w:hAnsi="楷体" w:eastAsia="楷体" w:cs="楷体"/>
                <w:b/>
                <w:bCs/>
                <w:i w:val="0"/>
                <w:iCs w:val="0"/>
                <w:color w:val="000000"/>
                <w:kern w:val="0"/>
                <w:sz w:val="20"/>
                <w:szCs w:val="20"/>
                <w:u w:val="none"/>
                <w:lang w:val="en-US" w:eastAsia="zh-CN" w:bidi="ar"/>
              </w:rPr>
            </w:pPr>
            <w:r>
              <w:rPr>
                <w:rFonts w:hint="eastAsia" w:ascii="楷体" w:hAnsi="楷体" w:eastAsia="楷体" w:cs="楷体"/>
                <w:b/>
                <w:bCs/>
                <w:i w:val="0"/>
                <w:iCs w:val="0"/>
                <w:color w:val="000000"/>
                <w:kern w:val="0"/>
                <w:sz w:val="20"/>
                <w:szCs w:val="20"/>
                <w:u w:val="none"/>
                <w:lang w:val="en-US" w:eastAsia="zh-CN" w:bidi="ar"/>
              </w:rPr>
              <w:t>18</w:t>
            </w:r>
          </w:p>
          <w:p w14:paraId="4146E3B2">
            <w:pPr>
              <w:keepNext w:val="0"/>
              <w:keepLines w:val="0"/>
              <w:widowControl/>
              <w:suppressLineNumbers w:val="0"/>
              <w:jc w:val="center"/>
              <w:textAlignment w:val="center"/>
              <w:rPr>
                <w:rFonts w:hint="default" w:ascii="楷体" w:hAnsi="楷体" w:eastAsia="楷体" w:cs="楷体"/>
                <w:b/>
                <w:bCs/>
                <w:i w:val="0"/>
                <w:iCs w:val="0"/>
                <w:color w:val="000000"/>
                <w:sz w:val="20"/>
                <w:szCs w:val="20"/>
                <w:u w:val="none"/>
                <w:lang w:val="en-US"/>
              </w:rPr>
            </w:pPr>
            <w:r>
              <w:rPr>
                <w:rFonts w:hint="eastAsia" w:ascii="楷体" w:hAnsi="楷体" w:eastAsia="楷体" w:cs="楷体"/>
                <w:b/>
                <w:bCs/>
                <w:i w:val="0"/>
                <w:iCs w:val="0"/>
                <w:color w:val="000000"/>
                <w:kern w:val="0"/>
                <w:sz w:val="20"/>
                <w:szCs w:val="20"/>
                <w:u w:val="none"/>
                <w:lang w:val="en-US" w:eastAsia="zh-CN" w:bidi="ar"/>
              </w:rPr>
              <w:t>（含1辆防爆叉车）</w:t>
            </w:r>
          </w:p>
        </w:tc>
      </w:tr>
      <w:tr w14:paraId="2A67CD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8413" w:type="dxa"/>
            <w:gridSpan w:val="2"/>
            <w:tcBorders>
              <w:top w:val="single" w:color="000000" w:sz="4" w:space="0"/>
              <w:left w:val="single" w:color="000000" w:sz="8" w:space="0"/>
              <w:bottom w:val="single" w:color="000000" w:sz="4" w:space="0"/>
              <w:right w:val="single" w:color="000000" w:sz="4" w:space="0"/>
            </w:tcBorders>
            <w:noWrap w:val="0"/>
            <w:vAlign w:val="center"/>
          </w:tcPr>
          <w:p w14:paraId="10F6C4F4">
            <w:pPr>
              <w:keepNext w:val="0"/>
              <w:keepLines w:val="0"/>
              <w:widowControl/>
              <w:suppressLineNumbers w:val="0"/>
              <w:jc w:val="center"/>
              <w:textAlignment w:val="center"/>
              <w:rPr>
                <w:rFonts w:hint="eastAsia" w:ascii="楷体" w:hAnsi="楷体" w:eastAsia="楷体" w:cs="楷体"/>
                <w:b/>
                <w:bCs/>
                <w:i w:val="0"/>
                <w:iCs w:val="0"/>
                <w:color w:val="000000"/>
                <w:kern w:val="0"/>
                <w:sz w:val="20"/>
                <w:szCs w:val="20"/>
                <w:u w:val="none"/>
                <w:lang w:val="en-US" w:eastAsia="zh-CN" w:bidi="ar"/>
              </w:rPr>
            </w:pPr>
            <w:r>
              <w:rPr>
                <w:rFonts w:hint="eastAsia" w:ascii="楷体" w:hAnsi="楷体" w:eastAsia="楷体" w:cs="楷体"/>
                <w:b/>
                <w:bCs/>
                <w:i w:val="0"/>
                <w:iCs w:val="0"/>
                <w:color w:val="000000"/>
                <w:kern w:val="0"/>
                <w:sz w:val="20"/>
                <w:szCs w:val="20"/>
                <w:u w:val="none"/>
                <w:lang w:val="en-US" w:eastAsia="zh-CN" w:bidi="ar"/>
              </w:rPr>
              <w:t>三 年 流 量 费</w:t>
            </w:r>
          </w:p>
        </w:tc>
        <w:tc>
          <w:tcPr>
            <w:tcW w:w="1155" w:type="dxa"/>
            <w:vMerge w:val="continue"/>
            <w:tcBorders>
              <w:left w:val="single" w:color="000000" w:sz="4" w:space="0"/>
              <w:right w:val="single" w:color="000000" w:sz="4" w:space="0"/>
            </w:tcBorders>
            <w:noWrap w:val="0"/>
            <w:vAlign w:val="center"/>
          </w:tcPr>
          <w:p w14:paraId="23F1BDE4">
            <w:pPr>
              <w:keepNext w:val="0"/>
              <w:keepLines w:val="0"/>
              <w:widowControl/>
              <w:suppressLineNumbers w:val="0"/>
              <w:jc w:val="center"/>
              <w:textAlignment w:val="center"/>
              <w:rPr>
                <w:rFonts w:hint="eastAsia" w:ascii="楷体" w:hAnsi="楷体" w:eastAsia="楷体" w:cs="楷体"/>
                <w:b/>
                <w:bCs/>
                <w:i w:val="0"/>
                <w:iCs w:val="0"/>
                <w:color w:val="000000"/>
                <w:kern w:val="0"/>
                <w:sz w:val="20"/>
                <w:szCs w:val="20"/>
                <w:u w:val="none"/>
                <w:lang w:val="en-US" w:eastAsia="zh-CN" w:bidi="ar"/>
              </w:rPr>
            </w:pPr>
          </w:p>
        </w:tc>
      </w:tr>
      <w:tr w14:paraId="28A388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8413" w:type="dxa"/>
            <w:gridSpan w:val="2"/>
            <w:tcBorders>
              <w:top w:val="single" w:color="000000" w:sz="4" w:space="0"/>
              <w:left w:val="single" w:color="000000" w:sz="8" w:space="0"/>
              <w:bottom w:val="single" w:color="000000" w:sz="4" w:space="0"/>
              <w:right w:val="single" w:color="000000" w:sz="4" w:space="0"/>
            </w:tcBorders>
            <w:noWrap w:val="0"/>
            <w:vAlign w:val="center"/>
          </w:tcPr>
          <w:p w14:paraId="57BF1008">
            <w:pPr>
              <w:keepNext w:val="0"/>
              <w:keepLines w:val="0"/>
              <w:widowControl/>
              <w:suppressLineNumbers w:val="0"/>
              <w:jc w:val="center"/>
              <w:textAlignment w:val="center"/>
              <w:rPr>
                <w:rFonts w:hint="eastAsia" w:ascii="楷体" w:hAnsi="楷体" w:eastAsia="楷体" w:cs="楷体"/>
                <w:b/>
                <w:bCs/>
                <w:i w:val="0"/>
                <w:iCs w:val="0"/>
                <w:color w:val="000000"/>
                <w:sz w:val="20"/>
                <w:szCs w:val="20"/>
                <w:u w:val="none"/>
              </w:rPr>
            </w:pPr>
            <w:r>
              <w:rPr>
                <w:rFonts w:hint="eastAsia" w:ascii="楷体" w:hAnsi="楷体" w:eastAsia="楷体" w:cs="楷体"/>
                <w:b/>
                <w:bCs/>
                <w:i w:val="0"/>
                <w:iCs w:val="0"/>
                <w:color w:val="000000"/>
                <w:kern w:val="0"/>
                <w:sz w:val="20"/>
                <w:szCs w:val="20"/>
                <w:u w:val="none"/>
                <w:lang w:val="en-US" w:eastAsia="zh-CN" w:bidi="ar"/>
              </w:rPr>
              <w:t>三年软件维护升级费</w:t>
            </w:r>
          </w:p>
        </w:tc>
        <w:tc>
          <w:tcPr>
            <w:tcW w:w="1155" w:type="dxa"/>
            <w:vMerge w:val="continue"/>
            <w:tcBorders>
              <w:top w:val="nil"/>
              <w:left w:val="single" w:color="000000" w:sz="4" w:space="0"/>
              <w:bottom w:val="single" w:color="000000" w:sz="4" w:space="0"/>
              <w:right w:val="single" w:color="000000" w:sz="4" w:space="0"/>
            </w:tcBorders>
            <w:noWrap w:val="0"/>
            <w:vAlign w:val="center"/>
          </w:tcPr>
          <w:p w14:paraId="4F6BD654">
            <w:pPr>
              <w:jc w:val="center"/>
              <w:rPr>
                <w:rFonts w:hint="eastAsia" w:ascii="楷体" w:hAnsi="楷体" w:eastAsia="楷体" w:cs="楷体"/>
                <w:b/>
                <w:bCs/>
                <w:i w:val="0"/>
                <w:iCs w:val="0"/>
                <w:color w:val="000000"/>
                <w:sz w:val="20"/>
                <w:szCs w:val="20"/>
                <w:u w:val="none"/>
              </w:rPr>
            </w:pPr>
          </w:p>
        </w:tc>
      </w:tr>
      <w:tr w14:paraId="72FBEB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0" w:hRule="atLeast"/>
        </w:trPr>
        <w:tc>
          <w:tcPr>
            <w:tcW w:w="8413" w:type="dxa"/>
            <w:gridSpan w:val="2"/>
            <w:tcBorders>
              <w:top w:val="single" w:color="000000" w:sz="4" w:space="0"/>
              <w:left w:val="single" w:color="000000" w:sz="8" w:space="0"/>
              <w:bottom w:val="single" w:color="auto" w:sz="4" w:space="0"/>
              <w:right w:val="single" w:color="000000" w:sz="4" w:space="0"/>
            </w:tcBorders>
            <w:noWrap w:val="0"/>
            <w:vAlign w:val="center"/>
          </w:tcPr>
          <w:p w14:paraId="728262F4">
            <w:pPr>
              <w:keepNext w:val="0"/>
              <w:keepLines w:val="0"/>
              <w:widowControl/>
              <w:suppressLineNumbers w:val="0"/>
              <w:jc w:val="center"/>
              <w:textAlignment w:val="center"/>
              <w:rPr>
                <w:rFonts w:hint="eastAsia" w:ascii="楷体" w:hAnsi="楷体" w:eastAsia="楷体" w:cs="楷体"/>
                <w:b/>
                <w:bCs/>
                <w:i w:val="0"/>
                <w:iCs w:val="0"/>
                <w:color w:val="000000"/>
                <w:sz w:val="20"/>
                <w:szCs w:val="20"/>
                <w:u w:val="none"/>
              </w:rPr>
            </w:pPr>
            <w:r>
              <w:rPr>
                <w:rFonts w:hint="eastAsia" w:ascii="楷体" w:hAnsi="楷体" w:eastAsia="楷体" w:cs="楷体"/>
                <w:b/>
                <w:bCs/>
                <w:i w:val="0"/>
                <w:iCs w:val="0"/>
                <w:color w:val="000000"/>
                <w:kern w:val="0"/>
                <w:sz w:val="20"/>
                <w:szCs w:val="20"/>
                <w:u w:val="none"/>
                <w:lang w:val="en-US" w:eastAsia="zh-CN" w:bidi="ar"/>
              </w:rPr>
              <w:t>三年硬件服务费（不含硬件人为损坏）</w:t>
            </w:r>
          </w:p>
        </w:tc>
        <w:tc>
          <w:tcPr>
            <w:tcW w:w="1155" w:type="dxa"/>
            <w:vMerge w:val="continue"/>
            <w:tcBorders>
              <w:top w:val="nil"/>
              <w:left w:val="single" w:color="000000" w:sz="4" w:space="0"/>
              <w:bottom w:val="single" w:color="auto" w:sz="4" w:space="0"/>
              <w:right w:val="single" w:color="000000" w:sz="4" w:space="0"/>
            </w:tcBorders>
            <w:noWrap w:val="0"/>
            <w:vAlign w:val="center"/>
          </w:tcPr>
          <w:p w14:paraId="311E815D">
            <w:pPr>
              <w:jc w:val="center"/>
              <w:rPr>
                <w:rFonts w:hint="eastAsia" w:ascii="楷体" w:hAnsi="楷体" w:eastAsia="楷体" w:cs="楷体"/>
                <w:b/>
                <w:bCs/>
                <w:i w:val="0"/>
                <w:iCs w:val="0"/>
                <w:color w:val="000000"/>
                <w:sz w:val="20"/>
                <w:szCs w:val="20"/>
                <w:u w:val="none"/>
              </w:rPr>
            </w:pPr>
          </w:p>
        </w:tc>
      </w:tr>
    </w:tbl>
    <w:p w14:paraId="6B89E0CD">
      <w:pPr>
        <w:pStyle w:val="1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600" w:lineRule="exact"/>
        <w:ind w:right="0" w:rightChars="0" w:firstLine="640" w:firstLineChars="200"/>
        <w:jc w:val="both"/>
        <w:textAlignment w:val="auto"/>
        <w:rPr>
          <w:rFonts w:hint="eastAsia" w:ascii="方正仿宋简体" w:hAnsi="方正仿宋简体" w:eastAsia="方正仿宋简体" w:cs="方正仿宋简体"/>
          <w:color w:val="FF0000"/>
          <w:kern w:val="2"/>
          <w:sz w:val="32"/>
          <w:szCs w:val="32"/>
          <w:highlight w:val="yellow"/>
          <w:lang w:val="en-US" w:eastAsia="zh-CN"/>
        </w:rPr>
      </w:pPr>
      <w:r>
        <w:rPr>
          <w:rFonts w:hint="eastAsia" w:ascii="方正仿宋简体" w:hAnsi="方正仿宋简体" w:eastAsia="方正仿宋简体" w:cs="方正仿宋简体"/>
          <w:kern w:val="2"/>
          <w:sz w:val="32"/>
          <w:szCs w:val="32"/>
          <w:lang w:val="en-US" w:eastAsia="zh-CN"/>
        </w:rPr>
        <w:t>2.</w:t>
      </w:r>
      <w:r>
        <w:rPr>
          <w:rFonts w:hint="eastAsia" w:ascii="方正仿宋简体" w:hAnsi="方正仿宋简体" w:eastAsia="方正仿宋简体" w:cs="方正仿宋简体"/>
          <w:sz w:val="32"/>
          <w:szCs w:val="32"/>
          <w:u w:val="none"/>
        </w:rPr>
        <w:t>叉车智慧监控系统安装</w:t>
      </w:r>
      <w:r>
        <w:rPr>
          <w:rFonts w:hint="eastAsia" w:ascii="方正仿宋简体" w:hAnsi="方正仿宋简体" w:eastAsia="方正仿宋简体" w:cs="方正仿宋简体"/>
          <w:sz w:val="32"/>
          <w:szCs w:val="32"/>
          <w:u w:val="none"/>
          <w:lang w:eastAsia="zh-CN"/>
        </w:rPr>
        <w:t>及配套服务项目费用：</w:t>
      </w:r>
      <w:r>
        <w:rPr>
          <w:rFonts w:hint="eastAsia" w:ascii="方正仿宋简体" w:hAnsi="方正仿宋简体" w:eastAsia="方正仿宋简体" w:cs="方正仿宋简体"/>
          <w:color w:val="FF0000"/>
          <w:kern w:val="2"/>
          <w:sz w:val="32"/>
          <w:szCs w:val="32"/>
          <w:lang w:val="en-US" w:eastAsia="zh-CN" w:bidi="ar"/>
        </w:rPr>
        <w:t>每套系统初装费用应由一次性投入的硬件费用（含安装费，培训费，维护费）+软件费用（含3年流量费，3年的平台使用费，3年的维护费，培训费等）组成，且每套系统要求可以联网，数据可以并入镇江市场监督管理局指定网站，最终按实际数量结算。</w:t>
      </w:r>
    </w:p>
    <w:p w14:paraId="5CFF3E29">
      <w:pPr>
        <w:pStyle w:val="13"/>
        <w:keepNext w:val="0"/>
        <w:keepLines w:val="0"/>
        <w:pageBreakBefore w:val="0"/>
        <w:widowControl/>
        <w:shd w:val="clear" w:color="auto" w:fill="FFFFFF"/>
        <w:kinsoku/>
        <w:wordWrap/>
        <w:overflowPunct/>
        <w:topLinePunct w:val="0"/>
        <w:autoSpaceDE/>
        <w:autoSpaceDN/>
        <w:bidi w:val="0"/>
        <w:adjustRightInd/>
        <w:snapToGrid/>
        <w:spacing w:line="600" w:lineRule="exact"/>
        <w:ind w:firstLine="640" w:firstLineChars="200"/>
        <w:jc w:val="both"/>
        <w:textAlignment w:val="auto"/>
        <w:rPr>
          <w:rFonts w:hint="eastAsia" w:ascii="方正仿宋简体" w:hAnsi="方正仿宋简体" w:eastAsia="方正仿宋简体" w:cs="方正仿宋简体"/>
          <w:sz w:val="32"/>
          <w:szCs w:val="32"/>
        </w:rPr>
      </w:pPr>
      <w:r>
        <w:rPr>
          <w:rFonts w:hint="eastAsia" w:ascii="方正仿宋简体" w:hAnsi="方正仿宋简体" w:eastAsia="方正仿宋简体" w:cs="方正仿宋简体"/>
          <w:sz w:val="32"/>
          <w:szCs w:val="32"/>
          <w:lang w:val="en-US" w:eastAsia="zh-CN"/>
        </w:rPr>
        <w:t>3</w:t>
      </w:r>
      <w:r>
        <w:rPr>
          <w:rFonts w:hint="eastAsia" w:ascii="方正仿宋简体" w:hAnsi="方正仿宋简体" w:eastAsia="方正仿宋简体" w:cs="方正仿宋简体"/>
          <w:sz w:val="32"/>
          <w:szCs w:val="32"/>
        </w:rPr>
        <w:t>.机械辅助设施须在符合安全规范</w:t>
      </w:r>
      <w:r>
        <w:rPr>
          <w:rFonts w:hint="eastAsia" w:ascii="方正仿宋简体" w:hAnsi="方正仿宋简体" w:eastAsia="方正仿宋简体" w:cs="方正仿宋简体"/>
          <w:sz w:val="32"/>
          <w:szCs w:val="32"/>
          <w:lang w:eastAsia="zh-CN"/>
        </w:rPr>
        <w:t>及</w:t>
      </w:r>
      <w:r>
        <w:rPr>
          <w:rFonts w:hint="eastAsia" w:ascii="方正仿宋简体" w:hAnsi="方正仿宋简体" w:eastAsia="方正仿宋简体" w:cs="方正仿宋简体"/>
          <w:sz w:val="32"/>
          <w:szCs w:val="32"/>
        </w:rPr>
        <w:t>安全性能的前提下由中标方自行解决，其它在施工中任何可能发生的费用，如</w:t>
      </w:r>
      <w:r>
        <w:rPr>
          <w:rFonts w:hint="eastAsia" w:ascii="方正仿宋简体" w:hAnsi="方正仿宋简体" w:eastAsia="方正仿宋简体" w:cs="方正仿宋简体"/>
          <w:color w:val="FF0000"/>
          <w:sz w:val="32"/>
          <w:szCs w:val="32"/>
        </w:rPr>
        <w:t>拆除费</w:t>
      </w:r>
      <w:r>
        <w:rPr>
          <w:rFonts w:hint="eastAsia" w:ascii="方正仿宋简体" w:hAnsi="方正仿宋简体" w:eastAsia="方正仿宋简体" w:cs="方正仿宋简体"/>
          <w:sz w:val="32"/>
          <w:szCs w:val="32"/>
        </w:rPr>
        <w:t>、赶工加班费、设备材料保管费、短途运输搬运费、</w:t>
      </w:r>
      <w:r>
        <w:rPr>
          <w:rFonts w:hint="eastAsia" w:ascii="方正仿宋简体" w:hAnsi="方正仿宋简体" w:eastAsia="方正仿宋简体" w:cs="方正仿宋简体"/>
          <w:color w:val="FF0000"/>
          <w:sz w:val="32"/>
          <w:szCs w:val="32"/>
        </w:rPr>
        <w:t>施工垃圾清理费</w:t>
      </w:r>
      <w:r>
        <w:rPr>
          <w:rFonts w:hint="eastAsia" w:ascii="方正仿宋简体" w:hAnsi="方正仿宋简体" w:eastAsia="方正仿宋简体" w:cs="方正仿宋简体"/>
          <w:sz w:val="32"/>
          <w:szCs w:val="32"/>
        </w:rPr>
        <w:t>、围挡搭设费等都应包含在投标价格中。</w:t>
      </w:r>
    </w:p>
    <w:p w14:paraId="276A850B">
      <w:pPr>
        <w:pStyle w:val="13"/>
        <w:keepNext w:val="0"/>
        <w:keepLines w:val="0"/>
        <w:pageBreakBefore w:val="0"/>
        <w:widowControl/>
        <w:shd w:val="clear" w:color="auto" w:fill="FFFFFF"/>
        <w:kinsoku/>
        <w:wordWrap/>
        <w:overflowPunct/>
        <w:topLinePunct w:val="0"/>
        <w:autoSpaceDE/>
        <w:autoSpaceDN/>
        <w:bidi w:val="0"/>
        <w:spacing w:line="600" w:lineRule="exact"/>
        <w:ind w:firstLine="640" w:firstLineChars="200"/>
        <w:jc w:val="both"/>
        <w:textAlignment w:val="auto"/>
        <w:rPr>
          <w:rFonts w:ascii="方正仿宋简体" w:hAnsi="方正仿宋简体" w:eastAsia="方正仿宋简体" w:cs="方正仿宋简体"/>
          <w:kern w:val="2"/>
          <w:sz w:val="32"/>
          <w:szCs w:val="32"/>
        </w:rPr>
      </w:pPr>
      <w:r>
        <w:rPr>
          <w:rFonts w:hint="eastAsia" w:ascii="方正仿宋简体" w:hAnsi="方正仿宋简体" w:eastAsia="方正仿宋简体" w:cs="方正仿宋简体"/>
          <w:kern w:val="2"/>
          <w:sz w:val="32"/>
          <w:szCs w:val="32"/>
          <w:lang w:val="en-US" w:eastAsia="zh-CN"/>
        </w:rPr>
        <w:t>4</w:t>
      </w:r>
      <w:r>
        <w:rPr>
          <w:rFonts w:ascii="方正仿宋简体" w:hAnsi="方正仿宋简体" w:eastAsia="方正仿宋简体" w:cs="方正仿宋简体"/>
          <w:kern w:val="2"/>
          <w:sz w:val="32"/>
          <w:szCs w:val="32"/>
        </w:rPr>
        <w:t>.</w:t>
      </w:r>
      <w:r>
        <w:rPr>
          <w:rFonts w:hint="eastAsia" w:ascii="方正仿宋简体" w:hAnsi="方正仿宋简体" w:eastAsia="方正仿宋简体" w:cs="方正仿宋简体"/>
          <w:sz w:val="32"/>
          <w:szCs w:val="32"/>
          <w:u w:val="none"/>
        </w:rPr>
        <w:t>叉车智慧监控系统安装</w:t>
      </w:r>
      <w:r>
        <w:rPr>
          <w:rFonts w:hint="eastAsia" w:ascii="方正仿宋简体" w:hAnsi="方正仿宋简体" w:eastAsia="方正仿宋简体" w:cs="方正仿宋简体"/>
          <w:sz w:val="32"/>
          <w:szCs w:val="32"/>
          <w:u w:val="none"/>
          <w:lang w:eastAsia="zh-CN"/>
        </w:rPr>
        <w:t>及配套服务项目</w:t>
      </w:r>
      <w:r>
        <w:rPr>
          <w:rFonts w:ascii="方正仿宋简体" w:hAnsi="方正仿宋简体" w:eastAsia="方正仿宋简体" w:cs="方正仿宋简体"/>
          <w:kern w:val="2"/>
          <w:sz w:val="32"/>
          <w:szCs w:val="32"/>
        </w:rPr>
        <w:t>报价为含税价，请注明税率。</w:t>
      </w:r>
    </w:p>
    <w:p w14:paraId="67648D02">
      <w:pPr>
        <w:pStyle w:val="13"/>
        <w:keepNext w:val="0"/>
        <w:keepLines w:val="0"/>
        <w:pageBreakBefore w:val="0"/>
        <w:widowControl/>
        <w:shd w:val="clear" w:color="auto" w:fill="FFFFFF"/>
        <w:kinsoku/>
        <w:wordWrap/>
        <w:overflowPunct/>
        <w:topLinePunct w:val="0"/>
        <w:autoSpaceDE/>
        <w:autoSpaceDN/>
        <w:bidi w:val="0"/>
        <w:spacing w:line="600" w:lineRule="exact"/>
        <w:ind w:firstLine="640" w:firstLineChars="200"/>
        <w:jc w:val="both"/>
        <w:textAlignment w:val="auto"/>
        <w:rPr>
          <w:rFonts w:ascii="方正仿宋简体" w:hAnsi="方正仿宋简体" w:eastAsia="方正仿宋简体" w:cs="方正仿宋简体"/>
          <w:kern w:val="2"/>
          <w:sz w:val="32"/>
          <w:szCs w:val="32"/>
        </w:rPr>
      </w:pPr>
      <w:r>
        <w:rPr>
          <w:rFonts w:hint="eastAsia" w:ascii="方正仿宋简体" w:hAnsi="方正仿宋简体" w:eastAsia="方正仿宋简体" w:cs="方正仿宋简体"/>
          <w:kern w:val="2"/>
          <w:sz w:val="32"/>
          <w:szCs w:val="32"/>
          <w:lang w:val="en-US" w:eastAsia="zh-CN"/>
        </w:rPr>
        <w:t>5</w:t>
      </w:r>
      <w:r>
        <w:rPr>
          <w:rFonts w:ascii="方正仿宋简体" w:hAnsi="方正仿宋简体" w:eastAsia="方正仿宋简体" w:cs="方正仿宋简体"/>
          <w:kern w:val="2"/>
          <w:sz w:val="32"/>
          <w:szCs w:val="32"/>
        </w:rPr>
        <w:t>.如涉及防爆区域作业，中标单位应使用具</w:t>
      </w:r>
      <w:r>
        <w:rPr>
          <w:rFonts w:hint="eastAsia" w:ascii="方正仿宋简体" w:hAnsi="方正仿宋简体" w:eastAsia="方正仿宋简体" w:cs="方正仿宋简体"/>
          <w:kern w:val="2"/>
          <w:sz w:val="32"/>
          <w:szCs w:val="32"/>
          <w:lang w:eastAsia="zh-CN"/>
        </w:rPr>
        <w:t>备</w:t>
      </w:r>
      <w:r>
        <w:rPr>
          <w:rFonts w:ascii="方正仿宋简体" w:hAnsi="方正仿宋简体" w:eastAsia="方正仿宋简体" w:cs="方正仿宋简体"/>
          <w:kern w:val="2"/>
          <w:sz w:val="32"/>
          <w:szCs w:val="32"/>
        </w:rPr>
        <w:t>防爆功能的工器具。</w:t>
      </w:r>
    </w:p>
    <w:p w14:paraId="0414B8EE">
      <w:pPr>
        <w:pStyle w:val="13"/>
        <w:keepNext w:val="0"/>
        <w:keepLines w:val="0"/>
        <w:pageBreakBefore w:val="0"/>
        <w:widowControl/>
        <w:shd w:val="clear" w:color="auto" w:fill="FFFFFF"/>
        <w:kinsoku/>
        <w:wordWrap/>
        <w:overflowPunct/>
        <w:topLinePunct w:val="0"/>
        <w:autoSpaceDE/>
        <w:autoSpaceDN/>
        <w:bidi w:val="0"/>
        <w:spacing w:line="600" w:lineRule="exact"/>
        <w:ind w:firstLine="640" w:firstLineChars="200"/>
        <w:jc w:val="both"/>
        <w:textAlignment w:val="auto"/>
        <w:rPr>
          <w:rFonts w:hint="default" w:ascii="方正仿宋简体" w:hAnsi="方正仿宋简体" w:eastAsia="方正仿宋简体" w:cs="方正仿宋简体"/>
          <w:kern w:val="2"/>
          <w:sz w:val="32"/>
          <w:szCs w:val="32"/>
          <w:lang w:val="en-US" w:eastAsia="zh-CN"/>
        </w:rPr>
      </w:pPr>
      <w:r>
        <w:rPr>
          <w:rFonts w:hint="eastAsia" w:ascii="方正仿宋简体" w:hAnsi="方正仿宋简体" w:eastAsia="方正仿宋简体" w:cs="方正仿宋简体"/>
          <w:kern w:val="2"/>
          <w:sz w:val="32"/>
          <w:szCs w:val="32"/>
          <w:lang w:val="en-US" w:eastAsia="zh-CN"/>
        </w:rPr>
        <w:t>6.服务要求及相关内容详见镇京市监[2024]37号文件，附件5。</w:t>
      </w:r>
    </w:p>
    <w:p w14:paraId="30C121BB">
      <w:pPr>
        <w:pStyle w:val="13"/>
        <w:keepNext w:val="0"/>
        <w:keepLines w:val="0"/>
        <w:pageBreakBefore w:val="0"/>
        <w:widowControl/>
        <w:shd w:val="clear" w:color="auto" w:fill="FFFFFF"/>
        <w:kinsoku/>
        <w:wordWrap/>
        <w:overflowPunct/>
        <w:topLinePunct w:val="0"/>
        <w:autoSpaceDE/>
        <w:autoSpaceDN/>
        <w:bidi w:val="0"/>
        <w:spacing w:line="600" w:lineRule="exact"/>
        <w:ind w:firstLine="640" w:firstLineChars="200"/>
        <w:jc w:val="both"/>
        <w:textAlignment w:val="auto"/>
        <w:rPr>
          <w:rFonts w:hint="eastAsia" w:ascii="方正仿宋简体" w:hAnsi="方正仿宋简体" w:eastAsia="方正仿宋简体" w:cs="方正仿宋简体"/>
          <w:kern w:val="2"/>
          <w:sz w:val="32"/>
          <w:szCs w:val="32"/>
        </w:rPr>
      </w:pPr>
      <w:r>
        <w:rPr>
          <w:rFonts w:hint="eastAsia" w:ascii="方正仿宋简体" w:hAnsi="方正仿宋简体" w:eastAsia="方正仿宋简体" w:cs="方正仿宋简体"/>
          <w:kern w:val="2"/>
          <w:sz w:val="32"/>
          <w:szCs w:val="32"/>
          <w:lang w:val="en-US" w:eastAsia="zh-CN"/>
        </w:rPr>
        <w:t>7.质保期，叉车智慧终端安装验收合格之日起</w:t>
      </w:r>
      <w:r>
        <w:rPr>
          <w:rFonts w:hint="eastAsia" w:ascii="方正仿宋简体" w:hAnsi="方正仿宋简体" w:eastAsia="方正仿宋简体" w:cs="方正仿宋简体"/>
          <w:sz w:val="32"/>
          <w:szCs w:val="32"/>
          <w:u w:val="single"/>
          <w:lang w:val="en-US" w:eastAsia="zh-CN"/>
        </w:rPr>
        <w:t>3</w:t>
      </w:r>
      <w:r>
        <w:rPr>
          <w:rFonts w:hint="eastAsia" w:ascii="方正仿宋简体" w:hAnsi="方正仿宋简体" w:eastAsia="方正仿宋简体" w:cs="方正仿宋简体"/>
          <w:kern w:val="2"/>
          <w:sz w:val="32"/>
          <w:szCs w:val="32"/>
          <w:lang w:val="en-US" w:eastAsia="zh-CN"/>
        </w:rPr>
        <w:t>年。</w:t>
      </w:r>
    </w:p>
    <w:p w14:paraId="77101EDB">
      <w:pPr>
        <w:pageBreakBefore w:val="0"/>
        <w:kinsoku/>
        <w:wordWrap w:val="0"/>
        <w:overflowPunct/>
        <w:topLinePunct w:val="0"/>
        <w:autoSpaceDE/>
        <w:autoSpaceDN/>
        <w:bidi w:val="0"/>
        <w:spacing w:line="600" w:lineRule="exact"/>
        <w:ind w:firstLine="640" w:firstLineChars="200"/>
        <w:jc w:val="left"/>
        <w:textAlignment w:val="auto"/>
        <w:rPr>
          <w:rFonts w:ascii="方正仿宋简体" w:hAnsi="方正仿宋简体" w:eastAsia="方正仿宋简体" w:cs="方正仿宋简体"/>
          <w:bCs/>
          <w:sz w:val="32"/>
          <w:szCs w:val="32"/>
        </w:rPr>
      </w:pPr>
      <w:r>
        <w:rPr>
          <w:rFonts w:hint="eastAsia" w:ascii="方正黑体_GBK" w:hAnsi="方正黑体_GBK" w:eastAsia="方正黑体_GBK" w:cs="方正黑体_GBK"/>
          <w:sz w:val="32"/>
          <w:szCs w:val="32"/>
        </w:rPr>
        <w:t>三、投标人资质与要求</w:t>
      </w:r>
    </w:p>
    <w:p w14:paraId="4E0E0A96">
      <w:pPr>
        <w:pageBreakBefore w:val="0"/>
        <w:kinsoku/>
        <w:overflowPunct/>
        <w:topLinePunct w:val="0"/>
        <w:autoSpaceDE/>
        <w:autoSpaceDN/>
        <w:bidi w:val="0"/>
        <w:spacing w:line="600" w:lineRule="exact"/>
        <w:ind w:firstLine="640" w:firstLineChars="200"/>
        <w:jc w:val="left"/>
        <w:textAlignment w:val="auto"/>
        <w:rPr>
          <w:rFonts w:hint="eastAsia" w:ascii="方正仿宋简体" w:hAnsi="方正仿宋简体" w:eastAsia="方正仿宋简体" w:cs="方正仿宋简体"/>
          <w:color w:val="auto"/>
          <w:sz w:val="32"/>
          <w:szCs w:val="32"/>
          <w:lang w:eastAsia="zh-CN"/>
        </w:rPr>
      </w:pPr>
      <w:r>
        <w:rPr>
          <w:rFonts w:hint="eastAsia" w:ascii="方正楷体_GBK" w:hAnsi="方正楷体_GBK" w:eastAsia="方正楷体_GBK" w:cs="方正楷体_GBK"/>
          <w:color w:val="auto"/>
          <w:sz w:val="32"/>
          <w:szCs w:val="32"/>
        </w:rPr>
        <w:t>（一）</w:t>
      </w:r>
      <w:r>
        <w:rPr>
          <w:rFonts w:hint="eastAsia" w:ascii="方正仿宋简体" w:hAnsi="方正仿宋简体" w:eastAsia="方正仿宋简体" w:cs="方正仿宋简体"/>
          <w:color w:val="auto"/>
          <w:sz w:val="32"/>
          <w:szCs w:val="32"/>
        </w:rPr>
        <w:t>投标人必须具备中华人民共和国境内生产或经营应具备的合法资质</w:t>
      </w:r>
      <w:r>
        <w:rPr>
          <w:rFonts w:hint="eastAsia" w:ascii="方正仿宋简体" w:hAnsi="方正仿宋简体" w:eastAsia="方正仿宋简体" w:cs="方正仿宋简体"/>
          <w:color w:val="auto"/>
          <w:sz w:val="32"/>
          <w:szCs w:val="32"/>
          <w:lang w:eastAsia="zh-CN"/>
        </w:rPr>
        <w:t>；</w:t>
      </w:r>
    </w:p>
    <w:p w14:paraId="2E9082A6">
      <w:pPr>
        <w:pageBreakBefore w:val="0"/>
        <w:kinsoku/>
        <w:overflowPunct/>
        <w:topLinePunct w:val="0"/>
        <w:autoSpaceDE/>
        <w:autoSpaceDN/>
        <w:bidi w:val="0"/>
        <w:spacing w:line="600" w:lineRule="exact"/>
        <w:ind w:firstLine="640" w:firstLineChars="200"/>
        <w:jc w:val="left"/>
        <w:textAlignment w:val="auto"/>
        <w:rPr>
          <w:rFonts w:hint="eastAsia" w:ascii="方正仿宋简体" w:hAnsi="方正仿宋简体" w:eastAsia="方正仿宋简体" w:cs="方正仿宋简体"/>
          <w:color w:val="auto"/>
          <w:sz w:val="32"/>
          <w:szCs w:val="32"/>
        </w:rPr>
      </w:pPr>
      <w:r>
        <w:rPr>
          <w:rFonts w:hint="eastAsia" w:ascii="方正楷体_GBK" w:hAnsi="方正楷体_GBK" w:eastAsia="方正楷体_GBK" w:cs="方正楷体_GBK"/>
          <w:color w:val="auto"/>
          <w:sz w:val="32"/>
          <w:szCs w:val="32"/>
        </w:rPr>
        <w:t>（</w:t>
      </w:r>
      <w:r>
        <w:rPr>
          <w:rFonts w:hint="eastAsia" w:ascii="方正楷体_GBK" w:hAnsi="方正楷体_GBK" w:eastAsia="方正楷体_GBK" w:cs="方正楷体_GBK"/>
          <w:color w:val="auto"/>
          <w:sz w:val="32"/>
          <w:szCs w:val="32"/>
          <w:lang w:val="en-US" w:eastAsia="zh-CN"/>
        </w:rPr>
        <w:t>二</w:t>
      </w:r>
      <w:r>
        <w:rPr>
          <w:rFonts w:hint="eastAsia" w:ascii="方正楷体_GBK" w:hAnsi="方正楷体_GBK" w:eastAsia="方正楷体_GBK" w:cs="方正楷体_GBK"/>
          <w:color w:val="auto"/>
          <w:sz w:val="32"/>
          <w:szCs w:val="32"/>
        </w:rPr>
        <w:t>）</w:t>
      </w:r>
      <w:r>
        <w:rPr>
          <w:rFonts w:hint="eastAsia" w:ascii="方正仿宋简体" w:hAnsi="方正仿宋简体" w:eastAsia="方正仿宋简体" w:cs="方正仿宋简体"/>
          <w:color w:val="auto"/>
          <w:sz w:val="32"/>
          <w:szCs w:val="32"/>
          <w:lang w:val="en-US" w:eastAsia="zh-CN"/>
        </w:rPr>
        <w:t>其他资质要求</w:t>
      </w:r>
      <w:r>
        <w:rPr>
          <w:rFonts w:hint="eastAsia" w:ascii="方正仿宋简体" w:hAnsi="方正仿宋简体" w:eastAsia="方正仿宋简体" w:cs="方正仿宋简体"/>
          <w:color w:val="auto"/>
          <w:sz w:val="32"/>
          <w:szCs w:val="32"/>
        </w:rPr>
        <w:t>：</w:t>
      </w:r>
    </w:p>
    <w:p w14:paraId="0CD87479">
      <w:pPr>
        <w:pageBreakBefore w:val="0"/>
        <w:kinsoku/>
        <w:overflowPunct/>
        <w:topLinePunct w:val="0"/>
        <w:autoSpaceDE/>
        <w:autoSpaceDN/>
        <w:bidi w:val="0"/>
        <w:spacing w:line="600" w:lineRule="exact"/>
        <w:ind w:firstLine="640" w:firstLineChars="200"/>
        <w:jc w:val="left"/>
        <w:textAlignment w:val="auto"/>
        <w:rPr>
          <w:rFonts w:hint="eastAsia" w:ascii="方正仿宋简体" w:hAnsi="方正仿宋简体" w:eastAsia="方正仿宋简体" w:cs="方正仿宋简体"/>
          <w:b w:val="0"/>
          <w:bCs w:val="0"/>
          <w:color w:val="FF0000"/>
          <w:kern w:val="2"/>
          <w:sz w:val="32"/>
          <w:szCs w:val="32"/>
          <w:highlight w:val="none"/>
          <w:lang w:val="en-US" w:eastAsia="zh-CN" w:bidi="ar-SA"/>
        </w:rPr>
      </w:pPr>
      <w:r>
        <w:rPr>
          <w:rFonts w:hint="eastAsia" w:ascii="方正仿宋简体" w:hAnsi="方正仿宋简体" w:eastAsia="方正仿宋简体" w:cs="方正仿宋简体"/>
          <w:b w:val="0"/>
          <w:bCs w:val="0"/>
          <w:kern w:val="2"/>
          <w:sz w:val="32"/>
          <w:szCs w:val="32"/>
          <w:highlight w:val="none"/>
          <w:lang w:val="en-US" w:eastAsia="zh-CN" w:bidi="ar-SA"/>
        </w:rPr>
        <w:t>1.投标时企业单位需提供《营业执照》、《税务登记证》、《组织机构代码证》（或三证合一）；</w:t>
      </w:r>
      <w:r>
        <w:rPr>
          <w:rFonts w:hint="eastAsia" w:ascii="方正仿宋简体" w:hAnsi="方正仿宋简体" w:eastAsia="方正仿宋简体" w:cs="方正仿宋简体"/>
          <w:color w:val="FF0000"/>
          <w:kern w:val="2"/>
          <w:sz w:val="32"/>
          <w:szCs w:val="32"/>
          <w:lang w:val="en-US" w:eastAsia="zh-CN" w:bidi="ar"/>
        </w:rPr>
        <w:t>数据可以并入镇江市场监督管理局指定网站相关证明文件；</w:t>
      </w:r>
      <w:r>
        <w:rPr>
          <w:rFonts w:hint="eastAsia" w:ascii="方正仿宋简体" w:hAnsi="方正仿宋简体" w:eastAsia="方正仿宋简体" w:cs="方正仿宋简体"/>
          <w:b w:val="0"/>
          <w:bCs w:val="0"/>
          <w:color w:val="FF0000"/>
          <w:kern w:val="2"/>
          <w:sz w:val="32"/>
          <w:szCs w:val="32"/>
          <w:highlight w:val="none"/>
          <w:lang w:val="en-US" w:eastAsia="zh-CN" w:bidi="ar-SA"/>
        </w:rPr>
        <w:t>具备履行合同所必需的设备和专业技术能力的书面声明，详见附件2；法人授权书，详见附件3；参加采购活动前3年内在经营活动中没有重大违法记录的书面声明，详见附件4；</w:t>
      </w:r>
      <w:r>
        <w:rPr>
          <w:rFonts w:hint="eastAsia" w:ascii="方正仿宋简体" w:hAnsi="方正仿宋简体" w:eastAsia="方正仿宋简体" w:cs="方正仿宋简体"/>
          <w:b w:val="0"/>
          <w:bCs w:val="0"/>
          <w:color w:val="auto"/>
          <w:kern w:val="2"/>
          <w:sz w:val="32"/>
          <w:szCs w:val="32"/>
          <w:highlight w:val="none"/>
          <w:lang w:val="en-US" w:eastAsia="zh-CN" w:bidi="ar-SA"/>
        </w:rPr>
        <w:t>（以上资格证明文件均可提供复印件，但须加盖公章，注：在招标单位1年内有业绩且以上资格证明文件均合法有效的企业可不提供以上资格证明文件。）</w:t>
      </w:r>
    </w:p>
    <w:p w14:paraId="1965EED4">
      <w:pPr>
        <w:pageBreakBefore w:val="0"/>
        <w:kinsoku/>
        <w:overflowPunct/>
        <w:topLinePunct w:val="0"/>
        <w:autoSpaceDE/>
        <w:autoSpaceDN/>
        <w:bidi w:val="0"/>
        <w:spacing w:line="600" w:lineRule="exact"/>
        <w:ind w:firstLine="640" w:firstLineChars="200"/>
        <w:jc w:val="left"/>
        <w:textAlignment w:val="auto"/>
        <w:rPr>
          <w:rFonts w:hint="eastAsia" w:ascii="方正仿宋简体" w:eastAsia="方正仿宋简体" w:cs="仿宋_GB2312"/>
          <w:color w:val="FF0000"/>
          <w:sz w:val="32"/>
          <w:szCs w:val="32"/>
          <w:lang w:eastAsia="zh-CN"/>
        </w:rPr>
      </w:pPr>
      <w:r>
        <w:rPr>
          <w:rFonts w:hint="eastAsia" w:ascii="方正仿宋简体" w:hAnsi="方正仿宋简体" w:eastAsia="方正仿宋简体" w:cs="方正仿宋简体"/>
          <w:sz w:val="32"/>
          <w:szCs w:val="32"/>
        </w:rPr>
        <w:t>确定中标后，在签订合同前，</w:t>
      </w:r>
      <w:r>
        <w:rPr>
          <w:rFonts w:hint="eastAsia" w:ascii="方正仿宋简体" w:hAnsi="方正仿宋简体" w:eastAsia="方正仿宋简体" w:cs="方正仿宋简体"/>
          <w:color w:val="FF0000"/>
          <w:kern w:val="1"/>
          <w:sz w:val="32"/>
          <w:szCs w:val="32"/>
        </w:rPr>
        <w:t>需提供</w:t>
      </w:r>
      <w:r>
        <w:rPr>
          <w:rFonts w:hint="eastAsia" w:ascii="仿宋" w:hAnsi="仿宋" w:eastAsia="仿宋" w:cs="仿宋"/>
          <w:color w:val="FF0000"/>
          <w:sz w:val="32"/>
          <w:szCs w:val="32"/>
        </w:rPr>
        <w:t>一般纳税人证明材料、</w:t>
      </w:r>
      <w:r>
        <w:rPr>
          <w:rFonts w:hint="eastAsia" w:ascii="方正仿宋简体" w:eastAsia="方正仿宋简体" w:cs="仿宋_GB2312"/>
          <w:color w:val="FF0000"/>
          <w:sz w:val="32"/>
          <w:szCs w:val="32"/>
          <w:lang w:eastAsia="zh-CN"/>
        </w:rPr>
        <w:t>承包</w:t>
      </w:r>
      <w:r>
        <w:rPr>
          <w:rFonts w:hint="eastAsia" w:ascii="方正仿宋简体" w:eastAsia="方正仿宋简体" w:cs="仿宋_GB2312"/>
          <w:color w:val="FF0000"/>
          <w:sz w:val="32"/>
          <w:szCs w:val="32"/>
        </w:rPr>
        <w:t>单位与派遣作业人员的劳务</w:t>
      </w:r>
      <w:r>
        <w:rPr>
          <w:rFonts w:ascii="方正仿宋简体" w:eastAsia="方正仿宋简体" w:cs="仿宋_GB2312"/>
          <w:color w:val="FF0000"/>
          <w:sz w:val="32"/>
          <w:szCs w:val="32"/>
        </w:rPr>
        <w:t>合同</w:t>
      </w:r>
      <w:r>
        <w:rPr>
          <w:rFonts w:hint="eastAsia" w:ascii="方正仿宋简体" w:eastAsia="方正仿宋简体" w:cs="仿宋_GB2312"/>
          <w:color w:val="FF0000"/>
          <w:sz w:val="32"/>
          <w:szCs w:val="32"/>
        </w:rPr>
        <w:t>或</w:t>
      </w:r>
      <w:r>
        <w:rPr>
          <w:rFonts w:ascii="方正仿宋简体" w:eastAsia="方正仿宋简体" w:cs="仿宋_GB2312"/>
          <w:color w:val="FF0000"/>
          <w:sz w:val="32"/>
          <w:szCs w:val="32"/>
        </w:rPr>
        <w:t>劳</w:t>
      </w:r>
      <w:r>
        <w:rPr>
          <w:rFonts w:hint="eastAsia" w:ascii="方正仿宋简体" w:eastAsia="方正仿宋简体" w:cs="仿宋_GB2312"/>
          <w:color w:val="FF0000"/>
          <w:sz w:val="32"/>
          <w:szCs w:val="32"/>
        </w:rPr>
        <w:t>动</w:t>
      </w:r>
      <w:r>
        <w:rPr>
          <w:rFonts w:ascii="方正仿宋简体" w:eastAsia="方正仿宋简体" w:cs="仿宋_GB2312"/>
          <w:color w:val="FF0000"/>
          <w:sz w:val="32"/>
          <w:szCs w:val="32"/>
        </w:rPr>
        <w:t>合同</w:t>
      </w:r>
      <w:r>
        <w:rPr>
          <w:rFonts w:hint="eastAsia" w:ascii="方正仿宋简体" w:eastAsia="方正仿宋简体" w:cs="仿宋_GB2312"/>
          <w:color w:val="FF0000"/>
          <w:sz w:val="32"/>
          <w:szCs w:val="32"/>
          <w:lang w:eastAsia="zh-CN"/>
        </w:rPr>
        <w:t>、</w:t>
      </w:r>
      <w:r>
        <w:rPr>
          <w:rFonts w:hint="eastAsia" w:ascii="方正仿宋简体" w:eastAsia="方正仿宋简体" w:cs="仿宋_GB2312"/>
          <w:color w:val="FF0000"/>
          <w:sz w:val="32"/>
          <w:szCs w:val="32"/>
        </w:rPr>
        <w:t>作业人员工伤保险证明或人身意外伤害保险缴纳证明</w:t>
      </w:r>
      <w:r>
        <w:rPr>
          <w:rFonts w:hint="eastAsia" w:ascii="方正仿宋简体" w:eastAsia="方正仿宋简体" w:cs="仿宋_GB2312"/>
          <w:color w:val="FF0000"/>
          <w:sz w:val="32"/>
          <w:szCs w:val="32"/>
          <w:lang w:val="en-US" w:eastAsia="zh-CN"/>
        </w:rPr>
        <w:t>(</w:t>
      </w:r>
      <w:r>
        <w:rPr>
          <w:rFonts w:hint="eastAsia" w:ascii="方正仿宋简体" w:eastAsia="方正仿宋简体" w:cs="仿宋_GB2312"/>
          <w:color w:val="FF0000"/>
          <w:sz w:val="32"/>
          <w:szCs w:val="32"/>
        </w:rPr>
        <w:t>根据施工工期要求，至少提供本单位</w:t>
      </w:r>
      <w:r>
        <w:rPr>
          <w:rFonts w:hint="eastAsia" w:ascii="方正仿宋简体" w:eastAsia="方正仿宋简体" w:cs="仿宋_GB2312"/>
          <w:color w:val="FF0000"/>
          <w:sz w:val="32"/>
          <w:szCs w:val="32"/>
          <w:lang w:val="en-US" w:eastAsia="zh-CN"/>
        </w:rPr>
        <w:t>2</w:t>
      </w:r>
      <w:r>
        <w:rPr>
          <w:rFonts w:hint="eastAsia" w:ascii="方正仿宋简体" w:eastAsia="方正仿宋简体" w:cs="仿宋_GB2312"/>
          <w:color w:val="FF0000"/>
          <w:sz w:val="32"/>
          <w:szCs w:val="32"/>
        </w:rPr>
        <w:t>位工人的缴纳证明</w:t>
      </w:r>
      <w:r>
        <w:rPr>
          <w:rFonts w:hint="eastAsia" w:ascii="方正仿宋简体" w:eastAsia="方正仿宋简体" w:cs="仿宋_GB2312"/>
          <w:color w:val="FF0000"/>
          <w:sz w:val="32"/>
          <w:szCs w:val="32"/>
          <w:lang w:val="en-US" w:eastAsia="zh-CN"/>
        </w:rPr>
        <w:t>)；</w:t>
      </w:r>
      <w:r>
        <w:rPr>
          <w:rFonts w:hint="eastAsia" w:ascii="方正仿宋简体" w:eastAsia="方正仿宋简体" w:cs="仿宋_GB2312"/>
          <w:color w:val="FF0000"/>
          <w:sz w:val="32"/>
          <w:szCs w:val="32"/>
          <w:lang w:eastAsia="zh-CN"/>
        </w:rPr>
        <w:t>安全生产规章制度；以往的安全生产业绩（不少于</w:t>
      </w:r>
      <w:r>
        <w:rPr>
          <w:rFonts w:hint="eastAsia" w:ascii="方正仿宋简体" w:eastAsia="方正仿宋简体" w:cs="仿宋_GB2312"/>
          <w:color w:val="FF0000"/>
          <w:sz w:val="32"/>
          <w:szCs w:val="32"/>
          <w:lang w:val="en-US" w:eastAsia="zh-CN"/>
        </w:rPr>
        <w:t>3年）</w:t>
      </w:r>
      <w:r>
        <w:rPr>
          <w:rFonts w:hint="eastAsia" w:ascii="方正仿宋简体" w:eastAsia="方正仿宋简体" w:cs="仿宋_GB2312"/>
          <w:color w:val="FF0000"/>
          <w:sz w:val="32"/>
          <w:szCs w:val="32"/>
          <w:lang w:eastAsia="zh-CN"/>
        </w:rPr>
        <w:t>；中标项目的安全生产措施；中标项目的应急准备及响应预案；作业人员的体检报告。</w:t>
      </w:r>
      <w:r>
        <w:rPr>
          <w:rFonts w:hint="eastAsia" w:ascii="方正仿宋简体" w:eastAsia="方正仿宋简体" w:cs="仿宋_GB2312"/>
          <w:color w:val="auto"/>
          <w:sz w:val="32"/>
          <w:szCs w:val="32"/>
        </w:rPr>
        <w:t>(</w:t>
      </w:r>
      <w:r>
        <w:rPr>
          <w:rFonts w:hint="eastAsia" w:ascii="方正仿宋简体" w:eastAsia="方正仿宋简体" w:cs="仿宋_GB2312"/>
          <w:color w:val="auto"/>
          <w:sz w:val="32"/>
          <w:szCs w:val="32"/>
          <w:lang w:eastAsia="zh-CN"/>
        </w:rPr>
        <w:t>以上资格</w:t>
      </w:r>
      <w:r>
        <w:rPr>
          <w:rFonts w:hint="eastAsia" w:ascii="方正仿宋简体" w:eastAsia="方正仿宋简体" w:cs="仿宋_GB2312"/>
          <w:color w:val="auto"/>
          <w:sz w:val="32"/>
          <w:szCs w:val="32"/>
        </w:rPr>
        <w:t>证</w:t>
      </w:r>
      <w:r>
        <w:rPr>
          <w:rFonts w:hint="eastAsia" w:ascii="方正仿宋简体" w:eastAsia="方正仿宋简体" w:cs="仿宋_GB2312"/>
          <w:color w:val="auto"/>
          <w:sz w:val="32"/>
          <w:szCs w:val="32"/>
          <w:lang w:eastAsia="zh-CN"/>
        </w:rPr>
        <w:t>明证</w:t>
      </w:r>
      <w:r>
        <w:rPr>
          <w:rFonts w:hint="eastAsia" w:ascii="方正仿宋简体" w:eastAsia="方正仿宋简体" w:cs="仿宋_GB2312"/>
          <w:color w:val="auto"/>
          <w:sz w:val="32"/>
          <w:szCs w:val="32"/>
        </w:rPr>
        <w:t>件均可提供复印件，但需加盖公章</w:t>
      </w:r>
      <w:r>
        <w:rPr>
          <w:rFonts w:hint="eastAsia" w:ascii="方正仿宋简体" w:eastAsia="方正仿宋简体" w:cs="仿宋_GB2312"/>
          <w:color w:val="auto"/>
          <w:sz w:val="32"/>
          <w:szCs w:val="32"/>
          <w:lang w:eastAsia="zh-CN"/>
        </w:rPr>
        <w:t>。</w:t>
      </w:r>
      <w:r>
        <w:rPr>
          <w:rFonts w:hint="eastAsia" w:ascii="方正仿宋简体" w:eastAsia="方正仿宋简体" w:cs="仿宋_GB2312"/>
          <w:color w:val="auto"/>
          <w:sz w:val="32"/>
          <w:szCs w:val="32"/>
        </w:rPr>
        <w:t>)</w:t>
      </w:r>
    </w:p>
    <w:p w14:paraId="007BE3E0">
      <w:pPr>
        <w:pageBreakBefore w:val="0"/>
        <w:kinsoku/>
        <w:wordWrap w:val="0"/>
        <w:overflowPunct/>
        <w:topLinePunct w:val="0"/>
        <w:autoSpaceDE/>
        <w:autoSpaceDN/>
        <w:bidi w:val="0"/>
        <w:adjustRightInd w:val="0"/>
        <w:snapToGrid w:val="0"/>
        <w:spacing w:line="600" w:lineRule="exact"/>
        <w:ind w:firstLine="640" w:firstLineChars="200"/>
        <w:jc w:val="left"/>
        <w:textAlignment w:val="auto"/>
        <w:rPr>
          <w:rFonts w:hint="eastAsia" w:ascii="方正仿宋简体" w:hAnsi="方正仿宋简体" w:eastAsia="方正仿宋简体" w:cs="方正仿宋简体"/>
          <w:kern w:val="1"/>
          <w:sz w:val="32"/>
          <w:szCs w:val="32"/>
          <w:lang w:eastAsia="zh-CN"/>
        </w:rPr>
      </w:pPr>
      <w:r>
        <w:rPr>
          <w:rFonts w:hint="eastAsia" w:ascii="方正仿宋简体" w:hAnsi="方正仿宋简体" w:eastAsia="方正仿宋简体" w:cs="方正仿宋简体"/>
          <w:color w:val="auto"/>
          <w:kern w:val="1"/>
          <w:sz w:val="32"/>
          <w:szCs w:val="32"/>
        </w:rPr>
        <w:t>2.中标单位与招标单位签订合同</w:t>
      </w:r>
      <w:r>
        <w:rPr>
          <w:rFonts w:hint="eastAsia" w:ascii="方正仿宋简体" w:hAnsi="方正仿宋简体" w:eastAsia="方正仿宋简体" w:cs="方正仿宋简体"/>
          <w:color w:val="auto"/>
          <w:kern w:val="1"/>
          <w:sz w:val="32"/>
          <w:szCs w:val="32"/>
          <w:lang w:eastAsia="zh-CN"/>
        </w:rPr>
        <w:t>时</w:t>
      </w:r>
      <w:r>
        <w:rPr>
          <w:rFonts w:hint="eastAsia" w:ascii="方正仿宋简体" w:hAnsi="方正仿宋简体" w:eastAsia="方正仿宋简体" w:cs="方正仿宋简体"/>
          <w:color w:val="auto"/>
          <w:kern w:val="1"/>
          <w:sz w:val="32"/>
          <w:szCs w:val="32"/>
        </w:rPr>
        <w:t>，须按照海纳川相关安全管理规定签订</w:t>
      </w:r>
      <w:r>
        <w:rPr>
          <w:rFonts w:hint="eastAsia" w:ascii="方正仿宋简体" w:hAnsi="方正仿宋简体" w:eastAsia="方正仿宋简体" w:cs="方正仿宋简体"/>
          <w:color w:val="auto"/>
          <w:kern w:val="1"/>
          <w:sz w:val="32"/>
          <w:szCs w:val="32"/>
          <w:lang w:eastAsia="zh-CN"/>
        </w:rPr>
        <w:t>或提供</w:t>
      </w:r>
      <w:r>
        <w:rPr>
          <w:rFonts w:hint="eastAsia" w:ascii="方正仿宋简体" w:hAnsi="方正仿宋简体" w:eastAsia="方正仿宋简体" w:cs="方正仿宋简体"/>
          <w:color w:val="auto"/>
          <w:kern w:val="1"/>
          <w:sz w:val="32"/>
          <w:szCs w:val="32"/>
        </w:rPr>
        <w:t>《外包项目(工程)安全生产管理协议书》并依照《海纳川承包商安全环保管理制度》</w:t>
      </w:r>
      <w:r>
        <w:rPr>
          <w:rFonts w:hint="eastAsia" w:ascii="方正仿宋简体" w:hAnsi="方正仿宋简体" w:eastAsia="方正仿宋简体" w:cs="方正仿宋简体"/>
          <w:color w:val="auto"/>
          <w:kern w:val="1"/>
          <w:sz w:val="32"/>
          <w:szCs w:val="32"/>
          <w:lang w:eastAsia="zh-CN"/>
        </w:rPr>
        <w:t>管理</w:t>
      </w:r>
      <w:r>
        <w:rPr>
          <w:rFonts w:hint="eastAsia" w:ascii="方正仿宋简体" w:hAnsi="方正仿宋简体" w:eastAsia="方正仿宋简体" w:cs="方正仿宋简体"/>
          <w:color w:val="auto"/>
          <w:kern w:val="1"/>
          <w:sz w:val="32"/>
          <w:szCs w:val="32"/>
        </w:rPr>
        <w:t>；施工前，</w:t>
      </w:r>
      <w:r>
        <w:rPr>
          <w:rFonts w:ascii="方正仿宋简体" w:hAnsi="方正仿宋简体" w:eastAsia="方正仿宋简体" w:cs="方正仿宋简体"/>
          <w:color w:val="auto"/>
          <w:kern w:val="1"/>
          <w:sz w:val="32"/>
          <w:szCs w:val="32"/>
        </w:rPr>
        <w:t>招标方</w:t>
      </w:r>
      <w:r>
        <w:rPr>
          <w:rFonts w:hint="eastAsia" w:ascii="方正仿宋简体" w:hAnsi="方正仿宋简体" w:eastAsia="方正仿宋简体" w:cs="方正仿宋简体"/>
          <w:color w:val="auto"/>
          <w:kern w:val="1"/>
          <w:sz w:val="32"/>
          <w:szCs w:val="32"/>
          <w:lang w:eastAsia="zh-CN"/>
        </w:rPr>
        <w:t>应</w:t>
      </w:r>
      <w:r>
        <w:rPr>
          <w:rFonts w:ascii="方正仿宋简体" w:hAnsi="方正仿宋简体" w:eastAsia="方正仿宋简体" w:cs="方正仿宋简体"/>
          <w:color w:val="auto"/>
          <w:kern w:val="1"/>
          <w:sz w:val="32"/>
          <w:szCs w:val="32"/>
        </w:rPr>
        <w:t>按</w:t>
      </w:r>
      <w:r>
        <w:rPr>
          <w:rFonts w:hint="eastAsia" w:ascii="方正仿宋简体" w:hAnsi="方正仿宋简体" w:eastAsia="方正仿宋简体" w:cs="方正仿宋简体"/>
          <w:color w:val="auto"/>
          <w:kern w:val="1"/>
          <w:sz w:val="32"/>
          <w:szCs w:val="32"/>
        </w:rPr>
        <w:t>《生产经营单位安全生产培训规范》(DB32/4530-2023</w:t>
      </w:r>
      <w:r>
        <w:rPr>
          <w:rFonts w:ascii="方正仿宋简体" w:hAnsi="方正仿宋简体" w:eastAsia="方正仿宋简体" w:cs="方正仿宋简体"/>
          <w:color w:val="auto"/>
          <w:kern w:val="1"/>
          <w:sz w:val="32"/>
          <w:szCs w:val="32"/>
        </w:rPr>
        <w:t>)对投标方施工人员进行培训和考试</w:t>
      </w:r>
      <w:r>
        <w:rPr>
          <w:rFonts w:hint="eastAsia" w:ascii="方正仿宋简体" w:hAnsi="方正仿宋简体" w:eastAsia="方正仿宋简体" w:cs="方正仿宋简体"/>
          <w:color w:val="auto"/>
          <w:kern w:val="1"/>
          <w:sz w:val="32"/>
          <w:szCs w:val="32"/>
          <w:lang w:eastAsia="zh-CN"/>
        </w:rPr>
        <w:t>，</w:t>
      </w:r>
      <w:r>
        <w:rPr>
          <w:rFonts w:hint="eastAsia" w:ascii="方正仿宋简体" w:hAnsi="方正仿宋简体" w:eastAsia="方正仿宋简体" w:cs="方正仿宋简体"/>
          <w:color w:val="auto"/>
          <w:kern w:val="1"/>
          <w:sz w:val="32"/>
          <w:szCs w:val="32"/>
        </w:rPr>
        <w:t>考试合格人员，方能赴属地</w:t>
      </w:r>
      <w:r>
        <w:rPr>
          <w:rFonts w:hint="eastAsia" w:ascii="方正仿宋简体" w:hAnsi="方正仿宋简体" w:eastAsia="方正仿宋简体" w:cs="方正仿宋简体"/>
          <w:kern w:val="1"/>
          <w:sz w:val="32"/>
          <w:szCs w:val="32"/>
        </w:rPr>
        <w:t>办理作业票证进行作业</w:t>
      </w:r>
      <w:r>
        <w:rPr>
          <w:rFonts w:hint="eastAsia" w:ascii="方正仿宋简体" w:hAnsi="方正仿宋简体" w:eastAsia="方正仿宋简体" w:cs="方正仿宋简体"/>
          <w:color w:val="auto"/>
          <w:sz w:val="32"/>
          <w:szCs w:val="32"/>
          <w:lang w:eastAsia="zh-CN"/>
        </w:rPr>
        <w:t>。</w:t>
      </w:r>
    </w:p>
    <w:p w14:paraId="310FB67E">
      <w:pPr>
        <w:pageBreakBefore w:val="0"/>
        <w:kinsoku/>
        <w:wordWrap w:val="0"/>
        <w:overflowPunct/>
        <w:topLinePunct w:val="0"/>
        <w:autoSpaceDE/>
        <w:autoSpaceDN/>
        <w:bidi w:val="0"/>
        <w:adjustRightInd w:val="0"/>
        <w:snapToGrid w:val="0"/>
        <w:spacing w:line="600" w:lineRule="exact"/>
        <w:ind w:firstLine="640" w:firstLineChars="200"/>
        <w:jc w:val="left"/>
        <w:textAlignment w:val="auto"/>
        <w:rPr>
          <w:rFonts w:hint="eastAsia" w:ascii="方正仿宋简体" w:hAnsi="方正仿宋简体" w:eastAsia="方正仿宋简体" w:cs="方正仿宋简体"/>
          <w:kern w:val="1"/>
          <w:sz w:val="32"/>
          <w:szCs w:val="32"/>
        </w:rPr>
      </w:pPr>
      <w:r>
        <w:rPr>
          <w:rFonts w:hint="eastAsia" w:ascii="方正仿宋简体" w:hAnsi="方正仿宋简体" w:eastAsia="方正仿宋简体" w:cs="方正仿宋简体"/>
          <w:kern w:val="1"/>
          <w:sz w:val="32"/>
          <w:szCs w:val="32"/>
        </w:rPr>
        <w:t>3.作业过程中，若涉及特种作业（如登高等）的需提供相应的特种作业证，必须人证一致，且在有效期内。</w:t>
      </w:r>
    </w:p>
    <w:p w14:paraId="5515825C">
      <w:pPr>
        <w:pageBreakBefore w:val="0"/>
        <w:kinsoku/>
        <w:wordWrap w:val="0"/>
        <w:overflowPunct/>
        <w:topLinePunct w:val="0"/>
        <w:autoSpaceDE/>
        <w:autoSpaceDN/>
        <w:bidi w:val="0"/>
        <w:adjustRightInd w:val="0"/>
        <w:snapToGrid w:val="0"/>
        <w:spacing w:line="600" w:lineRule="exact"/>
        <w:ind w:firstLine="640" w:firstLineChars="200"/>
        <w:jc w:val="left"/>
        <w:textAlignment w:val="auto"/>
        <w:rPr>
          <w:rFonts w:hint="eastAsia" w:ascii="方正仿宋简体" w:hAnsi="方正仿宋简体" w:eastAsia="方正仿宋简体" w:cs="方正仿宋简体"/>
          <w:kern w:val="1"/>
          <w:sz w:val="32"/>
          <w:szCs w:val="32"/>
        </w:rPr>
      </w:pPr>
      <w:r>
        <w:rPr>
          <w:rFonts w:hint="eastAsia" w:ascii="方正仿宋简体" w:hAnsi="方正仿宋简体" w:eastAsia="方正仿宋简体" w:cs="方正仿宋简体"/>
          <w:kern w:val="1"/>
          <w:sz w:val="32"/>
          <w:szCs w:val="32"/>
        </w:rPr>
        <w:t>4.不接受被列入失信被执行人、重大违法案件当事人投标。</w:t>
      </w:r>
    </w:p>
    <w:p w14:paraId="143D655D">
      <w:pPr>
        <w:pageBreakBefore w:val="0"/>
        <w:kinsoku/>
        <w:wordWrap w:val="0"/>
        <w:overflowPunct/>
        <w:topLinePunct w:val="0"/>
        <w:autoSpaceDE/>
        <w:autoSpaceDN/>
        <w:bidi w:val="0"/>
        <w:adjustRightInd w:val="0"/>
        <w:snapToGrid w:val="0"/>
        <w:spacing w:line="600" w:lineRule="exact"/>
        <w:ind w:firstLine="640" w:firstLineChars="200"/>
        <w:jc w:val="left"/>
        <w:textAlignment w:val="auto"/>
        <w:rPr>
          <w:rFonts w:hint="eastAsia" w:ascii="方正仿宋简体" w:hAnsi="方正仿宋简体" w:eastAsia="方正仿宋简体" w:cs="方正仿宋简体"/>
          <w:kern w:val="1"/>
          <w:sz w:val="32"/>
          <w:szCs w:val="32"/>
        </w:rPr>
      </w:pPr>
      <w:r>
        <w:rPr>
          <w:rFonts w:hint="eastAsia" w:ascii="方正仿宋简体" w:hAnsi="方正仿宋简体" w:eastAsia="方正仿宋简体" w:cs="方正仿宋简体"/>
          <w:kern w:val="1"/>
          <w:sz w:val="32"/>
          <w:szCs w:val="32"/>
        </w:rPr>
        <w:t>5.投标人应具备良好的售后服务能力，要求电话联系后</w:t>
      </w:r>
      <w:r>
        <w:rPr>
          <w:rFonts w:hint="eastAsia" w:ascii="方正仿宋简体" w:hAnsi="方正仿宋简体" w:eastAsia="方正仿宋简体" w:cs="方正仿宋简体"/>
          <w:color w:val="FF0000"/>
          <w:kern w:val="1"/>
          <w:sz w:val="32"/>
          <w:szCs w:val="32"/>
          <w:highlight w:val="none"/>
          <w:u w:val="single"/>
          <w:lang w:val="en-US" w:eastAsia="zh-CN"/>
        </w:rPr>
        <w:t>8小时</w:t>
      </w:r>
      <w:r>
        <w:rPr>
          <w:rFonts w:hint="eastAsia" w:ascii="方正仿宋简体" w:hAnsi="方正仿宋简体" w:eastAsia="方正仿宋简体" w:cs="方正仿宋简体"/>
          <w:kern w:val="1"/>
          <w:sz w:val="32"/>
          <w:szCs w:val="32"/>
        </w:rPr>
        <w:t>内必须给予回复，明确解决方案，必要时需来我公司作技术指导。</w:t>
      </w:r>
    </w:p>
    <w:p w14:paraId="3427F857">
      <w:pPr>
        <w:pageBreakBefore w:val="0"/>
        <w:kinsoku/>
        <w:wordWrap w:val="0"/>
        <w:overflowPunct/>
        <w:topLinePunct w:val="0"/>
        <w:autoSpaceDE/>
        <w:autoSpaceDN/>
        <w:bidi w:val="0"/>
        <w:adjustRightInd w:val="0"/>
        <w:snapToGrid w:val="0"/>
        <w:spacing w:line="600" w:lineRule="exact"/>
        <w:ind w:firstLine="640" w:firstLineChars="200"/>
        <w:jc w:val="left"/>
        <w:textAlignment w:val="auto"/>
        <w:rPr>
          <w:rFonts w:hint="eastAsia" w:ascii="方正仿宋简体" w:hAnsi="方正仿宋简体" w:eastAsia="方正仿宋简体" w:cs="方正仿宋简体"/>
          <w:kern w:val="1"/>
          <w:sz w:val="32"/>
          <w:szCs w:val="32"/>
        </w:rPr>
      </w:pPr>
      <w:r>
        <w:rPr>
          <w:rFonts w:hint="eastAsia" w:ascii="方正仿宋简体" w:hAnsi="方正仿宋简体" w:eastAsia="方正仿宋简体" w:cs="方正仿宋简体"/>
          <w:kern w:val="1"/>
          <w:sz w:val="32"/>
          <w:szCs w:val="32"/>
        </w:rPr>
        <w:t>6.投标人所供产品引起的知识产权方面的纠纷，由中标人承担一切后果，招标人不承担任何责任。</w:t>
      </w:r>
    </w:p>
    <w:p w14:paraId="530C944D">
      <w:pPr>
        <w:pStyle w:val="3"/>
        <w:pageBreakBefore w:val="0"/>
        <w:kinsoku/>
        <w:overflowPunct/>
        <w:topLinePunct w:val="0"/>
        <w:autoSpaceDE/>
        <w:autoSpaceDN/>
        <w:bidi w:val="0"/>
        <w:spacing w:before="0" w:after="0" w:line="600" w:lineRule="exact"/>
        <w:ind w:firstLine="640" w:firstLineChars="200"/>
        <w:textAlignment w:val="auto"/>
        <w:rPr>
          <w:rFonts w:hint="eastAsia" w:ascii="方正黑体_GBK" w:hAnsi="方正黑体_GBK" w:eastAsia="方正黑体_GBK" w:cs="方正黑体_GBK"/>
          <w:b w:val="0"/>
          <w:sz w:val="32"/>
          <w:szCs w:val="32"/>
        </w:rPr>
      </w:pPr>
      <w:r>
        <w:rPr>
          <w:rFonts w:hint="eastAsia" w:ascii="方正黑体_GBK" w:hAnsi="方正黑体_GBK" w:eastAsia="方正黑体_GBK" w:cs="方正黑体_GBK"/>
          <w:b w:val="0"/>
          <w:sz w:val="32"/>
          <w:szCs w:val="32"/>
        </w:rPr>
        <w:t>四、现场踏勘</w:t>
      </w:r>
    </w:p>
    <w:p w14:paraId="440FD237">
      <w:pPr>
        <w:pageBreakBefore w:val="0"/>
        <w:kinsoku/>
        <w:wordWrap w:val="0"/>
        <w:overflowPunct/>
        <w:topLinePunct w:val="0"/>
        <w:autoSpaceDE/>
        <w:autoSpaceDN/>
        <w:bidi w:val="0"/>
        <w:adjustRightInd w:val="0"/>
        <w:snapToGrid w:val="0"/>
        <w:spacing w:line="600" w:lineRule="exact"/>
        <w:ind w:firstLine="640" w:firstLineChars="200"/>
        <w:jc w:val="left"/>
        <w:textAlignment w:val="auto"/>
        <w:rPr>
          <w:rFonts w:hint="eastAsia" w:ascii="方正仿宋简体" w:hAnsi="方正仿宋简体" w:eastAsia="方正仿宋简体" w:cs="方正仿宋简体"/>
          <w:kern w:val="1"/>
          <w:sz w:val="32"/>
          <w:szCs w:val="32"/>
        </w:rPr>
      </w:pPr>
      <w:r>
        <w:rPr>
          <w:rFonts w:hint="eastAsia" w:ascii="方正楷体_GBK" w:hAnsi="方正楷体_GBK" w:eastAsia="方正楷体_GBK" w:cs="方正楷体_GBK"/>
          <w:bCs/>
          <w:kern w:val="1"/>
          <w:sz w:val="32"/>
          <w:szCs w:val="32"/>
          <w:lang w:val="en-US" w:eastAsia="zh-CN" w:bidi="ar-SA"/>
        </w:rPr>
        <w:t>（一）</w:t>
      </w:r>
      <w:r>
        <w:rPr>
          <w:rFonts w:hint="eastAsia" w:ascii="方正仿宋简体" w:hAnsi="方正仿宋简体" w:eastAsia="方正仿宋简体" w:cs="方正仿宋简体"/>
          <w:kern w:val="1"/>
          <w:sz w:val="32"/>
          <w:szCs w:val="32"/>
        </w:rPr>
        <w:t>招标人在踏勘现场中介绍的工程场地和相关的周边环境情况，供投标人在编制投标文件时参考，招标人不对投标人据此作出的判断和决策负责。</w:t>
      </w:r>
    </w:p>
    <w:p w14:paraId="65303AAB">
      <w:pPr>
        <w:pageBreakBefore w:val="0"/>
        <w:kinsoku/>
        <w:wordWrap w:val="0"/>
        <w:overflowPunct/>
        <w:topLinePunct w:val="0"/>
        <w:autoSpaceDE/>
        <w:autoSpaceDN/>
        <w:bidi w:val="0"/>
        <w:adjustRightInd w:val="0"/>
        <w:snapToGrid w:val="0"/>
        <w:spacing w:line="600" w:lineRule="exact"/>
        <w:ind w:firstLine="640" w:firstLineChars="200"/>
        <w:jc w:val="left"/>
        <w:textAlignment w:val="auto"/>
        <w:rPr>
          <w:rFonts w:hint="eastAsia" w:ascii="方正仿宋简体" w:hAnsi="方正仿宋简体" w:eastAsia="方正仿宋简体" w:cs="方正仿宋简体"/>
          <w:kern w:val="1"/>
          <w:sz w:val="32"/>
          <w:szCs w:val="32"/>
        </w:rPr>
      </w:pPr>
      <w:r>
        <w:rPr>
          <w:rFonts w:hint="eastAsia" w:ascii="方正楷体_GBK" w:hAnsi="方正楷体_GBK" w:eastAsia="方正楷体_GBK" w:cs="方正楷体_GBK"/>
          <w:bCs/>
          <w:kern w:val="1"/>
          <w:sz w:val="32"/>
          <w:szCs w:val="32"/>
          <w:lang w:val="en-US" w:eastAsia="zh-CN" w:bidi="ar-SA"/>
        </w:rPr>
        <w:t>（二）</w:t>
      </w:r>
      <w:r>
        <w:rPr>
          <w:rFonts w:hint="eastAsia" w:ascii="方正仿宋简体" w:hAnsi="方正仿宋简体" w:eastAsia="方正仿宋简体" w:cs="方正仿宋简体"/>
          <w:kern w:val="1"/>
          <w:sz w:val="32"/>
          <w:szCs w:val="32"/>
        </w:rPr>
        <w:t>本项目由于施工环境的复杂性，建议投标人员到现场进行踏勘，对未踏勘造成的一切后果由投标人自行承担，现场踏勘不作为投标资格的必要条件。</w:t>
      </w:r>
    </w:p>
    <w:p w14:paraId="03330BF9">
      <w:pPr>
        <w:pageBreakBefore w:val="0"/>
        <w:kinsoku/>
        <w:overflowPunct/>
        <w:topLinePunct w:val="0"/>
        <w:autoSpaceDE/>
        <w:autoSpaceDN/>
        <w:bidi w:val="0"/>
        <w:spacing w:line="600" w:lineRule="exact"/>
        <w:ind w:firstLine="640" w:firstLineChars="200"/>
        <w:jc w:val="left"/>
        <w:textAlignment w:val="auto"/>
        <w:rPr>
          <w:rFonts w:hint="default" w:eastAsia="方正仿宋简体"/>
          <w:lang w:val="en-US" w:eastAsia="zh-CN"/>
        </w:rPr>
      </w:pPr>
      <w:r>
        <w:rPr>
          <w:rFonts w:hint="eastAsia" w:ascii="方正楷体_GBK" w:hAnsi="方正楷体_GBK" w:eastAsia="方正楷体_GBK" w:cs="方正楷体_GBK"/>
          <w:bCs/>
          <w:kern w:val="1"/>
          <w:sz w:val="32"/>
          <w:szCs w:val="32"/>
          <w:lang w:val="en-US" w:eastAsia="zh-CN" w:bidi="ar-SA"/>
        </w:rPr>
        <w:t>（三）</w:t>
      </w:r>
      <w:r>
        <w:rPr>
          <w:rFonts w:hint="eastAsia" w:ascii="方正仿宋简体" w:hAnsi="方正仿宋简体" w:eastAsia="方正仿宋简体" w:cs="方正仿宋简体"/>
          <w:bCs/>
          <w:sz w:val="32"/>
          <w:szCs w:val="32"/>
        </w:rPr>
        <w:t>凡来我公司现场踏勘人员需按照我公司的相关规定进行有关安全规定及安全注意事项的培训教育。</w:t>
      </w:r>
    </w:p>
    <w:p w14:paraId="0A5A54D6">
      <w:pPr>
        <w:pStyle w:val="8"/>
        <w:pageBreakBefore w:val="0"/>
        <w:kinsoku/>
        <w:overflowPunct/>
        <w:topLinePunct w:val="0"/>
        <w:autoSpaceDE/>
        <w:autoSpaceDN/>
        <w:bidi w:val="0"/>
        <w:spacing w:line="600" w:lineRule="exact"/>
        <w:ind w:firstLine="640" w:firstLineChars="200"/>
        <w:textAlignment w:val="auto"/>
        <w:rPr>
          <w:rFonts w:ascii="方正仿宋简体" w:hAnsi="方正仿宋简体" w:eastAsia="方正仿宋简体" w:cs="方正仿宋简体"/>
          <w:bCs/>
          <w:sz w:val="32"/>
          <w:szCs w:val="32"/>
        </w:rPr>
      </w:pPr>
      <w:r>
        <w:rPr>
          <w:rFonts w:hint="eastAsia" w:ascii="方正黑体_GBK" w:hAnsi="方正黑体_GBK" w:eastAsia="方正黑体_GBK" w:cs="方正黑体_GBK"/>
          <w:kern w:val="2"/>
          <w:sz w:val="32"/>
          <w:szCs w:val="32"/>
          <w:lang w:val="en-US" w:eastAsia="zh-CN"/>
        </w:rPr>
        <w:t>五</w:t>
      </w:r>
      <w:r>
        <w:rPr>
          <w:rFonts w:hint="eastAsia" w:ascii="方正黑体_GBK" w:hAnsi="方正黑体_GBK" w:eastAsia="方正黑体_GBK" w:cs="方正黑体_GBK"/>
          <w:kern w:val="2"/>
          <w:sz w:val="32"/>
          <w:szCs w:val="32"/>
        </w:rPr>
        <w:t>、投标</w:t>
      </w:r>
    </w:p>
    <w:p w14:paraId="20CDE1BB">
      <w:pPr>
        <w:pStyle w:val="8"/>
        <w:pageBreakBefore w:val="0"/>
        <w:kinsoku/>
        <w:overflowPunct/>
        <w:topLinePunct w:val="0"/>
        <w:autoSpaceDE/>
        <w:autoSpaceDN/>
        <w:bidi w:val="0"/>
        <w:spacing w:line="600" w:lineRule="exact"/>
        <w:ind w:firstLine="640" w:firstLineChars="200"/>
        <w:textAlignment w:val="auto"/>
        <w:rPr>
          <w:rFonts w:ascii="方正仿宋简体" w:hAnsi="方正仿宋简体" w:eastAsia="方正仿宋简体" w:cs="方正仿宋简体"/>
          <w:bCs/>
          <w:sz w:val="32"/>
          <w:szCs w:val="32"/>
        </w:rPr>
      </w:pPr>
      <w:r>
        <w:rPr>
          <w:rFonts w:hint="eastAsia" w:ascii="方正楷体_GBK" w:hAnsi="方正楷体_GBK" w:eastAsia="方正楷体_GBK" w:cs="方正楷体_GBK"/>
          <w:bCs/>
          <w:kern w:val="1"/>
          <w:sz w:val="32"/>
          <w:szCs w:val="32"/>
        </w:rPr>
        <w:t>（一）</w:t>
      </w:r>
      <w:r>
        <w:rPr>
          <w:rFonts w:hint="eastAsia" w:ascii="方正仿宋简体" w:hAnsi="方正仿宋简体" w:eastAsia="方正仿宋简体" w:cs="方正仿宋简体"/>
          <w:bCs/>
          <w:kern w:val="1"/>
          <w:sz w:val="32"/>
          <w:szCs w:val="32"/>
        </w:rPr>
        <w:t>报价方式：</w:t>
      </w:r>
      <w:r>
        <w:rPr>
          <w:rFonts w:hint="eastAsia" w:ascii="方正仿宋简体" w:hAnsi="方正仿宋简体" w:eastAsia="方正仿宋简体" w:cs="方正仿宋简体"/>
          <w:bCs/>
          <w:sz w:val="32"/>
          <w:szCs w:val="32"/>
        </w:rPr>
        <w:t>报价为含增值税送到价。如国家税率调整，按合同含税价格/（1+合同约定税率）*（1+国家规定的新税率）调整合同价格开具发票；</w:t>
      </w:r>
    </w:p>
    <w:p w14:paraId="79867017">
      <w:pPr>
        <w:keepNext w:val="0"/>
        <w:keepLines w:val="0"/>
        <w:pageBreakBefore w:val="0"/>
        <w:widowControl w:val="0"/>
        <w:kinsoku/>
        <w:overflowPunct/>
        <w:topLinePunct w:val="0"/>
        <w:autoSpaceDE/>
        <w:autoSpaceDN/>
        <w:bidi w:val="0"/>
        <w:adjustRightInd w:val="0"/>
        <w:snapToGrid w:val="0"/>
        <w:spacing w:line="600" w:lineRule="exact"/>
        <w:ind w:firstLine="640" w:firstLineChars="200"/>
        <w:jc w:val="left"/>
        <w:textAlignment w:val="auto"/>
        <w:rPr>
          <w:rFonts w:hint="eastAsia" w:ascii="方正仿宋简体" w:hAnsi="方正仿宋简体" w:eastAsia="方正仿宋简体" w:cs="方正仿宋简体"/>
          <w:bCs/>
          <w:color w:val="0000FF"/>
          <w:kern w:val="0"/>
          <w:sz w:val="32"/>
          <w:szCs w:val="32"/>
        </w:rPr>
      </w:pPr>
      <w:r>
        <w:rPr>
          <w:rFonts w:hint="eastAsia" w:ascii="方正楷体_GBK" w:hAnsi="方正楷体_GBK" w:eastAsia="方正楷体_GBK" w:cs="方正楷体_GBK"/>
          <w:bCs/>
          <w:kern w:val="1"/>
          <w:sz w:val="32"/>
          <w:szCs w:val="32"/>
        </w:rPr>
        <w:t>（二）</w:t>
      </w:r>
      <w:r>
        <w:rPr>
          <w:rFonts w:hint="eastAsia" w:ascii="方正仿宋简体" w:hAnsi="方正仿宋简体" w:eastAsia="方正仿宋简体" w:cs="方正仿宋简体"/>
          <w:bCs/>
          <w:kern w:val="1"/>
          <w:sz w:val="32"/>
          <w:szCs w:val="32"/>
        </w:rPr>
        <w:t>付款方式：</w:t>
      </w:r>
      <w:r>
        <w:rPr>
          <w:rFonts w:hint="eastAsia" w:ascii="方正仿宋简体" w:hAnsi="方正仿宋简体" w:eastAsia="方正仿宋简体" w:cs="方正仿宋简体"/>
          <w:color w:val="auto"/>
          <w:kern w:val="2"/>
          <w:sz w:val="32"/>
          <w:szCs w:val="32"/>
          <w:u w:val="single"/>
          <w:lang w:val="en-US" w:eastAsia="zh-CN" w:bidi="ar"/>
        </w:rPr>
        <w:t>叉车智慧终端安装完成且经招标方验收合格确认后</w:t>
      </w:r>
      <w:r>
        <w:rPr>
          <w:rFonts w:hint="eastAsia" w:ascii="方正仿宋简体" w:hAnsi="方正仿宋简体" w:eastAsia="方正仿宋简体" w:cs="方正仿宋简体"/>
          <w:bCs/>
          <w:color w:val="auto"/>
          <w:kern w:val="0"/>
          <w:sz w:val="32"/>
          <w:szCs w:val="32"/>
          <w:u w:val="single"/>
          <w:lang w:val="en-US" w:eastAsia="zh-CN" w:bidi="ar-SA"/>
        </w:rPr>
        <w:t>，</w:t>
      </w:r>
      <w:r>
        <w:rPr>
          <w:rFonts w:hint="eastAsia" w:ascii="方正仿宋简体" w:hAnsi="方正仿宋简体" w:eastAsia="方正仿宋简体" w:cs="方正仿宋简体"/>
          <w:color w:val="auto"/>
          <w:kern w:val="1"/>
          <w:sz w:val="32"/>
          <w:szCs w:val="32"/>
          <w:u w:val="single"/>
          <w:lang w:val="en-US" w:eastAsia="zh-CN" w:bidi="ar-SA"/>
        </w:rPr>
        <w:t>中标方开具增值税专用发票</w:t>
      </w:r>
      <w:r>
        <w:rPr>
          <w:rFonts w:hint="eastAsia" w:ascii="方正仿宋简体" w:hAnsi="方正仿宋简体" w:eastAsia="方正仿宋简体" w:cs="方正仿宋简体"/>
          <w:bCs/>
          <w:color w:val="auto"/>
          <w:kern w:val="0"/>
          <w:sz w:val="32"/>
          <w:szCs w:val="32"/>
          <w:u w:val="single"/>
          <w:lang w:val="en-US" w:eastAsia="zh-CN" w:bidi="ar-SA"/>
        </w:rPr>
        <w:t>，招标方收到发票后60日内</w:t>
      </w:r>
      <w:r>
        <w:rPr>
          <w:rFonts w:hint="eastAsia" w:ascii="方正仿宋简体" w:hAnsi="方正仿宋简体" w:eastAsia="方正仿宋简体" w:cs="方正仿宋简体"/>
          <w:b/>
          <w:color w:val="auto"/>
          <w:kern w:val="1"/>
          <w:sz w:val="32"/>
          <w:szCs w:val="32"/>
          <w:u w:val="single"/>
        </w:rPr>
        <w:t>以</w:t>
      </w:r>
      <w:r>
        <w:rPr>
          <w:rFonts w:hint="eastAsia" w:ascii="方正仿宋简体" w:hAnsi="方正仿宋简体" w:eastAsia="方正仿宋简体" w:cs="方正仿宋简体"/>
          <w:b/>
          <w:bCs w:val="0"/>
          <w:color w:val="auto"/>
          <w:kern w:val="1"/>
          <w:sz w:val="32"/>
          <w:szCs w:val="32"/>
          <w:u w:val="single"/>
          <w:lang w:eastAsia="zh-CN"/>
        </w:rPr>
        <w:t>网银</w:t>
      </w:r>
      <w:r>
        <w:rPr>
          <w:rFonts w:hint="eastAsia" w:ascii="方正仿宋简体" w:hAnsi="方正仿宋简体" w:eastAsia="方正仿宋简体" w:cs="方正仿宋简体"/>
          <w:b/>
          <w:bCs w:val="0"/>
          <w:color w:val="auto"/>
          <w:kern w:val="1"/>
          <w:sz w:val="32"/>
          <w:szCs w:val="32"/>
          <w:u w:val="single"/>
        </w:rPr>
        <w:t>方式</w:t>
      </w:r>
      <w:r>
        <w:rPr>
          <w:rFonts w:hint="eastAsia" w:ascii="方正仿宋简体" w:hAnsi="方正仿宋简体" w:eastAsia="方正仿宋简体" w:cs="方正仿宋简体"/>
          <w:color w:val="auto"/>
          <w:kern w:val="1"/>
          <w:sz w:val="32"/>
          <w:szCs w:val="32"/>
          <w:u w:val="single"/>
        </w:rPr>
        <w:t>付款</w:t>
      </w:r>
      <w:r>
        <w:rPr>
          <w:rFonts w:hint="eastAsia" w:ascii="方正仿宋简体" w:hAnsi="方正仿宋简体" w:eastAsia="方正仿宋简体" w:cs="方正仿宋简体"/>
          <w:color w:val="auto"/>
          <w:kern w:val="1"/>
          <w:sz w:val="32"/>
          <w:szCs w:val="32"/>
          <w:u w:val="single"/>
          <w:lang w:val="en-US" w:eastAsia="zh-CN"/>
        </w:rPr>
        <w:t>100</w:t>
      </w:r>
      <w:r>
        <w:rPr>
          <w:rFonts w:hint="eastAsia" w:ascii="方正仿宋简体" w:hAnsi="方正仿宋简体" w:eastAsia="方正仿宋简体" w:cs="方正仿宋简体"/>
          <w:bCs/>
          <w:color w:val="auto"/>
          <w:kern w:val="0"/>
          <w:sz w:val="32"/>
          <w:szCs w:val="32"/>
          <w:u w:val="single"/>
          <w:lang w:val="en-US" w:eastAsia="zh-CN" w:bidi="ar-SA"/>
        </w:rPr>
        <w:t>%</w:t>
      </w:r>
      <w:r>
        <w:rPr>
          <w:rFonts w:hint="eastAsia" w:ascii="方正仿宋简体" w:hAnsi="方正仿宋简体" w:eastAsia="方正仿宋简体" w:cs="方正仿宋简体"/>
          <w:bCs/>
          <w:color w:val="0000FF"/>
          <w:kern w:val="1"/>
          <w:sz w:val="32"/>
          <w:szCs w:val="32"/>
        </w:rPr>
        <w:t>。</w:t>
      </w:r>
      <w:r>
        <w:rPr>
          <w:rFonts w:hint="eastAsia" w:ascii="方正仿宋简体" w:hAnsi="方正仿宋简体" w:eastAsia="方正仿宋简体" w:cs="方正仿宋简体"/>
          <w:bCs/>
          <w:kern w:val="1"/>
          <w:sz w:val="32"/>
          <w:szCs w:val="32"/>
        </w:rPr>
        <w:t>（</w:t>
      </w:r>
      <w:r>
        <w:rPr>
          <w:rFonts w:hint="eastAsia" w:ascii="方正仿宋简体" w:hAnsi="方正仿宋简体" w:eastAsia="方正仿宋简体" w:cs="方正仿宋简体"/>
          <w:bCs/>
          <w:kern w:val="0"/>
          <w:sz w:val="32"/>
          <w:szCs w:val="32"/>
        </w:rPr>
        <w:t>报价为含税价，请注明税率</w:t>
      </w:r>
      <w:r>
        <w:rPr>
          <w:rFonts w:hint="eastAsia" w:ascii="方正仿宋简体" w:hAnsi="方正仿宋简体" w:eastAsia="方正仿宋简体" w:cs="方正仿宋简体"/>
          <w:bCs/>
          <w:kern w:val="0"/>
          <w:sz w:val="32"/>
          <w:szCs w:val="32"/>
          <w:highlight w:val="none"/>
        </w:rPr>
        <w:t>。</w:t>
      </w:r>
      <w:r>
        <w:rPr>
          <w:rFonts w:hint="eastAsia" w:ascii="方正仿宋简体" w:hAnsi="方正仿宋简体" w:eastAsia="方正仿宋简体" w:cs="方正仿宋简体"/>
          <w:bCs/>
          <w:kern w:val="1"/>
          <w:sz w:val="32"/>
          <w:szCs w:val="32"/>
          <w:highlight w:val="none"/>
        </w:rPr>
        <w:t>）</w:t>
      </w:r>
      <w:r>
        <w:rPr>
          <w:rFonts w:hint="eastAsia" w:ascii="方正仿宋简体" w:hAnsi="方正仿宋简体" w:eastAsia="方正仿宋简体" w:cs="方正仿宋简体"/>
          <w:bCs/>
          <w:color w:val="auto"/>
          <w:kern w:val="0"/>
          <w:sz w:val="32"/>
          <w:szCs w:val="32"/>
          <w:highlight w:val="none"/>
        </w:rPr>
        <w:t>如付款方式涉及到预付款，投标人必须在投标文件中提供开标前3个月内中国人民银行征信中心出具的企业信用报告并加盖企业公章。</w:t>
      </w:r>
      <w:bookmarkStart w:id="0" w:name="_GoBack"/>
      <w:bookmarkEnd w:id="0"/>
    </w:p>
    <w:p w14:paraId="3BBD6BA1">
      <w:pPr>
        <w:keepNext w:val="0"/>
        <w:keepLines w:val="0"/>
        <w:pageBreakBefore w:val="0"/>
        <w:widowControl w:val="0"/>
        <w:kinsoku/>
        <w:overflowPunct/>
        <w:topLinePunct w:val="0"/>
        <w:autoSpaceDE/>
        <w:autoSpaceDN/>
        <w:bidi w:val="0"/>
        <w:adjustRightInd w:val="0"/>
        <w:snapToGrid w:val="0"/>
        <w:spacing w:line="600" w:lineRule="exact"/>
        <w:ind w:firstLine="640" w:firstLineChars="200"/>
        <w:jc w:val="left"/>
        <w:textAlignment w:val="auto"/>
        <w:rPr>
          <w:rFonts w:ascii="方正仿宋简体" w:hAnsi="方正仿宋简体" w:eastAsia="方正仿宋简体" w:cs="方正仿宋简体"/>
          <w:bCs/>
          <w:kern w:val="1"/>
          <w:sz w:val="32"/>
          <w:szCs w:val="32"/>
        </w:rPr>
      </w:pPr>
      <w:r>
        <w:rPr>
          <w:rFonts w:hint="eastAsia" w:ascii="方正楷体_GBK" w:hAnsi="方正楷体_GBK" w:eastAsia="方正楷体_GBK" w:cs="方正楷体_GBK"/>
          <w:bCs/>
          <w:kern w:val="1"/>
          <w:sz w:val="32"/>
          <w:szCs w:val="32"/>
        </w:rPr>
        <w:t>（三）</w:t>
      </w:r>
      <w:r>
        <w:rPr>
          <w:rFonts w:hint="eastAsia" w:ascii="方正仿宋简体" w:hAnsi="方正仿宋简体" w:eastAsia="方正仿宋简体" w:cs="方正仿宋简体"/>
          <w:bCs/>
          <w:kern w:val="1"/>
          <w:sz w:val="32"/>
          <w:szCs w:val="32"/>
        </w:rPr>
        <w:t>本项目通过线下方式进行：</w:t>
      </w:r>
    </w:p>
    <w:p w14:paraId="66250B85">
      <w:pPr>
        <w:pStyle w:val="7"/>
        <w:keepNext w:val="0"/>
        <w:keepLines w:val="0"/>
        <w:pageBreakBefore w:val="0"/>
        <w:widowControl w:val="0"/>
        <w:kinsoku/>
        <w:overflowPunct/>
        <w:topLinePunct w:val="0"/>
        <w:autoSpaceDE/>
        <w:autoSpaceDN/>
        <w:bidi w:val="0"/>
        <w:spacing w:after="0" w:line="600" w:lineRule="exact"/>
        <w:ind w:firstLine="640" w:firstLineChars="200"/>
        <w:textAlignment w:val="auto"/>
        <w:rPr>
          <w:rFonts w:ascii="方正仿宋简体" w:hAnsi="方正仿宋简体" w:eastAsia="方正仿宋简体" w:cs="方正仿宋简体"/>
          <w:sz w:val="32"/>
          <w:szCs w:val="32"/>
        </w:rPr>
      </w:pPr>
      <w:r>
        <w:rPr>
          <w:rFonts w:hint="eastAsia" w:ascii="方正仿宋简体" w:hAnsi="方正仿宋简体" w:eastAsia="方正仿宋简体" w:cs="方正仿宋简体"/>
          <w:bCs/>
          <w:kern w:val="1"/>
          <w:sz w:val="32"/>
          <w:szCs w:val="32"/>
        </w:rPr>
        <w:t>采用线下投标应将报价书及相关资料以标袋形式送达，标袋必须密封并加盖公章；在标袋封面上需注明投标项目名称、投标方名称、联系人、联系电话等；并要求在投标截止时间之前送达，逾期将作为废标处理。</w:t>
      </w:r>
    </w:p>
    <w:p w14:paraId="255E54C0">
      <w:pPr>
        <w:keepNext w:val="0"/>
        <w:keepLines w:val="0"/>
        <w:pageBreakBefore w:val="0"/>
        <w:widowControl w:val="0"/>
        <w:kinsoku/>
        <w:wordWrap w:val="0"/>
        <w:overflowPunct/>
        <w:topLinePunct w:val="0"/>
        <w:autoSpaceDE/>
        <w:autoSpaceDN/>
        <w:bidi w:val="0"/>
        <w:adjustRightInd w:val="0"/>
        <w:snapToGrid w:val="0"/>
        <w:spacing w:line="600" w:lineRule="exact"/>
        <w:ind w:firstLine="640" w:firstLineChars="200"/>
        <w:jc w:val="left"/>
        <w:textAlignment w:val="auto"/>
        <w:rPr>
          <w:rFonts w:ascii="方正仿宋简体" w:hAnsi="方正仿宋简体" w:eastAsia="方正仿宋简体" w:cs="方正仿宋简体"/>
          <w:bCs/>
          <w:kern w:val="1"/>
          <w:sz w:val="32"/>
          <w:szCs w:val="32"/>
        </w:rPr>
      </w:pPr>
      <w:r>
        <w:rPr>
          <w:rFonts w:hint="eastAsia" w:ascii="方正楷体_GBK" w:hAnsi="方正楷体_GBK" w:eastAsia="方正楷体_GBK" w:cs="方正楷体_GBK"/>
          <w:bCs/>
          <w:kern w:val="1"/>
          <w:sz w:val="32"/>
          <w:szCs w:val="32"/>
        </w:rPr>
        <w:t>（</w:t>
      </w:r>
      <w:r>
        <w:rPr>
          <w:rFonts w:hint="eastAsia" w:ascii="方正楷体_GBK" w:hAnsi="方正楷体_GBK" w:eastAsia="方正楷体_GBK" w:cs="方正楷体_GBK"/>
          <w:bCs/>
          <w:kern w:val="1"/>
          <w:sz w:val="32"/>
          <w:szCs w:val="32"/>
          <w:lang w:val="en-US" w:eastAsia="zh-CN"/>
        </w:rPr>
        <w:t>四</w:t>
      </w:r>
      <w:r>
        <w:rPr>
          <w:rFonts w:hint="eastAsia" w:ascii="方正楷体_GBK" w:hAnsi="方正楷体_GBK" w:eastAsia="方正楷体_GBK" w:cs="方正楷体_GBK"/>
          <w:bCs/>
          <w:kern w:val="1"/>
          <w:sz w:val="32"/>
          <w:szCs w:val="32"/>
        </w:rPr>
        <w:t>）</w:t>
      </w:r>
      <w:r>
        <w:rPr>
          <w:rFonts w:hint="eastAsia" w:ascii="方正仿宋简体" w:hAnsi="方正仿宋简体" w:eastAsia="方正仿宋简体" w:cs="方正仿宋简体"/>
          <w:bCs/>
          <w:kern w:val="1"/>
          <w:sz w:val="32"/>
          <w:szCs w:val="32"/>
        </w:rPr>
        <w:t>采用线下投标的，投标文件请密封邮寄：</w:t>
      </w:r>
    </w:p>
    <w:p w14:paraId="5054B1A1">
      <w:pPr>
        <w:pStyle w:val="26"/>
        <w:keepNext w:val="0"/>
        <w:keepLines w:val="0"/>
        <w:pageBreakBefore w:val="0"/>
        <w:widowControl w:val="0"/>
        <w:tabs>
          <w:tab w:val="left" w:pos="180"/>
        </w:tabs>
        <w:kinsoku/>
        <w:wordWrap w:val="0"/>
        <w:overflowPunct/>
        <w:topLinePunct w:val="0"/>
        <w:autoSpaceDE/>
        <w:autoSpaceDN/>
        <w:bidi w:val="0"/>
        <w:adjustRightInd w:val="0"/>
        <w:snapToGrid w:val="0"/>
        <w:spacing w:line="600" w:lineRule="exact"/>
        <w:ind w:firstLine="640"/>
        <w:jc w:val="left"/>
        <w:textAlignment w:val="auto"/>
        <w:rPr>
          <w:rFonts w:ascii="方正仿宋简体" w:hAnsi="方正仿宋简体" w:eastAsia="方正仿宋简体" w:cs="方正仿宋简体"/>
          <w:bCs/>
          <w:kern w:val="1"/>
          <w:sz w:val="30"/>
          <w:szCs w:val="30"/>
        </w:rPr>
      </w:pPr>
      <w:r>
        <w:rPr>
          <w:rFonts w:hint="eastAsia" w:ascii="方正仿宋简体" w:hAnsi="方正仿宋简体" w:eastAsia="方正仿宋简体" w:cs="方正仿宋简体"/>
          <w:bCs/>
          <w:kern w:val="1"/>
          <w:sz w:val="32"/>
          <w:szCs w:val="32"/>
        </w:rPr>
        <w:t>公司：</w:t>
      </w:r>
      <w:r>
        <w:rPr>
          <w:rFonts w:hint="eastAsia" w:ascii="方正仿宋简体" w:hAnsi="方正仿宋简体" w:eastAsia="方正仿宋简体" w:cs="方正仿宋简体"/>
          <w:bCs/>
          <w:kern w:val="1"/>
          <w:sz w:val="30"/>
          <w:szCs w:val="30"/>
        </w:rPr>
        <w:t>镇江海纳川物流产业发展有限责任公司审计风控部</w:t>
      </w:r>
    </w:p>
    <w:p w14:paraId="1217B423">
      <w:pPr>
        <w:keepNext w:val="0"/>
        <w:keepLines w:val="0"/>
        <w:pageBreakBefore w:val="0"/>
        <w:widowControl w:val="0"/>
        <w:kinsoku/>
        <w:wordWrap w:val="0"/>
        <w:overflowPunct/>
        <w:topLinePunct w:val="0"/>
        <w:autoSpaceDE/>
        <w:autoSpaceDN/>
        <w:bidi w:val="0"/>
        <w:adjustRightInd w:val="0"/>
        <w:snapToGrid w:val="0"/>
        <w:spacing w:line="600" w:lineRule="exact"/>
        <w:ind w:firstLine="640" w:firstLineChars="200"/>
        <w:jc w:val="left"/>
        <w:textAlignment w:val="auto"/>
        <w:rPr>
          <w:rFonts w:ascii="方正仿宋简体" w:hAnsi="方正仿宋简体" w:eastAsia="方正仿宋简体" w:cs="方正仿宋简体"/>
          <w:bCs/>
          <w:kern w:val="1"/>
          <w:sz w:val="32"/>
          <w:szCs w:val="32"/>
        </w:rPr>
      </w:pPr>
      <w:r>
        <w:rPr>
          <w:rFonts w:hint="eastAsia" w:ascii="方正仿宋简体" w:hAnsi="方正仿宋简体" w:eastAsia="方正仿宋简体" w:cs="方正仿宋简体"/>
          <w:bCs/>
          <w:kern w:val="1"/>
          <w:sz w:val="32"/>
          <w:szCs w:val="32"/>
        </w:rPr>
        <w:t>地址：江苏省镇江市京口区求索路66号</w:t>
      </w:r>
    </w:p>
    <w:p w14:paraId="192F9A02">
      <w:pPr>
        <w:keepNext w:val="0"/>
        <w:keepLines w:val="0"/>
        <w:pageBreakBefore w:val="0"/>
        <w:widowControl w:val="0"/>
        <w:kinsoku/>
        <w:wordWrap w:val="0"/>
        <w:overflowPunct/>
        <w:topLinePunct w:val="0"/>
        <w:autoSpaceDE/>
        <w:autoSpaceDN/>
        <w:bidi w:val="0"/>
        <w:adjustRightInd w:val="0"/>
        <w:snapToGrid w:val="0"/>
        <w:spacing w:line="600" w:lineRule="exact"/>
        <w:ind w:firstLine="640" w:firstLineChars="200"/>
        <w:jc w:val="left"/>
        <w:textAlignment w:val="auto"/>
        <w:rPr>
          <w:rFonts w:ascii="方正仿宋简体" w:hAnsi="方正仿宋简体" w:eastAsia="方正仿宋简体" w:cs="方正仿宋简体"/>
          <w:bCs/>
          <w:kern w:val="1"/>
          <w:sz w:val="32"/>
          <w:szCs w:val="32"/>
        </w:rPr>
      </w:pPr>
      <w:r>
        <w:rPr>
          <w:rFonts w:hint="eastAsia" w:ascii="方正仿宋简体" w:hAnsi="方正仿宋简体" w:eastAsia="方正仿宋简体" w:cs="方正仿宋简体"/>
          <w:bCs/>
          <w:kern w:val="1"/>
          <w:sz w:val="32"/>
          <w:szCs w:val="32"/>
        </w:rPr>
        <w:t>邮编：212006</w:t>
      </w:r>
    </w:p>
    <w:p w14:paraId="252CEA06">
      <w:pPr>
        <w:keepNext w:val="0"/>
        <w:keepLines w:val="0"/>
        <w:pageBreakBefore w:val="0"/>
        <w:widowControl w:val="0"/>
        <w:kinsoku/>
        <w:wordWrap w:val="0"/>
        <w:overflowPunct/>
        <w:topLinePunct w:val="0"/>
        <w:autoSpaceDE/>
        <w:autoSpaceDN/>
        <w:bidi w:val="0"/>
        <w:adjustRightInd w:val="0"/>
        <w:snapToGrid w:val="0"/>
        <w:spacing w:line="600" w:lineRule="exact"/>
        <w:ind w:firstLine="640" w:firstLineChars="200"/>
        <w:jc w:val="left"/>
        <w:textAlignment w:val="auto"/>
        <w:rPr>
          <w:rFonts w:ascii="方正仿宋简体" w:hAnsi="方正仿宋简体" w:eastAsia="方正仿宋简体" w:cs="方正仿宋简体"/>
          <w:bCs/>
          <w:kern w:val="1"/>
          <w:sz w:val="32"/>
          <w:szCs w:val="32"/>
        </w:rPr>
      </w:pPr>
      <w:r>
        <w:rPr>
          <w:rFonts w:hint="eastAsia" w:ascii="方正仿宋简体" w:hAnsi="方正仿宋简体" w:eastAsia="方正仿宋简体" w:cs="方正仿宋简体"/>
          <w:bCs/>
          <w:kern w:val="1"/>
          <w:sz w:val="32"/>
          <w:szCs w:val="32"/>
        </w:rPr>
        <w:t>收件人：杨雨琦</w:t>
      </w:r>
    </w:p>
    <w:p w14:paraId="4A22EDF9">
      <w:pPr>
        <w:keepNext w:val="0"/>
        <w:keepLines w:val="0"/>
        <w:pageBreakBefore w:val="0"/>
        <w:widowControl w:val="0"/>
        <w:kinsoku/>
        <w:wordWrap w:val="0"/>
        <w:overflowPunct/>
        <w:topLinePunct w:val="0"/>
        <w:autoSpaceDE/>
        <w:autoSpaceDN/>
        <w:bidi w:val="0"/>
        <w:adjustRightInd w:val="0"/>
        <w:snapToGrid w:val="0"/>
        <w:spacing w:line="600" w:lineRule="exact"/>
        <w:ind w:firstLine="640" w:firstLineChars="200"/>
        <w:jc w:val="left"/>
        <w:textAlignment w:val="auto"/>
        <w:rPr>
          <w:rFonts w:ascii="方正仿宋简体" w:hAnsi="方正仿宋简体" w:eastAsia="方正仿宋简体" w:cs="方正仿宋简体"/>
          <w:bCs/>
          <w:kern w:val="1"/>
          <w:sz w:val="32"/>
          <w:szCs w:val="32"/>
        </w:rPr>
      </w:pPr>
      <w:r>
        <w:rPr>
          <w:rFonts w:hint="eastAsia" w:ascii="方正仿宋简体" w:hAnsi="方正仿宋简体" w:eastAsia="方正仿宋简体" w:cs="方正仿宋简体"/>
          <w:bCs/>
          <w:kern w:val="1"/>
          <w:sz w:val="32"/>
          <w:szCs w:val="32"/>
        </w:rPr>
        <w:t>联系电话：0511-88995538，13952943464</w:t>
      </w:r>
    </w:p>
    <w:p w14:paraId="16D72432">
      <w:pPr>
        <w:keepNext w:val="0"/>
        <w:keepLines w:val="0"/>
        <w:pageBreakBefore w:val="0"/>
        <w:widowControl w:val="0"/>
        <w:kinsoku/>
        <w:overflowPunct/>
        <w:topLinePunct w:val="0"/>
        <w:autoSpaceDE/>
        <w:autoSpaceDN/>
        <w:bidi w:val="0"/>
        <w:adjustRightInd w:val="0"/>
        <w:snapToGrid w:val="0"/>
        <w:spacing w:line="600" w:lineRule="exact"/>
        <w:ind w:firstLine="640" w:firstLineChars="200"/>
        <w:jc w:val="left"/>
        <w:textAlignment w:val="auto"/>
        <w:rPr>
          <w:rFonts w:ascii="方正仿宋简体" w:hAnsi="方正仿宋简体" w:eastAsia="方正仿宋简体" w:cs="方正仿宋简体"/>
          <w:bCs/>
          <w:kern w:val="1"/>
          <w:sz w:val="32"/>
          <w:szCs w:val="32"/>
        </w:rPr>
      </w:pPr>
      <w:r>
        <w:rPr>
          <w:rFonts w:hint="eastAsia" w:ascii="方正楷体_GBK" w:hAnsi="方正楷体_GBK" w:eastAsia="方正楷体_GBK" w:cs="方正楷体_GBK"/>
          <w:bCs/>
          <w:kern w:val="1"/>
          <w:sz w:val="32"/>
          <w:szCs w:val="32"/>
        </w:rPr>
        <w:t>（</w:t>
      </w:r>
      <w:r>
        <w:rPr>
          <w:rFonts w:hint="eastAsia" w:ascii="方正楷体_GBK" w:hAnsi="方正楷体_GBK" w:eastAsia="方正楷体_GBK" w:cs="方正楷体_GBK"/>
          <w:bCs/>
          <w:kern w:val="1"/>
          <w:sz w:val="32"/>
          <w:szCs w:val="32"/>
          <w:lang w:val="en-US" w:eastAsia="zh-CN"/>
        </w:rPr>
        <w:t>五</w:t>
      </w:r>
      <w:r>
        <w:rPr>
          <w:rFonts w:hint="eastAsia" w:ascii="方正楷体_GBK" w:hAnsi="方正楷体_GBK" w:eastAsia="方正楷体_GBK" w:cs="方正楷体_GBK"/>
          <w:bCs/>
          <w:kern w:val="1"/>
          <w:sz w:val="32"/>
          <w:szCs w:val="32"/>
        </w:rPr>
        <w:t>）</w:t>
      </w:r>
      <w:r>
        <w:rPr>
          <w:rFonts w:hint="eastAsia" w:ascii="方正仿宋简体" w:hAnsi="方正仿宋简体" w:eastAsia="方正仿宋简体" w:cs="方正仿宋简体"/>
          <w:bCs/>
          <w:kern w:val="1"/>
          <w:sz w:val="32"/>
          <w:szCs w:val="32"/>
        </w:rPr>
        <w:t>凡对招标文件条款有疑义的，请在开标前按以下方式联系：</w:t>
      </w:r>
    </w:p>
    <w:p w14:paraId="42E3AB7C">
      <w:pPr>
        <w:pStyle w:val="26"/>
        <w:keepNext w:val="0"/>
        <w:keepLines w:val="0"/>
        <w:pageBreakBefore w:val="0"/>
        <w:widowControl w:val="0"/>
        <w:tabs>
          <w:tab w:val="left" w:pos="180"/>
        </w:tabs>
        <w:kinsoku/>
        <w:wordWrap w:val="0"/>
        <w:overflowPunct/>
        <w:topLinePunct w:val="0"/>
        <w:autoSpaceDE/>
        <w:autoSpaceDN/>
        <w:bidi w:val="0"/>
        <w:adjustRightInd w:val="0"/>
        <w:snapToGrid w:val="0"/>
        <w:spacing w:line="600" w:lineRule="exact"/>
        <w:ind w:firstLine="640"/>
        <w:jc w:val="left"/>
        <w:textAlignment w:val="auto"/>
        <w:rPr>
          <w:rFonts w:ascii="方正仿宋简体" w:hAnsi="方正仿宋简体" w:eastAsia="方正仿宋简体" w:cs="方正仿宋简体"/>
          <w:bCs/>
          <w:kern w:val="1"/>
          <w:sz w:val="32"/>
          <w:szCs w:val="32"/>
        </w:rPr>
      </w:pPr>
      <w:r>
        <w:rPr>
          <w:rFonts w:hint="eastAsia" w:ascii="方正仿宋简体" w:hAnsi="方正仿宋简体" w:eastAsia="方正仿宋简体" w:cs="方正仿宋简体"/>
          <w:bCs/>
          <w:kern w:val="1"/>
          <w:sz w:val="32"/>
          <w:szCs w:val="32"/>
        </w:rPr>
        <w:t>联系单位：镇江海纳川物流产业发展有限责任公司</w:t>
      </w:r>
    </w:p>
    <w:p w14:paraId="61117B9D">
      <w:pPr>
        <w:keepNext w:val="0"/>
        <w:keepLines w:val="0"/>
        <w:pageBreakBefore w:val="0"/>
        <w:widowControl w:val="0"/>
        <w:kinsoku/>
        <w:overflowPunct/>
        <w:topLinePunct w:val="0"/>
        <w:autoSpaceDE/>
        <w:autoSpaceDN/>
        <w:bidi w:val="0"/>
        <w:adjustRightInd w:val="0"/>
        <w:snapToGrid w:val="0"/>
        <w:spacing w:line="600" w:lineRule="exact"/>
        <w:ind w:firstLine="630"/>
        <w:jc w:val="left"/>
        <w:textAlignment w:val="auto"/>
        <w:rPr>
          <w:rFonts w:ascii="方正仿宋简体" w:hAnsi="方正仿宋简体" w:eastAsia="方正仿宋简体" w:cs="方正仿宋简体"/>
          <w:bCs/>
          <w:kern w:val="1"/>
          <w:sz w:val="32"/>
          <w:szCs w:val="32"/>
        </w:rPr>
      </w:pPr>
      <w:r>
        <w:rPr>
          <w:rFonts w:hint="eastAsia" w:ascii="方正仿宋简体" w:hAnsi="方正仿宋简体" w:eastAsia="方正仿宋简体" w:cs="方正仿宋简体"/>
          <w:bCs/>
          <w:kern w:val="1"/>
          <w:sz w:val="32"/>
          <w:szCs w:val="32"/>
        </w:rPr>
        <w:t>地址：江苏省镇江市京口区求索路66号</w:t>
      </w:r>
    </w:p>
    <w:p w14:paraId="3A66143C">
      <w:pPr>
        <w:keepNext w:val="0"/>
        <w:keepLines w:val="0"/>
        <w:pageBreakBefore w:val="0"/>
        <w:widowControl w:val="0"/>
        <w:kinsoku/>
        <w:overflowPunct/>
        <w:topLinePunct w:val="0"/>
        <w:autoSpaceDE/>
        <w:autoSpaceDN/>
        <w:bidi w:val="0"/>
        <w:adjustRightInd w:val="0"/>
        <w:snapToGrid w:val="0"/>
        <w:spacing w:line="600" w:lineRule="exact"/>
        <w:ind w:firstLine="630"/>
        <w:jc w:val="left"/>
        <w:textAlignment w:val="auto"/>
        <w:rPr>
          <w:rFonts w:ascii="方正仿宋简体" w:hAnsi="方正仿宋简体" w:eastAsia="方正仿宋简体" w:cs="方正仿宋简体"/>
          <w:bCs/>
          <w:kern w:val="1"/>
          <w:sz w:val="32"/>
          <w:szCs w:val="32"/>
        </w:rPr>
      </w:pPr>
      <w:r>
        <w:rPr>
          <w:rFonts w:hint="eastAsia" w:ascii="方正仿宋简体" w:hAnsi="方正仿宋简体" w:eastAsia="方正仿宋简体" w:cs="方正仿宋简体"/>
          <w:bCs/>
          <w:kern w:val="1"/>
          <w:sz w:val="32"/>
          <w:szCs w:val="32"/>
        </w:rPr>
        <w:t>邮编：212006</w:t>
      </w:r>
    </w:p>
    <w:p w14:paraId="528473AB">
      <w:pPr>
        <w:keepNext w:val="0"/>
        <w:keepLines w:val="0"/>
        <w:pageBreakBefore w:val="0"/>
        <w:widowControl w:val="0"/>
        <w:kinsoku/>
        <w:wordWrap w:val="0"/>
        <w:overflowPunct/>
        <w:topLinePunct w:val="0"/>
        <w:autoSpaceDE/>
        <w:autoSpaceDN/>
        <w:bidi w:val="0"/>
        <w:adjustRightInd w:val="0"/>
        <w:snapToGrid w:val="0"/>
        <w:spacing w:line="600" w:lineRule="exact"/>
        <w:ind w:firstLine="640" w:firstLineChars="200"/>
        <w:jc w:val="left"/>
        <w:textAlignment w:val="auto"/>
        <w:rPr>
          <w:rFonts w:ascii="方正仿宋简体" w:hAnsi="方正仿宋简体" w:eastAsia="方正仿宋简体" w:cs="方正仿宋简体"/>
          <w:bCs/>
          <w:kern w:val="1"/>
          <w:sz w:val="32"/>
          <w:szCs w:val="32"/>
        </w:rPr>
      </w:pPr>
      <w:r>
        <w:rPr>
          <w:rFonts w:hint="eastAsia" w:ascii="方正仿宋简体" w:hAnsi="方正仿宋简体" w:eastAsia="方正仿宋简体" w:cs="方正仿宋简体"/>
          <w:bCs/>
          <w:kern w:val="1"/>
          <w:sz w:val="32"/>
          <w:szCs w:val="32"/>
        </w:rPr>
        <w:t>招标业务联系电话：0511-88995538</w:t>
      </w:r>
      <w:r>
        <w:rPr>
          <w:rFonts w:hint="eastAsia" w:ascii="方正仿宋简体" w:hAnsi="方正仿宋简体" w:eastAsia="方正仿宋简体" w:cs="方正仿宋简体"/>
          <w:bCs/>
          <w:kern w:val="1"/>
          <w:sz w:val="32"/>
          <w:szCs w:val="32"/>
          <w:lang w:val="en-US" w:eastAsia="zh-CN"/>
        </w:rPr>
        <w:t>/</w:t>
      </w:r>
      <w:r>
        <w:rPr>
          <w:rFonts w:hint="eastAsia" w:ascii="方正仿宋简体" w:hAnsi="方正仿宋简体" w:eastAsia="方正仿宋简体" w:cs="方正仿宋简体"/>
          <w:bCs/>
          <w:kern w:val="1"/>
          <w:sz w:val="32"/>
          <w:szCs w:val="32"/>
        </w:rPr>
        <w:t>13952943464</w:t>
      </w:r>
    </w:p>
    <w:p w14:paraId="6D07E7ED">
      <w:pPr>
        <w:keepNext w:val="0"/>
        <w:keepLines w:val="0"/>
        <w:pageBreakBefore w:val="0"/>
        <w:widowControl w:val="0"/>
        <w:kinsoku/>
        <w:overflowPunct/>
        <w:topLinePunct w:val="0"/>
        <w:autoSpaceDE/>
        <w:autoSpaceDN/>
        <w:bidi w:val="0"/>
        <w:adjustRightInd w:val="0"/>
        <w:snapToGrid w:val="0"/>
        <w:spacing w:line="600" w:lineRule="exact"/>
        <w:ind w:firstLine="640" w:firstLineChars="200"/>
        <w:jc w:val="left"/>
        <w:textAlignment w:val="auto"/>
        <w:rPr>
          <w:rFonts w:ascii="方正仿宋简体" w:hAnsi="方正仿宋简体" w:eastAsia="方正仿宋简体" w:cs="方正仿宋简体"/>
          <w:bCs/>
          <w:kern w:val="1"/>
          <w:sz w:val="32"/>
          <w:szCs w:val="32"/>
        </w:rPr>
      </w:pPr>
      <w:r>
        <w:rPr>
          <w:rFonts w:hint="eastAsia" w:ascii="方正仿宋简体" w:hAnsi="方正仿宋简体" w:eastAsia="方正仿宋简体" w:cs="方正仿宋简体"/>
          <w:bCs/>
          <w:kern w:val="1"/>
          <w:sz w:val="32"/>
          <w:szCs w:val="32"/>
        </w:rPr>
        <w:t>技术部门联系人：</w:t>
      </w:r>
      <w:r>
        <w:rPr>
          <w:rFonts w:hint="eastAsia" w:ascii="方正仿宋简体" w:hAnsi="方正仿宋简体" w:eastAsia="方正仿宋简体" w:cs="方正仿宋简体"/>
          <w:bCs/>
          <w:kern w:val="1"/>
          <w:sz w:val="32"/>
          <w:szCs w:val="32"/>
          <w:lang w:eastAsia="zh-CN"/>
        </w:rPr>
        <w:t>桓琤</w:t>
      </w:r>
      <w:r>
        <w:rPr>
          <w:rFonts w:hint="eastAsia" w:ascii="方正仿宋简体" w:hAnsi="方正仿宋简体" w:eastAsia="方正仿宋简体" w:cs="方正仿宋简体"/>
          <w:bCs/>
          <w:kern w:val="1"/>
          <w:sz w:val="32"/>
          <w:szCs w:val="32"/>
        </w:rPr>
        <w:t xml:space="preserve">   电话：</w:t>
      </w:r>
      <w:r>
        <w:rPr>
          <w:rFonts w:hint="eastAsia" w:ascii="方正仿宋简体" w:hAnsi="方正仿宋简体" w:eastAsia="方正仿宋简体" w:cs="方正仿宋简体"/>
          <w:bCs/>
          <w:kern w:val="1"/>
          <w:sz w:val="32"/>
          <w:szCs w:val="32"/>
          <w:lang w:val="en-US" w:eastAsia="zh-CN"/>
        </w:rPr>
        <w:t>15262929337</w:t>
      </w:r>
      <w:r>
        <w:rPr>
          <w:rFonts w:hint="eastAsia" w:ascii="方正仿宋简体" w:hAnsi="方正仿宋简体" w:eastAsia="方正仿宋简体" w:cs="方正仿宋简体"/>
          <w:bCs/>
          <w:color w:val="FF0000"/>
          <w:kern w:val="1"/>
          <w:sz w:val="32"/>
          <w:szCs w:val="32"/>
        </w:rPr>
        <w:t xml:space="preserve"> </w:t>
      </w:r>
    </w:p>
    <w:p w14:paraId="58EC5B15">
      <w:pPr>
        <w:pStyle w:val="8"/>
        <w:keepNext w:val="0"/>
        <w:keepLines w:val="0"/>
        <w:pageBreakBefore w:val="0"/>
        <w:widowControl w:val="0"/>
        <w:numPr>
          <w:ilvl w:val="0"/>
          <w:numId w:val="1"/>
        </w:numPr>
        <w:kinsoku/>
        <w:overflowPunct/>
        <w:topLinePunct w:val="0"/>
        <w:autoSpaceDE/>
        <w:autoSpaceDN/>
        <w:bidi w:val="0"/>
        <w:spacing w:line="600" w:lineRule="exact"/>
        <w:ind w:firstLine="640" w:firstLineChars="200"/>
        <w:textAlignment w:val="auto"/>
        <w:rPr>
          <w:rFonts w:ascii="方正黑体_GBK" w:hAnsi="方正黑体_GBK" w:eastAsia="方正黑体_GBK" w:cs="方正黑体_GBK"/>
          <w:kern w:val="2"/>
          <w:sz w:val="32"/>
          <w:szCs w:val="32"/>
        </w:rPr>
      </w:pPr>
      <w:r>
        <w:rPr>
          <w:rFonts w:hint="eastAsia" w:ascii="方正黑体_GBK" w:hAnsi="方正黑体_GBK" w:eastAsia="方正黑体_GBK" w:cs="方正黑体_GBK"/>
          <w:kern w:val="2"/>
          <w:sz w:val="32"/>
          <w:szCs w:val="32"/>
        </w:rPr>
        <w:t>开标、评标及废标：</w:t>
      </w:r>
    </w:p>
    <w:p w14:paraId="223FC9B2">
      <w:pPr>
        <w:keepNext w:val="0"/>
        <w:keepLines w:val="0"/>
        <w:pageBreakBefore w:val="0"/>
        <w:widowControl w:val="0"/>
        <w:kinsoku/>
        <w:overflowPunct/>
        <w:topLinePunct w:val="0"/>
        <w:autoSpaceDE/>
        <w:autoSpaceDN/>
        <w:bidi w:val="0"/>
        <w:adjustRightInd w:val="0"/>
        <w:snapToGrid w:val="0"/>
        <w:spacing w:line="600" w:lineRule="exact"/>
        <w:ind w:firstLine="640" w:firstLineChars="200"/>
        <w:jc w:val="left"/>
        <w:textAlignment w:val="auto"/>
        <w:rPr>
          <w:rFonts w:ascii="方正仿宋简体" w:hAnsi="方正仿宋简体" w:eastAsia="方正仿宋简体" w:cs="方正仿宋简体"/>
          <w:bCs/>
          <w:kern w:val="1"/>
          <w:sz w:val="32"/>
          <w:szCs w:val="32"/>
        </w:rPr>
      </w:pPr>
      <w:r>
        <w:rPr>
          <w:rFonts w:hint="eastAsia" w:ascii="方正楷体_GBK" w:hAnsi="方正楷体_GBK" w:eastAsia="方正楷体_GBK" w:cs="方正楷体_GBK"/>
          <w:bCs/>
          <w:kern w:val="1"/>
          <w:sz w:val="32"/>
          <w:szCs w:val="32"/>
        </w:rPr>
        <w:t>（一）</w:t>
      </w:r>
      <w:r>
        <w:rPr>
          <w:rFonts w:hint="eastAsia" w:ascii="方正仿宋简体" w:hAnsi="方正仿宋简体" w:eastAsia="方正仿宋简体" w:cs="方正仿宋简体"/>
          <w:bCs/>
          <w:kern w:val="1"/>
          <w:sz w:val="32"/>
          <w:szCs w:val="32"/>
        </w:rPr>
        <w:t>开标</w:t>
      </w:r>
    </w:p>
    <w:p w14:paraId="7485B5BC">
      <w:pPr>
        <w:keepNext w:val="0"/>
        <w:keepLines w:val="0"/>
        <w:pageBreakBefore w:val="0"/>
        <w:widowControl w:val="0"/>
        <w:kinsoku/>
        <w:overflowPunct/>
        <w:topLinePunct w:val="0"/>
        <w:autoSpaceDE/>
        <w:autoSpaceDN/>
        <w:bidi w:val="0"/>
        <w:adjustRightInd w:val="0"/>
        <w:snapToGrid w:val="0"/>
        <w:spacing w:line="600" w:lineRule="exact"/>
        <w:ind w:firstLine="640" w:firstLineChars="200"/>
        <w:jc w:val="left"/>
        <w:textAlignment w:val="auto"/>
        <w:rPr>
          <w:rFonts w:ascii="方正仿宋简体" w:hAnsi="方正仿宋简体" w:eastAsia="方正仿宋简体" w:cs="方正仿宋简体"/>
          <w:bCs/>
          <w:kern w:val="1"/>
          <w:sz w:val="32"/>
          <w:szCs w:val="32"/>
        </w:rPr>
      </w:pPr>
      <w:r>
        <w:rPr>
          <w:rFonts w:hint="eastAsia" w:ascii="方正仿宋简体" w:hAnsi="方正仿宋简体" w:eastAsia="方正仿宋简体" w:cs="方正仿宋简体"/>
          <w:bCs/>
          <w:kern w:val="1"/>
          <w:sz w:val="32"/>
          <w:szCs w:val="32"/>
        </w:rPr>
        <w:t>本项目由招标人组织评标小组负责开标工作，对各投标人报价进行评标，确定最终中标人。</w:t>
      </w:r>
    </w:p>
    <w:p w14:paraId="160B170B">
      <w:pPr>
        <w:keepNext w:val="0"/>
        <w:keepLines w:val="0"/>
        <w:pageBreakBefore w:val="0"/>
        <w:widowControl w:val="0"/>
        <w:kinsoku/>
        <w:overflowPunct/>
        <w:topLinePunct w:val="0"/>
        <w:autoSpaceDE/>
        <w:autoSpaceDN/>
        <w:bidi w:val="0"/>
        <w:adjustRightInd w:val="0"/>
        <w:snapToGrid w:val="0"/>
        <w:spacing w:line="600" w:lineRule="exact"/>
        <w:ind w:firstLine="640" w:firstLineChars="200"/>
        <w:jc w:val="left"/>
        <w:textAlignment w:val="auto"/>
        <w:rPr>
          <w:rFonts w:ascii="方正仿宋简体" w:hAnsi="方正仿宋简体" w:eastAsia="方正仿宋简体" w:cs="方正仿宋简体"/>
          <w:bCs/>
          <w:kern w:val="1"/>
          <w:sz w:val="32"/>
          <w:szCs w:val="32"/>
        </w:rPr>
      </w:pPr>
      <w:r>
        <w:rPr>
          <w:rFonts w:hint="eastAsia" w:ascii="方正仿宋简体" w:hAnsi="方正仿宋简体" w:eastAsia="方正仿宋简体" w:cs="方正仿宋简体"/>
          <w:bCs/>
          <w:kern w:val="1"/>
          <w:sz w:val="32"/>
          <w:szCs w:val="32"/>
        </w:rPr>
        <w:t>1.请各投标人保持通讯畅通，便于</w:t>
      </w:r>
      <w:r>
        <w:rPr>
          <w:rFonts w:hint="eastAsia" w:ascii="方正仿宋简体" w:hAnsi="方正仿宋简体" w:eastAsia="方正仿宋简体" w:cs="方正仿宋简体"/>
          <w:kern w:val="1"/>
          <w:sz w:val="32"/>
          <w:szCs w:val="32"/>
        </w:rPr>
        <w:t>评标小组在开标现场电话联系</w:t>
      </w:r>
      <w:r>
        <w:rPr>
          <w:rFonts w:hint="eastAsia" w:ascii="方正仿宋简体" w:hAnsi="方正仿宋简体" w:eastAsia="方正仿宋简体" w:cs="方正仿宋简体"/>
          <w:bCs/>
          <w:kern w:val="1"/>
          <w:sz w:val="32"/>
          <w:szCs w:val="32"/>
        </w:rPr>
        <w:t>。</w:t>
      </w:r>
      <w:r>
        <w:rPr>
          <w:rFonts w:hint="eastAsia" w:ascii="方正仿宋简体" w:hAnsi="方正仿宋简体" w:eastAsia="方正仿宋简体" w:cs="方正仿宋简体"/>
          <w:sz w:val="32"/>
          <w:szCs w:val="32"/>
        </w:rPr>
        <w:t>确认标书中的相关信息，投标人必须及时回复开标过程中招标人提出的问题，合理解释投标文件与招标文件的偏离。如评标小组开标现场10分钟内电话联系不上投标人，且投标文件与招标文件的偏离影响定标结果，则视为投标人主动放弃本项目投标，开标结束后不再接受投标人的任何解释。</w:t>
      </w:r>
    </w:p>
    <w:p w14:paraId="3CA461BF">
      <w:pPr>
        <w:pStyle w:val="7"/>
        <w:keepNext w:val="0"/>
        <w:keepLines w:val="0"/>
        <w:pageBreakBefore w:val="0"/>
        <w:widowControl w:val="0"/>
        <w:kinsoku/>
        <w:overflowPunct/>
        <w:topLinePunct w:val="0"/>
        <w:autoSpaceDE/>
        <w:autoSpaceDN/>
        <w:bidi w:val="0"/>
        <w:spacing w:after="0" w:line="600" w:lineRule="exact"/>
        <w:ind w:firstLine="640" w:firstLineChars="200"/>
        <w:textAlignment w:val="auto"/>
        <w:rPr>
          <w:rFonts w:ascii="方正仿宋简体" w:hAnsi="方正仿宋简体" w:eastAsia="方正仿宋简体" w:cs="方正仿宋简体"/>
          <w:sz w:val="32"/>
          <w:szCs w:val="32"/>
        </w:rPr>
      </w:pPr>
      <w:r>
        <w:rPr>
          <w:rFonts w:hint="eastAsia" w:ascii="方正仿宋简体" w:hAnsi="方正仿宋简体" w:eastAsia="方正仿宋简体" w:cs="方正仿宋简体"/>
          <w:bCs/>
          <w:kern w:val="1"/>
          <w:sz w:val="32"/>
          <w:szCs w:val="32"/>
        </w:rPr>
        <w:t xml:space="preserve">2.评标小组不得泄露各投标人的报价。   </w:t>
      </w:r>
    </w:p>
    <w:p w14:paraId="15D861DA">
      <w:pPr>
        <w:keepNext w:val="0"/>
        <w:keepLines w:val="0"/>
        <w:pageBreakBefore w:val="0"/>
        <w:widowControl w:val="0"/>
        <w:kinsoku/>
        <w:overflowPunct/>
        <w:topLinePunct w:val="0"/>
        <w:autoSpaceDE/>
        <w:autoSpaceDN/>
        <w:bidi w:val="0"/>
        <w:spacing w:line="600" w:lineRule="exact"/>
        <w:ind w:firstLine="640" w:firstLineChars="200"/>
        <w:jc w:val="left"/>
        <w:textAlignment w:val="auto"/>
        <w:rPr>
          <w:rFonts w:ascii="方正仿宋简体" w:hAnsi="方正仿宋简体" w:eastAsia="方正仿宋简体" w:cs="方正仿宋简体"/>
          <w:sz w:val="32"/>
          <w:szCs w:val="32"/>
        </w:rPr>
      </w:pPr>
      <w:r>
        <w:rPr>
          <w:rFonts w:hint="eastAsia" w:ascii="方正楷体_GBK" w:hAnsi="方正楷体_GBK" w:eastAsia="方正楷体_GBK" w:cs="方正楷体_GBK"/>
          <w:bCs/>
          <w:kern w:val="1"/>
          <w:sz w:val="32"/>
          <w:szCs w:val="32"/>
        </w:rPr>
        <w:t>（二）</w:t>
      </w:r>
      <w:r>
        <w:rPr>
          <w:rFonts w:hint="eastAsia" w:ascii="方正仿宋简体" w:hAnsi="方正仿宋简体" w:eastAsia="方正仿宋简体" w:cs="方正仿宋简体"/>
          <w:bCs/>
          <w:kern w:val="1"/>
          <w:sz w:val="32"/>
          <w:szCs w:val="32"/>
        </w:rPr>
        <w:t>评标</w:t>
      </w:r>
    </w:p>
    <w:p w14:paraId="4457FC99">
      <w:pPr>
        <w:keepNext w:val="0"/>
        <w:keepLines w:val="0"/>
        <w:pageBreakBefore w:val="0"/>
        <w:widowControl w:val="0"/>
        <w:kinsoku/>
        <w:overflowPunct/>
        <w:topLinePunct w:val="0"/>
        <w:autoSpaceDE/>
        <w:autoSpaceDN/>
        <w:bidi w:val="0"/>
        <w:spacing w:line="600" w:lineRule="exact"/>
        <w:ind w:firstLine="640" w:firstLineChars="200"/>
        <w:jc w:val="left"/>
        <w:textAlignment w:val="auto"/>
        <w:rPr>
          <w:rFonts w:ascii="方正仿宋简体" w:hAnsi="方正仿宋简体" w:eastAsia="方正仿宋简体" w:cs="方正仿宋简体"/>
          <w:bCs/>
          <w:kern w:val="1"/>
          <w:sz w:val="32"/>
          <w:szCs w:val="32"/>
          <w:highlight w:val="none"/>
        </w:rPr>
      </w:pPr>
      <w:r>
        <w:rPr>
          <w:rFonts w:hint="eastAsia" w:ascii="方正仿宋简体" w:hAnsi="方正仿宋简体" w:eastAsia="方正仿宋简体" w:cs="方正仿宋简体"/>
          <w:bCs/>
          <w:kern w:val="1"/>
          <w:sz w:val="32"/>
          <w:szCs w:val="32"/>
          <w:highlight w:val="none"/>
        </w:rPr>
        <w:t>1.综合</w:t>
      </w:r>
    </w:p>
    <w:p w14:paraId="4C74BBDC">
      <w:pPr>
        <w:keepNext w:val="0"/>
        <w:keepLines w:val="0"/>
        <w:pageBreakBefore w:val="0"/>
        <w:widowControl w:val="0"/>
        <w:kinsoku/>
        <w:overflowPunct/>
        <w:topLinePunct w:val="0"/>
        <w:autoSpaceDE/>
        <w:autoSpaceDN/>
        <w:bidi w:val="0"/>
        <w:spacing w:line="600" w:lineRule="exact"/>
        <w:ind w:firstLine="640" w:firstLineChars="200"/>
        <w:jc w:val="left"/>
        <w:textAlignment w:val="auto"/>
        <w:rPr>
          <w:rFonts w:ascii="方正仿宋简体" w:hAnsi="方正仿宋简体" w:eastAsia="方正仿宋简体" w:cs="方正仿宋简体"/>
          <w:bCs/>
          <w:kern w:val="1"/>
          <w:sz w:val="32"/>
          <w:szCs w:val="32"/>
        </w:rPr>
      </w:pPr>
      <w:r>
        <w:rPr>
          <w:rFonts w:hint="eastAsia" w:ascii="方正仿宋简体" w:hAnsi="方正仿宋简体" w:eastAsia="方正仿宋简体" w:cs="方正仿宋简体"/>
          <w:bCs/>
          <w:kern w:val="1"/>
          <w:sz w:val="32"/>
          <w:szCs w:val="32"/>
          <w:highlight w:val="none"/>
        </w:rPr>
        <w:t>采取综合评审方法进行打分，具体按价格得分、技术得分、商务得分（得分比例根据货物内容确定）三个方面进行评审，并按综合得分由高到低顺序推选一名中标候选人。</w:t>
      </w:r>
    </w:p>
    <w:p w14:paraId="1FD68EC2">
      <w:pPr>
        <w:keepNext w:val="0"/>
        <w:keepLines w:val="0"/>
        <w:pageBreakBefore w:val="0"/>
        <w:widowControl w:val="0"/>
        <w:kinsoku/>
        <w:overflowPunct/>
        <w:topLinePunct w:val="0"/>
        <w:autoSpaceDE/>
        <w:autoSpaceDN/>
        <w:bidi w:val="0"/>
        <w:spacing w:line="600" w:lineRule="exact"/>
        <w:ind w:firstLine="640" w:firstLineChars="200"/>
        <w:jc w:val="left"/>
        <w:textAlignment w:val="auto"/>
        <w:rPr>
          <w:rFonts w:ascii="方正仿宋简体" w:hAnsi="方正仿宋简体" w:eastAsia="方正仿宋简体" w:cs="方正仿宋简体"/>
          <w:bCs/>
          <w:kern w:val="1"/>
          <w:sz w:val="32"/>
          <w:szCs w:val="32"/>
          <w:highlight w:val="none"/>
        </w:rPr>
      </w:pPr>
      <w:r>
        <w:rPr>
          <w:rFonts w:hint="eastAsia" w:ascii="方正仿宋简体" w:hAnsi="方正仿宋简体" w:eastAsia="方正仿宋简体" w:cs="方正仿宋简体"/>
          <w:bCs/>
          <w:kern w:val="1"/>
          <w:sz w:val="32"/>
          <w:szCs w:val="32"/>
          <w:highlight w:val="none"/>
        </w:rPr>
        <w:t>2.通用</w:t>
      </w:r>
      <w:r>
        <w:rPr>
          <w:rFonts w:hint="eastAsia" w:ascii="方正仿宋简体" w:hAnsi="方正仿宋简体" w:eastAsia="方正仿宋简体" w:cs="方正仿宋简体"/>
          <w:sz w:val="32"/>
          <w:szCs w:val="32"/>
          <w:highlight w:val="none"/>
        </w:rPr>
        <w:t>（</w:t>
      </w:r>
      <w:r>
        <w:rPr>
          <w:rFonts w:hint="eastAsia" w:ascii="方正仿宋简体" w:hAnsi="方正仿宋简体" w:eastAsia="方正仿宋简体" w:cs="方正仿宋简体"/>
          <w:color w:val="FF0000"/>
          <w:sz w:val="32"/>
          <w:szCs w:val="32"/>
          <w:highlight w:val="none"/>
        </w:rPr>
        <w:t>本次采用该种评标方式</w:t>
      </w:r>
      <w:r>
        <w:rPr>
          <w:rFonts w:hint="eastAsia" w:ascii="方正仿宋简体" w:hAnsi="方正仿宋简体" w:eastAsia="方正仿宋简体" w:cs="方正仿宋简体"/>
          <w:sz w:val="32"/>
          <w:szCs w:val="32"/>
          <w:highlight w:val="none"/>
        </w:rPr>
        <w:t>）</w:t>
      </w:r>
    </w:p>
    <w:p w14:paraId="2B387E3B">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rPr>
          <w:rFonts w:ascii="方正仿宋简体" w:hAnsi="方正仿宋简体" w:eastAsia="方正仿宋简体" w:cs="方正仿宋简体"/>
          <w:bCs/>
          <w:kern w:val="1"/>
          <w:sz w:val="32"/>
          <w:szCs w:val="32"/>
        </w:rPr>
      </w:pPr>
      <w:r>
        <w:rPr>
          <w:rFonts w:hint="eastAsia" w:ascii="方正仿宋简体" w:hAnsi="方正仿宋简体" w:eastAsia="方正仿宋简体" w:cs="方正仿宋简体"/>
          <w:bCs/>
          <w:kern w:val="1"/>
          <w:sz w:val="32"/>
          <w:szCs w:val="32"/>
        </w:rPr>
        <w:t>在能够满足招标人技术要求及</w:t>
      </w:r>
      <w:r>
        <w:rPr>
          <w:rFonts w:hint="eastAsia" w:ascii="方正仿宋简体" w:hAnsi="方正仿宋简体" w:eastAsia="方正仿宋简体" w:cs="方正仿宋简体"/>
          <w:bCs/>
          <w:kern w:val="1"/>
          <w:sz w:val="32"/>
          <w:szCs w:val="32"/>
          <w:lang w:eastAsia="zh-CN"/>
        </w:rPr>
        <w:t>施工</w:t>
      </w:r>
      <w:r>
        <w:rPr>
          <w:rFonts w:hint="eastAsia" w:ascii="方正仿宋简体" w:hAnsi="方正仿宋简体" w:eastAsia="方正仿宋简体" w:cs="方正仿宋简体"/>
          <w:bCs/>
          <w:kern w:val="1"/>
          <w:sz w:val="32"/>
          <w:szCs w:val="32"/>
        </w:rPr>
        <w:t>期要求的投标人中选择总投标价最低的一家投</w:t>
      </w:r>
      <w:r>
        <w:rPr>
          <w:rFonts w:hint="eastAsia" w:ascii="方正仿宋简体" w:hAnsi="方正仿宋简体" w:eastAsia="方正仿宋简体" w:cs="方正仿宋简体"/>
          <w:bCs/>
          <w:kern w:val="1"/>
          <w:sz w:val="32"/>
          <w:szCs w:val="32"/>
          <w:highlight w:val="none"/>
        </w:rPr>
        <w:t>标人作为中标候选人。</w:t>
      </w:r>
      <w:r>
        <w:rPr>
          <w:rFonts w:hint="eastAsia" w:ascii="方正仿宋简体" w:hAnsi="方正仿宋简体" w:eastAsia="方正仿宋简体" w:cs="方正仿宋简体"/>
          <w:bCs/>
          <w:kern w:val="1"/>
          <w:sz w:val="32"/>
          <w:szCs w:val="32"/>
          <w:highlight w:val="none"/>
          <w:lang w:eastAsia="zh-CN"/>
        </w:rPr>
        <w:t>开标中出现两家或多家单位价格一致且同时属于最低价时，优先考虑与我司长期合作的单位。</w:t>
      </w:r>
    </w:p>
    <w:p w14:paraId="36C804FE">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jc w:val="left"/>
        <w:textAlignment w:val="auto"/>
        <w:rPr>
          <w:rFonts w:ascii="方正仿宋简体" w:hAnsi="方正仿宋简体" w:eastAsia="方正仿宋简体" w:cs="方正仿宋简体"/>
          <w:bCs/>
          <w:kern w:val="1"/>
          <w:sz w:val="32"/>
          <w:szCs w:val="32"/>
        </w:rPr>
      </w:pPr>
      <w:r>
        <w:rPr>
          <w:rFonts w:hint="eastAsia" w:ascii="方正楷体_GBK" w:hAnsi="方正楷体_GBK" w:eastAsia="方正楷体_GBK" w:cs="方正楷体_GBK"/>
          <w:bCs/>
          <w:kern w:val="1"/>
          <w:sz w:val="32"/>
          <w:szCs w:val="32"/>
        </w:rPr>
        <w:t>（三）</w:t>
      </w:r>
      <w:r>
        <w:rPr>
          <w:rFonts w:hint="eastAsia" w:ascii="方正仿宋简体" w:hAnsi="方正仿宋简体" w:eastAsia="方正仿宋简体" w:cs="方正仿宋简体"/>
          <w:bCs/>
          <w:kern w:val="1"/>
          <w:sz w:val="32"/>
          <w:szCs w:val="32"/>
        </w:rPr>
        <w:t>废标</w:t>
      </w:r>
    </w:p>
    <w:p w14:paraId="45F26345">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jc w:val="left"/>
        <w:textAlignment w:val="auto"/>
        <w:rPr>
          <w:rFonts w:ascii="方正仿宋简体" w:hAnsi="方正仿宋简体" w:eastAsia="方正仿宋简体" w:cs="方正仿宋简体"/>
          <w:bCs/>
          <w:kern w:val="1"/>
          <w:sz w:val="32"/>
          <w:szCs w:val="32"/>
        </w:rPr>
      </w:pPr>
      <w:r>
        <w:rPr>
          <w:rFonts w:hint="eastAsia" w:ascii="方正仿宋简体" w:hAnsi="方正仿宋简体" w:eastAsia="方正仿宋简体" w:cs="方正仿宋简体"/>
          <w:bCs/>
          <w:kern w:val="1"/>
          <w:sz w:val="32"/>
          <w:szCs w:val="32"/>
        </w:rPr>
        <w:t>1.招标人如发现招标过程中有串标、陪标等扰乱招标人经营秩序的恶劣情况，经招标人评标小组评定可作废标处理，并可将相关投标方列入供应商负面清单，一年内不再接受参与投标工作。</w:t>
      </w:r>
    </w:p>
    <w:p w14:paraId="1C5CBB48">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jc w:val="left"/>
        <w:textAlignment w:val="auto"/>
        <w:rPr>
          <w:rFonts w:hint="eastAsia" w:ascii="方正仿宋简体" w:hAnsi="方正仿宋简体" w:eastAsia="方正仿宋简体" w:cs="方正仿宋简体"/>
          <w:bCs/>
          <w:kern w:val="1"/>
          <w:sz w:val="32"/>
          <w:szCs w:val="32"/>
        </w:rPr>
      </w:pPr>
      <w:r>
        <w:rPr>
          <w:rFonts w:hint="eastAsia" w:ascii="方正仿宋简体" w:hAnsi="方正仿宋简体" w:eastAsia="方正楷体_GBK" w:cs="方正仿宋简体"/>
          <w:bCs/>
          <w:kern w:val="1"/>
          <w:sz w:val="32"/>
          <w:szCs w:val="32"/>
        </w:rPr>
        <w:t>2.</w:t>
      </w:r>
      <w:r>
        <w:rPr>
          <w:rFonts w:hint="eastAsia" w:ascii="方正仿宋简体" w:hAnsi="方正仿宋简体" w:eastAsia="方正仿宋简体" w:cs="方正仿宋简体"/>
          <w:bCs/>
          <w:kern w:val="1"/>
          <w:sz w:val="32"/>
          <w:szCs w:val="32"/>
        </w:rPr>
        <w:t>凡投标人不具备</w:t>
      </w:r>
      <w:r>
        <w:rPr>
          <w:rFonts w:hint="eastAsia" w:ascii="方正仿宋简体" w:hAnsi="方正仿宋简体" w:eastAsia="方正仿宋简体" w:cs="方正仿宋简体"/>
          <w:bCs/>
          <w:color w:val="FF0000"/>
          <w:kern w:val="1"/>
          <w:sz w:val="32"/>
          <w:szCs w:val="32"/>
        </w:rPr>
        <w:t>招标人明确要求资质的</w:t>
      </w:r>
      <w:r>
        <w:rPr>
          <w:rFonts w:hint="eastAsia" w:ascii="方正仿宋简体" w:hAnsi="方正仿宋简体" w:eastAsia="方正仿宋简体" w:cs="方正仿宋简体"/>
          <w:bCs/>
          <w:kern w:val="1"/>
          <w:sz w:val="32"/>
          <w:szCs w:val="32"/>
        </w:rPr>
        <w:t>，或投标文件填写不完整、报价有空项的，或不符合技术要求条款的，或者存在其他不符合招标人有关要求的问题，经招标人评标小组评定，可作</w:t>
      </w:r>
      <w:r>
        <w:rPr>
          <w:rFonts w:hint="eastAsia" w:ascii="方正仿宋简体" w:hAnsi="方正仿宋简体" w:eastAsia="方正仿宋简体" w:cs="方正仿宋简体"/>
          <w:b/>
          <w:bCs/>
          <w:color w:val="FF0000"/>
          <w:kern w:val="1"/>
          <w:sz w:val="32"/>
          <w:szCs w:val="32"/>
        </w:rPr>
        <w:t>废标</w:t>
      </w:r>
      <w:r>
        <w:rPr>
          <w:rFonts w:hint="eastAsia" w:ascii="方正仿宋简体" w:hAnsi="方正仿宋简体" w:eastAsia="方正仿宋简体" w:cs="方正仿宋简体"/>
          <w:bCs/>
          <w:kern w:val="1"/>
          <w:sz w:val="32"/>
          <w:szCs w:val="32"/>
        </w:rPr>
        <w:t>处理。</w:t>
      </w:r>
    </w:p>
    <w:p w14:paraId="35E2710A">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jc w:val="left"/>
        <w:textAlignment w:val="auto"/>
        <w:rPr>
          <w:rFonts w:hint="default" w:ascii="方正仿宋简体" w:hAnsi="方正仿宋简体" w:eastAsia="方正仿宋简体" w:cs="方正仿宋简体"/>
          <w:bCs/>
          <w:color w:val="0000FF"/>
          <w:kern w:val="1"/>
          <w:sz w:val="32"/>
          <w:szCs w:val="32"/>
          <w:highlight w:val="none"/>
          <w:lang w:val="en-US" w:eastAsia="zh-CN"/>
        </w:rPr>
      </w:pPr>
      <w:r>
        <w:rPr>
          <w:rFonts w:hint="eastAsia" w:ascii="方正仿宋简体" w:hAnsi="方正仿宋简体" w:eastAsia="方正仿宋简体" w:cs="方正仿宋简体"/>
          <w:bCs/>
          <w:color w:val="auto"/>
          <w:kern w:val="1"/>
          <w:sz w:val="32"/>
          <w:szCs w:val="32"/>
          <w:highlight w:val="none"/>
          <w:lang w:val="en-US" w:eastAsia="zh-CN"/>
        </w:rPr>
        <w:t>3.</w:t>
      </w:r>
      <w:r>
        <w:rPr>
          <w:rFonts w:hint="eastAsia" w:ascii="方正仿宋简体" w:hAnsi="方正仿宋简体" w:eastAsia="方正仿宋简体" w:cs="方正仿宋简体"/>
          <w:bCs/>
          <w:color w:val="auto"/>
          <w:kern w:val="1"/>
          <w:sz w:val="32"/>
          <w:szCs w:val="32"/>
          <w:highlight w:val="none"/>
        </w:rPr>
        <w:t>投标人应如实提供符合市场规律和自身成本的合理报价。如果投标人的报价与市场价格明显偏离并因此影响了招标活动的公正合理性，损害了招标人的正当利益，经招标人评标小组评定，可作废标处理。</w:t>
      </w:r>
    </w:p>
    <w:p w14:paraId="37C882F4">
      <w:pPr>
        <w:pStyle w:val="8"/>
        <w:keepNext w:val="0"/>
        <w:keepLines w:val="0"/>
        <w:pageBreakBefore w:val="0"/>
        <w:widowControl w:val="0"/>
        <w:kinsoku/>
        <w:overflowPunct/>
        <w:topLinePunct w:val="0"/>
        <w:autoSpaceDE/>
        <w:autoSpaceDN/>
        <w:bidi w:val="0"/>
        <w:spacing w:line="600" w:lineRule="exact"/>
        <w:ind w:firstLine="643" w:firstLineChars="200"/>
        <w:textAlignment w:val="auto"/>
        <w:rPr>
          <w:rFonts w:ascii="方正仿宋简体" w:hAnsi="方正仿宋简体" w:eastAsia="方正仿宋简体" w:cs="方正仿宋简体"/>
          <w:bCs/>
          <w:color w:val="FF0000"/>
          <w:kern w:val="1"/>
          <w:sz w:val="32"/>
          <w:szCs w:val="32"/>
          <w:highlight w:val="green"/>
        </w:rPr>
      </w:pPr>
      <w:r>
        <w:rPr>
          <w:rFonts w:hint="eastAsia" w:ascii="方正黑体_GBK" w:hAnsi="方正黑体_GBK" w:eastAsia="方正黑体_GBK" w:cs="方正黑体_GBK"/>
          <w:b/>
          <w:kern w:val="1"/>
          <w:sz w:val="32"/>
          <w:szCs w:val="32"/>
        </w:rPr>
        <w:t xml:space="preserve"> 六、其他注意事项：</w:t>
      </w:r>
      <w:r>
        <w:rPr>
          <w:rFonts w:ascii="方正仿宋简体" w:hAnsi="方正仿宋简体" w:eastAsia="方正仿宋简体" w:cs="方正仿宋简体"/>
          <w:bCs/>
          <w:color w:val="FF0000"/>
          <w:kern w:val="1"/>
          <w:sz w:val="32"/>
          <w:szCs w:val="32"/>
        </w:rPr>
        <w:t xml:space="preserve"> </w:t>
      </w:r>
    </w:p>
    <w:p w14:paraId="614B4F19">
      <w:pPr>
        <w:keepNext w:val="0"/>
        <w:keepLines w:val="0"/>
        <w:pageBreakBefore w:val="0"/>
        <w:widowControl w:val="0"/>
        <w:kinsoku/>
        <w:overflowPunct/>
        <w:topLinePunct w:val="0"/>
        <w:autoSpaceDE/>
        <w:autoSpaceDN/>
        <w:bidi w:val="0"/>
        <w:adjustRightInd w:val="0"/>
        <w:snapToGrid w:val="0"/>
        <w:spacing w:line="600" w:lineRule="exact"/>
        <w:ind w:firstLine="640" w:firstLineChars="200"/>
        <w:jc w:val="left"/>
        <w:textAlignment w:val="auto"/>
        <w:rPr>
          <w:rFonts w:hint="eastAsia" w:ascii="方正仿宋简体" w:hAnsi="方正仿宋简体" w:eastAsia="方正仿宋简体" w:cs="方正仿宋简体"/>
          <w:bCs/>
          <w:kern w:val="1"/>
          <w:sz w:val="32"/>
          <w:szCs w:val="32"/>
        </w:rPr>
      </w:pPr>
      <w:r>
        <w:rPr>
          <w:rFonts w:hint="eastAsia" w:ascii="方正楷体_GBK" w:hAnsi="方正楷体_GBK" w:eastAsia="方正楷体_GBK" w:cs="方正楷体_GBK"/>
          <w:bCs/>
          <w:kern w:val="1"/>
          <w:sz w:val="32"/>
          <w:szCs w:val="32"/>
        </w:rPr>
        <w:t>（一）</w:t>
      </w:r>
      <w:r>
        <w:rPr>
          <w:rFonts w:hint="eastAsia" w:ascii="方正仿宋简体" w:hAnsi="方正仿宋简体" w:eastAsia="方正仿宋简体" w:cs="方正仿宋简体"/>
          <w:bCs/>
          <w:kern w:val="1"/>
          <w:sz w:val="32"/>
          <w:szCs w:val="32"/>
        </w:rPr>
        <w:t>未经招标人允许,投标人不得以任何方式将本项目分包给第三方，否则按本合同总价的10%作为违约金，同时招标人有权终止本合同。　　</w:t>
      </w:r>
    </w:p>
    <w:p w14:paraId="222D7243">
      <w:pPr>
        <w:keepNext w:val="0"/>
        <w:keepLines w:val="0"/>
        <w:pageBreakBefore w:val="0"/>
        <w:widowControl w:val="0"/>
        <w:kinsoku/>
        <w:overflowPunct/>
        <w:topLinePunct w:val="0"/>
        <w:autoSpaceDE/>
        <w:autoSpaceDN/>
        <w:bidi w:val="0"/>
        <w:adjustRightInd w:val="0"/>
        <w:snapToGrid w:val="0"/>
        <w:spacing w:line="600" w:lineRule="exact"/>
        <w:ind w:firstLine="640" w:firstLineChars="200"/>
        <w:jc w:val="left"/>
        <w:textAlignment w:val="auto"/>
        <w:rPr>
          <w:rFonts w:hint="eastAsia"/>
          <w:sz w:val="32"/>
          <w:szCs w:val="32"/>
        </w:rPr>
      </w:pPr>
      <w:r>
        <w:rPr>
          <w:rFonts w:hint="eastAsia" w:ascii="方正楷体_GBK" w:hAnsi="方正楷体_GBK" w:eastAsia="方正楷体_GBK" w:cs="方正楷体_GBK"/>
          <w:bCs/>
          <w:kern w:val="1"/>
          <w:sz w:val="32"/>
          <w:szCs w:val="32"/>
        </w:rPr>
        <w:t>（</w:t>
      </w:r>
      <w:r>
        <w:rPr>
          <w:rFonts w:hint="eastAsia" w:ascii="方正楷体_GBK" w:hAnsi="方正楷体_GBK" w:eastAsia="方正楷体_GBK" w:cs="方正楷体_GBK"/>
          <w:bCs/>
          <w:kern w:val="1"/>
          <w:sz w:val="32"/>
          <w:szCs w:val="32"/>
          <w:lang w:val="en-US" w:eastAsia="zh-CN"/>
        </w:rPr>
        <w:t>二</w:t>
      </w:r>
      <w:r>
        <w:rPr>
          <w:rFonts w:hint="eastAsia" w:ascii="方正楷体_GBK" w:hAnsi="方正楷体_GBK" w:eastAsia="方正楷体_GBK" w:cs="方正楷体_GBK"/>
          <w:bCs/>
          <w:kern w:val="1"/>
          <w:sz w:val="32"/>
          <w:szCs w:val="32"/>
        </w:rPr>
        <w:t>）</w:t>
      </w:r>
      <w:r>
        <w:rPr>
          <w:rFonts w:hint="eastAsia" w:ascii="方正仿宋简体" w:hAnsi="方正仿宋简体" w:eastAsia="方正仿宋简体" w:cs="方正仿宋简体"/>
          <w:bCs/>
          <w:kern w:val="1"/>
          <w:sz w:val="32"/>
          <w:szCs w:val="32"/>
        </w:rPr>
        <w:t>中标人中标以后应严格按照标书约定与招标方签定供需合同，并按合同约定做好物资供应和服务工作。对中标人所有违背标书及合同约定的行为，招标人均可持续保留与中标方中止合作的一切权利。</w:t>
      </w:r>
    </w:p>
    <w:p w14:paraId="5952DBBD">
      <w:pPr>
        <w:keepNext w:val="0"/>
        <w:keepLines w:val="0"/>
        <w:pageBreakBefore w:val="0"/>
        <w:widowControl w:val="0"/>
        <w:kinsoku/>
        <w:overflowPunct/>
        <w:topLinePunct w:val="0"/>
        <w:autoSpaceDE/>
        <w:autoSpaceDN/>
        <w:bidi w:val="0"/>
        <w:adjustRightInd w:val="0"/>
        <w:snapToGrid w:val="0"/>
        <w:spacing w:line="600" w:lineRule="exact"/>
        <w:ind w:firstLine="640" w:firstLineChars="200"/>
        <w:jc w:val="left"/>
        <w:textAlignment w:val="auto"/>
        <w:rPr>
          <w:rFonts w:hint="eastAsia" w:ascii="方正仿宋简体" w:hAnsi="方正仿宋简体" w:eastAsia="方正仿宋简体" w:cs="方正仿宋简体"/>
          <w:bCs/>
          <w:kern w:val="1"/>
          <w:sz w:val="32"/>
          <w:szCs w:val="32"/>
        </w:rPr>
      </w:pPr>
      <w:r>
        <w:rPr>
          <w:rFonts w:hint="eastAsia" w:ascii="方正楷体_GBK" w:hAnsi="方正楷体_GBK" w:eastAsia="方正楷体_GBK" w:cs="方正楷体_GBK"/>
          <w:bCs/>
          <w:kern w:val="1"/>
          <w:sz w:val="32"/>
          <w:szCs w:val="32"/>
        </w:rPr>
        <w:t>（</w:t>
      </w:r>
      <w:r>
        <w:rPr>
          <w:rFonts w:hint="eastAsia" w:ascii="方正楷体_GBK" w:hAnsi="方正楷体_GBK" w:eastAsia="方正楷体_GBK" w:cs="方正楷体_GBK"/>
          <w:bCs/>
          <w:kern w:val="1"/>
          <w:sz w:val="32"/>
          <w:szCs w:val="32"/>
          <w:lang w:val="en-US" w:eastAsia="zh-CN"/>
        </w:rPr>
        <w:t>三</w:t>
      </w:r>
      <w:r>
        <w:rPr>
          <w:rFonts w:hint="eastAsia" w:ascii="方正楷体_GBK" w:hAnsi="方正楷体_GBK" w:eastAsia="方正楷体_GBK" w:cs="方正楷体_GBK"/>
          <w:bCs/>
          <w:kern w:val="1"/>
          <w:sz w:val="32"/>
          <w:szCs w:val="32"/>
        </w:rPr>
        <w:t>）</w:t>
      </w:r>
      <w:r>
        <w:rPr>
          <w:rFonts w:hint="eastAsia" w:ascii="方正仿宋简体" w:hAnsi="方正仿宋简体" w:eastAsia="方正仿宋简体" w:cs="方正仿宋简体"/>
          <w:bCs/>
          <w:kern w:val="1"/>
          <w:sz w:val="32"/>
          <w:szCs w:val="32"/>
        </w:rPr>
        <w:t>对需检验的品种，经招标人检验部门检验合格后方能收货，否则做退、换货处理；长期合约的中标人如出现三次产品质量不合格的情况，视为中标人无能力保障产品质量，招标人有权终止此次招标合同的执行。</w:t>
      </w:r>
    </w:p>
    <w:p w14:paraId="19DEDFC1">
      <w:pPr>
        <w:keepNext w:val="0"/>
        <w:keepLines w:val="0"/>
        <w:pageBreakBefore w:val="0"/>
        <w:widowControl w:val="0"/>
        <w:kinsoku/>
        <w:overflowPunct/>
        <w:topLinePunct w:val="0"/>
        <w:autoSpaceDE/>
        <w:autoSpaceDN/>
        <w:bidi w:val="0"/>
        <w:adjustRightInd w:val="0"/>
        <w:snapToGrid w:val="0"/>
        <w:spacing w:line="600" w:lineRule="exact"/>
        <w:ind w:firstLine="640" w:firstLineChars="200"/>
        <w:jc w:val="left"/>
        <w:textAlignment w:val="auto"/>
        <w:rPr>
          <w:rFonts w:hint="eastAsia" w:ascii="方正仿宋简体" w:hAnsi="方正仿宋简体" w:eastAsia="方正仿宋简体" w:cs="方正仿宋简体"/>
          <w:bCs/>
          <w:kern w:val="1"/>
          <w:sz w:val="32"/>
          <w:szCs w:val="32"/>
        </w:rPr>
      </w:pPr>
      <w:r>
        <w:rPr>
          <w:rFonts w:hint="eastAsia" w:ascii="方正楷体_GBK" w:hAnsi="方正楷体_GBK" w:eastAsia="方正楷体_GBK" w:cs="方正楷体_GBK"/>
          <w:bCs/>
          <w:kern w:val="1"/>
          <w:sz w:val="32"/>
          <w:szCs w:val="32"/>
        </w:rPr>
        <w:t>（</w:t>
      </w:r>
      <w:r>
        <w:rPr>
          <w:rFonts w:hint="eastAsia" w:ascii="方正楷体_GBK" w:hAnsi="方正楷体_GBK" w:eastAsia="方正楷体_GBK" w:cs="方正楷体_GBK"/>
          <w:bCs/>
          <w:kern w:val="1"/>
          <w:sz w:val="32"/>
          <w:szCs w:val="32"/>
          <w:lang w:val="en-US" w:eastAsia="zh-CN"/>
        </w:rPr>
        <w:t>四</w:t>
      </w:r>
      <w:r>
        <w:rPr>
          <w:rFonts w:hint="eastAsia" w:ascii="方正楷体_GBK" w:hAnsi="方正楷体_GBK" w:eastAsia="方正楷体_GBK" w:cs="方正楷体_GBK"/>
          <w:bCs/>
          <w:kern w:val="1"/>
          <w:sz w:val="32"/>
          <w:szCs w:val="32"/>
        </w:rPr>
        <w:t>）</w:t>
      </w:r>
      <w:r>
        <w:rPr>
          <w:rFonts w:hint="eastAsia" w:ascii="方正仿宋简体" w:hAnsi="方正仿宋简体" w:eastAsia="方正仿宋简体" w:cs="方正仿宋简体"/>
          <w:bCs/>
          <w:kern w:val="1"/>
          <w:sz w:val="32"/>
          <w:szCs w:val="32"/>
        </w:rPr>
        <w:t>如因投标人不能正常履约，对招标人生产经营活动造成影响的，</w:t>
      </w:r>
      <w:r>
        <w:rPr>
          <w:rFonts w:hint="eastAsia" w:ascii="方正仿宋简体" w:hAnsi="方正仿宋简体" w:eastAsia="方正仿宋简体" w:cs="方正仿宋简体"/>
          <w:bCs/>
          <w:kern w:val="1"/>
          <w:sz w:val="32"/>
          <w:szCs w:val="32"/>
          <w:lang w:eastAsia="zh-CN"/>
        </w:rPr>
        <w:t>投标人除承担合同总价</w:t>
      </w:r>
      <w:r>
        <w:rPr>
          <w:rFonts w:hint="eastAsia" w:ascii="方正仿宋简体" w:hAnsi="方正仿宋简体" w:eastAsia="方正仿宋简体" w:cs="方正仿宋简体"/>
          <w:bCs/>
          <w:kern w:val="1"/>
          <w:sz w:val="32"/>
          <w:szCs w:val="32"/>
          <w:lang w:val="en-US" w:eastAsia="zh-CN"/>
        </w:rPr>
        <w:t>20%的违约金外，</w:t>
      </w:r>
      <w:r>
        <w:rPr>
          <w:rFonts w:hint="eastAsia" w:ascii="方正仿宋简体" w:hAnsi="方正仿宋简体" w:eastAsia="方正仿宋简体" w:cs="方正仿宋简体"/>
          <w:bCs/>
          <w:kern w:val="1"/>
          <w:sz w:val="32"/>
          <w:szCs w:val="32"/>
          <w:lang w:eastAsia="zh-CN"/>
        </w:rPr>
        <w:t>由此产生的营运损失由投标人另行承担</w:t>
      </w:r>
      <w:r>
        <w:rPr>
          <w:rFonts w:hint="eastAsia" w:ascii="方正仿宋简体" w:hAnsi="方正仿宋简体" w:eastAsia="方正仿宋简体" w:cs="方正仿宋简体"/>
          <w:bCs/>
          <w:kern w:val="1"/>
          <w:sz w:val="32"/>
          <w:szCs w:val="32"/>
        </w:rPr>
        <w:t>。</w:t>
      </w:r>
    </w:p>
    <w:p w14:paraId="2350A1DE">
      <w:pPr>
        <w:keepNext w:val="0"/>
        <w:keepLines w:val="0"/>
        <w:pageBreakBefore w:val="0"/>
        <w:widowControl w:val="0"/>
        <w:kinsoku/>
        <w:overflowPunct/>
        <w:topLinePunct w:val="0"/>
        <w:autoSpaceDE/>
        <w:autoSpaceDN/>
        <w:bidi w:val="0"/>
        <w:adjustRightInd w:val="0"/>
        <w:snapToGrid w:val="0"/>
        <w:spacing w:line="600" w:lineRule="exact"/>
        <w:ind w:firstLine="640" w:firstLineChars="200"/>
        <w:textAlignment w:val="auto"/>
        <w:rPr>
          <w:rFonts w:hint="eastAsia" w:ascii="方正仿宋简体" w:hAnsi="方正仿宋简体" w:eastAsia="方正仿宋简体" w:cs="方正仿宋简体"/>
          <w:bCs/>
          <w:kern w:val="1"/>
          <w:sz w:val="32"/>
          <w:szCs w:val="32"/>
        </w:rPr>
      </w:pPr>
      <w:r>
        <w:rPr>
          <w:rFonts w:hint="eastAsia" w:ascii="方正楷体_GBK" w:hAnsi="方正楷体_GBK" w:eastAsia="方正楷体_GBK" w:cs="方正楷体_GBK"/>
          <w:bCs/>
          <w:kern w:val="1"/>
          <w:sz w:val="32"/>
          <w:szCs w:val="32"/>
        </w:rPr>
        <w:t>（</w:t>
      </w:r>
      <w:r>
        <w:rPr>
          <w:rFonts w:hint="eastAsia" w:ascii="方正楷体_GBK" w:hAnsi="方正楷体_GBK" w:eastAsia="方正楷体_GBK" w:cs="方正楷体_GBK"/>
          <w:bCs/>
          <w:kern w:val="1"/>
          <w:sz w:val="32"/>
          <w:szCs w:val="32"/>
          <w:lang w:val="en-US" w:eastAsia="zh-CN"/>
        </w:rPr>
        <w:t>五</w:t>
      </w:r>
      <w:r>
        <w:rPr>
          <w:rFonts w:hint="eastAsia" w:ascii="方正楷体_GBK" w:hAnsi="方正楷体_GBK" w:eastAsia="方正楷体_GBK" w:cs="方正楷体_GBK"/>
          <w:bCs/>
          <w:kern w:val="1"/>
          <w:sz w:val="32"/>
          <w:szCs w:val="32"/>
        </w:rPr>
        <w:t>）</w:t>
      </w:r>
      <w:r>
        <w:rPr>
          <w:rFonts w:hint="eastAsia" w:ascii="方正仿宋简体" w:hAnsi="方正仿宋简体" w:eastAsia="方正仿宋简体" w:cs="方正仿宋简体"/>
          <w:bCs/>
          <w:kern w:val="1"/>
          <w:sz w:val="32"/>
          <w:szCs w:val="32"/>
        </w:rPr>
        <w:t>因投标人原因，工作不能按招标文件规定的期限完成，违约金从本项目款中扣除，每延迟一天按本项目款的1%计收违约金，违约金从本合同款中扣除，不足部分由投标人另行支付（如有异议请在报价时注明）。不能在规定的期限完成本项目，延期20日内（含20天），招标人有权解除合同，并按合同总额20%追究投标人违约责任（如有异议请在报价时注明）。</w:t>
      </w:r>
      <w:r>
        <w:rPr>
          <w:rFonts w:hint="eastAsia" w:ascii="方正仿宋简体" w:hAnsi="方正仿宋简体" w:eastAsia="方正仿宋简体" w:cs="方正仿宋简体"/>
          <w:bCs/>
          <w:kern w:val="1"/>
          <w:sz w:val="32"/>
          <w:szCs w:val="32"/>
          <w:lang w:eastAsia="zh-CN"/>
        </w:rPr>
        <w:t>因投标人违约给招标人造成的损失违约金不足以弥补的，由投标人另行补足。</w:t>
      </w:r>
    </w:p>
    <w:p w14:paraId="7566A13D">
      <w:pPr>
        <w:keepNext w:val="0"/>
        <w:keepLines w:val="0"/>
        <w:pageBreakBefore w:val="0"/>
        <w:widowControl w:val="0"/>
        <w:kinsoku/>
        <w:overflowPunct/>
        <w:topLinePunct w:val="0"/>
        <w:autoSpaceDE/>
        <w:autoSpaceDN/>
        <w:bidi w:val="0"/>
        <w:spacing w:line="600" w:lineRule="exact"/>
        <w:ind w:firstLine="640" w:firstLineChars="200"/>
        <w:textAlignment w:val="auto"/>
        <w:rPr>
          <w:rFonts w:hint="eastAsia" w:ascii="方正仿宋简体" w:hAnsi="方正仿宋简体" w:eastAsia="方正仿宋简体" w:cs="方正仿宋简体"/>
          <w:bCs/>
          <w:kern w:val="1"/>
          <w:sz w:val="32"/>
          <w:szCs w:val="32"/>
        </w:rPr>
      </w:pPr>
      <w:r>
        <w:rPr>
          <w:rFonts w:hint="eastAsia" w:ascii="方正楷体_GBK" w:hAnsi="方正楷体_GBK" w:eastAsia="方正楷体_GBK" w:cs="方正楷体_GBK"/>
          <w:bCs/>
          <w:kern w:val="1"/>
          <w:sz w:val="32"/>
          <w:szCs w:val="32"/>
        </w:rPr>
        <w:t>（</w:t>
      </w:r>
      <w:r>
        <w:rPr>
          <w:rFonts w:hint="eastAsia" w:ascii="方正楷体_GBK" w:hAnsi="方正楷体_GBK" w:eastAsia="方正楷体_GBK" w:cs="方正楷体_GBK"/>
          <w:bCs/>
          <w:kern w:val="1"/>
          <w:sz w:val="32"/>
          <w:szCs w:val="32"/>
          <w:lang w:val="en-US" w:eastAsia="zh-CN"/>
        </w:rPr>
        <w:t>六</w:t>
      </w:r>
      <w:r>
        <w:rPr>
          <w:rFonts w:hint="eastAsia" w:ascii="方正楷体_GBK" w:hAnsi="方正楷体_GBK" w:eastAsia="方正楷体_GBK" w:cs="方正楷体_GBK"/>
          <w:bCs/>
          <w:kern w:val="1"/>
          <w:sz w:val="32"/>
          <w:szCs w:val="32"/>
        </w:rPr>
        <w:t>）</w:t>
      </w:r>
      <w:r>
        <w:rPr>
          <w:rFonts w:hint="eastAsia" w:ascii="方正仿宋简体" w:hAnsi="方正仿宋简体" w:eastAsia="方正仿宋简体" w:cs="方正仿宋简体"/>
          <w:bCs/>
          <w:kern w:val="1"/>
          <w:sz w:val="32"/>
          <w:szCs w:val="32"/>
        </w:rPr>
        <w:t>投标人项目完成后，经验收不合格的，招标人可选择以下处理方式：</w:t>
      </w:r>
    </w:p>
    <w:p w14:paraId="26A33614">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方正仿宋简体" w:hAnsi="方正仿宋简体" w:eastAsia="方正仿宋简体" w:cs="方正仿宋简体"/>
          <w:bCs/>
          <w:kern w:val="1"/>
          <w:sz w:val="32"/>
          <w:szCs w:val="32"/>
          <w:lang w:eastAsia="zh-CN"/>
        </w:rPr>
      </w:pPr>
      <w:r>
        <w:rPr>
          <w:rFonts w:hint="eastAsia" w:ascii="方正仿宋简体" w:hAnsi="方正仿宋简体" w:eastAsia="方正仿宋简体" w:cs="方正仿宋简体"/>
          <w:bCs/>
          <w:kern w:val="1"/>
          <w:sz w:val="32"/>
          <w:szCs w:val="32"/>
          <w:lang w:val="en-US" w:eastAsia="zh-CN"/>
        </w:rPr>
        <w:t>1.</w:t>
      </w:r>
      <w:r>
        <w:rPr>
          <w:rFonts w:hint="eastAsia" w:ascii="方正仿宋简体" w:hAnsi="方正仿宋简体" w:eastAsia="方正仿宋简体" w:cs="方正仿宋简体"/>
          <w:bCs/>
          <w:kern w:val="1"/>
          <w:sz w:val="32"/>
          <w:szCs w:val="32"/>
        </w:rPr>
        <w:t>招标人选择重新维修的，重新维修过程中产生的费用由投标人全部承担，且需在招标人第一次验收不合格之日起1日内完成，逾期未完成的，违约责任参照（</w:t>
      </w:r>
      <w:r>
        <w:rPr>
          <w:rFonts w:hint="eastAsia" w:ascii="方正仿宋简体" w:hAnsi="方正仿宋简体" w:eastAsia="方正仿宋简体" w:cs="方正仿宋简体"/>
          <w:bCs/>
          <w:kern w:val="1"/>
          <w:sz w:val="32"/>
          <w:szCs w:val="32"/>
          <w:highlight w:val="none"/>
          <w:lang w:val="en-US" w:eastAsia="zh-CN"/>
        </w:rPr>
        <w:t>五</w:t>
      </w:r>
      <w:r>
        <w:rPr>
          <w:rFonts w:hint="eastAsia" w:ascii="方正仿宋简体" w:hAnsi="方正仿宋简体" w:eastAsia="方正仿宋简体" w:cs="方正仿宋简体"/>
          <w:bCs/>
          <w:kern w:val="1"/>
          <w:sz w:val="32"/>
          <w:szCs w:val="32"/>
        </w:rPr>
        <w:t>）执行。如果出现两次验收不合格的情况，招标人有权解除合同，并有权要求投标人赔偿合同总价款的20%违约金给招标人（如有异议请在报价时注明）。</w:t>
      </w:r>
      <w:r>
        <w:rPr>
          <w:rFonts w:hint="eastAsia" w:ascii="方正仿宋简体" w:hAnsi="方正仿宋简体" w:eastAsia="方正仿宋简体" w:cs="方正仿宋简体"/>
          <w:bCs/>
          <w:kern w:val="1"/>
          <w:sz w:val="32"/>
          <w:szCs w:val="32"/>
          <w:lang w:eastAsia="zh-CN"/>
        </w:rPr>
        <w:t>投标人造成的损失违约金不足以弥补的，由投标人另行补足。</w:t>
      </w:r>
    </w:p>
    <w:p w14:paraId="22ADFA91">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方正仿宋简体" w:hAnsi="方正仿宋简体" w:eastAsia="方正仿宋简体" w:cs="方正仿宋简体"/>
          <w:bCs/>
          <w:kern w:val="1"/>
          <w:sz w:val="32"/>
          <w:szCs w:val="32"/>
        </w:rPr>
      </w:pPr>
      <w:r>
        <w:rPr>
          <w:rFonts w:hint="eastAsia" w:ascii="方正仿宋简体" w:hAnsi="方正仿宋简体" w:eastAsia="方正仿宋简体" w:cs="方正仿宋简体"/>
          <w:bCs/>
          <w:kern w:val="1"/>
          <w:sz w:val="32"/>
          <w:szCs w:val="32"/>
          <w:lang w:val="en-US" w:eastAsia="zh-CN"/>
        </w:rPr>
        <w:t>2.</w:t>
      </w:r>
      <w:r>
        <w:rPr>
          <w:rFonts w:hint="eastAsia" w:ascii="方正仿宋简体" w:hAnsi="方正仿宋简体" w:eastAsia="方正仿宋简体" w:cs="方正仿宋简体"/>
          <w:bCs/>
          <w:kern w:val="1"/>
          <w:sz w:val="32"/>
          <w:szCs w:val="32"/>
        </w:rPr>
        <w:t>招标人选择解除合同的，投标人需无条件返还本项目招标人提供的所有物品，并按招标人要求的时间运输至招标人指定地点，招标人有权要求投标人赔偿合同总价款的20%违约金给招标人（如有异议请在报价时注明）。</w:t>
      </w:r>
    </w:p>
    <w:p w14:paraId="047BA2A3">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方正仿宋简体" w:hAnsi="方正仿宋简体" w:eastAsia="方正仿宋简体" w:cs="方正仿宋简体"/>
          <w:bCs/>
          <w:kern w:val="1"/>
          <w:sz w:val="32"/>
          <w:szCs w:val="32"/>
        </w:rPr>
      </w:pPr>
      <w:r>
        <w:rPr>
          <w:rFonts w:hint="eastAsia" w:ascii="方正仿宋简体" w:hAnsi="方正仿宋简体" w:eastAsia="方正仿宋简体" w:cs="方正仿宋简体"/>
          <w:bCs/>
          <w:kern w:val="1"/>
          <w:sz w:val="32"/>
          <w:szCs w:val="32"/>
          <w:lang w:val="en-US" w:eastAsia="zh-CN"/>
        </w:rPr>
        <w:t>3.</w:t>
      </w:r>
      <w:r>
        <w:rPr>
          <w:rFonts w:hint="eastAsia" w:ascii="方正仿宋简体" w:hAnsi="方正仿宋简体" w:eastAsia="方正仿宋简体" w:cs="方正仿宋简体"/>
          <w:bCs/>
          <w:kern w:val="1"/>
          <w:sz w:val="32"/>
          <w:szCs w:val="32"/>
        </w:rPr>
        <w:t>因投标人的项目质量、逾期完成等原因给招标人造成直接和间接经济损失的，由投标人承担全部责任（如有异议请在报价时注明）。</w:t>
      </w:r>
    </w:p>
    <w:p w14:paraId="17AE153B">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方正仿宋简体" w:hAnsi="方正仿宋简体" w:eastAsia="方正仿宋简体" w:cs="方正仿宋简体"/>
          <w:bCs/>
          <w:kern w:val="1"/>
          <w:sz w:val="32"/>
          <w:szCs w:val="32"/>
        </w:rPr>
      </w:pPr>
      <w:r>
        <w:rPr>
          <w:rFonts w:hint="eastAsia" w:ascii="方正楷体_GBK" w:hAnsi="方正楷体_GBK" w:eastAsia="方正楷体_GBK" w:cs="方正楷体_GBK"/>
          <w:bCs/>
          <w:kern w:val="1"/>
          <w:sz w:val="32"/>
          <w:szCs w:val="32"/>
        </w:rPr>
        <w:t>（</w:t>
      </w:r>
      <w:r>
        <w:rPr>
          <w:rFonts w:hint="eastAsia" w:ascii="方正楷体_GBK" w:hAnsi="方正楷体_GBK" w:eastAsia="方正楷体_GBK" w:cs="方正楷体_GBK"/>
          <w:bCs/>
          <w:kern w:val="1"/>
          <w:sz w:val="32"/>
          <w:szCs w:val="32"/>
          <w:lang w:val="en-US" w:eastAsia="zh-CN"/>
        </w:rPr>
        <w:t>七</w:t>
      </w:r>
      <w:r>
        <w:rPr>
          <w:rFonts w:hint="eastAsia" w:ascii="方正楷体_GBK" w:hAnsi="方正楷体_GBK" w:eastAsia="方正楷体_GBK" w:cs="方正楷体_GBK"/>
          <w:bCs/>
          <w:kern w:val="1"/>
          <w:sz w:val="32"/>
          <w:szCs w:val="32"/>
        </w:rPr>
        <w:t>）</w:t>
      </w:r>
      <w:r>
        <w:rPr>
          <w:rFonts w:hint="eastAsia" w:ascii="方正仿宋简体" w:hAnsi="方正仿宋简体" w:eastAsia="方正仿宋简体" w:cs="方正仿宋简体"/>
          <w:bCs/>
          <w:kern w:val="1"/>
          <w:sz w:val="32"/>
          <w:szCs w:val="32"/>
        </w:rPr>
        <w:t>中标人应严格按照标书约定与招标方签定供需合同，并按合同约定做好物资供应和服务工作。对中标人所有违背标书及合同约定的行为，招标人均可持续保留与中标方中止合作的一切权利。　</w:t>
      </w:r>
    </w:p>
    <w:p w14:paraId="7253663E">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方正仿宋简体" w:hAnsi="方正仿宋简体" w:eastAsia="方正仿宋简体" w:cs="方正仿宋简体"/>
          <w:bCs/>
          <w:kern w:val="1"/>
          <w:sz w:val="32"/>
          <w:szCs w:val="32"/>
          <w:lang w:eastAsia="zh-CN"/>
        </w:rPr>
      </w:pPr>
      <w:r>
        <w:rPr>
          <w:rFonts w:hint="eastAsia" w:ascii="方正楷体_GBK" w:hAnsi="方正楷体_GBK" w:eastAsia="方正楷体_GBK" w:cs="方正楷体_GBK"/>
          <w:bCs/>
          <w:kern w:val="1"/>
          <w:sz w:val="32"/>
          <w:szCs w:val="32"/>
        </w:rPr>
        <w:t>（</w:t>
      </w:r>
      <w:r>
        <w:rPr>
          <w:rFonts w:hint="eastAsia" w:ascii="方正楷体_GBK" w:hAnsi="方正楷体_GBK" w:eastAsia="方正楷体_GBK" w:cs="方正楷体_GBK"/>
          <w:bCs/>
          <w:kern w:val="1"/>
          <w:sz w:val="32"/>
          <w:szCs w:val="32"/>
          <w:lang w:val="en-US" w:eastAsia="zh-CN"/>
        </w:rPr>
        <w:t>八</w:t>
      </w:r>
      <w:r>
        <w:rPr>
          <w:rFonts w:hint="eastAsia" w:ascii="方正楷体_GBK" w:hAnsi="方正楷体_GBK" w:eastAsia="方正楷体_GBK" w:cs="方正楷体_GBK"/>
          <w:bCs/>
          <w:kern w:val="1"/>
          <w:sz w:val="32"/>
          <w:szCs w:val="32"/>
        </w:rPr>
        <w:t>）</w:t>
      </w:r>
      <w:r>
        <w:rPr>
          <w:rFonts w:hint="eastAsia" w:ascii="方正仿宋简体" w:hAnsi="方正仿宋简体" w:eastAsia="方正仿宋简体" w:cs="方正仿宋简体"/>
          <w:bCs/>
          <w:kern w:val="1"/>
          <w:sz w:val="32"/>
          <w:szCs w:val="32"/>
        </w:rPr>
        <w:t>投标人在中标后无正当理由不与招标人签订合同的，将承担违约责任，列入招标人供应商负面清单</w:t>
      </w:r>
      <w:r>
        <w:rPr>
          <w:rFonts w:hint="eastAsia" w:ascii="方正仿宋简体" w:hAnsi="方正仿宋简体" w:eastAsia="方正仿宋简体" w:cs="方正仿宋简体"/>
          <w:bCs/>
          <w:kern w:val="1"/>
          <w:sz w:val="32"/>
          <w:szCs w:val="32"/>
          <w:lang w:eastAsia="zh-CN"/>
        </w:rPr>
        <w:t>。</w:t>
      </w:r>
    </w:p>
    <w:p w14:paraId="0F584EF0">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方正仿宋简体" w:hAnsi="方正仿宋简体" w:eastAsia="方正仿宋简体" w:cs="方正仿宋简体"/>
          <w:bCs/>
          <w:kern w:val="1"/>
          <w:sz w:val="32"/>
          <w:szCs w:val="32"/>
        </w:rPr>
      </w:pPr>
      <w:r>
        <w:rPr>
          <w:rFonts w:hint="eastAsia" w:ascii="方正楷体_GBK" w:hAnsi="方正楷体_GBK" w:eastAsia="方正楷体_GBK" w:cs="方正楷体_GBK"/>
          <w:bCs/>
          <w:kern w:val="1"/>
          <w:sz w:val="32"/>
          <w:szCs w:val="32"/>
        </w:rPr>
        <w:t>（</w:t>
      </w:r>
      <w:r>
        <w:rPr>
          <w:rFonts w:hint="eastAsia" w:ascii="方正楷体_GBK" w:hAnsi="方正楷体_GBK" w:eastAsia="方正楷体_GBK" w:cs="方正楷体_GBK"/>
          <w:bCs/>
          <w:kern w:val="1"/>
          <w:sz w:val="32"/>
          <w:szCs w:val="32"/>
          <w:lang w:val="en-US" w:eastAsia="zh-CN"/>
        </w:rPr>
        <w:t>九</w:t>
      </w:r>
      <w:r>
        <w:rPr>
          <w:rFonts w:hint="eastAsia" w:ascii="方正楷体_GBK" w:hAnsi="方正楷体_GBK" w:eastAsia="方正楷体_GBK" w:cs="方正楷体_GBK"/>
          <w:bCs/>
          <w:kern w:val="1"/>
          <w:sz w:val="32"/>
          <w:szCs w:val="32"/>
        </w:rPr>
        <w:t>）</w:t>
      </w:r>
      <w:r>
        <w:rPr>
          <w:rFonts w:hint="eastAsia" w:ascii="方正仿宋简体" w:hAnsi="方正仿宋简体" w:eastAsia="方正仿宋简体" w:cs="方正仿宋简体"/>
          <w:bCs/>
          <w:kern w:val="1"/>
          <w:sz w:val="32"/>
          <w:szCs w:val="32"/>
        </w:rPr>
        <w:t>投标人应详细阅读本招标书，参与报价投标即视为对本招标书所列之条款均表示接受。</w:t>
      </w:r>
    </w:p>
    <w:p w14:paraId="639255CD">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方正仿宋简体" w:hAnsi="方正仿宋简体" w:eastAsia="方正仿宋简体" w:cs="方正仿宋简体"/>
          <w:bCs/>
          <w:kern w:val="1"/>
          <w:sz w:val="32"/>
          <w:szCs w:val="32"/>
        </w:rPr>
      </w:pPr>
      <w:r>
        <w:rPr>
          <w:rFonts w:hint="eastAsia" w:ascii="方正楷体_GBK" w:hAnsi="方正楷体_GBK" w:eastAsia="方正楷体_GBK" w:cs="方正楷体_GBK"/>
          <w:bCs/>
          <w:kern w:val="1"/>
          <w:sz w:val="32"/>
          <w:szCs w:val="32"/>
        </w:rPr>
        <w:t>（</w:t>
      </w:r>
      <w:r>
        <w:rPr>
          <w:rFonts w:hint="eastAsia" w:ascii="方正楷体_GBK" w:hAnsi="方正楷体_GBK" w:eastAsia="方正楷体_GBK" w:cs="方正楷体_GBK"/>
          <w:bCs/>
          <w:kern w:val="1"/>
          <w:sz w:val="32"/>
          <w:szCs w:val="32"/>
          <w:lang w:val="en-US" w:eastAsia="zh-CN"/>
        </w:rPr>
        <w:t>十</w:t>
      </w:r>
      <w:r>
        <w:rPr>
          <w:rFonts w:hint="eastAsia" w:ascii="方正楷体_GBK" w:hAnsi="方正楷体_GBK" w:eastAsia="方正楷体_GBK" w:cs="方正楷体_GBK"/>
          <w:bCs/>
          <w:kern w:val="1"/>
          <w:sz w:val="32"/>
          <w:szCs w:val="32"/>
        </w:rPr>
        <w:t>）</w:t>
      </w:r>
      <w:r>
        <w:rPr>
          <w:rFonts w:hint="eastAsia" w:ascii="方正仿宋简体" w:hAnsi="方正仿宋简体" w:eastAsia="方正仿宋简体" w:cs="方正仿宋简体"/>
          <w:bCs/>
          <w:kern w:val="1"/>
          <w:sz w:val="32"/>
          <w:szCs w:val="32"/>
        </w:rPr>
        <w:t>招标人对违反约定的投标人或中标人将按《镇江海纳川物流产业发展有限责任公司招标采购管理规定》中供应商管理对投标人进行管理考核（详见附件1）。</w:t>
      </w:r>
    </w:p>
    <w:p w14:paraId="798379C0">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方正仿宋简体" w:hAnsi="方正仿宋简体" w:eastAsia="方正仿宋简体" w:cs="方正仿宋简体"/>
          <w:bCs/>
          <w:kern w:val="1"/>
          <w:sz w:val="32"/>
          <w:szCs w:val="32"/>
        </w:rPr>
      </w:pPr>
      <w:r>
        <w:rPr>
          <w:rFonts w:hint="eastAsia" w:ascii="方正楷体_GBK" w:hAnsi="方正楷体_GBK" w:eastAsia="方正楷体_GBK" w:cs="方正楷体_GBK"/>
          <w:bCs/>
          <w:kern w:val="1"/>
          <w:sz w:val="32"/>
          <w:szCs w:val="32"/>
        </w:rPr>
        <w:t>（</w:t>
      </w:r>
      <w:r>
        <w:rPr>
          <w:rFonts w:hint="eastAsia" w:ascii="方正楷体_GBK" w:hAnsi="方正楷体_GBK" w:eastAsia="方正楷体_GBK" w:cs="方正楷体_GBK"/>
          <w:bCs/>
          <w:kern w:val="1"/>
          <w:sz w:val="32"/>
          <w:szCs w:val="32"/>
          <w:lang w:val="en-US" w:eastAsia="zh-CN"/>
        </w:rPr>
        <w:t>十一</w:t>
      </w:r>
      <w:r>
        <w:rPr>
          <w:rFonts w:hint="eastAsia" w:ascii="方正楷体_GBK" w:hAnsi="方正楷体_GBK" w:eastAsia="方正楷体_GBK" w:cs="方正楷体_GBK"/>
          <w:bCs/>
          <w:kern w:val="1"/>
          <w:sz w:val="32"/>
          <w:szCs w:val="32"/>
        </w:rPr>
        <w:t>）</w:t>
      </w:r>
      <w:r>
        <w:rPr>
          <w:rFonts w:hint="eastAsia" w:ascii="方正仿宋简体" w:hAnsi="方正仿宋简体" w:eastAsia="方正仿宋简体" w:cs="方正仿宋简体"/>
          <w:bCs/>
          <w:kern w:val="1"/>
          <w:sz w:val="32"/>
          <w:szCs w:val="32"/>
        </w:rPr>
        <w:t>外协作业人员需先进行安全教育培训。</w:t>
      </w:r>
    </w:p>
    <w:p w14:paraId="371AA1BC">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方正仿宋简体" w:hAnsi="方正仿宋简体" w:eastAsia="方正仿宋简体" w:cs="方正仿宋简体"/>
          <w:bCs/>
          <w:kern w:val="1"/>
          <w:sz w:val="32"/>
          <w:szCs w:val="32"/>
        </w:rPr>
      </w:pPr>
      <w:r>
        <w:rPr>
          <w:rFonts w:hint="eastAsia" w:ascii="方正楷体_GBK" w:hAnsi="方正楷体_GBK" w:eastAsia="方正楷体_GBK" w:cs="方正楷体_GBK"/>
          <w:bCs/>
          <w:kern w:val="1"/>
          <w:sz w:val="32"/>
          <w:szCs w:val="32"/>
        </w:rPr>
        <w:t>（</w:t>
      </w:r>
      <w:r>
        <w:rPr>
          <w:rFonts w:hint="eastAsia" w:ascii="方正楷体_GBK" w:hAnsi="方正楷体_GBK" w:eastAsia="方正楷体_GBK" w:cs="方正楷体_GBK"/>
          <w:bCs/>
          <w:kern w:val="1"/>
          <w:sz w:val="32"/>
          <w:szCs w:val="32"/>
          <w:lang w:val="en-US" w:eastAsia="zh-CN"/>
        </w:rPr>
        <w:t>十二</w:t>
      </w:r>
      <w:r>
        <w:rPr>
          <w:rFonts w:hint="eastAsia" w:ascii="方正楷体_GBK" w:hAnsi="方正楷体_GBK" w:eastAsia="方正楷体_GBK" w:cs="方正楷体_GBK"/>
          <w:bCs/>
          <w:kern w:val="1"/>
          <w:sz w:val="32"/>
          <w:szCs w:val="32"/>
        </w:rPr>
        <w:t>）</w:t>
      </w:r>
      <w:r>
        <w:rPr>
          <w:rFonts w:hint="eastAsia" w:ascii="方正仿宋简体" w:hAnsi="方正仿宋简体" w:eastAsia="方正仿宋简体" w:cs="方正仿宋简体"/>
          <w:bCs/>
          <w:kern w:val="1"/>
          <w:sz w:val="32"/>
          <w:szCs w:val="32"/>
        </w:rPr>
        <w:t>本次招标为企业自主公开招标，属生产经营性商务行为，解释权归镇江海纳川物流产业发展有限责任公司所有。</w:t>
      </w:r>
    </w:p>
    <w:p w14:paraId="353D9D32">
      <w:pPr>
        <w:pStyle w:val="15"/>
        <w:rPr>
          <w:rFonts w:hint="eastAsia" w:ascii="方正仿宋简体" w:hAnsi="方正仿宋简体" w:eastAsia="方正仿宋简体" w:cs="方正仿宋简体"/>
          <w:bCs/>
          <w:kern w:val="1"/>
          <w:sz w:val="32"/>
          <w:szCs w:val="32"/>
        </w:rPr>
      </w:pPr>
    </w:p>
    <w:p w14:paraId="2AA64FF5">
      <w:pPr>
        <w:pStyle w:val="15"/>
        <w:rPr>
          <w:rFonts w:hint="eastAsia" w:ascii="方正仿宋简体" w:hAnsi="方正仿宋简体" w:eastAsia="方正仿宋简体" w:cs="方正仿宋简体"/>
          <w:bCs/>
          <w:kern w:val="1"/>
          <w:sz w:val="32"/>
          <w:szCs w:val="32"/>
        </w:rPr>
      </w:pPr>
    </w:p>
    <w:p w14:paraId="6E396D7A">
      <w:pPr>
        <w:pStyle w:val="15"/>
        <w:rPr>
          <w:rFonts w:hint="eastAsia" w:ascii="方正仿宋简体" w:hAnsi="方正仿宋简体" w:eastAsia="方正仿宋简体" w:cs="方正仿宋简体"/>
          <w:bCs/>
          <w:kern w:val="1"/>
          <w:sz w:val="32"/>
          <w:szCs w:val="32"/>
        </w:rPr>
      </w:pPr>
    </w:p>
    <w:p w14:paraId="2F617034">
      <w:pPr>
        <w:pStyle w:val="15"/>
        <w:ind w:left="0" w:leftChars="0" w:firstLine="0" w:firstLineChars="0"/>
        <w:rPr>
          <w:rFonts w:hint="eastAsia" w:ascii="方正仿宋简体" w:hAnsi="方正仿宋简体" w:eastAsia="方正仿宋简体" w:cs="方正仿宋简体"/>
          <w:bCs/>
          <w:kern w:val="1"/>
          <w:sz w:val="32"/>
          <w:szCs w:val="32"/>
        </w:rPr>
      </w:pPr>
    </w:p>
    <w:p w14:paraId="4BE7CA4E">
      <w:pPr>
        <w:pStyle w:val="2"/>
        <w:rPr>
          <w:rFonts w:hint="eastAsia" w:ascii="方正小标宋简体" w:hAnsi="方正小标宋简体" w:eastAsia="方正小标宋简体" w:cs="方正小标宋简体"/>
          <w:sz w:val="44"/>
          <w:szCs w:val="44"/>
        </w:rPr>
      </w:pPr>
      <w:r>
        <w:rPr>
          <w:rFonts w:hint="eastAsia" w:ascii="方正小标宋简体" w:hAnsi="方正小标宋简体" w:eastAsia="方正小标宋简体" w:cs="方正小标宋简体"/>
          <w:sz w:val="44"/>
          <w:szCs w:val="44"/>
        </w:rPr>
        <w:t>报价函</w:t>
      </w:r>
    </w:p>
    <w:p w14:paraId="06372504">
      <w:pPr>
        <w:tabs>
          <w:tab w:val="left" w:pos="180"/>
        </w:tabs>
        <w:spacing w:line="600" w:lineRule="exact"/>
        <w:rPr>
          <w:rFonts w:hint="eastAsia" w:ascii="方正仿宋简体" w:hAnsi="方正仿宋简体" w:eastAsia="方正仿宋简体" w:cs="方正仿宋简体"/>
          <w:kern w:val="1"/>
          <w:sz w:val="32"/>
          <w:szCs w:val="32"/>
        </w:rPr>
      </w:pPr>
    </w:p>
    <w:p w14:paraId="209C722C">
      <w:pPr>
        <w:keepNext w:val="0"/>
        <w:keepLines w:val="0"/>
        <w:pageBreakBefore w:val="0"/>
        <w:kinsoku/>
        <w:wordWrap/>
        <w:overflowPunct/>
        <w:topLinePunct w:val="0"/>
        <w:autoSpaceDE/>
        <w:autoSpaceDN/>
        <w:bidi w:val="0"/>
        <w:adjustRightInd/>
        <w:snapToGrid/>
        <w:spacing w:line="600" w:lineRule="exact"/>
        <w:jc w:val="left"/>
        <w:rPr>
          <w:rFonts w:hint="eastAsia" w:ascii="方正仿宋简体" w:hAnsi="方正仿宋简体" w:eastAsia="方正仿宋简体" w:cs="方正仿宋简体"/>
          <w:kern w:val="1"/>
          <w:sz w:val="32"/>
          <w:szCs w:val="32"/>
        </w:rPr>
      </w:pPr>
      <w:r>
        <w:rPr>
          <w:rFonts w:hint="eastAsia" w:ascii="方正仿宋简体" w:hAnsi="方正仿宋简体" w:eastAsia="方正仿宋简体" w:cs="方正仿宋简体"/>
          <w:kern w:val="1"/>
          <w:sz w:val="32"/>
          <w:szCs w:val="32"/>
        </w:rPr>
        <w:t>镇江海纳川公铁运输有限公司：</w:t>
      </w:r>
    </w:p>
    <w:p w14:paraId="37DA6569">
      <w:pPr>
        <w:keepNext w:val="0"/>
        <w:keepLines w:val="0"/>
        <w:pageBreakBefore w:val="0"/>
        <w:kinsoku/>
        <w:wordWrap/>
        <w:overflowPunct/>
        <w:topLinePunct w:val="0"/>
        <w:autoSpaceDE/>
        <w:autoSpaceDN/>
        <w:bidi w:val="0"/>
        <w:adjustRightInd/>
        <w:snapToGrid/>
        <w:spacing w:line="600" w:lineRule="exact"/>
        <w:ind w:firstLine="640" w:firstLineChars="200"/>
        <w:jc w:val="left"/>
        <w:rPr>
          <w:rFonts w:hint="eastAsia" w:ascii="方正仿宋简体" w:hAnsi="方正仿宋简体" w:eastAsia="方正仿宋简体" w:cs="方正仿宋简体"/>
          <w:kern w:val="1"/>
          <w:sz w:val="32"/>
          <w:szCs w:val="32"/>
        </w:rPr>
      </w:pPr>
      <w:r>
        <w:rPr>
          <w:rFonts w:hint="eastAsia" w:ascii="方正仿宋简体" w:hAnsi="方正仿宋简体" w:eastAsia="方正仿宋简体" w:cs="方正仿宋简体"/>
          <w:kern w:val="1"/>
          <w:sz w:val="32"/>
          <w:szCs w:val="32"/>
        </w:rPr>
        <w:t>投标单位全称：</w:t>
      </w:r>
      <w:r>
        <w:rPr>
          <w:rFonts w:hint="eastAsia" w:ascii="方正仿宋简体" w:hAnsi="方正仿宋简体" w:eastAsia="方正仿宋简体" w:cs="方正仿宋简体"/>
          <w:kern w:val="1"/>
          <w:sz w:val="32"/>
          <w:szCs w:val="32"/>
          <w:u w:val="single"/>
        </w:rPr>
        <w:t xml:space="preserve">          </w:t>
      </w:r>
      <w:r>
        <w:rPr>
          <w:rFonts w:hint="eastAsia" w:ascii="方正仿宋简体" w:hAnsi="方正仿宋简体" w:eastAsia="方正仿宋简体" w:cs="方正仿宋简体"/>
          <w:kern w:val="1"/>
          <w:sz w:val="32"/>
          <w:szCs w:val="32"/>
        </w:rPr>
        <w:t>；授权全权代表姓名：</w:t>
      </w:r>
      <w:r>
        <w:rPr>
          <w:rFonts w:hint="eastAsia" w:ascii="方正仿宋简体" w:hAnsi="方正仿宋简体" w:eastAsia="方正仿宋简体" w:cs="方正仿宋简体"/>
          <w:kern w:val="1"/>
          <w:sz w:val="32"/>
          <w:szCs w:val="32"/>
          <w:u w:val="single"/>
        </w:rPr>
        <w:t xml:space="preserve">       </w:t>
      </w:r>
      <w:r>
        <w:rPr>
          <w:rFonts w:hint="eastAsia" w:ascii="方正仿宋简体" w:hAnsi="方正仿宋简体" w:eastAsia="方正仿宋简体" w:cs="方正仿宋简体"/>
          <w:kern w:val="1"/>
          <w:sz w:val="32"/>
          <w:szCs w:val="32"/>
        </w:rPr>
        <w:t>为全权代表，参加贵方组织的招标有关活动，并对该项目进行投标。</w:t>
      </w:r>
    </w:p>
    <w:p w14:paraId="0AEE6DB4">
      <w:pPr>
        <w:keepNext w:val="0"/>
        <w:keepLines w:val="0"/>
        <w:pageBreakBefore w:val="0"/>
        <w:kinsoku/>
        <w:wordWrap/>
        <w:overflowPunct/>
        <w:topLinePunct w:val="0"/>
        <w:autoSpaceDE/>
        <w:autoSpaceDN/>
        <w:bidi w:val="0"/>
        <w:adjustRightInd/>
        <w:snapToGrid/>
        <w:spacing w:line="600" w:lineRule="exact"/>
        <w:ind w:firstLine="640" w:firstLineChars="200"/>
        <w:jc w:val="left"/>
        <w:rPr>
          <w:rFonts w:hint="eastAsia" w:ascii="方正仿宋简体" w:hAnsi="方正仿宋简体" w:eastAsia="方正仿宋简体" w:cs="方正仿宋简体"/>
          <w:color w:val="FF0000"/>
          <w:kern w:val="1"/>
          <w:sz w:val="32"/>
          <w:szCs w:val="32"/>
          <w:lang w:eastAsia="zh-CN"/>
        </w:rPr>
      </w:pPr>
      <w:r>
        <w:rPr>
          <w:rFonts w:hint="eastAsia" w:ascii="方正仿宋简体" w:hAnsi="方正仿宋简体" w:eastAsia="方正仿宋简体" w:cs="方正仿宋简体"/>
          <w:kern w:val="1"/>
          <w:sz w:val="32"/>
          <w:szCs w:val="32"/>
        </w:rPr>
        <w:t>一</w:t>
      </w:r>
      <w:r>
        <w:rPr>
          <w:rFonts w:hint="eastAsia" w:ascii="方正仿宋简体" w:hAnsi="方正仿宋简体" w:eastAsia="方正仿宋简体" w:cs="方正仿宋简体"/>
          <w:kern w:val="1"/>
          <w:sz w:val="32"/>
          <w:szCs w:val="32"/>
          <w:lang w:eastAsia="zh-CN"/>
        </w:rPr>
        <w:t>、</w:t>
      </w:r>
      <w:r>
        <w:rPr>
          <w:rFonts w:hint="eastAsia" w:ascii="方正仿宋简体" w:hAnsi="方正仿宋简体" w:eastAsia="方正仿宋简体" w:cs="方正仿宋简体"/>
          <w:kern w:val="1"/>
          <w:sz w:val="32"/>
          <w:szCs w:val="32"/>
        </w:rPr>
        <w:t>投标项目的</w:t>
      </w:r>
      <w:r>
        <w:rPr>
          <w:rFonts w:hint="eastAsia" w:ascii="方正仿宋简体" w:hAnsi="方正仿宋简体" w:eastAsia="方正仿宋简体" w:cs="方正仿宋简体"/>
          <w:kern w:val="1"/>
          <w:sz w:val="32"/>
          <w:szCs w:val="32"/>
          <w:lang w:eastAsia="zh-CN"/>
        </w:rPr>
        <w:t>总</w:t>
      </w:r>
      <w:r>
        <w:rPr>
          <w:rFonts w:hint="eastAsia" w:ascii="方正仿宋简体" w:hAnsi="方正仿宋简体" w:eastAsia="方正仿宋简体" w:cs="方正仿宋简体"/>
          <w:kern w:val="1"/>
          <w:sz w:val="32"/>
          <w:szCs w:val="32"/>
        </w:rPr>
        <w:t>投标价（含税）为</w:t>
      </w:r>
      <w:r>
        <w:rPr>
          <w:rFonts w:hint="eastAsia" w:ascii="方正仿宋简体" w:hAnsi="方正仿宋简体" w:eastAsia="方正仿宋简体" w:cs="方正仿宋简体"/>
          <w:kern w:val="1"/>
          <w:sz w:val="32"/>
          <w:szCs w:val="32"/>
          <w:u w:val="single"/>
        </w:rPr>
        <w:softHyphen/>
      </w:r>
      <w:r>
        <w:rPr>
          <w:rFonts w:hint="eastAsia" w:ascii="方正仿宋简体" w:hAnsi="方正仿宋简体" w:eastAsia="方正仿宋简体" w:cs="方正仿宋简体"/>
          <w:kern w:val="1"/>
          <w:sz w:val="32"/>
          <w:szCs w:val="32"/>
          <w:u w:val="single"/>
        </w:rPr>
        <w:t xml:space="preserve">            </w:t>
      </w:r>
      <w:r>
        <w:rPr>
          <w:rFonts w:hint="eastAsia" w:ascii="方正仿宋简体" w:hAnsi="方正仿宋简体" w:eastAsia="方正仿宋简体" w:cs="方正仿宋简体"/>
          <w:kern w:val="1"/>
          <w:sz w:val="32"/>
          <w:szCs w:val="32"/>
        </w:rPr>
        <w:t>(大写</w:t>
      </w:r>
      <w:r>
        <w:rPr>
          <w:rFonts w:hint="eastAsia" w:ascii="方正仿宋简体" w:hAnsi="方正仿宋简体" w:eastAsia="方正仿宋简体" w:cs="方正仿宋简体"/>
          <w:kern w:val="1"/>
          <w:sz w:val="32"/>
          <w:szCs w:val="32"/>
          <w:lang w:eastAsia="zh-CN"/>
        </w:rPr>
        <w:t>）</w:t>
      </w:r>
      <w:r>
        <w:rPr>
          <w:rFonts w:hint="eastAsia" w:ascii="方正仿宋简体" w:hAnsi="方正仿宋简体" w:eastAsia="方正仿宋简体" w:cs="方正仿宋简体"/>
          <w:kern w:val="1"/>
          <w:sz w:val="32"/>
          <w:szCs w:val="32"/>
          <w:u w:val="single"/>
        </w:rPr>
        <w:t xml:space="preserve">           </w:t>
      </w:r>
      <w:r>
        <w:rPr>
          <w:rFonts w:hint="eastAsia" w:ascii="方正仿宋简体" w:hAnsi="方正仿宋简体" w:eastAsia="方正仿宋简体" w:cs="方正仿宋简体"/>
          <w:kern w:val="1"/>
          <w:sz w:val="32"/>
          <w:szCs w:val="32"/>
        </w:rPr>
        <w:t>元人民币；税率</w:t>
      </w:r>
      <w:r>
        <w:rPr>
          <w:rFonts w:hint="eastAsia" w:ascii="方正仿宋简体" w:hAnsi="方正仿宋简体" w:eastAsia="方正仿宋简体" w:cs="方正仿宋简体"/>
          <w:kern w:val="1"/>
          <w:sz w:val="32"/>
          <w:szCs w:val="32"/>
          <w:u w:val="single"/>
        </w:rPr>
        <w:t xml:space="preserve">       </w:t>
      </w:r>
      <w:r>
        <w:rPr>
          <w:rFonts w:hint="eastAsia" w:ascii="方正仿宋简体" w:hAnsi="方正仿宋简体" w:eastAsia="方正仿宋简体" w:cs="方正仿宋简体"/>
          <w:kern w:val="1"/>
          <w:sz w:val="32"/>
          <w:szCs w:val="32"/>
        </w:rPr>
        <w:t>%</w:t>
      </w:r>
      <w:r>
        <w:rPr>
          <w:rFonts w:hint="eastAsia" w:ascii="方正仿宋简体" w:hAnsi="方正仿宋简体" w:eastAsia="方正仿宋简体" w:cs="方正仿宋简体"/>
          <w:kern w:val="1"/>
          <w:sz w:val="32"/>
          <w:szCs w:val="32"/>
          <w:lang w:eastAsia="zh-CN"/>
        </w:rPr>
        <w:t>。</w:t>
      </w:r>
    </w:p>
    <w:p w14:paraId="6F60A12A">
      <w:pPr>
        <w:keepNext w:val="0"/>
        <w:keepLines w:val="0"/>
        <w:pageBreakBefore w:val="0"/>
        <w:kinsoku/>
        <w:wordWrap/>
        <w:overflowPunct/>
        <w:topLinePunct w:val="0"/>
        <w:autoSpaceDE/>
        <w:autoSpaceDN/>
        <w:bidi w:val="0"/>
        <w:adjustRightInd/>
        <w:snapToGrid/>
        <w:spacing w:line="600" w:lineRule="exact"/>
        <w:ind w:firstLine="640" w:firstLineChars="200"/>
        <w:jc w:val="left"/>
        <w:rPr>
          <w:rFonts w:hint="eastAsia" w:ascii="方正仿宋简体" w:hAnsi="方正仿宋简体" w:eastAsia="方正仿宋简体" w:cs="方正仿宋简体"/>
          <w:sz w:val="32"/>
          <w:szCs w:val="32"/>
        </w:rPr>
      </w:pPr>
      <w:r>
        <w:rPr>
          <w:rFonts w:hint="eastAsia" w:ascii="方正仿宋简体" w:hAnsi="方正仿宋简体" w:eastAsia="方正仿宋简体" w:cs="方正仿宋简体"/>
          <w:sz w:val="32"/>
          <w:szCs w:val="32"/>
        </w:rPr>
        <w:t>二</w:t>
      </w:r>
      <w:r>
        <w:rPr>
          <w:rFonts w:hint="eastAsia" w:ascii="方正仿宋简体" w:hAnsi="方正仿宋简体" w:eastAsia="方正仿宋简体" w:cs="方正仿宋简体"/>
          <w:sz w:val="32"/>
          <w:szCs w:val="32"/>
          <w:lang w:eastAsia="zh-CN"/>
        </w:rPr>
        <w:t>、</w:t>
      </w:r>
      <w:r>
        <w:rPr>
          <w:rFonts w:hint="eastAsia" w:ascii="方正仿宋简体" w:hAnsi="方正仿宋简体" w:eastAsia="方正仿宋简体" w:cs="方正仿宋简体"/>
          <w:sz w:val="32"/>
          <w:szCs w:val="32"/>
        </w:rPr>
        <w:t>报价格式</w:t>
      </w:r>
    </w:p>
    <w:tbl>
      <w:tblPr>
        <w:tblStyle w:val="17"/>
        <w:tblW w:w="10734" w:type="dxa"/>
        <w:tblInd w:w="-13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00"/>
        <w:gridCol w:w="1467"/>
        <w:gridCol w:w="1450"/>
        <w:gridCol w:w="2633"/>
        <w:gridCol w:w="1284"/>
      </w:tblGrid>
      <w:tr w14:paraId="1B1F15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00" w:type="dxa"/>
            <w:noWrap w:val="0"/>
            <w:vAlign w:val="center"/>
          </w:tcPr>
          <w:p w14:paraId="1AD37516">
            <w:pPr>
              <w:keepNext w:val="0"/>
              <w:keepLines w:val="0"/>
              <w:pageBreakBefore w:val="0"/>
              <w:widowControl/>
              <w:suppressLineNumbers w:val="0"/>
              <w:kinsoku/>
              <w:wordWrap/>
              <w:overflowPunct/>
              <w:topLinePunct w:val="0"/>
              <w:autoSpaceDE/>
              <w:autoSpaceDN/>
              <w:bidi w:val="0"/>
              <w:adjustRightInd/>
              <w:snapToGrid/>
              <w:spacing w:line="600" w:lineRule="exact"/>
              <w:jc w:val="center"/>
              <w:textAlignment w:val="center"/>
              <w:rPr>
                <w:rFonts w:hint="eastAsia" w:ascii="方正仿宋简体" w:hAnsi="方正仿宋简体" w:eastAsia="方正仿宋简体" w:cs="方正仿宋简体"/>
                <w:color w:val="auto"/>
                <w:kern w:val="1"/>
                <w:sz w:val="32"/>
                <w:szCs w:val="32"/>
                <w:highlight w:val="none"/>
                <w:lang w:val="en-US" w:eastAsia="zh-CN"/>
              </w:rPr>
            </w:pPr>
            <w:r>
              <w:rPr>
                <w:rFonts w:hint="eastAsia" w:ascii="方正仿宋简体" w:hAnsi="方正仿宋简体" w:eastAsia="方正仿宋简体" w:cs="方正仿宋简体"/>
                <w:b/>
                <w:bCs/>
                <w:i w:val="0"/>
                <w:iCs w:val="0"/>
                <w:color w:val="000000"/>
                <w:sz w:val="32"/>
                <w:szCs w:val="32"/>
                <w:u w:val="none"/>
                <w:lang w:val="en-US" w:eastAsia="zh-CN"/>
              </w:rPr>
              <w:t>名称</w:t>
            </w:r>
          </w:p>
        </w:tc>
        <w:tc>
          <w:tcPr>
            <w:tcW w:w="1467" w:type="dxa"/>
            <w:noWrap w:val="0"/>
            <w:vAlign w:val="center"/>
          </w:tcPr>
          <w:p w14:paraId="21ABA2E5">
            <w:pPr>
              <w:keepNext w:val="0"/>
              <w:keepLines w:val="0"/>
              <w:pageBreakBefore w:val="0"/>
              <w:widowControl w:val="0"/>
              <w:numPr>
                <w:ilvl w:val="0"/>
                <w:numId w:val="0"/>
              </w:numPr>
              <w:kinsoku/>
              <w:wordWrap/>
              <w:overflowPunct/>
              <w:topLinePunct w:val="0"/>
              <w:autoSpaceDE/>
              <w:autoSpaceDN/>
              <w:bidi w:val="0"/>
              <w:adjustRightInd/>
              <w:snapToGrid/>
              <w:spacing w:line="600" w:lineRule="exact"/>
              <w:jc w:val="center"/>
              <w:textAlignment w:val="auto"/>
              <w:rPr>
                <w:rFonts w:hint="default" w:ascii="方正仿宋简体" w:hAnsi="方正仿宋简体" w:eastAsia="方正仿宋简体" w:cs="方正仿宋简体"/>
                <w:b/>
                <w:bCs/>
                <w:i w:val="0"/>
                <w:iCs w:val="0"/>
                <w:color w:val="000000"/>
                <w:sz w:val="32"/>
                <w:szCs w:val="32"/>
                <w:u w:val="none"/>
                <w:lang w:val="en-US" w:eastAsia="zh-CN"/>
              </w:rPr>
            </w:pPr>
            <w:r>
              <w:rPr>
                <w:rFonts w:hint="eastAsia" w:ascii="方正仿宋简体" w:hAnsi="方正仿宋简体" w:eastAsia="方正仿宋简体" w:cs="方正仿宋简体"/>
                <w:b/>
                <w:bCs/>
                <w:i w:val="0"/>
                <w:iCs w:val="0"/>
                <w:color w:val="000000"/>
                <w:sz w:val="32"/>
                <w:szCs w:val="32"/>
                <w:u w:val="none"/>
                <w:lang w:val="en-US" w:eastAsia="zh-CN"/>
              </w:rPr>
              <w:t>数量/辆</w:t>
            </w:r>
          </w:p>
        </w:tc>
        <w:tc>
          <w:tcPr>
            <w:tcW w:w="1450" w:type="dxa"/>
            <w:noWrap w:val="0"/>
            <w:vAlign w:val="center"/>
          </w:tcPr>
          <w:p w14:paraId="4B6C1148">
            <w:pPr>
              <w:keepNext w:val="0"/>
              <w:keepLines w:val="0"/>
              <w:pageBreakBefore w:val="0"/>
              <w:widowControl w:val="0"/>
              <w:numPr>
                <w:ilvl w:val="0"/>
                <w:numId w:val="0"/>
              </w:numPr>
              <w:kinsoku/>
              <w:wordWrap/>
              <w:overflowPunct/>
              <w:topLinePunct w:val="0"/>
              <w:autoSpaceDE/>
              <w:autoSpaceDN/>
              <w:bidi w:val="0"/>
              <w:adjustRightInd/>
              <w:snapToGrid/>
              <w:spacing w:line="600" w:lineRule="exact"/>
              <w:jc w:val="center"/>
              <w:textAlignment w:val="auto"/>
              <w:rPr>
                <w:rFonts w:hint="default" w:ascii="方正仿宋简体" w:hAnsi="方正仿宋简体" w:eastAsia="方正仿宋简体" w:cs="方正仿宋简体"/>
                <w:b/>
                <w:bCs/>
                <w:i w:val="0"/>
                <w:iCs w:val="0"/>
                <w:color w:val="000000"/>
                <w:sz w:val="32"/>
                <w:szCs w:val="32"/>
                <w:u w:val="none"/>
                <w:lang w:val="en-US" w:eastAsia="zh-CN"/>
              </w:rPr>
            </w:pPr>
            <w:r>
              <w:rPr>
                <w:rFonts w:hint="eastAsia" w:ascii="方正仿宋简体" w:hAnsi="方正仿宋简体" w:eastAsia="方正仿宋简体" w:cs="方正仿宋简体"/>
                <w:b/>
                <w:bCs/>
                <w:i w:val="0"/>
                <w:iCs w:val="0"/>
                <w:color w:val="000000"/>
                <w:sz w:val="32"/>
                <w:szCs w:val="32"/>
                <w:u w:val="none"/>
                <w:lang w:val="en-US" w:eastAsia="zh-CN"/>
              </w:rPr>
              <w:t>单价/元</w:t>
            </w:r>
          </w:p>
        </w:tc>
        <w:tc>
          <w:tcPr>
            <w:tcW w:w="2633" w:type="dxa"/>
            <w:noWrap w:val="0"/>
            <w:vAlign w:val="center"/>
          </w:tcPr>
          <w:p w14:paraId="4E0A6A00">
            <w:pPr>
              <w:keepNext w:val="0"/>
              <w:keepLines w:val="0"/>
              <w:pageBreakBefore w:val="0"/>
              <w:widowControl w:val="0"/>
              <w:numPr>
                <w:ilvl w:val="0"/>
                <w:numId w:val="0"/>
              </w:numPr>
              <w:kinsoku/>
              <w:wordWrap/>
              <w:overflowPunct/>
              <w:topLinePunct w:val="0"/>
              <w:autoSpaceDE/>
              <w:autoSpaceDN/>
              <w:bidi w:val="0"/>
              <w:adjustRightInd/>
              <w:snapToGrid/>
              <w:spacing w:line="600" w:lineRule="exact"/>
              <w:jc w:val="center"/>
              <w:textAlignment w:val="auto"/>
              <w:rPr>
                <w:rFonts w:hint="default" w:ascii="方正仿宋简体" w:hAnsi="方正仿宋简体" w:eastAsia="方正仿宋简体" w:cs="方正仿宋简体"/>
                <w:color w:val="auto"/>
                <w:kern w:val="1"/>
                <w:sz w:val="32"/>
                <w:szCs w:val="32"/>
                <w:highlight w:val="none"/>
                <w:lang w:val="en-US" w:eastAsia="zh-CN"/>
              </w:rPr>
            </w:pPr>
            <w:r>
              <w:rPr>
                <w:rFonts w:hint="eastAsia" w:ascii="方正仿宋简体" w:hAnsi="方正仿宋简体" w:eastAsia="方正仿宋简体" w:cs="方正仿宋简体"/>
                <w:b/>
                <w:bCs/>
                <w:i w:val="0"/>
                <w:iCs w:val="0"/>
                <w:color w:val="000000"/>
                <w:sz w:val="32"/>
                <w:szCs w:val="32"/>
                <w:u w:val="none"/>
                <w:lang w:val="en-US" w:eastAsia="zh-CN"/>
              </w:rPr>
              <w:t>总价（含税）/元</w:t>
            </w:r>
          </w:p>
        </w:tc>
        <w:tc>
          <w:tcPr>
            <w:tcW w:w="1284" w:type="dxa"/>
            <w:noWrap w:val="0"/>
            <w:vAlign w:val="center"/>
          </w:tcPr>
          <w:p w14:paraId="2B9FD8FD">
            <w:pPr>
              <w:keepNext w:val="0"/>
              <w:keepLines w:val="0"/>
              <w:pageBreakBefore w:val="0"/>
              <w:widowControl w:val="0"/>
              <w:numPr>
                <w:ilvl w:val="0"/>
                <w:numId w:val="0"/>
              </w:numPr>
              <w:kinsoku/>
              <w:wordWrap/>
              <w:overflowPunct/>
              <w:topLinePunct w:val="0"/>
              <w:autoSpaceDE/>
              <w:autoSpaceDN/>
              <w:bidi w:val="0"/>
              <w:adjustRightInd/>
              <w:snapToGrid/>
              <w:spacing w:line="600" w:lineRule="exact"/>
              <w:jc w:val="center"/>
              <w:textAlignment w:val="auto"/>
              <w:rPr>
                <w:rFonts w:hint="default" w:ascii="方正仿宋简体" w:hAnsi="方正仿宋简体" w:eastAsia="方正仿宋简体" w:cs="方正仿宋简体"/>
                <w:color w:val="auto"/>
                <w:kern w:val="1"/>
                <w:sz w:val="32"/>
                <w:szCs w:val="32"/>
                <w:highlight w:val="none"/>
                <w:lang w:val="en-US" w:eastAsia="zh-CN"/>
              </w:rPr>
            </w:pPr>
            <w:r>
              <w:rPr>
                <w:rFonts w:hint="eastAsia" w:ascii="方正仿宋简体" w:hAnsi="方正仿宋简体" w:eastAsia="方正仿宋简体" w:cs="方正仿宋简体"/>
                <w:b/>
                <w:bCs/>
                <w:i w:val="0"/>
                <w:iCs w:val="0"/>
                <w:color w:val="000000"/>
                <w:sz w:val="32"/>
                <w:szCs w:val="32"/>
                <w:u w:val="none"/>
                <w:lang w:val="en-US" w:eastAsia="zh-CN"/>
              </w:rPr>
              <w:t>税率</w:t>
            </w:r>
          </w:p>
        </w:tc>
      </w:tr>
      <w:tr w14:paraId="1EE33D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0" w:hRule="atLeast"/>
        </w:trPr>
        <w:tc>
          <w:tcPr>
            <w:tcW w:w="3900" w:type="dxa"/>
            <w:noWrap w:val="0"/>
            <w:vAlign w:val="center"/>
          </w:tcPr>
          <w:p w14:paraId="1C7F7CC0">
            <w:pPr>
              <w:keepNext w:val="0"/>
              <w:keepLines w:val="0"/>
              <w:pageBreakBefore w:val="0"/>
              <w:widowControl/>
              <w:suppressLineNumbers w:val="0"/>
              <w:kinsoku/>
              <w:wordWrap/>
              <w:overflowPunct/>
              <w:topLinePunct w:val="0"/>
              <w:autoSpaceDE/>
              <w:autoSpaceDN/>
              <w:bidi w:val="0"/>
              <w:adjustRightInd/>
              <w:snapToGrid/>
              <w:spacing w:line="600" w:lineRule="exact"/>
              <w:jc w:val="center"/>
              <w:textAlignment w:val="center"/>
              <w:rPr>
                <w:rFonts w:hint="eastAsia" w:ascii="方正仿宋简体" w:hAnsi="方正仿宋简体" w:eastAsia="方正仿宋简体" w:cs="方正仿宋简体"/>
                <w:color w:val="auto"/>
                <w:kern w:val="1"/>
                <w:sz w:val="24"/>
                <w:szCs w:val="24"/>
                <w:highlight w:val="none"/>
                <w:u w:val="none"/>
              </w:rPr>
            </w:pPr>
            <w:r>
              <w:rPr>
                <w:rFonts w:hint="eastAsia" w:ascii="方正仿宋简体" w:hAnsi="方正仿宋简体" w:eastAsia="方正仿宋简体" w:cs="方正仿宋简体"/>
                <w:sz w:val="24"/>
                <w:szCs w:val="24"/>
                <w:u w:val="none"/>
              </w:rPr>
              <w:t>叉车智慧监控系统安装</w:t>
            </w:r>
            <w:r>
              <w:rPr>
                <w:rFonts w:hint="eastAsia" w:ascii="方正仿宋简体" w:hAnsi="方正仿宋简体" w:eastAsia="方正仿宋简体" w:cs="方正仿宋简体"/>
                <w:sz w:val="24"/>
                <w:szCs w:val="24"/>
                <w:u w:val="none"/>
                <w:lang w:eastAsia="zh-CN"/>
              </w:rPr>
              <w:t>及配套服务</w:t>
            </w:r>
          </w:p>
        </w:tc>
        <w:tc>
          <w:tcPr>
            <w:tcW w:w="1467" w:type="dxa"/>
            <w:noWrap w:val="0"/>
            <w:vAlign w:val="center"/>
          </w:tcPr>
          <w:p w14:paraId="08DAEE38">
            <w:pPr>
              <w:keepNext w:val="0"/>
              <w:keepLines w:val="0"/>
              <w:pageBreakBefore w:val="0"/>
              <w:widowControl/>
              <w:suppressLineNumbers w:val="0"/>
              <w:kinsoku/>
              <w:wordWrap/>
              <w:overflowPunct/>
              <w:topLinePunct w:val="0"/>
              <w:autoSpaceDE/>
              <w:autoSpaceDN/>
              <w:bidi w:val="0"/>
              <w:adjustRightInd/>
              <w:snapToGrid/>
              <w:spacing w:line="600" w:lineRule="exact"/>
              <w:jc w:val="center"/>
              <w:textAlignment w:val="center"/>
              <w:rPr>
                <w:rFonts w:hint="default" w:ascii="方正仿宋简体" w:hAnsi="方正仿宋简体" w:eastAsia="方正仿宋简体" w:cs="方正仿宋简体"/>
                <w:sz w:val="24"/>
                <w:szCs w:val="24"/>
                <w:u w:val="none"/>
                <w:lang w:val="en-US" w:eastAsia="zh-CN"/>
              </w:rPr>
            </w:pPr>
            <w:r>
              <w:rPr>
                <w:rFonts w:hint="eastAsia" w:ascii="方正仿宋简体" w:hAnsi="方正仿宋简体" w:eastAsia="方正仿宋简体" w:cs="方正仿宋简体"/>
                <w:sz w:val="24"/>
                <w:szCs w:val="24"/>
                <w:u w:val="none"/>
                <w:lang w:val="en-US" w:eastAsia="zh-CN"/>
              </w:rPr>
              <w:t>17（普通）</w:t>
            </w:r>
          </w:p>
        </w:tc>
        <w:tc>
          <w:tcPr>
            <w:tcW w:w="1450" w:type="dxa"/>
            <w:noWrap w:val="0"/>
            <w:vAlign w:val="center"/>
          </w:tcPr>
          <w:p w14:paraId="09AF935C">
            <w:pPr>
              <w:keepNext w:val="0"/>
              <w:keepLines w:val="0"/>
              <w:pageBreakBefore w:val="0"/>
              <w:widowControl/>
              <w:suppressLineNumbers w:val="0"/>
              <w:kinsoku/>
              <w:wordWrap/>
              <w:overflowPunct/>
              <w:topLinePunct w:val="0"/>
              <w:autoSpaceDE/>
              <w:autoSpaceDN/>
              <w:bidi w:val="0"/>
              <w:adjustRightInd/>
              <w:snapToGrid/>
              <w:spacing w:line="600" w:lineRule="exact"/>
              <w:jc w:val="center"/>
              <w:textAlignment w:val="center"/>
              <w:rPr>
                <w:rFonts w:hint="eastAsia" w:ascii="方正仿宋简体" w:hAnsi="方正仿宋简体" w:eastAsia="方正仿宋简体" w:cs="方正仿宋简体"/>
                <w:sz w:val="24"/>
                <w:szCs w:val="24"/>
                <w:u w:val="none"/>
              </w:rPr>
            </w:pPr>
          </w:p>
        </w:tc>
        <w:tc>
          <w:tcPr>
            <w:tcW w:w="2633" w:type="dxa"/>
            <w:noWrap w:val="0"/>
            <w:vAlign w:val="center"/>
          </w:tcPr>
          <w:p w14:paraId="773A9C84">
            <w:pPr>
              <w:keepNext w:val="0"/>
              <w:keepLines w:val="0"/>
              <w:pageBreakBefore w:val="0"/>
              <w:widowControl/>
              <w:suppressLineNumbers w:val="0"/>
              <w:kinsoku/>
              <w:wordWrap/>
              <w:overflowPunct/>
              <w:topLinePunct w:val="0"/>
              <w:autoSpaceDE/>
              <w:autoSpaceDN/>
              <w:bidi w:val="0"/>
              <w:adjustRightInd/>
              <w:snapToGrid/>
              <w:spacing w:line="600" w:lineRule="exact"/>
              <w:jc w:val="center"/>
              <w:textAlignment w:val="center"/>
              <w:rPr>
                <w:rFonts w:hint="eastAsia" w:ascii="方正仿宋简体" w:hAnsi="方正仿宋简体" w:eastAsia="方正仿宋简体" w:cs="方正仿宋简体"/>
                <w:sz w:val="24"/>
                <w:szCs w:val="24"/>
                <w:u w:val="none"/>
              </w:rPr>
            </w:pPr>
          </w:p>
        </w:tc>
        <w:tc>
          <w:tcPr>
            <w:tcW w:w="1284" w:type="dxa"/>
            <w:vMerge w:val="restart"/>
            <w:noWrap w:val="0"/>
            <w:vAlign w:val="center"/>
          </w:tcPr>
          <w:p w14:paraId="3F99F957">
            <w:pPr>
              <w:keepNext w:val="0"/>
              <w:keepLines w:val="0"/>
              <w:pageBreakBefore w:val="0"/>
              <w:widowControl/>
              <w:suppressLineNumbers w:val="0"/>
              <w:kinsoku/>
              <w:wordWrap/>
              <w:overflowPunct/>
              <w:topLinePunct w:val="0"/>
              <w:autoSpaceDE/>
              <w:autoSpaceDN/>
              <w:bidi w:val="0"/>
              <w:adjustRightInd/>
              <w:snapToGrid/>
              <w:spacing w:line="600" w:lineRule="exact"/>
              <w:jc w:val="center"/>
              <w:textAlignment w:val="center"/>
              <w:rPr>
                <w:rFonts w:hint="eastAsia" w:ascii="方正仿宋简体" w:hAnsi="方正仿宋简体" w:eastAsia="方正仿宋简体" w:cs="方正仿宋简体"/>
                <w:sz w:val="24"/>
                <w:szCs w:val="24"/>
                <w:u w:val="none"/>
              </w:rPr>
            </w:pPr>
          </w:p>
        </w:tc>
      </w:tr>
      <w:tr w14:paraId="485A56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0" w:hRule="atLeast"/>
        </w:trPr>
        <w:tc>
          <w:tcPr>
            <w:tcW w:w="3900" w:type="dxa"/>
            <w:noWrap w:val="0"/>
            <w:vAlign w:val="center"/>
          </w:tcPr>
          <w:p w14:paraId="72D84599">
            <w:pPr>
              <w:keepNext w:val="0"/>
              <w:keepLines w:val="0"/>
              <w:pageBreakBefore w:val="0"/>
              <w:widowControl/>
              <w:suppressLineNumbers w:val="0"/>
              <w:kinsoku/>
              <w:wordWrap/>
              <w:overflowPunct/>
              <w:topLinePunct w:val="0"/>
              <w:autoSpaceDE/>
              <w:autoSpaceDN/>
              <w:bidi w:val="0"/>
              <w:adjustRightInd/>
              <w:snapToGrid/>
              <w:spacing w:line="600" w:lineRule="exact"/>
              <w:jc w:val="center"/>
              <w:textAlignment w:val="center"/>
              <w:rPr>
                <w:rFonts w:hint="eastAsia" w:ascii="方正仿宋简体" w:hAnsi="方正仿宋简体" w:eastAsia="方正仿宋简体" w:cs="方正仿宋简体"/>
                <w:sz w:val="24"/>
                <w:szCs w:val="24"/>
                <w:u w:val="none"/>
              </w:rPr>
            </w:pPr>
            <w:r>
              <w:rPr>
                <w:rFonts w:hint="eastAsia" w:ascii="方正仿宋简体" w:hAnsi="方正仿宋简体" w:eastAsia="方正仿宋简体" w:cs="方正仿宋简体"/>
                <w:sz w:val="24"/>
                <w:szCs w:val="24"/>
                <w:u w:val="none"/>
              </w:rPr>
              <w:t>叉车智慧监控系统安装</w:t>
            </w:r>
            <w:r>
              <w:rPr>
                <w:rFonts w:hint="eastAsia" w:ascii="方正仿宋简体" w:hAnsi="方正仿宋简体" w:eastAsia="方正仿宋简体" w:cs="方正仿宋简体"/>
                <w:sz w:val="24"/>
                <w:szCs w:val="24"/>
                <w:u w:val="none"/>
                <w:lang w:eastAsia="zh-CN"/>
              </w:rPr>
              <w:t>及配套服务</w:t>
            </w:r>
          </w:p>
        </w:tc>
        <w:tc>
          <w:tcPr>
            <w:tcW w:w="1467" w:type="dxa"/>
            <w:noWrap w:val="0"/>
            <w:vAlign w:val="center"/>
          </w:tcPr>
          <w:p w14:paraId="081D85D2">
            <w:pPr>
              <w:keepNext w:val="0"/>
              <w:keepLines w:val="0"/>
              <w:pageBreakBefore w:val="0"/>
              <w:widowControl/>
              <w:suppressLineNumbers w:val="0"/>
              <w:kinsoku/>
              <w:wordWrap/>
              <w:overflowPunct/>
              <w:topLinePunct w:val="0"/>
              <w:autoSpaceDE/>
              <w:autoSpaceDN/>
              <w:bidi w:val="0"/>
              <w:adjustRightInd/>
              <w:snapToGrid/>
              <w:spacing w:line="600" w:lineRule="exact"/>
              <w:jc w:val="center"/>
              <w:textAlignment w:val="center"/>
              <w:rPr>
                <w:rFonts w:hint="default" w:ascii="方正仿宋简体" w:hAnsi="方正仿宋简体" w:eastAsia="方正仿宋简体" w:cs="方正仿宋简体"/>
                <w:sz w:val="24"/>
                <w:szCs w:val="24"/>
                <w:u w:val="none"/>
                <w:lang w:val="en-US" w:eastAsia="zh-CN"/>
              </w:rPr>
            </w:pPr>
            <w:r>
              <w:rPr>
                <w:rFonts w:hint="eastAsia" w:ascii="方正仿宋简体" w:hAnsi="方正仿宋简体" w:eastAsia="方正仿宋简体" w:cs="方正仿宋简体"/>
                <w:sz w:val="24"/>
                <w:szCs w:val="24"/>
                <w:u w:val="none"/>
                <w:lang w:val="en-US" w:eastAsia="zh-CN"/>
              </w:rPr>
              <w:t>1（防爆）</w:t>
            </w:r>
          </w:p>
        </w:tc>
        <w:tc>
          <w:tcPr>
            <w:tcW w:w="1450" w:type="dxa"/>
            <w:noWrap w:val="0"/>
            <w:vAlign w:val="center"/>
          </w:tcPr>
          <w:p w14:paraId="146CF24A">
            <w:pPr>
              <w:keepNext w:val="0"/>
              <w:keepLines w:val="0"/>
              <w:pageBreakBefore w:val="0"/>
              <w:widowControl/>
              <w:suppressLineNumbers w:val="0"/>
              <w:kinsoku/>
              <w:wordWrap/>
              <w:overflowPunct/>
              <w:topLinePunct w:val="0"/>
              <w:autoSpaceDE/>
              <w:autoSpaceDN/>
              <w:bidi w:val="0"/>
              <w:adjustRightInd/>
              <w:snapToGrid/>
              <w:spacing w:line="600" w:lineRule="exact"/>
              <w:jc w:val="center"/>
              <w:textAlignment w:val="center"/>
              <w:rPr>
                <w:rFonts w:hint="eastAsia" w:ascii="方正仿宋简体" w:hAnsi="方正仿宋简体" w:eastAsia="方正仿宋简体" w:cs="方正仿宋简体"/>
                <w:sz w:val="24"/>
                <w:szCs w:val="24"/>
                <w:u w:val="none"/>
              </w:rPr>
            </w:pPr>
          </w:p>
        </w:tc>
        <w:tc>
          <w:tcPr>
            <w:tcW w:w="2633" w:type="dxa"/>
            <w:noWrap w:val="0"/>
            <w:vAlign w:val="center"/>
          </w:tcPr>
          <w:p w14:paraId="5DDED581">
            <w:pPr>
              <w:keepNext w:val="0"/>
              <w:keepLines w:val="0"/>
              <w:pageBreakBefore w:val="0"/>
              <w:widowControl/>
              <w:suppressLineNumbers w:val="0"/>
              <w:kinsoku/>
              <w:wordWrap/>
              <w:overflowPunct/>
              <w:topLinePunct w:val="0"/>
              <w:autoSpaceDE/>
              <w:autoSpaceDN/>
              <w:bidi w:val="0"/>
              <w:adjustRightInd/>
              <w:snapToGrid/>
              <w:spacing w:line="600" w:lineRule="exact"/>
              <w:jc w:val="center"/>
              <w:textAlignment w:val="center"/>
              <w:rPr>
                <w:rFonts w:hint="eastAsia" w:ascii="方正仿宋简体" w:hAnsi="方正仿宋简体" w:eastAsia="方正仿宋简体" w:cs="方正仿宋简体"/>
                <w:sz w:val="24"/>
                <w:szCs w:val="24"/>
                <w:u w:val="none"/>
              </w:rPr>
            </w:pPr>
          </w:p>
        </w:tc>
        <w:tc>
          <w:tcPr>
            <w:tcW w:w="1284" w:type="dxa"/>
            <w:vMerge w:val="continue"/>
            <w:noWrap w:val="0"/>
            <w:vAlign w:val="center"/>
          </w:tcPr>
          <w:p w14:paraId="6B1306DA">
            <w:pPr>
              <w:keepNext w:val="0"/>
              <w:keepLines w:val="0"/>
              <w:pageBreakBefore w:val="0"/>
              <w:widowControl/>
              <w:suppressLineNumbers w:val="0"/>
              <w:kinsoku/>
              <w:wordWrap/>
              <w:overflowPunct/>
              <w:topLinePunct w:val="0"/>
              <w:autoSpaceDE/>
              <w:autoSpaceDN/>
              <w:bidi w:val="0"/>
              <w:adjustRightInd/>
              <w:snapToGrid/>
              <w:spacing w:line="600" w:lineRule="exact"/>
              <w:jc w:val="center"/>
              <w:textAlignment w:val="center"/>
              <w:rPr>
                <w:rFonts w:hint="eastAsia" w:ascii="方正仿宋简体" w:hAnsi="方正仿宋简体" w:eastAsia="方正仿宋简体" w:cs="方正仿宋简体"/>
                <w:sz w:val="24"/>
                <w:szCs w:val="24"/>
                <w:u w:val="none"/>
              </w:rPr>
            </w:pPr>
          </w:p>
        </w:tc>
      </w:tr>
      <w:tr w14:paraId="7424ED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0" w:hRule="atLeast"/>
        </w:trPr>
        <w:tc>
          <w:tcPr>
            <w:tcW w:w="10734" w:type="dxa"/>
            <w:gridSpan w:val="5"/>
            <w:noWrap w:val="0"/>
            <w:vAlign w:val="center"/>
          </w:tcPr>
          <w:p w14:paraId="4CBFFAF8">
            <w:pPr>
              <w:keepNext w:val="0"/>
              <w:keepLines w:val="0"/>
              <w:pageBreakBefore w:val="0"/>
              <w:widowControl/>
              <w:suppressLineNumbers w:val="0"/>
              <w:kinsoku/>
              <w:wordWrap/>
              <w:overflowPunct/>
              <w:topLinePunct w:val="0"/>
              <w:autoSpaceDE/>
              <w:autoSpaceDN/>
              <w:bidi w:val="0"/>
              <w:adjustRightInd/>
              <w:snapToGrid/>
              <w:spacing w:line="600" w:lineRule="exact"/>
              <w:jc w:val="left"/>
              <w:textAlignment w:val="center"/>
              <w:rPr>
                <w:rFonts w:hint="eastAsia" w:ascii="方正仿宋简体" w:hAnsi="方正仿宋简体" w:eastAsia="方正仿宋简体" w:cs="方正仿宋简体"/>
                <w:sz w:val="24"/>
                <w:szCs w:val="24"/>
                <w:u w:val="none"/>
              </w:rPr>
            </w:pPr>
            <w:r>
              <w:rPr>
                <w:rFonts w:hint="eastAsia" w:ascii="方正仿宋简体" w:hAnsi="方正仿宋简体" w:eastAsia="方正仿宋简体" w:cs="方正仿宋简体"/>
                <w:i w:val="0"/>
                <w:iCs w:val="0"/>
                <w:color w:val="000000"/>
                <w:kern w:val="0"/>
                <w:sz w:val="28"/>
                <w:szCs w:val="28"/>
                <w:u w:val="none"/>
                <w:lang w:val="en-US" w:eastAsia="zh-CN" w:bidi="ar"/>
              </w:rPr>
              <w:t>以上合计总投标价（小写）：</w:t>
            </w:r>
          </w:p>
        </w:tc>
      </w:tr>
    </w:tbl>
    <w:p w14:paraId="628A3822">
      <w:pPr>
        <w:keepNext w:val="0"/>
        <w:keepLines w:val="0"/>
        <w:pageBreakBefore w:val="0"/>
        <w:widowControl w:val="0"/>
        <w:kinsoku/>
        <w:wordWrap/>
        <w:overflowPunct/>
        <w:topLinePunct w:val="0"/>
        <w:autoSpaceDE/>
        <w:autoSpaceDN/>
        <w:bidi w:val="0"/>
        <w:adjustRightInd/>
        <w:snapToGrid/>
        <w:spacing w:line="600" w:lineRule="exact"/>
        <w:ind w:firstLine="640" w:firstLineChars="200"/>
        <w:jc w:val="left"/>
        <w:textAlignment w:val="auto"/>
        <w:rPr>
          <w:rFonts w:hint="eastAsia" w:ascii="方正仿宋简体" w:hAnsi="方正仿宋简体" w:eastAsia="方正仿宋简体" w:cs="方正仿宋简体"/>
          <w:sz w:val="32"/>
          <w:szCs w:val="32"/>
        </w:rPr>
      </w:pPr>
      <w:r>
        <w:rPr>
          <w:rFonts w:hint="eastAsia" w:ascii="方正仿宋简体" w:hAnsi="方正仿宋简体" w:eastAsia="方正仿宋简体" w:cs="方正仿宋简体"/>
          <w:sz w:val="32"/>
          <w:szCs w:val="32"/>
        </w:rPr>
        <w:t>按报价格式进行填报，每格均需填报。</w:t>
      </w:r>
    </w:p>
    <w:p w14:paraId="433439B4">
      <w:pPr>
        <w:pStyle w:val="7"/>
        <w:keepNext w:val="0"/>
        <w:keepLines w:val="0"/>
        <w:pageBreakBefore w:val="0"/>
        <w:numPr>
          <w:ilvl w:val="0"/>
          <w:numId w:val="0"/>
        </w:numPr>
        <w:kinsoku/>
        <w:wordWrap/>
        <w:overflowPunct/>
        <w:topLinePunct w:val="0"/>
        <w:autoSpaceDE/>
        <w:autoSpaceDN/>
        <w:bidi w:val="0"/>
        <w:adjustRightInd/>
        <w:snapToGrid/>
        <w:spacing w:after="0" w:line="600" w:lineRule="exact"/>
        <w:ind w:firstLine="640" w:firstLineChars="200"/>
        <w:rPr>
          <w:rFonts w:hint="eastAsia" w:ascii="方正仿宋简体" w:hAnsi="方正仿宋简体" w:eastAsia="方正仿宋简体" w:cs="方正仿宋简体"/>
          <w:bCs/>
          <w:color w:val="auto"/>
          <w:kern w:val="1"/>
          <w:sz w:val="32"/>
          <w:szCs w:val="32"/>
          <w:u w:val="none"/>
          <w:lang w:val="en-US" w:eastAsia="zh-CN" w:bidi="ar-SA"/>
        </w:rPr>
      </w:pPr>
      <w:r>
        <w:rPr>
          <w:rFonts w:hint="eastAsia" w:ascii="方正仿宋简体" w:hAnsi="方正仿宋简体" w:eastAsia="方正仿宋简体" w:cs="方正仿宋简体"/>
          <w:bCs/>
          <w:color w:val="auto"/>
          <w:kern w:val="1"/>
          <w:sz w:val="32"/>
          <w:szCs w:val="32"/>
          <w:lang w:val="en-US" w:eastAsia="zh-CN" w:bidi="ar-SA"/>
        </w:rPr>
        <w:t>三、</w:t>
      </w:r>
      <w:r>
        <w:rPr>
          <w:rFonts w:hint="eastAsia" w:ascii="方正仿宋简体" w:hAnsi="方正仿宋简体" w:eastAsia="方正仿宋简体" w:cs="方正仿宋简体"/>
          <w:kern w:val="1"/>
          <w:sz w:val="32"/>
          <w:szCs w:val="32"/>
          <w:lang w:eastAsia="zh-CN"/>
        </w:rPr>
        <w:t>施工</w:t>
      </w:r>
      <w:r>
        <w:rPr>
          <w:rFonts w:hint="eastAsia" w:ascii="方正仿宋简体" w:hAnsi="方正仿宋简体" w:eastAsia="方正仿宋简体" w:cs="方正仿宋简体"/>
          <w:kern w:val="1"/>
          <w:sz w:val="32"/>
          <w:szCs w:val="32"/>
        </w:rPr>
        <w:t>时间：</w:t>
      </w:r>
      <w:r>
        <w:rPr>
          <w:rFonts w:hint="eastAsia" w:ascii="方正仿宋简体" w:hAnsi="方正仿宋简体" w:eastAsia="方正仿宋简体" w:cs="方正仿宋简体"/>
          <w:sz w:val="32"/>
          <w:szCs w:val="32"/>
          <w:u w:val="single"/>
        </w:rPr>
        <w:t>合同签订且</w:t>
      </w:r>
      <w:r>
        <w:rPr>
          <w:rFonts w:hint="eastAsia" w:ascii="方正仿宋简体" w:hAnsi="方正仿宋简体" w:eastAsia="方正仿宋简体" w:cs="方正仿宋简体"/>
          <w:sz w:val="32"/>
          <w:szCs w:val="32"/>
          <w:u w:val="single"/>
          <w:lang w:eastAsia="zh-CN"/>
        </w:rPr>
        <w:t>招标方</w:t>
      </w:r>
      <w:r>
        <w:rPr>
          <w:rFonts w:hint="eastAsia" w:ascii="方正仿宋简体" w:hAnsi="方正仿宋简体" w:eastAsia="方正仿宋简体" w:cs="方正仿宋简体"/>
          <w:sz w:val="32"/>
          <w:szCs w:val="32"/>
          <w:u w:val="single"/>
        </w:rPr>
        <w:t>具备施工条件</w:t>
      </w:r>
      <w:r>
        <w:rPr>
          <w:rFonts w:hint="eastAsia" w:ascii="方正仿宋简体" w:hAnsi="方正仿宋简体" w:eastAsia="方正仿宋简体" w:cs="方正仿宋简体"/>
          <w:sz w:val="32"/>
          <w:szCs w:val="32"/>
          <w:u w:val="single"/>
          <w:lang w:eastAsia="zh-CN"/>
        </w:rPr>
        <w:t>后</w:t>
      </w:r>
      <w:r>
        <w:rPr>
          <w:rFonts w:hint="eastAsia" w:ascii="方正仿宋简体" w:hAnsi="方正仿宋简体" w:eastAsia="方正仿宋简体" w:cs="方正仿宋简体"/>
          <w:color w:val="FF0000"/>
          <w:sz w:val="32"/>
          <w:szCs w:val="32"/>
          <w:highlight w:val="none"/>
          <w:u w:val="single"/>
          <w:lang w:val="en-US" w:eastAsia="zh-CN"/>
        </w:rPr>
        <w:t>20</w:t>
      </w:r>
      <w:r>
        <w:rPr>
          <w:rFonts w:hint="eastAsia" w:ascii="方正仿宋简体" w:hAnsi="方正仿宋简体" w:eastAsia="方正仿宋简体" w:cs="方正仿宋简体"/>
          <w:color w:val="FF0000"/>
          <w:sz w:val="32"/>
          <w:szCs w:val="32"/>
          <w:highlight w:val="none"/>
          <w:u w:val="single"/>
        </w:rPr>
        <w:t>天内</w:t>
      </w:r>
      <w:r>
        <w:rPr>
          <w:rFonts w:hint="eastAsia" w:ascii="方正仿宋简体" w:hAnsi="方正仿宋简体" w:eastAsia="方正仿宋简体" w:cs="方正仿宋简体"/>
          <w:sz w:val="32"/>
          <w:szCs w:val="32"/>
          <w:u w:val="single"/>
          <w:lang w:eastAsia="zh-CN"/>
        </w:rPr>
        <w:t>完成</w:t>
      </w:r>
      <w:r>
        <w:rPr>
          <w:rFonts w:hint="eastAsia" w:ascii="方正仿宋简体" w:hAnsi="方正仿宋简体" w:eastAsia="方正仿宋简体" w:cs="方正仿宋简体"/>
          <w:bCs/>
          <w:color w:val="auto"/>
          <w:kern w:val="1"/>
          <w:sz w:val="32"/>
          <w:szCs w:val="32"/>
          <w:u w:val="none"/>
          <w:lang w:val="en-US" w:eastAsia="zh-CN" w:bidi="ar-SA"/>
        </w:rPr>
        <w:t>。</w:t>
      </w:r>
    </w:p>
    <w:p w14:paraId="3D48AAA0">
      <w:pPr>
        <w:keepNext w:val="0"/>
        <w:keepLines w:val="0"/>
        <w:pageBreakBefore w:val="0"/>
        <w:widowControl w:val="0"/>
        <w:kinsoku/>
        <w:wordWrap/>
        <w:overflowPunct/>
        <w:topLinePunct w:val="0"/>
        <w:autoSpaceDE/>
        <w:autoSpaceDN/>
        <w:bidi w:val="0"/>
        <w:adjustRightInd/>
        <w:snapToGrid/>
        <w:spacing w:line="600" w:lineRule="exact"/>
        <w:ind w:left="0" w:leftChars="0" w:firstLine="640" w:firstLineChars="200"/>
        <w:jc w:val="both"/>
        <w:textAlignment w:val="auto"/>
        <w:rPr>
          <w:rFonts w:hint="default" w:ascii="方正仿宋简体" w:hAnsi="方正仿宋简体" w:eastAsia="方正仿宋简体" w:cs="方正仿宋简体"/>
          <w:kern w:val="1"/>
          <w:sz w:val="32"/>
          <w:szCs w:val="32"/>
          <w:u w:val="single"/>
          <w:lang w:val="en-US" w:eastAsia="zh-CN" w:bidi="ar-SA"/>
        </w:rPr>
      </w:pPr>
      <w:r>
        <w:rPr>
          <w:rFonts w:hint="eastAsia" w:ascii="方正仿宋简体" w:hAnsi="方正仿宋简体" w:eastAsia="方正仿宋简体" w:cs="方正仿宋简体"/>
          <w:kern w:val="1"/>
          <w:sz w:val="32"/>
          <w:szCs w:val="32"/>
          <w:u w:val="none"/>
          <w:lang w:val="en-US" w:eastAsia="zh-CN" w:bidi="ar-SA"/>
        </w:rPr>
        <w:t>四、服务时间：</w:t>
      </w:r>
      <w:r>
        <w:rPr>
          <w:rFonts w:hint="eastAsia" w:ascii="方正仿宋简体" w:hAnsi="方正仿宋简体" w:eastAsia="方正仿宋简体" w:cs="方正仿宋简体"/>
          <w:kern w:val="2"/>
          <w:sz w:val="32"/>
          <w:szCs w:val="32"/>
          <w:u w:val="single"/>
          <w:lang w:val="en-US" w:eastAsia="zh-CN"/>
        </w:rPr>
        <w:t>叉车智慧终端安装验收合格之日起</w:t>
      </w:r>
      <w:r>
        <w:rPr>
          <w:rFonts w:hint="eastAsia" w:ascii="方正仿宋简体" w:hAnsi="方正仿宋简体" w:eastAsia="方正仿宋简体" w:cs="方正仿宋简体"/>
          <w:color w:val="auto"/>
          <w:kern w:val="2"/>
          <w:sz w:val="30"/>
          <w:szCs w:val="30"/>
          <w:u w:val="single"/>
          <w:lang w:val="en-US" w:eastAsia="zh-CN" w:bidi="ar"/>
        </w:rPr>
        <w:t>，提供</w:t>
      </w:r>
      <w:r>
        <w:rPr>
          <w:rFonts w:hint="eastAsia" w:ascii="方正仿宋简体" w:hAnsi="方正仿宋简体" w:eastAsia="方正仿宋简体" w:cs="方正仿宋简体"/>
          <w:color w:val="FF0000"/>
          <w:kern w:val="2"/>
          <w:sz w:val="30"/>
          <w:szCs w:val="30"/>
          <w:u w:val="single"/>
          <w:lang w:val="en-US" w:eastAsia="zh-CN" w:bidi="ar"/>
        </w:rPr>
        <w:t>3年</w:t>
      </w:r>
      <w:r>
        <w:rPr>
          <w:rFonts w:hint="eastAsia" w:ascii="方正仿宋简体" w:hAnsi="方正仿宋简体" w:eastAsia="方正仿宋简体" w:cs="方正仿宋简体"/>
          <w:color w:val="auto"/>
          <w:kern w:val="2"/>
          <w:sz w:val="30"/>
          <w:szCs w:val="30"/>
          <w:u w:val="single"/>
          <w:lang w:val="en-US" w:eastAsia="zh-CN" w:bidi="ar"/>
        </w:rPr>
        <w:t>服务</w:t>
      </w:r>
      <w:r>
        <w:rPr>
          <w:rFonts w:hint="eastAsia" w:ascii="方正仿宋简体" w:hAnsi="方正仿宋简体" w:eastAsia="方正仿宋简体" w:cs="方正仿宋简体"/>
          <w:color w:val="auto"/>
          <w:kern w:val="2"/>
          <w:sz w:val="30"/>
          <w:szCs w:val="30"/>
          <w:u w:val="none"/>
          <w:lang w:val="en-US" w:eastAsia="zh-CN" w:bidi="ar"/>
        </w:rPr>
        <w:t>。</w:t>
      </w:r>
    </w:p>
    <w:p w14:paraId="744B99D2">
      <w:pPr>
        <w:keepNext w:val="0"/>
        <w:keepLines w:val="0"/>
        <w:pageBreakBefore w:val="0"/>
        <w:kinsoku/>
        <w:wordWrap/>
        <w:overflowPunct/>
        <w:topLinePunct w:val="0"/>
        <w:autoSpaceDE/>
        <w:autoSpaceDN/>
        <w:bidi w:val="0"/>
        <w:adjustRightInd/>
        <w:snapToGrid/>
        <w:spacing w:line="600" w:lineRule="exact"/>
        <w:ind w:firstLine="640" w:firstLineChars="200"/>
        <w:jc w:val="left"/>
        <w:rPr>
          <w:rFonts w:hint="eastAsia" w:ascii="方正仿宋简体" w:hAnsi="方正仿宋简体" w:eastAsia="方正仿宋简体" w:cs="方正仿宋简体"/>
          <w:kern w:val="1"/>
          <w:sz w:val="32"/>
          <w:szCs w:val="32"/>
          <w:lang w:eastAsia="zh-CN"/>
        </w:rPr>
      </w:pPr>
      <w:r>
        <w:rPr>
          <w:rFonts w:hint="eastAsia" w:ascii="方正仿宋简体" w:hAnsi="方正仿宋简体" w:eastAsia="方正仿宋简体" w:cs="方正仿宋简体"/>
          <w:kern w:val="1"/>
          <w:sz w:val="32"/>
          <w:szCs w:val="32"/>
          <w:lang w:eastAsia="zh-CN"/>
        </w:rPr>
        <w:t>五、</w:t>
      </w:r>
      <w:r>
        <w:rPr>
          <w:rFonts w:hint="eastAsia" w:ascii="方正仿宋简体" w:hAnsi="方正仿宋简体" w:eastAsia="方正仿宋简体" w:cs="方正仿宋简体"/>
          <w:kern w:val="1"/>
          <w:sz w:val="32"/>
          <w:szCs w:val="32"/>
        </w:rPr>
        <w:t>我方承诺遵守招标文件中的全部规定</w:t>
      </w:r>
      <w:r>
        <w:rPr>
          <w:rFonts w:hint="eastAsia" w:ascii="方正仿宋简体" w:hAnsi="方正仿宋简体" w:eastAsia="方正仿宋简体" w:cs="方正仿宋简体"/>
          <w:kern w:val="1"/>
          <w:sz w:val="32"/>
          <w:szCs w:val="32"/>
          <w:lang w:eastAsia="zh-CN"/>
        </w:rPr>
        <w:t>。</w:t>
      </w:r>
    </w:p>
    <w:p w14:paraId="7EA5CF91">
      <w:pPr>
        <w:keepNext w:val="0"/>
        <w:keepLines w:val="0"/>
        <w:pageBreakBefore w:val="0"/>
        <w:kinsoku/>
        <w:wordWrap/>
        <w:overflowPunct/>
        <w:topLinePunct w:val="0"/>
        <w:autoSpaceDE/>
        <w:autoSpaceDN/>
        <w:bidi w:val="0"/>
        <w:adjustRightInd/>
        <w:snapToGrid/>
        <w:spacing w:line="600" w:lineRule="exact"/>
        <w:ind w:firstLine="640" w:firstLineChars="200"/>
        <w:jc w:val="left"/>
        <w:rPr>
          <w:rFonts w:hint="eastAsia" w:ascii="方正仿宋简体" w:hAnsi="方正仿宋简体" w:eastAsia="方正仿宋简体" w:cs="方正仿宋简体"/>
          <w:bCs/>
          <w:kern w:val="1"/>
          <w:sz w:val="32"/>
          <w:szCs w:val="32"/>
          <w:lang w:eastAsia="zh-CN"/>
        </w:rPr>
      </w:pPr>
      <w:r>
        <w:rPr>
          <w:rFonts w:hint="eastAsia" w:ascii="方正仿宋简体" w:hAnsi="方正仿宋简体" w:eastAsia="方正仿宋简体" w:cs="方正仿宋简体"/>
          <w:bCs/>
          <w:kern w:val="1"/>
          <w:sz w:val="32"/>
          <w:szCs w:val="32"/>
          <w:lang w:eastAsia="zh-CN"/>
        </w:rPr>
        <w:t>六、</w:t>
      </w:r>
      <w:r>
        <w:rPr>
          <w:rFonts w:hint="eastAsia" w:ascii="方正仿宋简体" w:hAnsi="方正仿宋简体" w:eastAsia="方正仿宋简体" w:cs="方正仿宋简体"/>
          <w:bCs/>
          <w:kern w:val="1"/>
          <w:sz w:val="32"/>
          <w:szCs w:val="32"/>
        </w:rPr>
        <w:t>我方承诺中标后双方签订合同,并承担合同规定的责任义务</w:t>
      </w:r>
      <w:r>
        <w:rPr>
          <w:rFonts w:hint="eastAsia" w:ascii="方正仿宋简体" w:hAnsi="方正仿宋简体" w:eastAsia="方正仿宋简体" w:cs="方正仿宋简体"/>
          <w:bCs/>
          <w:kern w:val="1"/>
          <w:sz w:val="32"/>
          <w:szCs w:val="32"/>
          <w:lang w:eastAsia="zh-CN"/>
        </w:rPr>
        <w:t>。</w:t>
      </w:r>
    </w:p>
    <w:p w14:paraId="172352D0">
      <w:pPr>
        <w:keepNext w:val="0"/>
        <w:keepLines w:val="0"/>
        <w:pageBreakBefore w:val="0"/>
        <w:kinsoku/>
        <w:wordWrap/>
        <w:overflowPunct/>
        <w:topLinePunct w:val="0"/>
        <w:autoSpaceDE/>
        <w:autoSpaceDN/>
        <w:bidi w:val="0"/>
        <w:adjustRightInd/>
        <w:snapToGrid/>
        <w:spacing w:line="600" w:lineRule="exact"/>
        <w:ind w:firstLine="640" w:firstLineChars="200"/>
        <w:jc w:val="left"/>
        <w:rPr>
          <w:rFonts w:hint="eastAsia" w:ascii="方正仿宋简体" w:hAnsi="方正仿宋简体" w:eastAsia="方正仿宋简体" w:cs="方正仿宋简体"/>
          <w:bCs/>
          <w:kern w:val="1"/>
          <w:sz w:val="32"/>
          <w:szCs w:val="32"/>
          <w:lang w:eastAsia="zh-CN"/>
        </w:rPr>
      </w:pPr>
      <w:r>
        <w:rPr>
          <w:rFonts w:hint="eastAsia" w:ascii="方正仿宋简体" w:hAnsi="方正仿宋简体" w:eastAsia="方正仿宋简体" w:cs="方正仿宋简体"/>
          <w:sz w:val="32"/>
          <w:szCs w:val="32"/>
          <w:shd w:val="clear" w:color="auto" w:fill="FFFFFF"/>
          <w:lang w:eastAsia="zh-CN"/>
        </w:rPr>
        <w:t>七、</w:t>
      </w:r>
      <w:r>
        <w:rPr>
          <w:rFonts w:hint="eastAsia" w:ascii="方正仿宋简体" w:hAnsi="方正仿宋简体" w:eastAsia="方正仿宋简体" w:cs="方正仿宋简体"/>
          <w:sz w:val="32"/>
          <w:szCs w:val="32"/>
          <w:shd w:val="clear" w:color="auto" w:fill="FFFFFF"/>
        </w:rPr>
        <w:t>我方已详细审查全部招标文件，包括招标文件的补充文件（如有）。我方完全理解并同意放弃对这方面有不明及误解的权力，同时完全接受招标文件所有条款。如果招标文件有相互矛盾之处，我方同意按招标方的解释处理</w:t>
      </w:r>
      <w:r>
        <w:rPr>
          <w:rFonts w:hint="eastAsia" w:ascii="方正仿宋简体" w:hAnsi="方正仿宋简体" w:eastAsia="方正仿宋简体" w:cs="方正仿宋简体"/>
          <w:sz w:val="32"/>
          <w:szCs w:val="32"/>
          <w:shd w:val="clear" w:color="auto" w:fill="FFFFFF"/>
          <w:lang w:eastAsia="zh-CN"/>
        </w:rPr>
        <w:t>。</w:t>
      </w:r>
    </w:p>
    <w:p w14:paraId="4A62B21F">
      <w:pPr>
        <w:keepNext w:val="0"/>
        <w:keepLines w:val="0"/>
        <w:pageBreakBefore w:val="0"/>
        <w:kinsoku/>
        <w:wordWrap/>
        <w:overflowPunct/>
        <w:topLinePunct w:val="0"/>
        <w:autoSpaceDE/>
        <w:autoSpaceDN/>
        <w:bidi w:val="0"/>
        <w:adjustRightInd/>
        <w:snapToGrid/>
        <w:spacing w:line="600" w:lineRule="exact"/>
        <w:ind w:firstLine="640" w:firstLineChars="200"/>
        <w:jc w:val="left"/>
        <w:rPr>
          <w:rFonts w:hint="eastAsia" w:ascii="方正仿宋简体" w:hAnsi="方正仿宋简体" w:eastAsia="方正仿宋简体" w:cs="方正仿宋简体"/>
          <w:sz w:val="32"/>
          <w:szCs w:val="32"/>
          <w:shd w:val="clear" w:color="auto" w:fill="FFFFFF"/>
        </w:rPr>
      </w:pPr>
      <w:r>
        <w:rPr>
          <w:rFonts w:hint="eastAsia" w:ascii="方正仿宋简体" w:hAnsi="方正仿宋简体" w:eastAsia="方正仿宋简体" w:cs="方正仿宋简体"/>
          <w:bCs/>
          <w:kern w:val="1"/>
          <w:sz w:val="32"/>
          <w:szCs w:val="32"/>
          <w:lang w:eastAsia="zh-CN"/>
        </w:rPr>
        <w:t>八、</w:t>
      </w:r>
      <w:r>
        <w:rPr>
          <w:rFonts w:hint="eastAsia" w:ascii="方正仿宋简体" w:hAnsi="方正仿宋简体" w:eastAsia="方正仿宋简体" w:cs="方正仿宋简体"/>
          <w:bCs/>
          <w:kern w:val="1"/>
          <w:sz w:val="32"/>
          <w:szCs w:val="32"/>
        </w:rPr>
        <w:t>愿意向贵方提供任何与该项投标有关的数据、情况和技术资料，</w:t>
      </w:r>
      <w:r>
        <w:rPr>
          <w:rFonts w:hint="eastAsia" w:ascii="方正仿宋简体" w:hAnsi="方正仿宋简体" w:eastAsia="方正仿宋简体" w:cs="方正仿宋简体"/>
          <w:sz w:val="32"/>
          <w:szCs w:val="32"/>
          <w:shd w:val="clear" w:color="auto" w:fill="FFFFFF"/>
        </w:rPr>
        <w:t>完全理解贵方不一定接受最低价的报价或收到的任何报价。</w:t>
      </w:r>
    </w:p>
    <w:p w14:paraId="33540BCE">
      <w:pPr>
        <w:pStyle w:val="7"/>
        <w:keepNext w:val="0"/>
        <w:keepLines w:val="0"/>
        <w:pageBreakBefore w:val="0"/>
        <w:kinsoku/>
        <w:wordWrap/>
        <w:overflowPunct/>
        <w:topLinePunct w:val="0"/>
        <w:autoSpaceDE/>
        <w:autoSpaceDN/>
        <w:bidi w:val="0"/>
        <w:adjustRightInd/>
        <w:snapToGrid/>
        <w:spacing w:after="0" w:line="600" w:lineRule="exact"/>
        <w:ind w:firstLine="640" w:firstLineChars="200"/>
        <w:rPr>
          <w:rFonts w:hint="eastAsia" w:ascii="方正仿宋简体" w:hAnsi="方正仿宋简体" w:eastAsia="方正仿宋简体" w:cs="方正仿宋简体"/>
          <w:color w:val="000000"/>
          <w:sz w:val="32"/>
          <w:szCs w:val="32"/>
        </w:rPr>
      </w:pPr>
      <w:r>
        <w:rPr>
          <w:rFonts w:hint="eastAsia" w:ascii="方正仿宋简体" w:hAnsi="方正仿宋简体" w:eastAsia="方正仿宋简体" w:cs="方正仿宋简体"/>
          <w:bCs/>
          <w:color w:val="000000"/>
          <w:kern w:val="1"/>
          <w:sz w:val="32"/>
          <w:szCs w:val="32"/>
          <w:lang w:eastAsia="zh-CN"/>
        </w:rPr>
        <w:t>九、</w:t>
      </w:r>
      <w:r>
        <w:rPr>
          <w:rFonts w:hint="eastAsia" w:ascii="方正仿宋简体" w:hAnsi="方正仿宋简体" w:eastAsia="方正仿宋简体" w:cs="方正仿宋简体"/>
          <w:bCs/>
          <w:color w:val="000000"/>
          <w:kern w:val="1"/>
          <w:sz w:val="32"/>
          <w:szCs w:val="32"/>
        </w:rPr>
        <w:t>投标单位其他说明情况：</w:t>
      </w:r>
      <w:r>
        <w:rPr>
          <w:rFonts w:hint="eastAsia" w:ascii="方正仿宋简体" w:hAnsi="方正仿宋简体" w:eastAsia="方正仿宋简体" w:cs="方正仿宋简体"/>
          <w:color w:val="000000"/>
          <w:kern w:val="1"/>
          <w:sz w:val="32"/>
          <w:szCs w:val="32"/>
          <w:u w:val="single"/>
        </w:rPr>
        <w:t xml:space="preserve">               </w:t>
      </w:r>
    </w:p>
    <w:p w14:paraId="10A513DA">
      <w:pPr>
        <w:keepNext w:val="0"/>
        <w:keepLines w:val="0"/>
        <w:pageBreakBefore w:val="0"/>
        <w:kinsoku/>
        <w:wordWrap/>
        <w:overflowPunct/>
        <w:topLinePunct w:val="0"/>
        <w:autoSpaceDE/>
        <w:autoSpaceDN/>
        <w:bidi w:val="0"/>
        <w:adjustRightInd/>
        <w:snapToGrid/>
        <w:spacing w:line="600" w:lineRule="exact"/>
        <w:jc w:val="left"/>
        <w:rPr>
          <w:rFonts w:hint="eastAsia" w:ascii="方正仿宋简体" w:hAnsi="方正仿宋简体" w:eastAsia="方正仿宋简体" w:cs="方正仿宋简体"/>
          <w:kern w:val="1"/>
          <w:sz w:val="32"/>
          <w:szCs w:val="32"/>
          <w:highlight w:val="none"/>
        </w:rPr>
      </w:pPr>
      <w:r>
        <w:rPr>
          <w:rFonts w:hint="eastAsia" w:ascii="方正仿宋简体" w:hAnsi="方正仿宋简体" w:eastAsia="方正仿宋简体" w:cs="方正仿宋简体"/>
          <w:kern w:val="1"/>
          <w:sz w:val="32"/>
          <w:szCs w:val="32"/>
          <w:highlight w:val="none"/>
        </w:rPr>
        <w:t>全权代表：</w:t>
      </w:r>
    </w:p>
    <w:p w14:paraId="6F275935">
      <w:pPr>
        <w:keepNext w:val="0"/>
        <w:keepLines w:val="0"/>
        <w:pageBreakBefore w:val="0"/>
        <w:kinsoku/>
        <w:wordWrap/>
        <w:overflowPunct/>
        <w:topLinePunct w:val="0"/>
        <w:autoSpaceDE/>
        <w:autoSpaceDN/>
        <w:bidi w:val="0"/>
        <w:adjustRightInd/>
        <w:snapToGrid/>
        <w:spacing w:line="600" w:lineRule="exact"/>
        <w:jc w:val="left"/>
        <w:rPr>
          <w:rFonts w:hint="eastAsia" w:ascii="方正仿宋简体" w:hAnsi="方正仿宋简体" w:eastAsia="方正仿宋简体" w:cs="方正仿宋简体"/>
          <w:kern w:val="1"/>
          <w:sz w:val="32"/>
          <w:szCs w:val="32"/>
        </w:rPr>
      </w:pPr>
      <w:r>
        <w:rPr>
          <w:rFonts w:hint="eastAsia" w:ascii="方正仿宋简体" w:hAnsi="方正仿宋简体" w:eastAsia="方正仿宋简体" w:cs="方正仿宋简体"/>
          <w:kern w:val="1"/>
          <w:sz w:val="32"/>
          <w:szCs w:val="32"/>
        </w:rPr>
        <w:t>联系电话：</w:t>
      </w:r>
    </w:p>
    <w:p w14:paraId="71DD199A">
      <w:pPr>
        <w:keepNext w:val="0"/>
        <w:keepLines w:val="0"/>
        <w:pageBreakBefore w:val="0"/>
        <w:kinsoku/>
        <w:wordWrap/>
        <w:overflowPunct/>
        <w:topLinePunct w:val="0"/>
        <w:autoSpaceDE/>
        <w:autoSpaceDN/>
        <w:bidi w:val="0"/>
        <w:adjustRightInd/>
        <w:snapToGrid/>
        <w:spacing w:line="600" w:lineRule="exact"/>
        <w:jc w:val="left"/>
        <w:rPr>
          <w:rFonts w:hint="eastAsia" w:ascii="方正仿宋简体" w:hAnsi="方正仿宋简体" w:eastAsia="方正仿宋简体" w:cs="方正仿宋简体"/>
          <w:kern w:val="1"/>
          <w:sz w:val="32"/>
          <w:szCs w:val="32"/>
        </w:rPr>
      </w:pPr>
      <w:r>
        <w:rPr>
          <w:rFonts w:hint="eastAsia" w:ascii="方正仿宋简体" w:hAnsi="方正仿宋简体" w:eastAsia="方正仿宋简体" w:cs="方正仿宋简体"/>
          <w:kern w:val="1"/>
          <w:sz w:val="32"/>
          <w:szCs w:val="32"/>
        </w:rPr>
        <w:t>投标单位（盖章）：</w:t>
      </w:r>
    </w:p>
    <w:p w14:paraId="54B302BC">
      <w:pPr>
        <w:keepNext w:val="0"/>
        <w:keepLines w:val="0"/>
        <w:pageBreakBefore w:val="0"/>
        <w:kinsoku/>
        <w:wordWrap/>
        <w:overflowPunct/>
        <w:topLinePunct w:val="0"/>
        <w:autoSpaceDE/>
        <w:autoSpaceDN/>
        <w:bidi w:val="0"/>
        <w:adjustRightInd/>
        <w:snapToGrid/>
        <w:spacing w:line="600" w:lineRule="exact"/>
        <w:jc w:val="left"/>
        <w:rPr>
          <w:rFonts w:hint="eastAsia" w:ascii="方正仿宋简体" w:hAnsi="方正仿宋简体" w:eastAsia="方正仿宋简体" w:cs="方正仿宋简体"/>
          <w:kern w:val="1"/>
          <w:sz w:val="32"/>
          <w:szCs w:val="32"/>
        </w:rPr>
      </w:pPr>
      <w:r>
        <w:rPr>
          <w:rFonts w:hint="eastAsia" w:ascii="方正仿宋简体" w:hAnsi="方正仿宋简体" w:eastAsia="方正仿宋简体" w:cs="方正仿宋简体"/>
          <w:kern w:val="1"/>
          <w:sz w:val="32"/>
          <w:szCs w:val="32"/>
        </w:rPr>
        <w:t>日期：</w:t>
      </w:r>
    </w:p>
    <w:p w14:paraId="6CE814A8">
      <w:pPr>
        <w:rPr>
          <w:rFonts w:hint="eastAsia" w:ascii="方正小标宋简体" w:hAnsi="宋体" w:eastAsia="方正小标宋简体" w:cs="宋体"/>
          <w:b/>
          <w:bCs/>
          <w:sz w:val="32"/>
          <w:szCs w:val="32"/>
        </w:rPr>
      </w:pPr>
    </w:p>
    <w:p w14:paraId="733612F7">
      <w:pPr>
        <w:rPr>
          <w:rFonts w:hint="eastAsia" w:ascii="方正小标宋简体" w:hAnsi="宋体" w:eastAsia="方正小标宋简体" w:cs="宋体"/>
          <w:b/>
          <w:bCs/>
          <w:sz w:val="32"/>
          <w:szCs w:val="32"/>
        </w:rPr>
      </w:pPr>
    </w:p>
    <w:p w14:paraId="6C7D1340">
      <w:pPr>
        <w:pStyle w:val="15"/>
        <w:rPr>
          <w:rFonts w:hint="eastAsia" w:ascii="方正小标宋简体" w:hAnsi="宋体" w:eastAsia="方正小标宋简体" w:cs="宋体"/>
          <w:b/>
          <w:bCs/>
          <w:sz w:val="32"/>
          <w:szCs w:val="32"/>
        </w:rPr>
      </w:pPr>
    </w:p>
    <w:p w14:paraId="7FCD45DD">
      <w:pPr>
        <w:pStyle w:val="15"/>
        <w:rPr>
          <w:rFonts w:hint="eastAsia" w:ascii="方正小标宋简体" w:hAnsi="宋体" w:eastAsia="方正小标宋简体" w:cs="宋体"/>
          <w:b/>
          <w:bCs/>
          <w:sz w:val="32"/>
          <w:szCs w:val="32"/>
        </w:rPr>
      </w:pPr>
    </w:p>
    <w:p w14:paraId="54522888">
      <w:pPr>
        <w:pStyle w:val="15"/>
        <w:rPr>
          <w:rFonts w:hint="eastAsia" w:ascii="方正小标宋简体" w:hAnsi="宋体" w:eastAsia="方正小标宋简体" w:cs="宋体"/>
          <w:b/>
          <w:bCs/>
          <w:sz w:val="32"/>
          <w:szCs w:val="32"/>
        </w:rPr>
      </w:pPr>
    </w:p>
    <w:p w14:paraId="3E389F63">
      <w:pPr>
        <w:pStyle w:val="15"/>
        <w:rPr>
          <w:rFonts w:hint="eastAsia" w:ascii="方正小标宋简体" w:hAnsi="宋体" w:eastAsia="方正小标宋简体" w:cs="宋体"/>
          <w:b/>
          <w:bCs/>
          <w:sz w:val="32"/>
          <w:szCs w:val="32"/>
        </w:rPr>
      </w:pPr>
    </w:p>
    <w:p w14:paraId="6CC53AC0">
      <w:pPr>
        <w:pStyle w:val="5"/>
        <w:ind w:left="0" w:leftChars="0" w:firstLine="0" w:firstLineChars="0"/>
        <w:rPr>
          <w:rFonts w:hint="eastAsia"/>
          <w:lang w:val="en-US" w:eastAsia="zh-CN"/>
        </w:rPr>
      </w:pPr>
    </w:p>
    <w:p w14:paraId="11DC1C02">
      <w:pPr>
        <w:pStyle w:val="5"/>
        <w:ind w:left="0" w:leftChars="0" w:firstLine="0" w:firstLineChars="0"/>
        <w:rPr>
          <w:rFonts w:hint="eastAsia"/>
          <w:lang w:val="en-US" w:eastAsia="zh-CN"/>
        </w:rPr>
      </w:pPr>
    </w:p>
    <w:p w14:paraId="7BBEFA98">
      <w:pPr>
        <w:pStyle w:val="14"/>
        <w:adjustRightInd w:val="0"/>
        <w:snapToGrid w:val="0"/>
        <w:spacing w:before="0" w:after="0" w:line="600" w:lineRule="exact"/>
        <w:jc w:val="both"/>
        <w:rPr>
          <w:rFonts w:hint="eastAsia" w:ascii="方正黑体_GBK" w:hAnsi="方正黑体_GBK" w:eastAsia="方正黑体_GBK" w:cs="方正黑体_GBK"/>
          <w:b w:val="0"/>
        </w:rPr>
      </w:pPr>
      <w:r>
        <w:rPr>
          <w:rFonts w:hint="eastAsia" w:ascii="方正黑体_GBK" w:hAnsi="方正黑体_GBK" w:eastAsia="方正黑体_GBK" w:cs="方正黑体_GBK"/>
          <w:b/>
          <w:bCs/>
          <w:kern w:val="0"/>
          <w:sz w:val="32"/>
          <w:szCs w:val="32"/>
          <w:lang w:val="en-US" w:eastAsia="zh-CN" w:bidi="ar-SA"/>
        </w:rPr>
        <w:t>附件：1.供应商管理</w:t>
      </w:r>
      <w:r>
        <w:rPr>
          <w:rFonts w:hint="eastAsia" w:ascii="方正黑体_GBK" w:hAnsi="方正黑体_GBK" w:eastAsia="方正黑体_GBK" w:cs="方正黑体_GBK"/>
          <w:b w:val="0"/>
        </w:rPr>
        <w:t xml:space="preserve"> </w:t>
      </w:r>
    </w:p>
    <w:p w14:paraId="2D498B22">
      <w:pPr>
        <w:pStyle w:val="14"/>
        <w:adjustRightInd w:val="0"/>
        <w:snapToGrid w:val="0"/>
        <w:spacing w:before="0" w:after="0" w:line="600" w:lineRule="exact"/>
        <w:jc w:val="center"/>
        <w:rPr>
          <w:rFonts w:ascii="黑体" w:hAnsi="黑体" w:eastAsia="黑体"/>
          <w:b w:val="0"/>
          <w:sz w:val="34"/>
          <w:szCs w:val="34"/>
        </w:rPr>
      </w:pPr>
      <w:r>
        <w:rPr>
          <w:rFonts w:hint="eastAsia" w:ascii="方正黑体_GBK" w:hAnsi="方正黑体_GBK" w:eastAsia="方正黑体_GBK" w:cs="方正黑体_GBK"/>
          <w:b w:val="0"/>
        </w:rPr>
        <w:t>供应商管理</w:t>
      </w:r>
    </w:p>
    <w:p w14:paraId="6F17A253">
      <w:pPr>
        <w:tabs>
          <w:tab w:val="left" w:pos="2565"/>
        </w:tabs>
        <w:spacing w:line="600" w:lineRule="exact"/>
        <w:ind w:firstLine="640" w:firstLineChars="200"/>
        <w:rPr>
          <w:rFonts w:ascii="方正仿宋简体" w:hAnsi="方正仿宋简体" w:eastAsia="方正仿宋简体" w:cs="方正仿宋简体"/>
          <w:sz w:val="32"/>
          <w:szCs w:val="32"/>
        </w:rPr>
      </w:pPr>
      <w:r>
        <w:rPr>
          <w:rFonts w:hint="eastAsia" w:ascii="方正黑体_GBK" w:hAnsi="方正黑体_GBK" w:eastAsia="方正黑体_GBK" w:cs="方正黑体_GBK"/>
          <w:sz w:val="32"/>
          <w:szCs w:val="32"/>
        </w:rPr>
        <w:t xml:space="preserve"> </w:t>
      </w:r>
      <w:r>
        <w:rPr>
          <w:rFonts w:hint="eastAsia" w:ascii="方正仿宋简体" w:hAnsi="方正仿宋简体" w:eastAsia="方正仿宋简体" w:cs="方正仿宋简体"/>
          <w:sz w:val="32"/>
          <w:szCs w:val="32"/>
        </w:rPr>
        <w:t>凡按国家标准及相关准则或规定组织生产销售的原辅材料、备品备件、劳保用品等物资供应商以及运输服务商，只要资质证照齐全且满足我司招标要求，均视为我司合格供应商，参与我司组织的招投标、比价采购等商务活动。</w:t>
      </w:r>
    </w:p>
    <w:p w14:paraId="1D890673">
      <w:pPr>
        <w:tabs>
          <w:tab w:val="left" w:pos="2565"/>
        </w:tabs>
        <w:spacing w:line="600" w:lineRule="exact"/>
        <w:ind w:firstLine="640" w:firstLineChars="200"/>
        <w:rPr>
          <w:rFonts w:ascii="方正仿宋简体" w:hAnsi="方正仿宋简体" w:eastAsia="方正仿宋简体" w:cs="方正仿宋简体"/>
          <w:sz w:val="32"/>
          <w:szCs w:val="32"/>
        </w:rPr>
      </w:pPr>
      <w:r>
        <w:rPr>
          <w:rFonts w:hint="eastAsia" w:ascii="方正黑体_GBK" w:hAnsi="方正黑体_GBK" w:eastAsia="方正黑体_GBK" w:cs="方正黑体_GBK"/>
          <w:sz w:val="32"/>
          <w:szCs w:val="32"/>
        </w:rPr>
        <w:t xml:space="preserve"> </w:t>
      </w:r>
      <w:r>
        <w:rPr>
          <w:rFonts w:hint="eastAsia" w:ascii="方正仿宋简体" w:hAnsi="方正仿宋简体" w:eastAsia="方正仿宋简体" w:cs="方正仿宋简体"/>
          <w:sz w:val="32"/>
          <w:szCs w:val="32"/>
        </w:rPr>
        <w:t>供应商负面清单管理</w:t>
      </w:r>
    </w:p>
    <w:p w14:paraId="54E70FE9">
      <w:pPr>
        <w:tabs>
          <w:tab w:val="left" w:pos="2565"/>
        </w:tabs>
        <w:spacing w:line="600" w:lineRule="exact"/>
        <w:ind w:firstLine="640" w:firstLineChars="200"/>
        <w:rPr>
          <w:rFonts w:ascii="方正仿宋简体" w:hAnsi="方正仿宋简体" w:eastAsia="方正仿宋简体" w:cs="方正仿宋简体"/>
          <w:sz w:val="32"/>
          <w:szCs w:val="32"/>
        </w:rPr>
      </w:pPr>
      <w:r>
        <w:rPr>
          <w:rFonts w:hint="eastAsia" w:ascii="方正楷体_GBK" w:hAnsi="方正楷体_GBK" w:eastAsia="方正楷体_GBK" w:cs="方正楷体_GBK"/>
          <w:color w:val="000000"/>
          <w:sz w:val="32"/>
          <w:szCs w:val="32"/>
        </w:rPr>
        <w:t>（一）</w:t>
      </w:r>
      <w:r>
        <w:rPr>
          <w:rFonts w:hint="eastAsia" w:ascii="方正仿宋简体" w:hAnsi="方正仿宋简体" w:eastAsia="方正仿宋简体" w:cs="方正仿宋简体"/>
          <w:sz w:val="32"/>
          <w:szCs w:val="32"/>
        </w:rPr>
        <w:t>管理职责</w:t>
      </w:r>
    </w:p>
    <w:p w14:paraId="32011A41">
      <w:pPr>
        <w:tabs>
          <w:tab w:val="left" w:pos="2565"/>
        </w:tabs>
        <w:spacing w:line="600" w:lineRule="exact"/>
        <w:ind w:firstLine="640" w:firstLineChars="200"/>
        <w:rPr>
          <w:rFonts w:ascii="方正仿宋简体" w:hAnsi="方正仿宋简体" w:eastAsia="方正仿宋简体" w:cs="方正仿宋简体"/>
          <w:sz w:val="32"/>
          <w:szCs w:val="32"/>
        </w:rPr>
      </w:pPr>
      <w:r>
        <w:rPr>
          <w:rFonts w:hint="eastAsia" w:ascii="方正仿宋简体" w:hAnsi="方正仿宋简体" w:eastAsia="方正仿宋简体" w:cs="方正仿宋简体"/>
          <w:sz w:val="32"/>
          <w:szCs w:val="32"/>
        </w:rPr>
        <w:t>1.使用部门：负责提供技术参数或提出服务要求，对采购物资或服务的质量进行验收。</w:t>
      </w:r>
    </w:p>
    <w:p w14:paraId="101E9CB3">
      <w:pPr>
        <w:tabs>
          <w:tab w:val="left" w:pos="2565"/>
        </w:tabs>
        <w:spacing w:line="600" w:lineRule="exact"/>
        <w:ind w:firstLine="640" w:firstLineChars="200"/>
        <w:rPr>
          <w:rFonts w:ascii="方正仿宋简体" w:hAnsi="方正仿宋简体" w:eastAsia="方正仿宋简体" w:cs="方正仿宋简体"/>
          <w:sz w:val="32"/>
          <w:szCs w:val="32"/>
        </w:rPr>
      </w:pPr>
      <w:r>
        <w:rPr>
          <w:rFonts w:hint="eastAsia" w:ascii="方正仿宋简体" w:hAnsi="方正仿宋简体" w:eastAsia="方正仿宋简体" w:cs="方正仿宋简体"/>
          <w:sz w:val="32"/>
          <w:szCs w:val="32"/>
        </w:rPr>
        <w:t>2.采购部门：负责通过线上或线下途径不断开发有能力满足公司所需物资或服务的供应商，对目标供应商所提供的材料完整性、交货期、价格等维度作为筛选的依据进行资格初审，收集供应商资料并建立档案。</w:t>
      </w:r>
    </w:p>
    <w:p w14:paraId="4E74BDA4">
      <w:pPr>
        <w:tabs>
          <w:tab w:val="left" w:pos="2565"/>
        </w:tabs>
        <w:spacing w:line="600" w:lineRule="exact"/>
        <w:ind w:firstLine="640" w:firstLineChars="200"/>
        <w:rPr>
          <w:rFonts w:ascii="方正仿宋简体" w:hAnsi="方正仿宋简体" w:eastAsia="方正仿宋简体" w:cs="方正仿宋简体"/>
          <w:sz w:val="32"/>
          <w:szCs w:val="32"/>
        </w:rPr>
      </w:pPr>
      <w:r>
        <w:rPr>
          <w:rFonts w:hint="eastAsia" w:ascii="方正仿宋简体" w:hAnsi="方正仿宋简体" w:eastAsia="方正仿宋简体" w:cs="方正仿宋简体"/>
          <w:sz w:val="32"/>
          <w:szCs w:val="32"/>
        </w:rPr>
        <w:t>3.监管部门：负责对采购流程的合规性进行监督。</w:t>
      </w:r>
    </w:p>
    <w:p w14:paraId="026D58EA">
      <w:pPr>
        <w:tabs>
          <w:tab w:val="left" w:pos="2565"/>
        </w:tabs>
        <w:spacing w:line="600" w:lineRule="exact"/>
        <w:ind w:firstLine="640" w:firstLineChars="200"/>
        <w:rPr>
          <w:rFonts w:ascii="方正仿宋简体" w:hAnsi="方正仿宋简体" w:eastAsia="方正仿宋简体" w:cs="方正仿宋简体"/>
          <w:sz w:val="32"/>
          <w:szCs w:val="32"/>
        </w:rPr>
      </w:pPr>
      <w:r>
        <w:rPr>
          <w:rFonts w:hint="eastAsia" w:ascii="方正仿宋简体" w:hAnsi="方正仿宋简体" w:eastAsia="方正仿宋简体" w:cs="方正仿宋简体"/>
          <w:sz w:val="32"/>
          <w:szCs w:val="32"/>
          <w:lang w:eastAsia="zh-CN"/>
        </w:rPr>
        <w:t>审计风控部</w:t>
      </w:r>
      <w:r>
        <w:rPr>
          <w:rFonts w:hint="eastAsia" w:ascii="方正仿宋简体" w:hAnsi="方正仿宋简体" w:eastAsia="方正仿宋简体" w:cs="方正仿宋简体"/>
          <w:sz w:val="32"/>
          <w:szCs w:val="32"/>
        </w:rPr>
        <w:t>负责归口公司招投标负面清单，具体工作由海纳川各部室及直属单位共同承担。</w:t>
      </w:r>
    </w:p>
    <w:p w14:paraId="59D9EDD7">
      <w:pPr>
        <w:tabs>
          <w:tab w:val="left" w:pos="2565"/>
        </w:tabs>
        <w:spacing w:line="600" w:lineRule="exact"/>
        <w:rPr>
          <w:rFonts w:ascii="方正仿宋简体" w:hAnsi="方正仿宋简体" w:eastAsia="方正仿宋简体" w:cs="方正仿宋简体"/>
          <w:sz w:val="32"/>
          <w:szCs w:val="32"/>
        </w:rPr>
      </w:pPr>
    </w:p>
    <w:p w14:paraId="487C4D2B">
      <w:pPr>
        <w:tabs>
          <w:tab w:val="left" w:pos="2565"/>
        </w:tabs>
        <w:spacing w:line="600" w:lineRule="exact"/>
        <w:rPr>
          <w:rFonts w:ascii="方正仿宋简体" w:hAnsi="方正仿宋简体" w:eastAsia="方正仿宋简体" w:cs="方正仿宋简体"/>
          <w:sz w:val="32"/>
          <w:szCs w:val="32"/>
        </w:rPr>
      </w:pPr>
    </w:p>
    <w:p w14:paraId="76279D10">
      <w:pPr>
        <w:tabs>
          <w:tab w:val="left" w:pos="2565"/>
        </w:tabs>
        <w:spacing w:line="600" w:lineRule="exact"/>
        <w:rPr>
          <w:rFonts w:ascii="方正仿宋简体" w:hAnsi="方正仿宋简体" w:eastAsia="方正仿宋简体" w:cs="方正仿宋简体"/>
          <w:sz w:val="32"/>
          <w:szCs w:val="32"/>
        </w:rPr>
      </w:pPr>
    </w:p>
    <w:p w14:paraId="2729BF12">
      <w:pPr>
        <w:pStyle w:val="7"/>
      </w:pPr>
    </w:p>
    <w:p w14:paraId="0A82D177">
      <w:pPr>
        <w:tabs>
          <w:tab w:val="left" w:pos="2565"/>
        </w:tabs>
        <w:spacing w:line="600" w:lineRule="exact"/>
        <w:rPr>
          <w:rFonts w:ascii="方正仿宋简体" w:hAnsi="方正仿宋简体" w:eastAsia="方正仿宋简体" w:cs="方正仿宋简体"/>
          <w:sz w:val="32"/>
          <w:szCs w:val="32"/>
        </w:rPr>
      </w:pPr>
    </w:p>
    <w:p w14:paraId="4C1E69E4">
      <w:pPr>
        <w:tabs>
          <w:tab w:val="left" w:pos="2565"/>
        </w:tabs>
        <w:spacing w:line="600" w:lineRule="exact"/>
        <w:rPr>
          <w:rFonts w:ascii="方正仿宋简体" w:hAnsi="方正仿宋简体" w:eastAsia="方正仿宋简体" w:cs="方正仿宋简体"/>
          <w:sz w:val="32"/>
          <w:szCs w:val="32"/>
        </w:rPr>
      </w:pPr>
    </w:p>
    <w:p w14:paraId="3A8204B1">
      <w:pPr>
        <w:numPr>
          <w:ilvl w:val="0"/>
          <w:numId w:val="2"/>
        </w:numPr>
        <w:tabs>
          <w:tab w:val="left" w:pos="2565"/>
        </w:tabs>
        <w:spacing w:line="600" w:lineRule="exact"/>
        <w:ind w:firstLine="420" w:firstLineChars="200"/>
        <w:rPr>
          <w:rFonts w:ascii="方正仿宋简体" w:hAnsi="方正仿宋简体" w:eastAsia="方正仿宋简体" w:cs="方正仿宋简体"/>
          <w:sz w:val="32"/>
          <w:szCs w:val="32"/>
        </w:rPr>
      </w:pPr>
      <w:r>
        <w:drawing>
          <wp:anchor distT="0" distB="0" distL="114300" distR="114300" simplePos="0" relativeHeight="251659264" behindDoc="0" locked="0" layoutInCell="1" allowOverlap="1">
            <wp:simplePos x="0" y="0"/>
            <wp:positionH relativeFrom="column">
              <wp:posOffset>-616585</wp:posOffset>
            </wp:positionH>
            <wp:positionV relativeFrom="page">
              <wp:posOffset>1332230</wp:posOffset>
            </wp:positionV>
            <wp:extent cx="6446520" cy="8431530"/>
            <wp:effectExtent l="0" t="0" r="11430" b="7620"/>
            <wp:wrapSquare wrapText="bothSides"/>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6"/>
                    <a:stretch>
                      <a:fillRect/>
                    </a:stretch>
                  </pic:blipFill>
                  <pic:spPr>
                    <a:xfrm>
                      <a:off x="0" y="0"/>
                      <a:ext cx="6446520" cy="8431530"/>
                    </a:xfrm>
                    <a:prstGeom prst="rect">
                      <a:avLst/>
                    </a:prstGeom>
                    <a:noFill/>
                    <a:ln>
                      <a:noFill/>
                    </a:ln>
                  </pic:spPr>
                </pic:pic>
              </a:graphicData>
            </a:graphic>
          </wp:anchor>
        </w:drawing>
      </w:r>
      <w:r>
        <w:rPr>
          <w:rFonts w:hint="eastAsia" w:ascii="方正仿宋简体" w:hAnsi="方正仿宋简体" w:eastAsia="方正仿宋简体" w:cs="方正仿宋简体"/>
          <w:sz w:val="32"/>
          <w:szCs w:val="32"/>
        </w:rPr>
        <w:t>负面清单确定流程</w:t>
      </w:r>
    </w:p>
    <w:p w14:paraId="518CACED">
      <w:pPr>
        <w:tabs>
          <w:tab w:val="left" w:pos="2565"/>
        </w:tabs>
        <w:spacing w:line="600" w:lineRule="exact"/>
        <w:ind w:firstLine="640" w:firstLineChars="200"/>
        <w:rPr>
          <w:rFonts w:ascii="方正仿宋简体" w:hAnsi="方正仿宋简体" w:eastAsia="方正仿宋简体" w:cs="方正仿宋简体"/>
          <w:sz w:val="32"/>
          <w:szCs w:val="32"/>
        </w:rPr>
      </w:pPr>
      <w:r>
        <w:rPr>
          <w:rFonts w:hint="eastAsia" w:ascii="方正黑体_GBK" w:hAnsi="方正黑体_GBK" w:eastAsia="方正黑体_GBK" w:cs="方正黑体_GBK"/>
          <w:sz w:val="32"/>
          <w:szCs w:val="32"/>
        </w:rPr>
        <w:t xml:space="preserve"> </w:t>
      </w:r>
      <w:r>
        <w:rPr>
          <w:rFonts w:hint="eastAsia" w:ascii="方正仿宋简体" w:hAnsi="方正仿宋简体" w:eastAsia="方正仿宋简体" w:cs="方正仿宋简体"/>
          <w:sz w:val="32"/>
          <w:szCs w:val="32"/>
        </w:rPr>
        <w:t>供应商积分管理</w:t>
      </w:r>
    </w:p>
    <w:p w14:paraId="4D61C733">
      <w:pPr>
        <w:tabs>
          <w:tab w:val="left" w:pos="2565"/>
        </w:tabs>
        <w:spacing w:line="600" w:lineRule="exact"/>
        <w:ind w:firstLine="640" w:firstLineChars="200"/>
        <w:rPr>
          <w:rFonts w:ascii="方正仿宋简体" w:hAnsi="方正仿宋简体" w:eastAsia="方正仿宋简体" w:cs="方正仿宋简体"/>
          <w:sz w:val="32"/>
          <w:szCs w:val="32"/>
        </w:rPr>
      </w:pPr>
      <w:r>
        <w:rPr>
          <w:rFonts w:hint="eastAsia" w:ascii="方正楷体_GBK" w:hAnsi="方正楷体_GBK" w:eastAsia="方正楷体_GBK" w:cs="方正楷体_GBK"/>
          <w:color w:val="000000"/>
          <w:sz w:val="32"/>
          <w:szCs w:val="32"/>
        </w:rPr>
        <w:t>（一）</w:t>
      </w:r>
      <w:r>
        <w:rPr>
          <w:rFonts w:hint="eastAsia" w:ascii="方正仿宋简体" w:hAnsi="方正仿宋简体" w:eastAsia="方正仿宋简体" w:cs="方正仿宋简体"/>
          <w:sz w:val="32"/>
          <w:szCs w:val="32"/>
        </w:rPr>
        <w:t>供应商积分考核</w:t>
      </w:r>
    </w:p>
    <w:p w14:paraId="4F979C59">
      <w:pPr>
        <w:tabs>
          <w:tab w:val="left" w:pos="2565"/>
        </w:tabs>
        <w:spacing w:line="600" w:lineRule="exact"/>
        <w:ind w:firstLine="640" w:firstLineChars="200"/>
        <w:rPr>
          <w:rFonts w:ascii="方正仿宋简体" w:hAnsi="方正仿宋简体" w:eastAsia="方正仿宋简体" w:cs="方正仿宋简体"/>
          <w:sz w:val="32"/>
          <w:szCs w:val="32"/>
        </w:rPr>
      </w:pPr>
      <w:r>
        <w:rPr>
          <w:rFonts w:hint="eastAsia" w:ascii="方正仿宋简体" w:hAnsi="方正仿宋简体" w:eastAsia="方正仿宋简体" w:cs="方正仿宋简体"/>
          <w:sz w:val="32"/>
          <w:szCs w:val="32"/>
        </w:rPr>
        <w:t>合作供应商初始积分为40分，从供应商的供货质量、交货周期、售后服务、资质信誉等方面进行考核。使用部门、管理部门、采购部门均可书面提出考核建议。</w:t>
      </w:r>
      <w:r>
        <w:rPr>
          <w:rFonts w:hint="eastAsia" w:ascii="方正仿宋简体" w:hAnsi="方正仿宋简体" w:eastAsia="方正仿宋简体" w:cs="方正仿宋简体"/>
          <w:sz w:val="32"/>
          <w:szCs w:val="32"/>
          <w:lang w:eastAsia="zh-CN"/>
        </w:rPr>
        <w:t>审计风控部</w:t>
      </w:r>
      <w:r>
        <w:rPr>
          <w:rFonts w:hint="eastAsia" w:ascii="方正仿宋简体" w:hAnsi="方正仿宋简体" w:eastAsia="方正仿宋简体" w:cs="方正仿宋简体"/>
          <w:sz w:val="32"/>
          <w:szCs w:val="32"/>
        </w:rPr>
        <w:t>组织相关参与评标部门根据本规定对供应商进行考核并建立供应商考核情况登记表（见附件3），根据扣分情况分为继续合作、限制合作及列入负面清单三种情形。考核记分周期为1年，自被考核当日起计满1年后，考核分自动清零。</w:t>
      </w:r>
    </w:p>
    <w:p w14:paraId="43554251">
      <w:pPr>
        <w:tabs>
          <w:tab w:val="left" w:pos="2565"/>
        </w:tabs>
        <w:spacing w:line="600" w:lineRule="exact"/>
        <w:ind w:firstLine="640" w:firstLineChars="200"/>
        <w:rPr>
          <w:rFonts w:ascii="方正仿宋简体" w:hAnsi="方正仿宋简体" w:eastAsia="方正仿宋简体" w:cs="方正仿宋简体"/>
          <w:sz w:val="32"/>
          <w:szCs w:val="32"/>
        </w:rPr>
      </w:pPr>
      <w:r>
        <w:rPr>
          <w:rFonts w:hint="eastAsia" w:ascii="方正仿宋简体" w:hAnsi="方正仿宋简体" w:eastAsia="方正仿宋简体" w:cs="方正仿宋简体"/>
          <w:sz w:val="32"/>
          <w:szCs w:val="32"/>
        </w:rPr>
        <w:t>1.继续合作供应商：考核扣分介于0～7分之间，为可继续合作的供应商。</w:t>
      </w:r>
    </w:p>
    <w:p w14:paraId="20783BB1">
      <w:pPr>
        <w:tabs>
          <w:tab w:val="left" w:pos="2565"/>
        </w:tabs>
        <w:spacing w:line="600" w:lineRule="exact"/>
        <w:ind w:firstLine="640" w:firstLineChars="200"/>
        <w:rPr>
          <w:rFonts w:ascii="方正仿宋简体" w:hAnsi="方正仿宋简体" w:eastAsia="方正仿宋简体" w:cs="方正仿宋简体"/>
          <w:sz w:val="32"/>
          <w:szCs w:val="32"/>
        </w:rPr>
      </w:pPr>
      <w:r>
        <w:rPr>
          <w:rFonts w:hint="eastAsia" w:ascii="方正仿宋简体" w:hAnsi="方正仿宋简体" w:eastAsia="方正仿宋简体" w:cs="方正仿宋简体"/>
          <w:sz w:val="32"/>
          <w:szCs w:val="32"/>
        </w:rPr>
        <w:t xml:space="preserve">2.限制合作供应商：考核扣分介于8～16分之间，为限制合作供应商。原辅材料采购3个月内、备品备件采购6个月内不接受该供应商投标或报价。 </w:t>
      </w:r>
    </w:p>
    <w:p w14:paraId="72EC1661">
      <w:pPr>
        <w:tabs>
          <w:tab w:val="left" w:pos="2565"/>
        </w:tabs>
        <w:spacing w:line="600" w:lineRule="exact"/>
        <w:ind w:firstLine="640" w:firstLineChars="200"/>
        <w:rPr>
          <w:rFonts w:ascii="方正仿宋简体" w:hAnsi="方正仿宋简体" w:eastAsia="方正仿宋简体" w:cs="方正仿宋简体"/>
          <w:sz w:val="32"/>
          <w:szCs w:val="32"/>
        </w:rPr>
      </w:pPr>
      <w:r>
        <w:rPr>
          <w:rFonts w:hint="eastAsia" w:ascii="方正仿宋简体" w:hAnsi="方正仿宋简体" w:eastAsia="方正仿宋简体" w:cs="方正仿宋简体"/>
          <w:sz w:val="32"/>
          <w:szCs w:val="32"/>
        </w:rPr>
        <w:t>3.列入负面清单供应商：考核扣分高于16分或单项扣10分，列入负面清单供应商，1年内不接受该供应商投标或报价。</w:t>
      </w:r>
    </w:p>
    <w:p w14:paraId="60A43098">
      <w:pPr>
        <w:tabs>
          <w:tab w:val="left" w:pos="2565"/>
        </w:tabs>
        <w:spacing w:line="600" w:lineRule="exact"/>
        <w:ind w:firstLine="640" w:firstLineChars="200"/>
        <w:rPr>
          <w:rFonts w:ascii="方正仿宋简体" w:hAnsi="方正仿宋简体" w:eastAsia="方正仿宋简体" w:cs="方正仿宋简体"/>
          <w:sz w:val="32"/>
          <w:szCs w:val="32"/>
        </w:rPr>
      </w:pPr>
      <w:r>
        <w:rPr>
          <w:rFonts w:hint="eastAsia" w:ascii="方正楷体_GBK" w:hAnsi="方正楷体_GBK" w:eastAsia="方正楷体_GBK" w:cs="方正楷体_GBK"/>
          <w:color w:val="000000"/>
          <w:sz w:val="32"/>
          <w:szCs w:val="32"/>
        </w:rPr>
        <w:t>（二）</w:t>
      </w:r>
      <w:r>
        <w:rPr>
          <w:rFonts w:hint="eastAsia" w:ascii="方正仿宋简体" w:hAnsi="方正仿宋简体" w:eastAsia="方正仿宋简体" w:cs="方正仿宋简体"/>
          <w:sz w:val="32"/>
          <w:szCs w:val="32"/>
        </w:rPr>
        <w:t>供应商考核方法</w:t>
      </w:r>
    </w:p>
    <w:p w14:paraId="4E032DA7">
      <w:pPr>
        <w:tabs>
          <w:tab w:val="left" w:pos="2565"/>
        </w:tabs>
        <w:spacing w:line="600" w:lineRule="exact"/>
        <w:ind w:firstLine="640" w:firstLineChars="200"/>
        <w:rPr>
          <w:rFonts w:ascii="方正仿宋简体" w:hAnsi="方正仿宋简体" w:eastAsia="方正仿宋简体" w:cs="方正仿宋简体"/>
          <w:sz w:val="32"/>
          <w:szCs w:val="32"/>
        </w:rPr>
      </w:pPr>
      <w:r>
        <w:rPr>
          <w:rFonts w:hint="eastAsia" w:ascii="方正仿宋简体" w:hAnsi="方正仿宋简体" w:eastAsia="方正仿宋简体" w:cs="方正仿宋简体"/>
          <w:sz w:val="32"/>
          <w:szCs w:val="32"/>
        </w:rPr>
        <w:t>1.</w:t>
      </w:r>
      <w:r>
        <w:rPr>
          <w:rFonts w:hint="eastAsia" w:ascii="方正仿宋简体" w:hAnsi="方正仿宋简体" w:eastAsia="方正仿宋简体" w:cs="方正仿宋简体"/>
          <w:b/>
          <w:sz w:val="32"/>
          <w:szCs w:val="32"/>
        </w:rPr>
        <w:t>建筑施工方</w:t>
      </w:r>
    </w:p>
    <w:p w14:paraId="72C43595">
      <w:pPr>
        <w:tabs>
          <w:tab w:val="left" w:pos="2565"/>
        </w:tabs>
        <w:spacing w:line="600" w:lineRule="exact"/>
        <w:ind w:firstLine="640" w:firstLineChars="200"/>
        <w:rPr>
          <w:rFonts w:ascii="方正仿宋简体" w:hAnsi="方正仿宋简体" w:eastAsia="方正仿宋简体" w:cs="方正仿宋简体"/>
          <w:sz w:val="32"/>
          <w:szCs w:val="32"/>
        </w:rPr>
      </w:pPr>
      <w:r>
        <w:rPr>
          <w:rFonts w:hint="eastAsia" w:ascii="方正仿宋简体" w:hAnsi="方正仿宋简体" w:eastAsia="方正仿宋简体" w:cs="方正仿宋简体"/>
          <w:sz w:val="32"/>
          <w:szCs w:val="32"/>
        </w:rPr>
        <w:t>（1）质量方面</w:t>
      </w:r>
    </w:p>
    <w:p w14:paraId="62E526B8">
      <w:pPr>
        <w:tabs>
          <w:tab w:val="left" w:pos="2565"/>
        </w:tabs>
        <w:spacing w:line="600" w:lineRule="exact"/>
        <w:ind w:firstLine="640" w:firstLineChars="20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sz w:val="32"/>
          <w:szCs w:val="32"/>
        </w:rPr>
        <w:t>①</w:t>
      </w:r>
      <w:r>
        <w:rPr>
          <w:rFonts w:hint="eastAsia" w:ascii="方正仿宋简体" w:hAnsi="方正仿宋简体" w:eastAsia="方正仿宋简体" w:cs="方正仿宋简体"/>
          <w:bCs/>
          <w:sz w:val="32"/>
          <w:szCs w:val="32"/>
        </w:rPr>
        <w:t>施工材料出现质量问题，及时调换，未影响生产的，单次扣1</w:t>
      </w:r>
      <w:r>
        <w:rPr>
          <w:rFonts w:hint="eastAsia" w:ascii="方正仿宋简体" w:hAnsi="方正仿宋简体" w:eastAsia="方正仿宋简体" w:cs="方正仿宋简体"/>
          <w:kern w:val="0"/>
          <w:sz w:val="32"/>
          <w:szCs w:val="32"/>
        </w:rPr>
        <w:t>～</w:t>
      </w:r>
      <w:r>
        <w:rPr>
          <w:rFonts w:hint="eastAsia" w:ascii="方正仿宋简体" w:hAnsi="方正仿宋简体" w:eastAsia="方正仿宋简体" w:cs="方正仿宋简体"/>
          <w:bCs/>
          <w:sz w:val="32"/>
          <w:szCs w:val="32"/>
        </w:rPr>
        <w:t>3分；影响生产的，视严重程度单次扣5</w:t>
      </w:r>
      <w:r>
        <w:rPr>
          <w:rFonts w:hint="eastAsia" w:ascii="方正仿宋简体" w:hAnsi="方正仿宋简体" w:eastAsia="方正仿宋简体" w:cs="方正仿宋简体"/>
          <w:kern w:val="0"/>
          <w:sz w:val="32"/>
          <w:szCs w:val="32"/>
        </w:rPr>
        <w:t>～</w:t>
      </w:r>
      <w:r>
        <w:rPr>
          <w:rFonts w:hint="eastAsia" w:ascii="方正仿宋简体" w:hAnsi="方正仿宋简体" w:eastAsia="方正仿宋简体" w:cs="方正仿宋简体"/>
          <w:bCs/>
          <w:sz w:val="32"/>
          <w:szCs w:val="32"/>
        </w:rPr>
        <w:t>10分。</w:t>
      </w:r>
    </w:p>
    <w:p w14:paraId="3564E389">
      <w:pPr>
        <w:spacing w:line="600" w:lineRule="exact"/>
        <w:ind w:firstLine="66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②施工材料存在质量问题，未能及时更换，单次扣10分。</w:t>
      </w:r>
    </w:p>
    <w:p w14:paraId="54BCD405">
      <w:pPr>
        <w:spacing w:line="600" w:lineRule="exact"/>
        <w:ind w:firstLine="66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③不能满足工程质量要求的，考核5-10分。</w:t>
      </w:r>
    </w:p>
    <w:p w14:paraId="246E6AAD">
      <w:pPr>
        <w:spacing w:line="600" w:lineRule="exact"/>
        <w:ind w:firstLine="640" w:firstLineChars="20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（2）工期方面</w:t>
      </w:r>
    </w:p>
    <w:p w14:paraId="0E6922E0">
      <w:pPr>
        <w:spacing w:line="600" w:lineRule="exact"/>
        <w:ind w:firstLine="640" w:firstLineChars="20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不能满足进度要求的，考核5-10分。</w:t>
      </w:r>
    </w:p>
    <w:p w14:paraId="0C2D222E">
      <w:pPr>
        <w:spacing w:line="600" w:lineRule="exact"/>
        <w:ind w:firstLine="640" w:firstLineChars="200"/>
        <w:rPr>
          <w:rFonts w:ascii="方正楷体_GBK" w:hAnsi="方正楷体_GBK" w:eastAsia="方正楷体_GBK" w:cs="方正楷体_GBK"/>
          <w:bCs/>
          <w:sz w:val="32"/>
          <w:szCs w:val="32"/>
        </w:rPr>
      </w:pPr>
      <w:r>
        <w:rPr>
          <w:rFonts w:hint="eastAsia" w:ascii="方正仿宋简体" w:hAnsi="方正仿宋简体" w:eastAsia="方正仿宋简体" w:cs="方正仿宋简体"/>
          <w:bCs/>
          <w:sz w:val="32"/>
          <w:szCs w:val="32"/>
        </w:rPr>
        <w:t>（3）安全方面</w:t>
      </w:r>
    </w:p>
    <w:p w14:paraId="576E7C26">
      <w:pPr>
        <w:spacing w:line="600" w:lineRule="exact"/>
        <w:ind w:firstLine="640" w:firstLineChars="20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现场施工人员不服从招标方安全管理的，考核5-10分。</w:t>
      </w:r>
    </w:p>
    <w:p w14:paraId="1B0B3CD6">
      <w:pPr>
        <w:spacing w:line="600" w:lineRule="exact"/>
        <w:ind w:firstLine="640" w:firstLineChars="20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（4）售后方面</w:t>
      </w:r>
    </w:p>
    <w:p w14:paraId="784B0884">
      <w:pPr>
        <w:spacing w:line="600" w:lineRule="exact"/>
        <w:ind w:firstLine="640" w:firstLineChars="20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①对我公司的售后服务要求不能及时响应，单次扣2分。</w:t>
      </w:r>
    </w:p>
    <w:p w14:paraId="3C8A8E0F">
      <w:pPr>
        <w:spacing w:line="600" w:lineRule="exact"/>
        <w:ind w:firstLine="640" w:firstLineChars="20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②售后人员不能及时解决问题，单次扣3分。</w:t>
      </w:r>
    </w:p>
    <w:p w14:paraId="4C74CC07">
      <w:pPr>
        <w:spacing w:line="600" w:lineRule="exact"/>
        <w:ind w:firstLine="640" w:firstLineChars="20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③在质保期之内，拒绝提供售后服务，单次扣5分。</w:t>
      </w:r>
    </w:p>
    <w:p w14:paraId="73910142">
      <w:pPr>
        <w:spacing w:line="600" w:lineRule="exact"/>
        <w:ind w:left="560"/>
        <w:rPr>
          <w:rFonts w:ascii="方正楷体_GBK" w:hAnsi="方正楷体_GBK" w:eastAsia="方正楷体_GBK" w:cs="方正楷体_GBK"/>
          <w:bCs/>
          <w:sz w:val="32"/>
          <w:szCs w:val="32"/>
        </w:rPr>
      </w:pPr>
      <w:r>
        <w:rPr>
          <w:rFonts w:hint="eastAsia" w:ascii="方正仿宋简体" w:hAnsi="方正仿宋简体" w:eastAsia="方正仿宋简体" w:cs="方正仿宋简体"/>
          <w:sz w:val="32"/>
          <w:szCs w:val="32"/>
        </w:rPr>
        <w:t>（5）</w:t>
      </w:r>
      <w:r>
        <w:rPr>
          <w:rFonts w:hint="eastAsia" w:ascii="方正仿宋简体" w:hAnsi="方正仿宋简体" w:eastAsia="方正仿宋简体" w:cs="方正仿宋简体"/>
          <w:bCs/>
          <w:sz w:val="32"/>
          <w:szCs w:val="32"/>
        </w:rPr>
        <w:t>资信方面</w:t>
      </w:r>
    </w:p>
    <w:p w14:paraId="6EAD8CAB">
      <w:pPr>
        <w:spacing w:line="600" w:lineRule="exact"/>
        <w:ind w:firstLine="640" w:firstLineChars="20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①中标之后拒绝签订合同或拒绝履行合同，视影响生产程度严重的单次扣5</w:t>
      </w:r>
      <w:r>
        <w:rPr>
          <w:rFonts w:hint="eastAsia" w:ascii="方正仿宋简体" w:hAnsi="方正仿宋简体" w:eastAsia="方正仿宋简体" w:cs="方正仿宋简体"/>
          <w:kern w:val="0"/>
          <w:sz w:val="32"/>
          <w:szCs w:val="32"/>
        </w:rPr>
        <w:t>～</w:t>
      </w:r>
      <w:r>
        <w:rPr>
          <w:rFonts w:hint="eastAsia" w:ascii="方正仿宋简体" w:hAnsi="方正仿宋简体" w:eastAsia="方正仿宋简体" w:cs="方正仿宋简体"/>
          <w:bCs/>
          <w:sz w:val="32"/>
          <w:szCs w:val="32"/>
        </w:rPr>
        <w:t>10分。</w:t>
      </w:r>
    </w:p>
    <w:p w14:paraId="7CCCB76D">
      <w:pPr>
        <w:spacing w:line="600" w:lineRule="exact"/>
        <w:ind w:firstLine="640" w:firstLineChars="20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②交货后不能及时开具发票并送交至业务员，单次扣1分。</w:t>
      </w:r>
    </w:p>
    <w:p w14:paraId="23D8A608">
      <w:pPr>
        <w:spacing w:line="600" w:lineRule="exact"/>
        <w:ind w:firstLine="640" w:firstLineChars="20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③未按合同明细开票，弄虚作假，视严重程度单次扣5</w:t>
      </w:r>
      <w:r>
        <w:rPr>
          <w:rFonts w:hint="eastAsia" w:ascii="方正仿宋简体" w:hAnsi="方正仿宋简体" w:eastAsia="方正仿宋简体" w:cs="方正仿宋简体"/>
          <w:kern w:val="0"/>
          <w:sz w:val="32"/>
          <w:szCs w:val="32"/>
        </w:rPr>
        <w:t>～</w:t>
      </w:r>
      <w:r>
        <w:rPr>
          <w:rFonts w:hint="eastAsia" w:ascii="方正仿宋简体" w:hAnsi="方正仿宋简体" w:eastAsia="方正仿宋简体" w:cs="方正仿宋简体"/>
          <w:bCs/>
          <w:sz w:val="32"/>
          <w:szCs w:val="32"/>
        </w:rPr>
        <w:t>10分。</w:t>
      </w:r>
    </w:p>
    <w:p w14:paraId="0C274946">
      <w:pPr>
        <w:spacing w:line="600" w:lineRule="exact"/>
        <w:ind w:firstLine="640" w:firstLineChars="20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④注册信息及基本资质证书不属实，视严重程度单次扣3</w:t>
      </w:r>
      <w:r>
        <w:rPr>
          <w:rFonts w:hint="eastAsia" w:ascii="方正仿宋简体" w:hAnsi="方正仿宋简体" w:eastAsia="方正仿宋简体" w:cs="方正仿宋简体"/>
          <w:kern w:val="0"/>
          <w:sz w:val="32"/>
          <w:szCs w:val="32"/>
        </w:rPr>
        <w:t>～</w:t>
      </w:r>
      <w:r>
        <w:rPr>
          <w:rFonts w:hint="eastAsia" w:ascii="方正仿宋简体" w:hAnsi="方正仿宋简体" w:eastAsia="方正仿宋简体" w:cs="方正仿宋简体"/>
          <w:bCs/>
          <w:sz w:val="32"/>
          <w:szCs w:val="32"/>
        </w:rPr>
        <w:t>10分。</w:t>
      </w:r>
    </w:p>
    <w:p w14:paraId="07247A66">
      <w:pPr>
        <w:spacing w:line="600" w:lineRule="exact"/>
        <w:ind w:firstLine="640" w:firstLineChars="20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⑤违反廉洁协议，视严重程度单次扣5</w:t>
      </w:r>
      <w:r>
        <w:rPr>
          <w:rFonts w:hint="eastAsia" w:ascii="方正仿宋简体" w:hAnsi="方正仿宋简体" w:eastAsia="方正仿宋简体" w:cs="方正仿宋简体"/>
          <w:kern w:val="0"/>
          <w:sz w:val="32"/>
          <w:szCs w:val="32"/>
        </w:rPr>
        <w:t>～</w:t>
      </w:r>
      <w:r>
        <w:rPr>
          <w:rFonts w:hint="eastAsia" w:ascii="方正仿宋简体" w:hAnsi="方正仿宋简体" w:eastAsia="方正仿宋简体" w:cs="方正仿宋简体"/>
          <w:bCs/>
          <w:sz w:val="32"/>
          <w:szCs w:val="32"/>
        </w:rPr>
        <w:t>10分。</w:t>
      </w:r>
    </w:p>
    <w:p w14:paraId="0E627584">
      <w:pPr>
        <w:spacing w:line="600" w:lineRule="exact"/>
        <w:ind w:firstLine="643" w:firstLineChars="200"/>
        <w:rPr>
          <w:rFonts w:ascii="方正仿宋简体" w:hAnsi="方正仿宋简体" w:eastAsia="方正仿宋简体" w:cs="方正仿宋简体"/>
          <w:b/>
          <w:sz w:val="32"/>
          <w:szCs w:val="32"/>
        </w:rPr>
      </w:pPr>
      <w:r>
        <w:rPr>
          <w:rFonts w:hint="eastAsia" w:ascii="方正仿宋简体" w:hAnsi="方正仿宋简体" w:eastAsia="方正仿宋简体" w:cs="方正仿宋简体"/>
          <w:b/>
          <w:sz w:val="32"/>
          <w:szCs w:val="32"/>
        </w:rPr>
        <w:t>2.备品备件供应商</w:t>
      </w:r>
    </w:p>
    <w:p w14:paraId="141D5A44">
      <w:pPr>
        <w:spacing w:line="600" w:lineRule="exact"/>
        <w:ind w:firstLine="640" w:firstLineChars="20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（1）质量方面</w:t>
      </w:r>
    </w:p>
    <w:p w14:paraId="19E7AD96">
      <w:pPr>
        <w:spacing w:line="600" w:lineRule="exact"/>
        <w:ind w:firstLine="66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①所供产品出现质量问题，及时调换，未影响生产的，单次扣1</w:t>
      </w:r>
      <w:r>
        <w:rPr>
          <w:rFonts w:hint="eastAsia" w:ascii="方正仿宋简体" w:hAnsi="方正仿宋简体" w:eastAsia="方正仿宋简体" w:cs="方正仿宋简体"/>
          <w:kern w:val="0"/>
          <w:sz w:val="32"/>
          <w:szCs w:val="32"/>
        </w:rPr>
        <w:t>～</w:t>
      </w:r>
      <w:r>
        <w:rPr>
          <w:rFonts w:hint="eastAsia" w:ascii="方正仿宋简体" w:hAnsi="方正仿宋简体" w:eastAsia="方正仿宋简体" w:cs="方正仿宋简体"/>
          <w:bCs/>
          <w:sz w:val="32"/>
          <w:szCs w:val="32"/>
        </w:rPr>
        <w:t>3分；影响生产的，视严重程度单次扣5</w:t>
      </w:r>
      <w:r>
        <w:rPr>
          <w:rFonts w:hint="eastAsia" w:ascii="方正仿宋简体" w:hAnsi="方正仿宋简体" w:eastAsia="方正仿宋简体" w:cs="方正仿宋简体"/>
          <w:kern w:val="0"/>
          <w:sz w:val="32"/>
          <w:szCs w:val="32"/>
        </w:rPr>
        <w:t>～</w:t>
      </w:r>
      <w:r>
        <w:rPr>
          <w:rFonts w:hint="eastAsia" w:ascii="方正仿宋简体" w:hAnsi="方正仿宋简体" w:eastAsia="方正仿宋简体" w:cs="方正仿宋简体"/>
          <w:bCs/>
          <w:sz w:val="32"/>
          <w:szCs w:val="32"/>
        </w:rPr>
        <w:t>10分。</w:t>
      </w:r>
    </w:p>
    <w:p w14:paraId="09E51941">
      <w:pPr>
        <w:spacing w:line="600" w:lineRule="exact"/>
        <w:ind w:firstLine="66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②所供产品存在质量问题，未能及时更换，单次扣10分。</w:t>
      </w:r>
    </w:p>
    <w:p w14:paraId="3473E964">
      <w:pPr>
        <w:spacing w:line="600" w:lineRule="exact"/>
        <w:ind w:firstLine="66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③所供产品质量问题导致设备故障，视严重程度单次扣5</w:t>
      </w:r>
      <w:r>
        <w:rPr>
          <w:rFonts w:hint="eastAsia" w:ascii="方正仿宋简体" w:hAnsi="方正仿宋简体" w:eastAsia="方正仿宋简体" w:cs="方正仿宋简体"/>
          <w:kern w:val="0"/>
          <w:sz w:val="32"/>
          <w:szCs w:val="32"/>
        </w:rPr>
        <w:t>～</w:t>
      </w:r>
      <w:r>
        <w:rPr>
          <w:rFonts w:hint="eastAsia" w:ascii="方正仿宋简体" w:hAnsi="方正仿宋简体" w:eastAsia="方正仿宋简体" w:cs="方正仿宋简体"/>
          <w:bCs/>
          <w:sz w:val="32"/>
          <w:szCs w:val="32"/>
        </w:rPr>
        <w:t>10分。</w:t>
      </w:r>
    </w:p>
    <w:p w14:paraId="707136CE">
      <w:pPr>
        <w:spacing w:line="600" w:lineRule="exact"/>
        <w:ind w:firstLine="640" w:firstLineChars="20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（2）交货方面</w:t>
      </w:r>
    </w:p>
    <w:p w14:paraId="6F0106CC">
      <w:pPr>
        <w:spacing w:line="600" w:lineRule="exact"/>
        <w:ind w:firstLine="63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①交货时无质检报告或合格证等必要资料的，单次扣2分。</w:t>
      </w:r>
    </w:p>
    <w:p w14:paraId="3EC244A8">
      <w:pPr>
        <w:spacing w:line="600" w:lineRule="exact"/>
        <w:ind w:firstLine="63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②交货时未按规定包装的，单次扣1分。</w:t>
      </w:r>
    </w:p>
    <w:p w14:paraId="266CD1C0">
      <w:pPr>
        <w:spacing w:line="600" w:lineRule="exact"/>
        <w:ind w:firstLine="63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③不能按照合同约定交货，除了按合同条款进行相应处罚外，未造成影响的，单次扣2分；造成影响的，视严重程度单次扣5</w:t>
      </w:r>
      <w:r>
        <w:rPr>
          <w:rFonts w:hint="eastAsia" w:ascii="方正仿宋简体" w:hAnsi="方正仿宋简体" w:eastAsia="方正仿宋简体" w:cs="方正仿宋简体"/>
          <w:kern w:val="0"/>
          <w:sz w:val="32"/>
          <w:szCs w:val="32"/>
        </w:rPr>
        <w:t>～</w:t>
      </w:r>
      <w:r>
        <w:rPr>
          <w:rFonts w:hint="eastAsia" w:ascii="方正仿宋简体" w:hAnsi="方正仿宋简体" w:eastAsia="方正仿宋简体" w:cs="方正仿宋简体"/>
          <w:bCs/>
          <w:sz w:val="32"/>
          <w:szCs w:val="32"/>
        </w:rPr>
        <w:t>10分。</w:t>
      </w:r>
    </w:p>
    <w:p w14:paraId="0432DCD1">
      <w:pPr>
        <w:spacing w:line="600" w:lineRule="exact"/>
        <w:ind w:firstLine="63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④交货过程中串通作假，视严重程度单次扣5</w:t>
      </w:r>
      <w:r>
        <w:rPr>
          <w:rFonts w:hint="eastAsia" w:ascii="方正仿宋简体" w:hAnsi="方正仿宋简体" w:eastAsia="方正仿宋简体" w:cs="方正仿宋简体"/>
          <w:kern w:val="0"/>
          <w:sz w:val="32"/>
          <w:szCs w:val="32"/>
        </w:rPr>
        <w:t>～</w:t>
      </w:r>
      <w:r>
        <w:rPr>
          <w:rFonts w:hint="eastAsia" w:ascii="方正仿宋简体" w:hAnsi="方正仿宋简体" w:eastAsia="方正仿宋简体" w:cs="方正仿宋简体"/>
          <w:bCs/>
          <w:sz w:val="32"/>
          <w:szCs w:val="32"/>
        </w:rPr>
        <w:t>10分。</w:t>
      </w:r>
    </w:p>
    <w:p w14:paraId="29E8E463">
      <w:pPr>
        <w:spacing w:line="600" w:lineRule="exact"/>
        <w:ind w:firstLine="640" w:firstLineChars="20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（3）售后方面</w:t>
      </w:r>
    </w:p>
    <w:p w14:paraId="5C32759F">
      <w:pPr>
        <w:spacing w:line="600" w:lineRule="exact"/>
        <w:ind w:firstLine="640" w:firstLineChars="20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①对我公司的售后服务要求不能及时响应，单次扣2分。</w:t>
      </w:r>
    </w:p>
    <w:p w14:paraId="408B7728">
      <w:pPr>
        <w:spacing w:line="600" w:lineRule="exact"/>
        <w:ind w:firstLine="640" w:firstLineChars="20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②售后人员不能及时解决问题，单次扣3分。</w:t>
      </w:r>
    </w:p>
    <w:p w14:paraId="2828DE60">
      <w:pPr>
        <w:spacing w:line="600" w:lineRule="exact"/>
        <w:ind w:firstLine="640" w:firstLineChars="20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③在质保期之内，拒绝提供售后服务，单次扣5分。</w:t>
      </w:r>
    </w:p>
    <w:p w14:paraId="5EEE8278">
      <w:pPr>
        <w:spacing w:line="600" w:lineRule="exact"/>
        <w:ind w:firstLine="640" w:firstLineChars="20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（4）资信方面</w:t>
      </w:r>
    </w:p>
    <w:p w14:paraId="2A837DD6">
      <w:pPr>
        <w:spacing w:line="600" w:lineRule="exact"/>
        <w:ind w:firstLine="640" w:firstLineChars="20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①中标之后拒绝签订合同或拒绝履行合同，视影响生产程度严重的单次扣5</w:t>
      </w:r>
      <w:r>
        <w:rPr>
          <w:rFonts w:hint="eastAsia" w:ascii="方正仿宋简体" w:hAnsi="方正仿宋简体" w:eastAsia="方正仿宋简体" w:cs="方正仿宋简体"/>
          <w:kern w:val="0"/>
          <w:sz w:val="32"/>
          <w:szCs w:val="32"/>
        </w:rPr>
        <w:t>～</w:t>
      </w:r>
      <w:r>
        <w:rPr>
          <w:rFonts w:hint="eastAsia" w:ascii="方正仿宋简体" w:hAnsi="方正仿宋简体" w:eastAsia="方正仿宋简体" w:cs="方正仿宋简体"/>
          <w:bCs/>
          <w:sz w:val="32"/>
          <w:szCs w:val="32"/>
        </w:rPr>
        <w:t>10分。</w:t>
      </w:r>
    </w:p>
    <w:p w14:paraId="2E1F279C">
      <w:pPr>
        <w:spacing w:line="600" w:lineRule="exact"/>
        <w:ind w:firstLine="640" w:firstLineChars="20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②交货后不能及时开具发票并送交至业务员，单次扣1分。</w:t>
      </w:r>
    </w:p>
    <w:p w14:paraId="6CFE3E6B">
      <w:pPr>
        <w:spacing w:line="600" w:lineRule="exact"/>
        <w:ind w:firstLine="640" w:firstLineChars="20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③未按合同明细开票，弄虚作假，视严重程度单次扣5</w:t>
      </w:r>
      <w:r>
        <w:rPr>
          <w:rFonts w:hint="eastAsia" w:ascii="方正仿宋简体" w:hAnsi="方正仿宋简体" w:eastAsia="方正仿宋简体" w:cs="方正仿宋简体"/>
          <w:kern w:val="0"/>
          <w:sz w:val="32"/>
          <w:szCs w:val="32"/>
        </w:rPr>
        <w:t>～</w:t>
      </w:r>
      <w:r>
        <w:rPr>
          <w:rFonts w:hint="eastAsia" w:ascii="方正仿宋简体" w:hAnsi="方正仿宋简体" w:eastAsia="方正仿宋简体" w:cs="方正仿宋简体"/>
          <w:bCs/>
          <w:sz w:val="32"/>
          <w:szCs w:val="32"/>
        </w:rPr>
        <w:t>10分。</w:t>
      </w:r>
    </w:p>
    <w:p w14:paraId="43DA6185">
      <w:pPr>
        <w:spacing w:line="600" w:lineRule="exact"/>
        <w:ind w:firstLine="640" w:firstLineChars="20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④注册信息及基本资质证书不属实，视严重程度单次扣3</w:t>
      </w:r>
      <w:r>
        <w:rPr>
          <w:rFonts w:hint="eastAsia" w:ascii="方正仿宋简体" w:hAnsi="方正仿宋简体" w:eastAsia="方正仿宋简体" w:cs="方正仿宋简体"/>
          <w:kern w:val="0"/>
          <w:sz w:val="32"/>
          <w:szCs w:val="32"/>
        </w:rPr>
        <w:t>～</w:t>
      </w:r>
      <w:r>
        <w:rPr>
          <w:rFonts w:hint="eastAsia" w:ascii="方正仿宋简体" w:hAnsi="方正仿宋简体" w:eastAsia="方正仿宋简体" w:cs="方正仿宋简体"/>
          <w:bCs/>
          <w:sz w:val="32"/>
          <w:szCs w:val="32"/>
        </w:rPr>
        <w:t>10分。</w:t>
      </w:r>
    </w:p>
    <w:p w14:paraId="0B96B920">
      <w:pPr>
        <w:spacing w:line="600" w:lineRule="exact"/>
        <w:ind w:firstLine="640" w:firstLineChars="20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⑤违反廉洁协议，视严重程度单次扣5</w:t>
      </w:r>
      <w:r>
        <w:rPr>
          <w:rFonts w:hint="eastAsia" w:ascii="方正仿宋简体" w:hAnsi="方正仿宋简体" w:eastAsia="方正仿宋简体" w:cs="方正仿宋简体"/>
          <w:kern w:val="0"/>
          <w:sz w:val="32"/>
          <w:szCs w:val="32"/>
        </w:rPr>
        <w:t>～</w:t>
      </w:r>
      <w:r>
        <w:rPr>
          <w:rFonts w:hint="eastAsia" w:ascii="方正仿宋简体" w:hAnsi="方正仿宋简体" w:eastAsia="方正仿宋简体" w:cs="方正仿宋简体"/>
          <w:bCs/>
          <w:sz w:val="32"/>
          <w:szCs w:val="32"/>
        </w:rPr>
        <w:t>10分。</w:t>
      </w:r>
    </w:p>
    <w:p w14:paraId="2DBF33A2">
      <w:pPr>
        <w:spacing w:line="600" w:lineRule="exact"/>
        <w:ind w:firstLine="640" w:firstLineChars="20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⑥因知识产权引起纠纷，除按合同规定执行外，视严重程度单次扣3</w:t>
      </w:r>
      <w:r>
        <w:rPr>
          <w:rFonts w:hint="eastAsia" w:ascii="方正仿宋简体" w:hAnsi="方正仿宋简体" w:eastAsia="方正仿宋简体" w:cs="方正仿宋简体"/>
          <w:kern w:val="0"/>
          <w:sz w:val="32"/>
          <w:szCs w:val="32"/>
        </w:rPr>
        <w:t>～</w:t>
      </w:r>
      <w:r>
        <w:rPr>
          <w:rFonts w:hint="eastAsia" w:ascii="方正仿宋简体" w:hAnsi="方正仿宋简体" w:eastAsia="方正仿宋简体" w:cs="方正仿宋简体"/>
          <w:bCs/>
          <w:sz w:val="32"/>
          <w:szCs w:val="32"/>
        </w:rPr>
        <w:t>10分。</w:t>
      </w:r>
    </w:p>
    <w:p w14:paraId="0A707F6B">
      <w:pPr>
        <w:spacing w:line="600" w:lineRule="exact"/>
        <w:ind w:firstLine="643" w:firstLineChars="200"/>
        <w:rPr>
          <w:rFonts w:ascii="方正仿宋简体" w:hAnsi="方正仿宋简体" w:eastAsia="方正仿宋简体" w:cs="方正仿宋简体"/>
          <w:b/>
          <w:sz w:val="32"/>
          <w:szCs w:val="32"/>
        </w:rPr>
      </w:pPr>
      <w:r>
        <w:rPr>
          <w:rFonts w:hint="eastAsia" w:ascii="方正仿宋简体" w:hAnsi="方正仿宋简体" w:eastAsia="方正仿宋简体" w:cs="方正仿宋简体"/>
          <w:b/>
          <w:sz w:val="32"/>
          <w:szCs w:val="32"/>
        </w:rPr>
        <w:t>3.物流承运商</w:t>
      </w:r>
    </w:p>
    <w:p w14:paraId="1E1908AC">
      <w:pPr>
        <w:tabs>
          <w:tab w:val="left" w:pos="851"/>
        </w:tabs>
        <w:spacing w:line="600" w:lineRule="exact"/>
        <w:ind w:firstLine="640" w:firstLineChars="20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（1）车船要求方面</w:t>
      </w:r>
    </w:p>
    <w:p w14:paraId="3CBBEED5">
      <w:pPr>
        <w:spacing w:line="600" w:lineRule="exact"/>
        <w:ind w:firstLine="66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①必须做到证照齐全，即车船有行驶证、道路运输证、罐检报告，人员有驾驶证、资格证、押运证等，如不全单次扣2</w:t>
      </w:r>
      <w:r>
        <w:rPr>
          <w:rFonts w:hint="eastAsia" w:ascii="方正仿宋简体" w:hAnsi="方正仿宋简体" w:eastAsia="方正仿宋简体" w:cs="方正仿宋简体"/>
          <w:kern w:val="0"/>
          <w:sz w:val="32"/>
          <w:szCs w:val="32"/>
        </w:rPr>
        <w:t>～</w:t>
      </w:r>
      <w:r>
        <w:rPr>
          <w:rFonts w:hint="eastAsia" w:ascii="方正仿宋简体" w:hAnsi="方正仿宋简体" w:eastAsia="方正仿宋简体" w:cs="方正仿宋简体"/>
          <w:bCs/>
          <w:sz w:val="32"/>
          <w:szCs w:val="32"/>
        </w:rPr>
        <w:t>5分。</w:t>
      </w:r>
    </w:p>
    <w:p w14:paraId="3D5884C9">
      <w:pPr>
        <w:spacing w:line="600" w:lineRule="exact"/>
        <w:ind w:firstLine="66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②车船状况保持完好、设施齐全，发现缺损扣1</w:t>
      </w:r>
      <w:r>
        <w:rPr>
          <w:rFonts w:hint="eastAsia" w:ascii="方正仿宋简体" w:hAnsi="方正仿宋简体" w:eastAsia="方正仿宋简体" w:cs="方正仿宋简体"/>
          <w:kern w:val="0"/>
          <w:sz w:val="32"/>
          <w:szCs w:val="32"/>
        </w:rPr>
        <w:t>～</w:t>
      </w:r>
      <w:r>
        <w:rPr>
          <w:rFonts w:hint="eastAsia" w:ascii="方正仿宋简体" w:hAnsi="方正仿宋简体" w:eastAsia="方正仿宋简体" w:cs="方正仿宋简体"/>
          <w:bCs/>
          <w:sz w:val="32"/>
          <w:szCs w:val="32"/>
        </w:rPr>
        <w:t>2分。</w:t>
      </w:r>
    </w:p>
    <w:p w14:paraId="28449B0B">
      <w:pPr>
        <w:spacing w:line="600" w:lineRule="exact"/>
        <w:ind w:firstLine="640" w:firstLineChars="20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（2）计划完成方面</w:t>
      </w:r>
    </w:p>
    <w:p w14:paraId="57B09E58">
      <w:pPr>
        <w:spacing w:line="600" w:lineRule="exact"/>
        <w:ind w:firstLine="63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运输单位须按发货计划安排车船完成运输任务，否则单次扣2分。</w:t>
      </w:r>
    </w:p>
    <w:p w14:paraId="44ABE13A">
      <w:pPr>
        <w:spacing w:line="600" w:lineRule="exact"/>
        <w:ind w:firstLine="640" w:firstLineChars="20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（3）资信方面</w:t>
      </w:r>
    </w:p>
    <w:p w14:paraId="07FD9C69">
      <w:pPr>
        <w:spacing w:line="600" w:lineRule="exact"/>
        <w:ind w:firstLine="640" w:firstLineChars="20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①中标之后拒绝签订合同或拒绝履行合同，视影响运输严重程度单次扣3</w:t>
      </w:r>
      <w:r>
        <w:rPr>
          <w:rFonts w:hint="eastAsia" w:ascii="方正仿宋简体" w:hAnsi="方正仿宋简体" w:eastAsia="方正仿宋简体" w:cs="方正仿宋简体"/>
          <w:kern w:val="0"/>
          <w:sz w:val="32"/>
          <w:szCs w:val="32"/>
        </w:rPr>
        <w:t>～</w:t>
      </w:r>
      <w:r>
        <w:rPr>
          <w:rFonts w:hint="eastAsia" w:ascii="方正仿宋简体" w:hAnsi="方正仿宋简体" w:eastAsia="方正仿宋简体" w:cs="方正仿宋简体"/>
          <w:bCs/>
          <w:sz w:val="32"/>
          <w:szCs w:val="32"/>
        </w:rPr>
        <w:t>10分。</w:t>
      </w:r>
    </w:p>
    <w:p w14:paraId="453A936A">
      <w:pPr>
        <w:spacing w:line="600" w:lineRule="exact"/>
        <w:ind w:firstLine="640" w:firstLineChars="20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②不及时开具发票并送交至业务员，单次扣1分。</w:t>
      </w:r>
    </w:p>
    <w:p w14:paraId="585CD39B">
      <w:pPr>
        <w:spacing w:line="600" w:lineRule="exact"/>
        <w:ind w:firstLine="640" w:firstLineChars="20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③未按实际运输任务明细开票，弄虚作假，视严重程度单次扣5</w:t>
      </w:r>
      <w:r>
        <w:rPr>
          <w:rFonts w:hint="eastAsia" w:ascii="方正仿宋简体" w:hAnsi="方正仿宋简体" w:eastAsia="方正仿宋简体" w:cs="方正仿宋简体"/>
          <w:kern w:val="0"/>
          <w:sz w:val="32"/>
          <w:szCs w:val="32"/>
        </w:rPr>
        <w:t>～</w:t>
      </w:r>
      <w:r>
        <w:rPr>
          <w:rFonts w:hint="eastAsia" w:ascii="方正仿宋简体" w:hAnsi="方正仿宋简体" w:eastAsia="方正仿宋简体" w:cs="方正仿宋简体"/>
          <w:bCs/>
          <w:sz w:val="32"/>
          <w:szCs w:val="32"/>
        </w:rPr>
        <w:t>10分。</w:t>
      </w:r>
    </w:p>
    <w:p w14:paraId="27D15066">
      <w:pPr>
        <w:spacing w:line="600" w:lineRule="exact"/>
        <w:ind w:firstLine="640" w:firstLineChars="200"/>
        <w:rPr>
          <w:rFonts w:ascii="方正仿宋简体" w:hAnsi="方正仿宋简体" w:eastAsia="方正仿宋简体" w:cs="方正仿宋简体"/>
          <w:bCs/>
          <w:sz w:val="32"/>
          <w:szCs w:val="32"/>
        </w:rPr>
      </w:pPr>
      <w:r>
        <w:rPr>
          <w:rFonts w:hint="eastAsia" w:ascii="方正仿宋简体" w:hAnsi="方正仿宋简体" w:eastAsia="方正仿宋简体" w:cs="方正仿宋简体"/>
          <w:bCs/>
          <w:sz w:val="32"/>
          <w:szCs w:val="32"/>
        </w:rPr>
        <w:t>④注册信息及基本资质证书不属实，视严重程度单次扣3</w:t>
      </w:r>
      <w:r>
        <w:rPr>
          <w:rFonts w:hint="eastAsia" w:ascii="方正仿宋简体" w:hAnsi="方正仿宋简体" w:eastAsia="方正仿宋简体" w:cs="方正仿宋简体"/>
          <w:kern w:val="0"/>
          <w:sz w:val="32"/>
          <w:szCs w:val="32"/>
        </w:rPr>
        <w:t>～</w:t>
      </w:r>
      <w:r>
        <w:rPr>
          <w:rFonts w:hint="eastAsia" w:ascii="方正仿宋简体" w:hAnsi="方正仿宋简体" w:eastAsia="方正仿宋简体" w:cs="方正仿宋简体"/>
          <w:bCs/>
          <w:sz w:val="32"/>
          <w:szCs w:val="32"/>
        </w:rPr>
        <w:t>10分。</w:t>
      </w:r>
    </w:p>
    <w:p w14:paraId="1DF5593F">
      <w:pPr>
        <w:spacing w:line="600" w:lineRule="exact"/>
        <w:ind w:firstLine="640" w:firstLineChars="200"/>
        <w:rPr>
          <w:rFonts w:ascii="方正仿宋简体" w:hAnsi="方正仿宋简体" w:eastAsia="方正仿宋简体" w:cs="方正仿宋简体"/>
          <w:bCs/>
          <w:sz w:val="32"/>
          <w:szCs w:val="32"/>
          <w:highlight w:val="yellow"/>
        </w:rPr>
      </w:pPr>
      <w:r>
        <w:rPr>
          <w:rFonts w:hint="eastAsia" w:ascii="方正仿宋简体" w:hAnsi="方正仿宋简体" w:eastAsia="方正仿宋简体" w:cs="方正仿宋简体"/>
          <w:bCs/>
          <w:sz w:val="32"/>
          <w:szCs w:val="32"/>
        </w:rPr>
        <w:t>⑤违反廉洁协议，视严重程度单次扣5</w:t>
      </w:r>
      <w:r>
        <w:rPr>
          <w:rFonts w:hint="eastAsia" w:ascii="方正仿宋简体" w:hAnsi="方正仿宋简体" w:eastAsia="方正仿宋简体" w:cs="方正仿宋简体"/>
          <w:kern w:val="0"/>
          <w:sz w:val="32"/>
          <w:szCs w:val="32"/>
        </w:rPr>
        <w:t>～</w:t>
      </w:r>
      <w:r>
        <w:rPr>
          <w:rFonts w:hint="eastAsia" w:ascii="方正仿宋简体" w:hAnsi="方正仿宋简体" w:eastAsia="方正仿宋简体" w:cs="方正仿宋简体"/>
          <w:bCs/>
          <w:sz w:val="32"/>
          <w:szCs w:val="32"/>
        </w:rPr>
        <w:t>10分。</w:t>
      </w:r>
    </w:p>
    <w:p w14:paraId="5DE2AA55">
      <w:pPr>
        <w:spacing w:line="600" w:lineRule="exact"/>
        <w:ind w:firstLine="643" w:firstLineChars="200"/>
        <w:rPr>
          <w:rFonts w:ascii="黑体" w:hAnsi="黑体" w:eastAsia="黑体" w:cs="仿宋"/>
          <w:b/>
          <w:bCs/>
          <w:sz w:val="34"/>
          <w:szCs w:val="34"/>
        </w:rPr>
      </w:pPr>
      <w:r>
        <w:rPr>
          <w:rFonts w:hint="eastAsia" w:ascii="方正仿宋简体" w:hAnsi="方正仿宋简体" w:eastAsia="方正仿宋简体" w:cs="方正仿宋简体"/>
          <w:b/>
          <w:bCs/>
          <w:sz w:val="32"/>
          <w:szCs w:val="32"/>
        </w:rPr>
        <w:t>从负面清单中消除的流程</w:t>
      </w:r>
    </w:p>
    <w:p w14:paraId="0ED77BE6">
      <w:pPr>
        <w:spacing w:line="600" w:lineRule="exact"/>
        <w:ind w:firstLine="640" w:firstLineChars="200"/>
        <w:rPr>
          <w:rFonts w:ascii="方正仿宋简体" w:hAnsi="方正仿宋简体" w:eastAsia="方正仿宋简体" w:cs="方正仿宋简体"/>
          <w:sz w:val="32"/>
          <w:szCs w:val="32"/>
        </w:rPr>
      </w:pPr>
      <w:r>
        <w:rPr>
          <w:rFonts w:hint="eastAsia" w:ascii="方正仿宋简体" w:hAnsi="方正仿宋简体" w:eastAsia="方正仿宋简体" w:cs="方正仿宋简体"/>
          <w:sz w:val="32"/>
          <w:szCs w:val="32"/>
        </w:rPr>
        <w:t>列入负面清单中的供应商只要通过整改，其产品或服务质量满足我司要求，原则上满一年以后可以申请从负面清单中消除。</w:t>
      </w:r>
    </w:p>
    <w:p w14:paraId="5776B895">
      <w:pPr>
        <w:spacing w:line="600" w:lineRule="exact"/>
        <w:ind w:firstLine="640" w:firstLineChars="200"/>
        <w:rPr>
          <w:rFonts w:ascii="方正仿宋简体" w:hAnsi="方正仿宋简体" w:eastAsia="方正仿宋简体" w:cs="方正仿宋简体"/>
          <w:sz w:val="32"/>
          <w:szCs w:val="32"/>
        </w:rPr>
      </w:pPr>
      <w:r>
        <w:rPr>
          <w:rFonts w:hint="eastAsia" w:ascii="方正楷体_GBK" w:hAnsi="方正楷体_GBK" w:eastAsia="方正楷体_GBK" w:cs="方正楷体_GBK"/>
          <w:sz w:val="32"/>
          <w:szCs w:val="32"/>
        </w:rPr>
        <w:t>（一）</w:t>
      </w:r>
      <w:r>
        <w:rPr>
          <w:rFonts w:hint="eastAsia" w:ascii="方正仿宋简体" w:hAnsi="方正仿宋简体" w:eastAsia="方正仿宋简体" w:cs="方正仿宋简体"/>
          <w:sz w:val="32"/>
          <w:szCs w:val="32"/>
        </w:rPr>
        <w:t>供应商提出申请</w:t>
      </w:r>
    </w:p>
    <w:p w14:paraId="38C99ABB">
      <w:pPr>
        <w:spacing w:line="600" w:lineRule="exact"/>
        <w:ind w:firstLine="640" w:firstLineChars="200"/>
        <w:rPr>
          <w:rFonts w:ascii="方正仿宋简体" w:hAnsi="方正仿宋简体" w:eastAsia="方正仿宋简体" w:cs="方正仿宋简体"/>
          <w:sz w:val="32"/>
          <w:szCs w:val="32"/>
        </w:rPr>
      </w:pPr>
      <w:r>
        <w:rPr>
          <w:rFonts w:hint="eastAsia" w:ascii="方正仿宋_GBK" w:hAnsi="方正仿宋_GBK" w:eastAsia="方正仿宋_GBK" w:cs="方正仿宋_GBK"/>
          <w:sz w:val="32"/>
          <w:szCs w:val="32"/>
        </w:rPr>
        <w:t>1.</w:t>
      </w:r>
      <w:r>
        <w:rPr>
          <w:rFonts w:hint="eastAsia" w:ascii="方正仿宋简体" w:hAnsi="方正仿宋简体" w:eastAsia="方正仿宋简体" w:cs="方正仿宋简体"/>
          <w:sz w:val="32"/>
          <w:szCs w:val="32"/>
        </w:rPr>
        <w:t>供应商提出负面清单消除的书面申请。</w:t>
      </w:r>
    </w:p>
    <w:p w14:paraId="3DD9C518">
      <w:pPr>
        <w:spacing w:line="600" w:lineRule="exact"/>
        <w:ind w:firstLine="640" w:firstLineChars="200"/>
        <w:rPr>
          <w:rFonts w:ascii="方正仿宋简体" w:hAnsi="方正仿宋简体" w:eastAsia="方正仿宋简体" w:cs="方正仿宋简体"/>
          <w:sz w:val="32"/>
          <w:szCs w:val="32"/>
        </w:rPr>
      </w:pPr>
      <w:r>
        <w:rPr>
          <w:rFonts w:hint="eastAsia" w:ascii="方正仿宋_GBK" w:hAnsi="方正仿宋_GBK" w:eastAsia="方正仿宋_GBK" w:cs="方正仿宋_GBK"/>
          <w:sz w:val="32"/>
          <w:szCs w:val="32"/>
        </w:rPr>
        <w:t>2.</w:t>
      </w:r>
      <w:r>
        <w:rPr>
          <w:rFonts w:hint="eastAsia" w:ascii="方正仿宋简体" w:hAnsi="方正仿宋简体" w:eastAsia="方正仿宋简体" w:cs="方正仿宋简体"/>
          <w:sz w:val="32"/>
          <w:szCs w:val="32"/>
        </w:rPr>
        <w:t>供应商提供针对考核项的整改措施及效果等相关文件材料。</w:t>
      </w:r>
    </w:p>
    <w:p w14:paraId="670F0A75">
      <w:pPr>
        <w:spacing w:line="600" w:lineRule="exact"/>
        <w:ind w:firstLine="640" w:firstLineChars="200"/>
        <w:rPr>
          <w:rFonts w:ascii="方正仿宋简体" w:hAnsi="方正仿宋简体" w:eastAsia="方正仿宋简体" w:cs="方正仿宋简体"/>
          <w:sz w:val="32"/>
          <w:szCs w:val="32"/>
        </w:rPr>
      </w:pPr>
      <w:r>
        <w:rPr>
          <w:rFonts w:hint="eastAsia" w:ascii="方正楷体_GBK" w:hAnsi="方正楷体_GBK" w:eastAsia="方正楷体_GBK" w:cs="方正楷体_GBK"/>
          <w:sz w:val="32"/>
          <w:szCs w:val="32"/>
        </w:rPr>
        <w:t>（二）</w:t>
      </w:r>
      <w:r>
        <w:rPr>
          <w:rFonts w:hint="eastAsia" w:ascii="方正仿宋简体" w:hAnsi="方正仿宋简体" w:eastAsia="方正仿宋简体" w:cs="方正仿宋简体"/>
          <w:sz w:val="32"/>
          <w:szCs w:val="32"/>
        </w:rPr>
        <w:t>确认与消除</w:t>
      </w:r>
    </w:p>
    <w:p w14:paraId="79A1034C">
      <w:pPr>
        <w:spacing w:line="600" w:lineRule="exact"/>
        <w:ind w:firstLine="675"/>
        <w:rPr>
          <w:rFonts w:ascii="方正仿宋简体" w:hAnsi="方正仿宋简体" w:eastAsia="方正仿宋简体" w:cs="方正仿宋简体"/>
          <w:sz w:val="32"/>
          <w:szCs w:val="32"/>
        </w:rPr>
      </w:pPr>
      <w:r>
        <w:rPr>
          <w:rFonts w:hint="eastAsia" w:ascii="方正仿宋_GBK" w:hAnsi="方正仿宋_GBK" w:eastAsia="方正仿宋_GBK" w:cs="方正仿宋_GBK"/>
          <w:sz w:val="32"/>
          <w:szCs w:val="32"/>
        </w:rPr>
        <w:t>1.</w:t>
      </w:r>
      <w:r>
        <w:rPr>
          <w:rFonts w:hint="eastAsia" w:ascii="方正仿宋简体" w:hAnsi="方正仿宋简体" w:eastAsia="方正仿宋简体" w:cs="方正仿宋简体"/>
          <w:sz w:val="32"/>
          <w:szCs w:val="32"/>
        </w:rPr>
        <w:t>采购部门牵头组织相关部门对供应商提供的文件材料进行确认，必要时组织现场考察；</w:t>
      </w:r>
    </w:p>
    <w:p w14:paraId="058D3814">
      <w:pPr>
        <w:spacing w:line="600" w:lineRule="exact"/>
        <w:ind w:firstLine="675"/>
        <w:rPr>
          <w:rFonts w:hint="eastAsia" w:ascii="方正仿宋简体" w:hAnsi="方正仿宋简体" w:eastAsia="方正仿宋简体" w:cs="方正仿宋简体"/>
          <w:sz w:val="32"/>
          <w:szCs w:val="32"/>
        </w:rPr>
      </w:pPr>
      <w:r>
        <w:rPr>
          <w:rFonts w:hint="eastAsia" w:ascii="方正仿宋_GBK" w:hAnsi="方正仿宋_GBK" w:eastAsia="方正仿宋_GBK" w:cs="方正仿宋_GBK"/>
          <w:sz w:val="32"/>
          <w:szCs w:val="32"/>
        </w:rPr>
        <w:t>2.</w:t>
      </w:r>
      <w:r>
        <w:rPr>
          <w:rFonts w:hint="eastAsia" w:ascii="方正仿宋简体" w:hAnsi="方正仿宋简体" w:eastAsia="方正仿宋简体" w:cs="方正仿宋简体"/>
          <w:sz w:val="32"/>
          <w:szCs w:val="32"/>
        </w:rPr>
        <w:t>根据确认情况提出建议，报公司批准后从负面清单中消除。</w:t>
      </w:r>
    </w:p>
    <w:p w14:paraId="35912B0D">
      <w:pPr>
        <w:pStyle w:val="2"/>
        <w:rPr>
          <w:rFonts w:hint="eastAsia" w:ascii="方正仿宋简体" w:hAnsi="方正仿宋简体" w:eastAsia="方正仿宋简体" w:cs="方正仿宋简体"/>
          <w:sz w:val="32"/>
          <w:szCs w:val="32"/>
        </w:rPr>
      </w:pPr>
    </w:p>
    <w:p w14:paraId="44D8DC81">
      <w:pPr>
        <w:rPr>
          <w:rFonts w:hint="eastAsia" w:ascii="方正仿宋简体" w:hAnsi="方正仿宋简体" w:eastAsia="方正仿宋简体" w:cs="方正仿宋简体"/>
          <w:sz w:val="32"/>
          <w:szCs w:val="32"/>
        </w:rPr>
      </w:pPr>
    </w:p>
    <w:p w14:paraId="12DE106D">
      <w:pPr>
        <w:pStyle w:val="2"/>
        <w:rPr>
          <w:rFonts w:hint="eastAsia" w:ascii="方正仿宋简体" w:hAnsi="方正仿宋简体" w:eastAsia="方正仿宋简体" w:cs="方正仿宋简体"/>
          <w:sz w:val="32"/>
          <w:szCs w:val="32"/>
        </w:rPr>
      </w:pPr>
    </w:p>
    <w:p w14:paraId="0A8BC241">
      <w:pPr>
        <w:rPr>
          <w:rFonts w:hint="eastAsia" w:ascii="方正仿宋简体" w:hAnsi="方正仿宋简体" w:eastAsia="方正仿宋简体" w:cs="方正仿宋简体"/>
          <w:sz w:val="32"/>
          <w:szCs w:val="32"/>
        </w:rPr>
      </w:pPr>
    </w:p>
    <w:p w14:paraId="4A6BA805">
      <w:pPr>
        <w:pStyle w:val="2"/>
        <w:rPr>
          <w:rFonts w:hint="eastAsia" w:ascii="方正仿宋简体" w:hAnsi="方正仿宋简体" w:eastAsia="方正仿宋简体" w:cs="方正仿宋简体"/>
          <w:sz w:val="32"/>
          <w:szCs w:val="32"/>
        </w:rPr>
      </w:pPr>
    </w:p>
    <w:p w14:paraId="19E30EAB">
      <w:pPr>
        <w:rPr>
          <w:rFonts w:hint="eastAsia" w:ascii="方正仿宋简体" w:hAnsi="方正仿宋简体" w:eastAsia="方正仿宋简体" w:cs="方正仿宋简体"/>
          <w:sz w:val="32"/>
          <w:szCs w:val="32"/>
        </w:rPr>
      </w:pPr>
    </w:p>
    <w:p w14:paraId="0DF706CE">
      <w:pPr>
        <w:pStyle w:val="2"/>
        <w:rPr>
          <w:rFonts w:hint="eastAsia" w:ascii="方正仿宋简体" w:hAnsi="方正仿宋简体" w:eastAsia="方正仿宋简体" w:cs="方正仿宋简体"/>
          <w:sz w:val="32"/>
          <w:szCs w:val="32"/>
        </w:rPr>
      </w:pPr>
    </w:p>
    <w:p w14:paraId="11EF6F94">
      <w:pPr>
        <w:pStyle w:val="2"/>
        <w:jc w:val="both"/>
        <w:rPr>
          <w:rFonts w:hint="eastAsia" w:ascii="方正仿宋简体" w:hAnsi="方正仿宋简体" w:eastAsia="方正仿宋简体" w:cs="方正仿宋简体"/>
          <w:sz w:val="32"/>
          <w:szCs w:val="32"/>
        </w:rPr>
      </w:pPr>
    </w:p>
    <w:p w14:paraId="221C4C62">
      <w:pPr>
        <w:rPr>
          <w:rFonts w:hint="eastAsia" w:ascii="方正仿宋简体" w:hAnsi="方正仿宋简体" w:eastAsia="方正仿宋简体" w:cs="方正仿宋简体"/>
          <w:sz w:val="32"/>
          <w:szCs w:val="32"/>
        </w:rPr>
      </w:pPr>
    </w:p>
    <w:p w14:paraId="5F984B2F">
      <w:pPr>
        <w:pStyle w:val="4"/>
        <w:spacing w:line="440" w:lineRule="exact"/>
        <w:jc w:val="both"/>
        <w:rPr>
          <w:rFonts w:hint="eastAsia" w:ascii="方正黑体_GBK" w:hAnsi="方正黑体_GBK" w:eastAsia="方正黑体_GBK" w:cs="方正黑体_GBK"/>
          <w:b/>
          <w:bCs/>
          <w:kern w:val="0"/>
          <w:sz w:val="32"/>
          <w:szCs w:val="32"/>
          <w:lang w:val="en-US" w:eastAsia="zh-CN" w:bidi="ar-SA"/>
        </w:rPr>
      </w:pPr>
      <w:r>
        <w:rPr>
          <w:rFonts w:hint="eastAsia" w:ascii="方正黑体_GBK" w:hAnsi="方正黑体_GBK" w:eastAsia="方正黑体_GBK" w:cs="方正黑体_GBK"/>
          <w:b/>
          <w:bCs/>
          <w:kern w:val="0"/>
          <w:sz w:val="32"/>
          <w:szCs w:val="32"/>
          <w:lang w:val="en-US" w:eastAsia="zh-CN" w:bidi="ar-SA"/>
        </w:rPr>
        <w:t>附件：2.具备履行合同所必需的设备和专业技术能力的书面声明</w:t>
      </w:r>
    </w:p>
    <w:p w14:paraId="514E786D">
      <w:pPr>
        <w:pStyle w:val="5"/>
        <w:rPr>
          <w:rFonts w:hint="eastAsia" w:ascii="方正黑体_GBK" w:hAnsi="方正黑体_GBK" w:eastAsia="方正黑体_GBK" w:cs="方正黑体_GBK"/>
          <w:b/>
          <w:bCs/>
          <w:kern w:val="0"/>
          <w:sz w:val="32"/>
          <w:szCs w:val="32"/>
          <w:lang w:val="en-US" w:eastAsia="zh-CN" w:bidi="ar-SA"/>
        </w:rPr>
      </w:pPr>
    </w:p>
    <w:p w14:paraId="2FD065DF">
      <w:pPr>
        <w:pStyle w:val="5"/>
        <w:rPr>
          <w:rFonts w:hint="default" w:ascii="方正黑体_GBK" w:hAnsi="方正黑体_GBK" w:eastAsia="方正黑体_GBK" w:cs="方正黑体_GBK"/>
          <w:b/>
          <w:bCs/>
          <w:kern w:val="0"/>
          <w:sz w:val="32"/>
          <w:szCs w:val="32"/>
          <w:lang w:val="en-US" w:eastAsia="zh-CN" w:bidi="ar-SA"/>
        </w:rPr>
      </w:pPr>
      <w:r>
        <w:rPr>
          <w:rFonts w:hint="eastAsia" w:ascii="方正黑体_GBK" w:hAnsi="方正黑体_GBK" w:eastAsia="方正黑体_GBK" w:cs="方正黑体_GBK"/>
          <w:b/>
          <w:bCs/>
          <w:kern w:val="0"/>
          <w:sz w:val="32"/>
          <w:szCs w:val="32"/>
          <w:lang w:val="en-US" w:eastAsia="zh-CN" w:bidi="ar-SA"/>
        </w:rPr>
        <w:t xml:space="preserve">                     </w:t>
      </w:r>
      <w:r>
        <w:rPr>
          <w:rFonts w:hint="eastAsia" w:ascii="黑体" w:hAnsi="宋体" w:eastAsia="黑体" w:cs="Times New Roman"/>
          <w:b w:val="0"/>
          <w:bCs/>
          <w:kern w:val="2"/>
          <w:sz w:val="36"/>
          <w:szCs w:val="36"/>
          <w:lang w:val="en-US" w:eastAsia="zh-CN" w:bidi="ar-SA"/>
        </w:rPr>
        <w:t xml:space="preserve"> 声  明</w:t>
      </w:r>
    </w:p>
    <w:p w14:paraId="623BC457">
      <w:pPr>
        <w:pStyle w:val="5"/>
        <w:rPr>
          <w:rFonts w:hint="eastAsia"/>
        </w:rPr>
      </w:pPr>
    </w:p>
    <w:p w14:paraId="58036572">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宋体" w:hAnsi="宋体" w:eastAsia="宋体" w:cs="Times New Roman"/>
          <w:bCs/>
          <w:sz w:val="32"/>
          <w:szCs w:val="32"/>
        </w:rPr>
      </w:pPr>
      <w:r>
        <w:rPr>
          <w:rFonts w:hint="eastAsia" w:ascii="宋体" w:hAnsi="宋体" w:eastAsia="宋体" w:cs="Times New Roman"/>
          <w:bCs/>
          <w:sz w:val="32"/>
          <w:szCs w:val="32"/>
        </w:rPr>
        <w:t>我公司郑重声明：我公司具备履行本项采购合同所必需</w:t>
      </w:r>
      <w:r>
        <w:rPr>
          <w:rFonts w:hint="eastAsia" w:ascii="宋体" w:hAnsi="宋体" w:eastAsia="宋体" w:cs="Times New Roman"/>
          <w:bCs/>
          <w:sz w:val="32"/>
          <w:szCs w:val="32"/>
          <w:lang w:eastAsia="zh-CN"/>
        </w:rPr>
        <w:t>的设备和</w:t>
      </w:r>
      <w:r>
        <w:rPr>
          <w:rFonts w:hint="eastAsia" w:ascii="宋体" w:hAnsi="宋体" w:eastAsia="宋体" w:cs="Times New Roman"/>
          <w:bCs/>
          <w:sz w:val="32"/>
          <w:szCs w:val="32"/>
        </w:rPr>
        <w:t>专业技术能力，为履行本项采购合同我公司具备如下主要</w:t>
      </w:r>
      <w:r>
        <w:rPr>
          <w:rFonts w:hint="eastAsia" w:ascii="宋体" w:hAnsi="宋体" w:eastAsia="宋体" w:cs="Times New Roman"/>
          <w:bCs/>
          <w:sz w:val="32"/>
          <w:szCs w:val="32"/>
          <w:lang w:eastAsia="zh-CN"/>
        </w:rPr>
        <w:t>设备</w:t>
      </w:r>
      <w:r>
        <w:rPr>
          <w:rFonts w:hint="eastAsia" w:ascii="宋体" w:hAnsi="宋体" w:eastAsia="宋体" w:cs="Times New Roman"/>
          <w:bCs/>
          <w:sz w:val="32"/>
          <w:szCs w:val="32"/>
        </w:rPr>
        <w:t>专业技术能力：</w:t>
      </w:r>
    </w:p>
    <w:p w14:paraId="476EF56E">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宋体" w:hAnsi="宋体" w:eastAsia="宋体" w:cs="Times New Roman"/>
          <w:bCs/>
          <w:sz w:val="32"/>
          <w:szCs w:val="32"/>
        </w:rPr>
      </w:pPr>
      <w:r>
        <w:rPr>
          <w:rFonts w:hint="eastAsia" w:ascii="宋体" w:hAnsi="宋体" w:eastAsia="宋体" w:cs="Times New Roman"/>
          <w:bCs/>
          <w:sz w:val="32"/>
          <w:szCs w:val="32"/>
        </w:rPr>
        <w:t>主要专业技术能力有：   。</w:t>
      </w:r>
    </w:p>
    <w:p w14:paraId="672DD7FC">
      <w:pPr>
        <w:spacing w:line="440" w:lineRule="exact"/>
        <w:rPr>
          <w:rFonts w:hint="eastAsia" w:ascii="宋体" w:hAnsi="宋体" w:eastAsia="宋体" w:cs="Times New Roman"/>
          <w:bCs/>
          <w:sz w:val="24"/>
          <w:szCs w:val="24"/>
        </w:rPr>
      </w:pPr>
      <w:r>
        <w:rPr>
          <w:rFonts w:hint="eastAsia" w:ascii="宋体" w:hAnsi="宋体" w:eastAsia="宋体" w:cs="Times New Roman"/>
          <w:bCs/>
          <w:sz w:val="24"/>
          <w:szCs w:val="24"/>
        </w:rPr>
        <w:t xml:space="preserve">                                     </w:t>
      </w:r>
    </w:p>
    <w:p w14:paraId="79BCE5FF">
      <w:pPr>
        <w:pStyle w:val="4"/>
        <w:spacing w:line="440" w:lineRule="exact"/>
        <w:jc w:val="center"/>
        <w:rPr>
          <w:rFonts w:hint="eastAsia" w:ascii="宋体" w:hAnsi="宋体" w:cs="Times New Roman"/>
          <w:b w:val="0"/>
          <w:bCs/>
          <w:sz w:val="24"/>
          <w:szCs w:val="21"/>
        </w:rPr>
      </w:pPr>
    </w:p>
    <w:p w14:paraId="1BB1D9DB">
      <w:pPr>
        <w:pStyle w:val="4"/>
        <w:spacing w:line="440" w:lineRule="exact"/>
        <w:jc w:val="both"/>
        <w:rPr>
          <w:rFonts w:hint="eastAsia" w:ascii="方正黑体_GBK" w:hAnsi="方正黑体_GBK" w:eastAsia="方正黑体_GBK" w:cs="方正黑体_GBK"/>
          <w:b/>
          <w:bCs/>
          <w:kern w:val="0"/>
          <w:sz w:val="32"/>
          <w:szCs w:val="32"/>
          <w:lang w:val="en-US" w:eastAsia="zh-CN" w:bidi="ar-SA"/>
        </w:rPr>
      </w:pPr>
      <w:r>
        <w:rPr>
          <w:rFonts w:ascii="宋体" w:hAnsi="宋体" w:cs="Times New Roman"/>
          <w:bCs/>
          <w:szCs w:val="21"/>
        </w:rPr>
        <w:br w:type="page"/>
      </w:r>
      <w:r>
        <w:rPr>
          <w:rFonts w:hint="eastAsia" w:ascii="方正黑体_GBK" w:hAnsi="方正黑体_GBK" w:eastAsia="方正黑体_GBK" w:cs="方正黑体_GBK"/>
          <w:b/>
          <w:bCs/>
          <w:kern w:val="0"/>
          <w:sz w:val="32"/>
          <w:szCs w:val="32"/>
          <w:lang w:val="en-US" w:eastAsia="zh-CN" w:bidi="ar-SA"/>
        </w:rPr>
        <w:t>附件：3.法人授权书</w:t>
      </w:r>
    </w:p>
    <w:p w14:paraId="5649EF9F">
      <w:pPr>
        <w:pStyle w:val="5"/>
        <w:rPr>
          <w:rFonts w:hint="eastAsia" w:ascii="方正黑体_GBK" w:hAnsi="方正黑体_GBK" w:eastAsia="方正黑体_GBK" w:cs="方正黑体_GBK"/>
          <w:b/>
          <w:bCs/>
          <w:kern w:val="0"/>
          <w:sz w:val="32"/>
          <w:szCs w:val="32"/>
          <w:lang w:val="en-US" w:eastAsia="zh-CN" w:bidi="ar-SA"/>
        </w:rPr>
      </w:pPr>
    </w:p>
    <w:p w14:paraId="6A8A783C">
      <w:pPr>
        <w:pStyle w:val="5"/>
        <w:rPr>
          <w:rFonts w:hint="default" w:ascii="方正黑体_GBK" w:hAnsi="方正黑体_GBK" w:eastAsia="方正黑体_GBK" w:cs="方正黑体_GBK"/>
          <w:b/>
          <w:bCs/>
          <w:kern w:val="0"/>
          <w:sz w:val="32"/>
          <w:szCs w:val="32"/>
          <w:lang w:val="en-US" w:eastAsia="zh-CN" w:bidi="ar-SA"/>
        </w:rPr>
      </w:pPr>
    </w:p>
    <w:p w14:paraId="1E01BA9C">
      <w:pPr>
        <w:pStyle w:val="4"/>
        <w:spacing w:line="440" w:lineRule="exact"/>
        <w:jc w:val="center"/>
        <w:rPr>
          <w:rFonts w:hint="eastAsia" w:ascii="黑体" w:hAnsi="宋体" w:eastAsia="黑体" w:cs="Times New Roman"/>
          <w:b w:val="0"/>
          <w:bCs/>
          <w:sz w:val="36"/>
          <w:szCs w:val="36"/>
        </w:rPr>
      </w:pPr>
      <w:r>
        <w:rPr>
          <w:rFonts w:hint="eastAsia" w:ascii="黑体" w:hAnsi="宋体" w:eastAsia="黑体" w:cs="Times New Roman"/>
          <w:b w:val="0"/>
          <w:bCs/>
          <w:sz w:val="36"/>
          <w:szCs w:val="36"/>
        </w:rPr>
        <w:t>法人授权书</w:t>
      </w:r>
    </w:p>
    <w:p w14:paraId="7699836A">
      <w:pPr>
        <w:pStyle w:val="5"/>
        <w:rPr>
          <w:rFonts w:hint="eastAsia" w:ascii="Times New Roman" w:hAnsi="Times New Roman" w:cs="Times New Roman"/>
        </w:rPr>
      </w:pPr>
    </w:p>
    <w:p w14:paraId="5FD145AC">
      <w:pPr>
        <w:pStyle w:val="27"/>
        <w:keepNext w:val="0"/>
        <w:keepLines w:val="0"/>
        <w:pageBreakBefore w:val="0"/>
        <w:widowControl w:val="0"/>
        <w:kinsoku/>
        <w:wordWrap/>
        <w:overflowPunct/>
        <w:topLinePunct w:val="0"/>
        <w:autoSpaceDE/>
        <w:autoSpaceDN/>
        <w:bidi w:val="0"/>
        <w:adjustRightInd/>
        <w:snapToGrid/>
        <w:spacing w:line="600" w:lineRule="exact"/>
        <w:ind w:firstLine="420" w:firstLineChars="150"/>
        <w:textAlignment w:val="auto"/>
        <w:rPr>
          <w:rFonts w:hint="eastAsia" w:ascii="Times New Roman" w:hAnsi="Times New Roman" w:cs="Times New Roman"/>
          <w:color w:val="auto"/>
          <w:sz w:val="28"/>
          <w:szCs w:val="28"/>
        </w:rPr>
      </w:pPr>
      <w:r>
        <w:rPr>
          <w:rFonts w:hint="eastAsia" w:ascii="Times New Roman" w:hAnsi="Times New Roman" w:cs="Times New Roman"/>
          <w:color w:val="auto"/>
          <w:sz w:val="28"/>
          <w:szCs w:val="28"/>
        </w:rPr>
        <w:t>本授权书声明：____________（供应商名称）授权________________（被授权人的姓名）为我方</w:t>
      </w:r>
      <w:r>
        <w:rPr>
          <w:rFonts w:hint="eastAsia" w:ascii="Times New Roman" w:hAnsi="Times New Roman" w:cs="Times New Roman"/>
          <w:color w:val="auto"/>
          <w:sz w:val="28"/>
          <w:szCs w:val="28"/>
          <w:u w:val="none"/>
        </w:rPr>
        <w:t>就</w:t>
      </w:r>
      <w:r>
        <w:rPr>
          <w:rFonts w:hint="eastAsia" w:cs="Times New Roman"/>
          <w:color w:val="auto"/>
          <w:sz w:val="28"/>
          <w:szCs w:val="28"/>
          <w:u w:val="single"/>
          <w:lang w:eastAsia="zh-CN"/>
        </w:rPr>
        <w:t>　　　　　　</w:t>
      </w:r>
      <w:r>
        <w:rPr>
          <w:rFonts w:hint="eastAsia" w:ascii="仿宋" w:hAnsi="仿宋" w:eastAsia="仿宋" w:cs="仿宋"/>
          <w:sz w:val="28"/>
          <w:szCs w:val="28"/>
          <w:u w:val="single"/>
          <w:lang w:val="zh-CN"/>
        </w:rPr>
        <w:t>（项目编号：　　　）</w:t>
      </w:r>
      <w:r>
        <w:rPr>
          <w:rFonts w:hint="eastAsia" w:ascii="Times New Roman" w:hAnsi="Times New Roman" w:cs="Times New Roman"/>
          <w:color w:val="auto"/>
          <w:sz w:val="28"/>
          <w:szCs w:val="28"/>
        </w:rPr>
        <w:t>项目采购活动的合法代理人，以本公司名义全权处理一切与该项目采购有关的事务。</w:t>
      </w:r>
    </w:p>
    <w:p w14:paraId="300B7A50">
      <w:pPr>
        <w:pStyle w:val="27"/>
        <w:keepNext w:val="0"/>
        <w:keepLines w:val="0"/>
        <w:pageBreakBefore w:val="0"/>
        <w:widowControl w:val="0"/>
        <w:kinsoku/>
        <w:wordWrap/>
        <w:overflowPunct/>
        <w:topLinePunct w:val="0"/>
        <w:autoSpaceDE/>
        <w:autoSpaceDN/>
        <w:bidi w:val="0"/>
        <w:adjustRightInd/>
        <w:snapToGrid/>
        <w:spacing w:line="600" w:lineRule="exact"/>
        <w:ind w:firstLine="560" w:firstLineChars="200"/>
        <w:textAlignment w:val="auto"/>
        <w:rPr>
          <w:rFonts w:hint="eastAsia" w:ascii="Times New Roman" w:hAnsi="Times New Roman" w:cs="Times New Roman"/>
          <w:color w:val="auto"/>
          <w:sz w:val="28"/>
          <w:szCs w:val="28"/>
        </w:rPr>
      </w:pPr>
      <w:r>
        <w:rPr>
          <w:rFonts w:hint="eastAsia" w:ascii="Times New Roman" w:hAnsi="Times New Roman" w:cs="Times New Roman"/>
          <w:color w:val="auto"/>
          <w:sz w:val="28"/>
          <w:szCs w:val="28"/>
        </w:rPr>
        <w:t>本授权书于______年____月____日起生效，特此声明。</w:t>
      </w:r>
    </w:p>
    <w:p w14:paraId="16ABD276">
      <w:pPr>
        <w:pStyle w:val="27"/>
        <w:keepNext w:val="0"/>
        <w:keepLines w:val="0"/>
        <w:pageBreakBefore w:val="0"/>
        <w:widowControl w:val="0"/>
        <w:kinsoku/>
        <w:wordWrap/>
        <w:overflowPunct/>
        <w:topLinePunct w:val="0"/>
        <w:autoSpaceDE/>
        <w:autoSpaceDN/>
        <w:bidi w:val="0"/>
        <w:adjustRightInd/>
        <w:snapToGrid/>
        <w:spacing w:line="600" w:lineRule="exact"/>
        <w:textAlignment w:val="auto"/>
        <w:rPr>
          <w:rFonts w:hint="eastAsia" w:ascii="Times New Roman" w:hAnsi="Times New Roman" w:cs="Times New Roman"/>
          <w:color w:val="auto"/>
          <w:sz w:val="28"/>
          <w:szCs w:val="28"/>
        </w:rPr>
      </w:pPr>
      <w:r>
        <w:rPr>
          <w:rFonts w:hint="eastAsia" w:ascii="Times New Roman" w:hAnsi="Times New Roman" w:cs="Times New Roman"/>
          <w:color w:val="auto"/>
          <w:sz w:val="28"/>
          <w:szCs w:val="28"/>
        </w:rPr>
        <w:t xml:space="preserve">    代理人（被授权人）签字：_______________________</w:t>
      </w:r>
    </w:p>
    <w:p w14:paraId="190F7B54">
      <w:pPr>
        <w:pStyle w:val="27"/>
        <w:keepNext w:val="0"/>
        <w:keepLines w:val="0"/>
        <w:pageBreakBefore w:val="0"/>
        <w:widowControl w:val="0"/>
        <w:kinsoku/>
        <w:wordWrap/>
        <w:overflowPunct/>
        <w:topLinePunct w:val="0"/>
        <w:autoSpaceDE/>
        <w:autoSpaceDN/>
        <w:bidi w:val="0"/>
        <w:adjustRightInd/>
        <w:snapToGrid/>
        <w:spacing w:line="600" w:lineRule="exact"/>
        <w:textAlignment w:val="auto"/>
        <w:rPr>
          <w:rFonts w:hint="eastAsia" w:ascii="Times New Roman" w:hAnsi="Times New Roman" w:cs="Times New Roman"/>
          <w:color w:val="auto"/>
          <w:sz w:val="28"/>
          <w:szCs w:val="28"/>
        </w:rPr>
      </w:pPr>
      <w:r>
        <w:rPr>
          <w:rFonts w:hint="eastAsia" w:ascii="Times New Roman" w:hAnsi="Times New Roman" w:cs="Times New Roman"/>
          <w:color w:val="auto"/>
          <w:sz w:val="28"/>
          <w:szCs w:val="28"/>
        </w:rPr>
        <w:t xml:space="preserve">    身份证号码：</w:t>
      </w:r>
      <w:r>
        <w:rPr>
          <w:rFonts w:hint="eastAsia" w:ascii="Times New Roman" w:hAnsi="Times New Roman" w:cs="Times New Roman"/>
          <w:color w:val="auto"/>
          <w:sz w:val="28"/>
          <w:szCs w:val="28"/>
          <w:u w:val="single"/>
        </w:rPr>
        <w:t xml:space="preserve">                  </w:t>
      </w:r>
      <w:r>
        <w:rPr>
          <w:rFonts w:hint="eastAsia" w:ascii="Times New Roman" w:hAnsi="Times New Roman" w:cs="Times New Roman"/>
          <w:color w:val="auto"/>
          <w:sz w:val="28"/>
          <w:szCs w:val="28"/>
          <w:u w:val="single"/>
          <w:lang w:val="en-US" w:eastAsia="zh-CN"/>
        </w:rPr>
        <w:t xml:space="preserve">     </w:t>
      </w:r>
      <w:r>
        <w:rPr>
          <w:rFonts w:hint="eastAsia" w:ascii="Times New Roman" w:hAnsi="Times New Roman" w:cs="Times New Roman"/>
          <w:color w:val="auto"/>
          <w:sz w:val="28"/>
          <w:szCs w:val="28"/>
          <w:u w:val="single"/>
        </w:rPr>
        <w:t xml:space="preserve">            </w:t>
      </w:r>
    </w:p>
    <w:p w14:paraId="074624AC">
      <w:pPr>
        <w:pStyle w:val="27"/>
        <w:keepNext w:val="0"/>
        <w:keepLines w:val="0"/>
        <w:pageBreakBefore w:val="0"/>
        <w:widowControl w:val="0"/>
        <w:kinsoku/>
        <w:wordWrap/>
        <w:overflowPunct/>
        <w:topLinePunct w:val="0"/>
        <w:autoSpaceDE/>
        <w:autoSpaceDN/>
        <w:bidi w:val="0"/>
        <w:adjustRightInd/>
        <w:snapToGrid/>
        <w:spacing w:line="600" w:lineRule="exact"/>
        <w:textAlignment w:val="auto"/>
        <w:rPr>
          <w:rFonts w:hint="eastAsia" w:ascii="Times New Roman" w:hAnsi="Times New Roman" w:cs="Times New Roman"/>
          <w:color w:val="auto"/>
          <w:sz w:val="28"/>
          <w:szCs w:val="28"/>
        </w:rPr>
      </w:pPr>
      <w:r>
        <w:rPr>
          <w:rFonts w:hint="eastAsia" w:ascii="Times New Roman" w:hAnsi="Times New Roman" w:cs="Times New Roman"/>
          <w:color w:val="auto"/>
          <w:sz w:val="28"/>
          <w:szCs w:val="28"/>
        </w:rPr>
        <w:t xml:space="preserve">    联系电话：（手机）</w:t>
      </w:r>
      <w:r>
        <w:rPr>
          <w:rFonts w:hint="eastAsia" w:ascii="Times New Roman" w:hAnsi="Times New Roman" w:cs="Times New Roman"/>
          <w:color w:val="auto"/>
          <w:sz w:val="28"/>
          <w:szCs w:val="28"/>
          <w:u w:val="single"/>
        </w:rPr>
        <w:t xml:space="preserve">              </w:t>
      </w:r>
      <w:r>
        <w:rPr>
          <w:rFonts w:hint="eastAsia" w:ascii="Times New Roman" w:hAnsi="Times New Roman" w:cs="Times New Roman"/>
          <w:color w:val="auto"/>
          <w:sz w:val="28"/>
          <w:szCs w:val="28"/>
          <w:u w:val="single"/>
          <w:lang w:val="en-US" w:eastAsia="zh-CN"/>
        </w:rPr>
        <w:t xml:space="preserve">    </w:t>
      </w:r>
      <w:r>
        <w:rPr>
          <w:rFonts w:hint="eastAsia" w:ascii="Times New Roman" w:hAnsi="Times New Roman" w:cs="Times New Roman"/>
          <w:color w:val="auto"/>
          <w:sz w:val="28"/>
          <w:szCs w:val="28"/>
          <w:u w:val="single"/>
        </w:rPr>
        <w:t xml:space="preserve">           </w:t>
      </w:r>
    </w:p>
    <w:p w14:paraId="36E2CD8C">
      <w:pPr>
        <w:pStyle w:val="27"/>
        <w:keepNext w:val="0"/>
        <w:keepLines w:val="0"/>
        <w:pageBreakBefore w:val="0"/>
        <w:widowControl w:val="0"/>
        <w:kinsoku/>
        <w:wordWrap/>
        <w:overflowPunct/>
        <w:topLinePunct w:val="0"/>
        <w:autoSpaceDE/>
        <w:autoSpaceDN/>
        <w:bidi w:val="0"/>
        <w:adjustRightInd/>
        <w:snapToGrid/>
        <w:spacing w:line="600" w:lineRule="exact"/>
        <w:ind w:firstLine="560" w:firstLineChars="200"/>
        <w:textAlignment w:val="auto"/>
        <w:rPr>
          <w:rFonts w:hint="eastAsia" w:ascii="Times New Roman" w:hAnsi="Times New Roman" w:cs="Times New Roman"/>
          <w:color w:val="auto"/>
          <w:sz w:val="28"/>
          <w:szCs w:val="28"/>
        </w:rPr>
      </w:pPr>
      <w:r>
        <w:rPr>
          <w:rFonts w:hint="eastAsia" w:ascii="Times New Roman" w:hAnsi="Times New Roman" w:cs="Times New Roman"/>
          <w:color w:val="auto"/>
          <w:sz w:val="28"/>
          <w:szCs w:val="28"/>
        </w:rPr>
        <w:t>单位名称：_____________________________________</w:t>
      </w:r>
    </w:p>
    <w:p w14:paraId="5A9893D0">
      <w:pPr>
        <w:pStyle w:val="27"/>
        <w:keepNext w:val="0"/>
        <w:keepLines w:val="0"/>
        <w:pageBreakBefore w:val="0"/>
        <w:widowControl w:val="0"/>
        <w:kinsoku/>
        <w:wordWrap/>
        <w:overflowPunct/>
        <w:topLinePunct w:val="0"/>
        <w:autoSpaceDE/>
        <w:autoSpaceDN/>
        <w:bidi w:val="0"/>
        <w:adjustRightInd/>
        <w:snapToGrid/>
        <w:spacing w:line="600" w:lineRule="exact"/>
        <w:textAlignment w:val="auto"/>
        <w:rPr>
          <w:rFonts w:hint="eastAsia" w:ascii="Times New Roman" w:hAnsi="Times New Roman" w:cs="Times New Roman"/>
          <w:color w:val="auto"/>
          <w:sz w:val="28"/>
          <w:szCs w:val="28"/>
        </w:rPr>
      </w:pPr>
      <w:r>
        <w:rPr>
          <w:rFonts w:hint="eastAsia" w:ascii="Times New Roman" w:hAnsi="Times New Roman" w:cs="Times New Roman"/>
          <w:i/>
          <w:color w:val="auto"/>
          <w:sz w:val="28"/>
          <w:szCs w:val="28"/>
        </w:rPr>
        <w:t xml:space="preserve">    </w:t>
      </w:r>
      <w:r>
        <w:rPr>
          <w:rFonts w:hint="eastAsia" w:ascii="Times New Roman" w:hAnsi="Times New Roman" w:cs="Times New Roman"/>
          <w:color w:val="auto"/>
          <w:sz w:val="28"/>
          <w:szCs w:val="28"/>
        </w:rPr>
        <w:t>授权单位盖章：_________________________________</w:t>
      </w:r>
    </w:p>
    <w:p w14:paraId="5B044245">
      <w:pPr>
        <w:pStyle w:val="27"/>
        <w:keepNext w:val="0"/>
        <w:keepLines w:val="0"/>
        <w:pageBreakBefore w:val="0"/>
        <w:widowControl w:val="0"/>
        <w:kinsoku/>
        <w:wordWrap/>
        <w:overflowPunct/>
        <w:topLinePunct w:val="0"/>
        <w:autoSpaceDE/>
        <w:autoSpaceDN/>
        <w:bidi w:val="0"/>
        <w:adjustRightInd/>
        <w:snapToGrid/>
        <w:spacing w:line="600" w:lineRule="exact"/>
        <w:textAlignment w:val="auto"/>
        <w:rPr>
          <w:rFonts w:hint="eastAsia" w:ascii="Times New Roman" w:hAnsi="Times New Roman" w:cs="Times New Roman"/>
          <w:color w:val="auto"/>
          <w:sz w:val="28"/>
          <w:szCs w:val="28"/>
        </w:rPr>
      </w:pPr>
      <w:r>
        <w:rPr>
          <w:rFonts w:hint="eastAsia" w:ascii="Times New Roman" w:hAnsi="Times New Roman" w:cs="Times New Roman"/>
          <w:color w:val="auto"/>
          <w:sz w:val="28"/>
          <w:szCs w:val="28"/>
        </w:rPr>
        <w:t xml:space="preserve">    地址： </w:t>
      </w:r>
      <w:r>
        <w:rPr>
          <w:rFonts w:hint="eastAsia" w:ascii="Times New Roman" w:hAnsi="Times New Roman" w:cs="Times New Roman"/>
          <w:color w:val="auto"/>
          <w:sz w:val="28"/>
          <w:szCs w:val="28"/>
          <w:u w:val="single"/>
        </w:rPr>
        <w:t xml:space="preserve">                                        </w:t>
      </w:r>
    </w:p>
    <w:p w14:paraId="5C2EE3DC">
      <w:pPr>
        <w:pStyle w:val="27"/>
        <w:keepNext w:val="0"/>
        <w:keepLines w:val="0"/>
        <w:pageBreakBefore w:val="0"/>
        <w:widowControl w:val="0"/>
        <w:kinsoku/>
        <w:wordWrap/>
        <w:overflowPunct/>
        <w:topLinePunct w:val="0"/>
        <w:autoSpaceDE/>
        <w:autoSpaceDN/>
        <w:bidi w:val="0"/>
        <w:adjustRightInd/>
        <w:snapToGrid/>
        <w:spacing w:line="600" w:lineRule="exact"/>
        <w:textAlignment w:val="auto"/>
        <w:rPr>
          <w:rFonts w:hint="eastAsia" w:ascii="Times New Roman" w:hAnsi="Times New Roman" w:cs="Times New Roman"/>
          <w:color w:val="auto"/>
          <w:sz w:val="28"/>
          <w:szCs w:val="28"/>
        </w:rPr>
      </w:pPr>
      <w:r>
        <w:rPr>
          <w:rFonts w:hint="eastAsia" w:ascii="Times New Roman" w:hAnsi="Times New Roman" w:cs="Times New Roman"/>
          <w:color w:val="auto"/>
          <w:sz w:val="28"/>
          <w:szCs w:val="28"/>
        </w:rPr>
        <w:t xml:space="preserve">    日期：   年   月   日</w:t>
      </w:r>
    </w:p>
    <w:p w14:paraId="737E6D88">
      <w:pPr>
        <w:pStyle w:val="27"/>
        <w:spacing w:line="440" w:lineRule="exact"/>
        <w:rPr>
          <w:rFonts w:hint="eastAsia" w:ascii="Times New Roman" w:hAnsi="Times New Roman" w:cs="Times New Roman"/>
          <w:color w:val="auto"/>
          <w:sz w:val="28"/>
          <w:szCs w:val="28"/>
        </w:rPr>
      </w:pPr>
      <w:r>
        <w:rPr>
          <w:rFonts w:hint="eastAsia" w:ascii="Times New Roman" w:hAnsi="Times New Roman" w:cs="Times New Roman"/>
          <w:color w:val="auto"/>
          <w:sz w:val="28"/>
          <w:szCs w:val="28"/>
        </w:rPr>
        <w:t xml:space="preserve">                </w:t>
      </w:r>
    </w:p>
    <w:p w14:paraId="2F2A4BCC">
      <w:pPr>
        <w:pStyle w:val="5"/>
        <w:spacing w:line="440" w:lineRule="exact"/>
        <w:rPr>
          <w:rFonts w:hint="eastAsia" w:ascii="Times New Roman" w:hAnsi="Times New Roman" w:cs="Times New Roman"/>
        </w:rPr>
      </w:pPr>
    </w:p>
    <w:p w14:paraId="1A73E4D1">
      <w:pPr>
        <w:pStyle w:val="5"/>
        <w:spacing w:line="440" w:lineRule="exact"/>
        <w:rPr>
          <w:rFonts w:hint="eastAsia" w:ascii="Times New Roman" w:hAnsi="Times New Roman" w:cs="Times New Roman"/>
        </w:rPr>
      </w:pPr>
    </w:p>
    <w:p w14:paraId="1218A323">
      <w:pPr>
        <w:pStyle w:val="4"/>
        <w:spacing w:line="440" w:lineRule="exact"/>
        <w:jc w:val="center"/>
        <w:rPr>
          <w:rFonts w:hint="eastAsia" w:ascii="方正黑体_GBK" w:hAnsi="方正黑体_GBK" w:eastAsia="方正黑体_GBK" w:cs="方正黑体_GBK"/>
          <w:b/>
          <w:bCs/>
          <w:kern w:val="0"/>
          <w:sz w:val="32"/>
          <w:szCs w:val="32"/>
          <w:lang w:val="en-US" w:eastAsia="zh-CN" w:bidi="ar-SA"/>
        </w:rPr>
      </w:pPr>
      <w:r>
        <w:rPr>
          <w:rFonts w:ascii="宋体" w:hAnsi="宋体" w:cs="Times New Roman"/>
          <w:bCs/>
          <w:szCs w:val="21"/>
        </w:rPr>
        <w:br w:type="page"/>
      </w:r>
      <w:r>
        <w:rPr>
          <w:rFonts w:hint="eastAsia" w:ascii="方正黑体_GBK" w:hAnsi="方正黑体_GBK" w:eastAsia="方正黑体_GBK" w:cs="方正黑体_GBK"/>
          <w:b/>
          <w:bCs/>
          <w:kern w:val="0"/>
          <w:sz w:val="32"/>
          <w:szCs w:val="32"/>
          <w:lang w:val="en-US" w:eastAsia="zh-CN" w:bidi="ar-SA"/>
        </w:rPr>
        <w:t>附件：4.参加采购活动前3年内在经营活动中没有重大违法记录的书面声明</w:t>
      </w:r>
    </w:p>
    <w:p w14:paraId="6C283E11">
      <w:pPr>
        <w:spacing w:line="440" w:lineRule="exact"/>
        <w:rPr>
          <w:rFonts w:hint="eastAsia" w:ascii="宋体" w:hAnsi="宋体" w:eastAsia="宋体" w:cs="Times New Roman"/>
          <w:b/>
          <w:bCs/>
          <w:sz w:val="44"/>
          <w:szCs w:val="44"/>
        </w:rPr>
      </w:pPr>
      <w:r>
        <w:rPr>
          <w:rFonts w:hint="eastAsia" w:ascii="宋体" w:hAnsi="宋体" w:eastAsia="宋体" w:cs="Times New Roman"/>
          <w:b/>
          <w:bCs/>
          <w:sz w:val="24"/>
          <w:szCs w:val="24"/>
        </w:rPr>
        <w:t xml:space="preserve">                       </w:t>
      </w:r>
      <w:r>
        <w:rPr>
          <w:rFonts w:hint="eastAsia" w:ascii="宋体" w:hAnsi="宋体" w:eastAsia="宋体" w:cs="Times New Roman"/>
          <w:b/>
          <w:bCs/>
          <w:sz w:val="44"/>
          <w:szCs w:val="44"/>
        </w:rPr>
        <w:t xml:space="preserve">   </w:t>
      </w:r>
    </w:p>
    <w:p w14:paraId="5F1AD8C7">
      <w:pPr>
        <w:spacing w:line="440" w:lineRule="exact"/>
        <w:jc w:val="center"/>
        <w:rPr>
          <w:rFonts w:hint="eastAsia" w:ascii="宋体" w:hAnsi="宋体" w:eastAsia="宋体" w:cs="Times New Roman"/>
          <w:b/>
          <w:bCs/>
          <w:sz w:val="44"/>
          <w:szCs w:val="44"/>
        </w:rPr>
      </w:pPr>
      <w:r>
        <w:rPr>
          <w:rFonts w:hint="eastAsia" w:ascii="宋体" w:hAnsi="宋体" w:eastAsia="宋体" w:cs="Times New Roman"/>
          <w:b/>
          <w:bCs/>
          <w:sz w:val="44"/>
          <w:szCs w:val="44"/>
        </w:rPr>
        <w:t>声  明</w:t>
      </w:r>
    </w:p>
    <w:p w14:paraId="72E9618A">
      <w:pPr>
        <w:keepNext w:val="0"/>
        <w:keepLines w:val="0"/>
        <w:pageBreakBefore w:val="0"/>
        <w:widowControl w:val="0"/>
        <w:kinsoku/>
        <w:wordWrap/>
        <w:overflowPunct/>
        <w:topLinePunct w:val="0"/>
        <w:autoSpaceDE/>
        <w:autoSpaceDN/>
        <w:bidi w:val="0"/>
        <w:adjustRightInd/>
        <w:snapToGrid/>
        <w:spacing w:line="600" w:lineRule="exact"/>
        <w:ind w:firstLine="482" w:firstLineChars="200"/>
        <w:textAlignment w:val="auto"/>
        <w:rPr>
          <w:rFonts w:hint="eastAsia" w:ascii="宋体" w:hAnsi="宋体" w:eastAsia="宋体" w:cs="Times New Roman"/>
          <w:bCs/>
          <w:sz w:val="28"/>
          <w:szCs w:val="28"/>
        </w:rPr>
      </w:pPr>
      <w:r>
        <w:rPr>
          <w:rFonts w:hint="eastAsia" w:ascii="宋体" w:hAnsi="宋体" w:eastAsia="宋体" w:cs="Times New Roman"/>
          <w:b/>
          <w:bCs/>
          <w:sz w:val="24"/>
          <w:szCs w:val="24"/>
        </w:rPr>
        <w:t xml:space="preserve"> </w:t>
      </w:r>
      <w:r>
        <w:rPr>
          <w:rFonts w:hint="eastAsia" w:ascii="宋体" w:hAnsi="宋体" w:eastAsia="宋体" w:cs="Times New Roman"/>
          <w:bCs/>
          <w:sz w:val="28"/>
          <w:szCs w:val="28"/>
        </w:rPr>
        <w:t>我单位郑重声明：参加本次采购活动前 3 年内，我单位在经营活动中没有因违法经营受到刑事处罚或者责令停产停业、吊销许可证或者执照、较大数额罚款等行政处罚。</w:t>
      </w:r>
    </w:p>
    <w:p w14:paraId="1069F414">
      <w:pPr>
        <w:pStyle w:val="15"/>
        <w:rPr>
          <w:rFonts w:hint="eastAsia" w:ascii="宋体" w:hAnsi="宋体" w:eastAsia="宋体" w:cs="Times New Roman"/>
          <w:bCs/>
          <w:sz w:val="28"/>
          <w:szCs w:val="28"/>
        </w:rPr>
      </w:pPr>
    </w:p>
    <w:p w14:paraId="74288409">
      <w:pPr>
        <w:pStyle w:val="15"/>
        <w:rPr>
          <w:rFonts w:hint="eastAsia" w:ascii="宋体" w:hAnsi="宋体" w:eastAsia="宋体" w:cs="Times New Roman"/>
          <w:bCs/>
          <w:sz w:val="28"/>
          <w:szCs w:val="28"/>
        </w:rPr>
      </w:pPr>
    </w:p>
    <w:p w14:paraId="1512725D">
      <w:pPr>
        <w:pStyle w:val="15"/>
        <w:rPr>
          <w:rFonts w:hint="eastAsia" w:ascii="宋体" w:hAnsi="宋体" w:eastAsia="宋体" w:cs="Times New Roman"/>
          <w:bCs/>
          <w:sz w:val="28"/>
          <w:szCs w:val="28"/>
        </w:rPr>
      </w:pPr>
    </w:p>
    <w:p w14:paraId="409FAA40">
      <w:pPr>
        <w:pStyle w:val="15"/>
        <w:rPr>
          <w:rFonts w:hint="eastAsia" w:ascii="宋体" w:hAnsi="宋体" w:eastAsia="宋体" w:cs="Times New Roman"/>
          <w:bCs/>
          <w:sz w:val="28"/>
          <w:szCs w:val="28"/>
        </w:rPr>
      </w:pPr>
    </w:p>
    <w:p w14:paraId="14C50F0B">
      <w:pPr>
        <w:pStyle w:val="15"/>
        <w:rPr>
          <w:rFonts w:hint="eastAsia" w:ascii="宋体" w:hAnsi="宋体" w:eastAsia="宋体" w:cs="Times New Roman"/>
          <w:bCs/>
          <w:sz w:val="28"/>
          <w:szCs w:val="28"/>
        </w:rPr>
      </w:pPr>
    </w:p>
    <w:p w14:paraId="5B49D661">
      <w:pPr>
        <w:pStyle w:val="15"/>
        <w:rPr>
          <w:rFonts w:hint="eastAsia" w:ascii="宋体" w:hAnsi="宋体" w:eastAsia="宋体" w:cs="Times New Roman"/>
          <w:bCs/>
          <w:sz w:val="28"/>
          <w:szCs w:val="28"/>
        </w:rPr>
      </w:pPr>
    </w:p>
    <w:p w14:paraId="1CF1E9C6">
      <w:pPr>
        <w:pStyle w:val="15"/>
        <w:rPr>
          <w:rFonts w:hint="eastAsia" w:ascii="宋体" w:hAnsi="宋体" w:eastAsia="宋体" w:cs="Times New Roman"/>
          <w:bCs/>
          <w:sz w:val="28"/>
          <w:szCs w:val="28"/>
        </w:rPr>
      </w:pPr>
    </w:p>
    <w:p w14:paraId="7C173A24">
      <w:pPr>
        <w:pStyle w:val="15"/>
        <w:rPr>
          <w:rFonts w:hint="eastAsia" w:ascii="宋体" w:hAnsi="宋体" w:eastAsia="宋体" w:cs="Times New Roman"/>
          <w:bCs/>
          <w:sz w:val="28"/>
          <w:szCs w:val="28"/>
        </w:rPr>
      </w:pPr>
    </w:p>
    <w:p w14:paraId="2D1C603D">
      <w:pPr>
        <w:pStyle w:val="15"/>
        <w:rPr>
          <w:rFonts w:hint="eastAsia" w:ascii="宋体" w:hAnsi="宋体" w:eastAsia="宋体" w:cs="Times New Roman"/>
          <w:bCs/>
          <w:sz w:val="28"/>
          <w:szCs w:val="28"/>
        </w:rPr>
      </w:pPr>
    </w:p>
    <w:p w14:paraId="40E8C132">
      <w:pPr>
        <w:pStyle w:val="15"/>
        <w:rPr>
          <w:rFonts w:hint="eastAsia" w:ascii="宋体" w:hAnsi="宋体" w:eastAsia="宋体" w:cs="Times New Roman"/>
          <w:bCs/>
          <w:sz w:val="28"/>
          <w:szCs w:val="28"/>
        </w:rPr>
      </w:pPr>
    </w:p>
    <w:p w14:paraId="0CF99AED">
      <w:pPr>
        <w:pStyle w:val="15"/>
        <w:rPr>
          <w:rFonts w:hint="eastAsia" w:ascii="宋体" w:hAnsi="宋体" w:eastAsia="宋体" w:cs="Times New Roman"/>
          <w:bCs/>
          <w:sz w:val="28"/>
          <w:szCs w:val="28"/>
        </w:rPr>
      </w:pPr>
    </w:p>
    <w:p w14:paraId="4DD62D58">
      <w:pPr>
        <w:pStyle w:val="15"/>
        <w:rPr>
          <w:rFonts w:hint="eastAsia" w:ascii="宋体" w:hAnsi="宋体" w:eastAsia="宋体" w:cs="Times New Roman"/>
          <w:bCs/>
          <w:sz w:val="28"/>
          <w:szCs w:val="28"/>
        </w:rPr>
      </w:pPr>
    </w:p>
    <w:p w14:paraId="08DAA61F">
      <w:pPr>
        <w:pStyle w:val="15"/>
        <w:rPr>
          <w:rFonts w:hint="eastAsia" w:ascii="宋体" w:hAnsi="宋体" w:eastAsia="宋体" w:cs="Times New Roman"/>
          <w:bCs/>
          <w:sz w:val="28"/>
          <w:szCs w:val="28"/>
        </w:rPr>
      </w:pPr>
    </w:p>
    <w:p w14:paraId="2E116F37">
      <w:pPr>
        <w:pStyle w:val="15"/>
        <w:rPr>
          <w:rFonts w:hint="eastAsia" w:ascii="宋体" w:hAnsi="宋体" w:eastAsia="宋体" w:cs="Times New Roman"/>
          <w:bCs/>
          <w:sz w:val="28"/>
          <w:szCs w:val="28"/>
        </w:rPr>
      </w:pPr>
    </w:p>
    <w:p w14:paraId="7366C17D">
      <w:pPr>
        <w:pStyle w:val="15"/>
        <w:rPr>
          <w:rFonts w:hint="eastAsia" w:ascii="宋体" w:hAnsi="宋体" w:eastAsia="宋体" w:cs="Times New Roman"/>
          <w:bCs/>
          <w:sz w:val="28"/>
          <w:szCs w:val="28"/>
        </w:rPr>
      </w:pPr>
    </w:p>
    <w:p w14:paraId="5FD27B7A">
      <w:pPr>
        <w:pStyle w:val="15"/>
        <w:rPr>
          <w:rFonts w:hint="eastAsia" w:ascii="宋体" w:hAnsi="宋体" w:eastAsia="宋体" w:cs="Times New Roman"/>
          <w:bCs/>
          <w:sz w:val="28"/>
          <w:szCs w:val="28"/>
        </w:rPr>
      </w:pPr>
    </w:p>
    <w:p w14:paraId="7DBD2999">
      <w:pPr>
        <w:pStyle w:val="15"/>
        <w:ind w:left="0" w:leftChars="0" w:firstLine="0" w:firstLineChars="0"/>
        <w:rPr>
          <w:rFonts w:hint="eastAsia" w:ascii="方正黑体_GBK" w:hAnsi="方正黑体_GBK" w:eastAsia="方正黑体_GBK" w:cs="方正黑体_GBK"/>
          <w:b/>
          <w:bCs/>
          <w:kern w:val="0"/>
          <w:sz w:val="32"/>
          <w:szCs w:val="32"/>
          <w:lang w:val="en-US" w:eastAsia="zh-CN" w:bidi="ar-SA"/>
        </w:rPr>
      </w:pPr>
      <w:r>
        <w:rPr>
          <w:rFonts w:hint="eastAsia" w:ascii="方正黑体_GBK" w:hAnsi="方正黑体_GBK" w:eastAsia="方正黑体_GBK" w:cs="方正黑体_GBK"/>
          <w:b/>
          <w:bCs/>
          <w:kern w:val="0"/>
          <w:sz w:val="32"/>
          <w:szCs w:val="32"/>
          <w:lang w:val="en-US" w:eastAsia="zh-CN" w:bidi="ar-SA"/>
        </w:rPr>
        <w:t>附件：5.《关于进一步推进叉车智慧监管工作的通知》</w:t>
      </w:r>
    </w:p>
    <w:p w14:paraId="1B6D0616">
      <w:pPr>
        <w:pStyle w:val="15"/>
        <w:ind w:left="0" w:leftChars="0" w:firstLine="0" w:firstLineChars="0"/>
        <w:rPr>
          <w:rFonts w:hint="eastAsia" w:ascii="方正黑体_GBK" w:hAnsi="方正黑体_GBK" w:eastAsia="方正黑体_GBK" w:cs="方正黑体_GBK"/>
          <w:b/>
          <w:bCs/>
          <w:kern w:val="0"/>
          <w:sz w:val="32"/>
          <w:szCs w:val="32"/>
          <w:lang w:val="en-US" w:eastAsia="zh-CN" w:bidi="ar-SA"/>
        </w:rPr>
      </w:pPr>
      <w:r>
        <w:rPr>
          <w:rFonts w:hint="eastAsia" w:ascii="方正黑体_GBK" w:hAnsi="方正黑体_GBK" w:eastAsia="方正黑体_GBK" w:cs="方正黑体_GBK"/>
          <w:b/>
          <w:bCs/>
          <w:kern w:val="0"/>
          <w:sz w:val="32"/>
          <w:szCs w:val="32"/>
          <w:lang w:val="en-US" w:eastAsia="zh-CN" w:bidi="ar-SA"/>
        </w:rPr>
        <w:drawing>
          <wp:inline distT="0" distB="0" distL="114300" distR="114300">
            <wp:extent cx="5270500" cy="7456170"/>
            <wp:effectExtent l="0" t="0" r="6350" b="11430"/>
            <wp:docPr id="2" name="图片 14" descr="关于进一步推进叉车智慧监管工作的通知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4" descr="关于进一步推进叉车智慧监管工作的通知_00"/>
                    <pic:cNvPicPr>
                      <a:picLocks noChangeAspect="1"/>
                    </pic:cNvPicPr>
                  </pic:nvPicPr>
                  <pic:blipFill>
                    <a:blip r:embed="rId7"/>
                    <a:stretch>
                      <a:fillRect/>
                    </a:stretch>
                  </pic:blipFill>
                  <pic:spPr>
                    <a:xfrm>
                      <a:off x="0" y="0"/>
                      <a:ext cx="5270500" cy="7456170"/>
                    </a:xfrm>
                    <a:prstGeom prst="rect">
                      <a:avLst/>
                    </a:prstGeom>
                    <a:noFill/>
                    <a:ln>
                      <a:noFill/>
                    </a:ln>
                  </pic:spPr>
                </pic:pic>
              </a:graphicData>
            </a:graphic>
          </wp:inline>
        </w:drawing>
      </w:r>
      <w:r>
        <w:rPr>
          <w:rFonts w:hint="eastAsia" w:ascii="方正黑体_GBK" w:hAnsi="方正黑体_GBK" w:eastAsia="方正黑体_GBK" w:cs="方正黑体_GBK"/>
          <w:b/>
          <w:bCs/>
          <w:kern w:val="0"/>
          <w:sz w:val="32"/>
          <w:szCs w:val="32"/>
          <w:lang w:val="en-US" w:eastAsia="zh-CN" w:bidi="ar-SA"/>
        </w:rPr>
        <w:drawing>
          <wp:inline distT="0" distB="0" distL="114300" distR="114300">
            <wp:extent cx="5274310" cy="7472680"/>
            <wp:effectExtent l="0" t="0" r="2540" b="13970"/>
            <wp:docPr id="3" name="图片 13" descr="关于进一步推进叉车智慧监管工作的通知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3" descr="关于进一步推进叉车智慧监管工作的通知_01"/>
                    <pic:cNvPicPr>
                      <a:picLocks noChangeAspect="1"/>
                    </pic:cNvPicPr>
                  </pic:nvPicPr>
                  <pic:blipFill>
                    <a:blip r:embed="rId8"/>
                    <a:stretch>
                      <a:fillRect/>
                    </a:stretch>
                  </pic:blipFill>
                  <pic:spPr>
                    <a:xfrm>
                      <a:off x="0" y="0"/>
                      <a:ext cx="5274310" cy="7472680"/>
                    </a:xfrm>
                    <a:prstGeom prst="rect">
                      <a:avLst/>
                    </a:prstGeom>
                    <a:noFill/>
                    <a:ln>
                      <a:noFill/>
                    </a:ln>
                  </pic:spPr>
                </pic:pic>
              </a:graphicData>
            </a:graphic>
          </wp:inline>
        </w:drawing>
      </w:r>
      <w:r>
        <w:rPr>
          <w:rFonts w:hint="eastAsia" w:ascii="方正黑体_GBK" w:hAnsi="方正黑体_GBK" w:eastAsia="方正黑体_GBK" w:cs="方正黑体_GBK"/>
          <w:b/>
          <w:bCs/>
          <w:kern w:val="0"/>
          <w:sz w:val="32"/>
          <w:szCs w:val="32"/>
          <w:lang w:val="en-US" w:eastAsia="zh-CN" w:bidi="ar-SA"/>
        </w:rPr>
        <w:drawing>
          <wp:inline distT="0" distB="0" distL="114300" distR="114300">
            <wp:extent cx="5270500" cy="7474585"/>
            <wp:effectExtent l="0" t="0" r="6350" b="12065"/>
            <wp:docPr id="4" name="图片 12" descr="关于进一步推进叉车智慧监管工作的通知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2" descr="关于进一步推进叉车智慧监管工作的通知_02"/>
                    <pic:cNvPicPr>
                      <a:picLocks noChangeAspect="1"/>
                    </pic:cNvPicPr>
                  </pic:nvPicPr>
                  <pic:blipFill>
                    <a:blip r:embed="rId9"/>
                    <a:stretch>
                      <a:fillRect/>
                    </a:stretch>
                  </pic:blipFill>
                  <pic:spPr>
                    <a:xfrm>
                      <a:off x="0" y="0"/>
                      <a:ext cx="5270500" cy="7474585"/>
                    </a:xfrm>
                    <a:prstGeom prst="rect">
                      <a:avLst/>
                    </a:prstGeom>
                    <a:noFill/>
                    <a:ln>
                      <a:noFill/>
                    </a:ln>
                  </pic:spPr>
                </pic:pic>
              </a:graphicData>
            </a:graphic>
          </wp:inline>
        </w:drawing>
      </w:r>
      <w:r>
        <w:rPr>
          <w:rFonts w:hint="eastAsia" w:ascii="方正黑体_GBK" w:hAnsi="方正黑体_GBK" w:eastAsia="方正黑体_GBK" w:cs="方正黑体_GBK"/>
          <w:b/>
          <w:bCs/>
          <w:kern w:val="0"/>
          <w:sz w:val="32"/>
          <w:szCs w:val="32"/>
          <w:lang w:val="en-US" w:eastAsia="zh-CN" w:bidi="ar-SA"/>
        </w:rPr>
        <w:drawing>
          <wp:inline distT="0" distB="0" distL="114300" distR="114300">
            <wp:extent cx="5273040" cy="7491730"/>
            <wp:effectExtent l="0" t="0" r="3810" b="13970"/>
            <wp:docPr id="5" name="图片 11" descr="关于进一步推进叉车智慧监管工作的通知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1" descr="关于进一步推进叉车智慧监管工作的通知_03"/>
                    <pic:cNvPicPr>
                      <a:picLocks noChangeAspect="1"/>
                    </pic:cNvPicPr>
                  </pic:nvPicPr>
                  <pic:blipFill>
                    <a:blip r:embed="rId10"/>
                    <a:stretch>
                      <a:fillRect/>
                    </a:stretch>
                  </pic:blipFill>
                  <pic:spPr>
                    <a:xfrm>
                      <a:off x="0" y="0"/>
                      <a:ext cx="5273040" cy="7491730"/>
                    </a:xfrm>
                    <a:prstGeom prst="rect">
                      <a:avLst/>
                    </a:prstGeom>
                    <a:noFill/>
                    <a:ln>
                      <a:noFill/>
                    </a:ln>
                  </pic:spPr>
                </pic:pic>
              </a:graphicData>
            </a:graphic>
          </wp:inline>
        </w:drawing>
      </w:r>
      <w:r>
        <w:rPr>
          <w:rFonts w:hint="eastAsia" w:ascii="方正黑体_GBK" w:hAnsi="方正黑体_GBK" w:eastAsia="方正黑体_GBK" w:cs="方正黑体_GBK"/>
          <w:b/>
          <w:bCs/>
          <w:kern w:val="0"/>
          <w:sz w:val="32"/>
          <w:szCs w:val="32"/>
          <w:lang w:val="en-US" w:eastAsia="zh-CN" w:bidi="ar-SA"/>
        </w:rPr>
        <w:drawing>
          <wp:inline distT="0" distB="0" distL="114300" distR="114300">
            <wp:extent cx="5272405" cy="7446010"/>
            <wp:effectExtent l="0" t="0" r="4445" b="2540"/>
            <wp:docPr id="6" name="图片 10" descr="关于进一步推进叉车智慧监管工作的通知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0" descr="关于进一步推进叉车智慧监管工作的通知_04"/>
                    <pic:cNvPicPr>
                      <a:picLocks noChangeAspect="1"/>
                    </pic:cNvPicPr>
                  </pic:nvPicPr>
                  <pic:blipFill>
                    <a:blip r:embed="rId11"/>
                    <a:stretch>
                      <a:fillRect/>
                    </a:stretch>
                  </pic:blipFill>
                  <pic:spPr>
                    <a:xfrm>
                      <a:off x="0" y="0"/>
                      <a:ext cx="5272405" cy="7446010"/>
                    </a:xfrm>
                    <a:prstGeom prst="rect">
                      <a:avLst/>
                    </a:prstGeom>
                    <a:noFill/>
                    <a:ln>
                      <a:noFill/>
                    </a:ln>
                  </pic:spPr>
                </pic:pic>
              </a:graphicData>
            </a:graphic>
          </wp:inline>
        </w:drawing>
      </w:r>
      <w:r>
        <w:rPr>
          <w:rFonts w:hint="eastAsia" w:ascii="方正黑体_GBK" w:hAnsi="方正黑体_GBK" w:eastAsia="方正黑体_GBK" w:cs="方正黑体_GBK"/>
          <w:b/>
          <w:bCs/>
          <w:kern w:val="0"/>
          <w:sz w:val="32"/>
          <w:szCs w:val="32"/>
          <w:lang w:val="en-US" w:eastAsia="zh-CN" w:bidi="ar-SA"/>
        </w:rPr>
        <w:drawing>
          <wp:inline distT="0" distB="0" distL="114300" distR="114300">
            <wp:extent cx="5272405" cy="7472045"/>
            <wp:effectExtent l="0" t="0" r="4445" b="14605"/>
            <wp:docPr id="7" name="图片 9" descr="关于进一步推进叉车智慧监管工作的通知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9" descr="关于进一步推进叉车智慧监管工作的通知_05"/>
                    <pic:cNvPicPr>
                      <a:picLocks noChangeAspect="1"/>
                    </pic:cNvPicPr>
                  </pic:nvPicPr>
                  <pic:blipFill>
                    <a:blip r:embed="rId12"/>
                    <a:stretch>
                      <a:fillRect/>
                    </a:stretch>
                  </pic:blipFill>
                  <pic:spPr>
                    <a:xfrm>
                      <a:off x="0" y="0"/>
                      <a:ext cx="5272405" cy="7472045"/>
                    </a:xfrm>
                    <a:prstGeom prst="rect">
                      <a:avLst/>
                    </a:prstGeom>
                    <a:noFill/>
                    <a:ln>
                      <a:noFill/>
                    </a:ln>
                  </pic:spPr>
                </pic:pic>
              </a:graphicData>
            </a:graphic>
          </wp:inline>
        </w:drawing>
      </w:r>
      <w:r>
        <w:rPr>
          <w:rFonts w:hint="eastAsia" w:ascii="方正黑体_GBK" w:hAnsi="方正黑体_GBK" w:eastAsia="方正黑体_GBK" w:cs="方正黑体_GBK"/>
          <w:b/>
          <w:bCs/>
          <w:kern w:val="0"/>
          <w:sz w:val="32"/>
          <w:szCs w:val="32"/>
          <w:lang w:val="en-US" w:eastAsia="zh-CN" w:bidi="ar-SA"/>
        </w:rPr>
        <w:drawing>
          <wp:inline distT="0" distB="0" distL="114300" distR="114300">
            <wp:extent cx="5270500" cy="7456170"/>
            <wp:effectExtent l="0" t="0" r="6350" b="11430"/>
            <wp:docPr id="8" name="图片 8" descr="关于进一步推进叉车智慧监管工作的通知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关于进一步推进叉车智慧监管工作的通知_06"/>
                    <pic:cNvPicPr>
                      <a:picLocks noChangeAspect="1"/>
                    </pic:cNvPicPr>
                  </pic:nvPicPr>
                  <pic:blipFill>
                    <a:blip r:embed="rId13"/>
                    <a:stretch>
                      <a:fillRect/>
                    </a:stretch>
                  </pic:blipFill>
                  <pic:spPr>
                    <a:xfrm>
                      <a:off x="0" y="0"/>
                      <a:ext cx="5270500" cy="7456170"/>
                    </a:xfrm>
                    <a:prstGeom prst="rect">
                      <a:avLst/>
                    </a:prstGeom>
                    <a:noFill/>
                    <a:ln>
                      <a:noFill/>
                    </a:ln>
                  </pic:spPr>
                </pic:pic>
              </a:graphicData>
            </a:graphic>
          </wp:inline>
        </w:drawing>
      </w:r>
      <w:r>
        <w:rPr>
          <w:rFonts w:hint="eastAsia" w:ascii="方正黑体_GBK" w:hAnsi="方正黑体_GBK" w:eastAsia="方正黑体_GBK" w:cs="方正黑体_GBK"/>
          <w:b/>
          <w:bCs/>
          <w:kern w:val="0"/>
          <w:sz w:val="32"/>
          <w:szCs w:val="32"/>
          <w:lang w:val="en-US" w:eastAsia="zh-CN" w:bidi="ar-SA"/>
        </w:rPr>
        <w:drawing>
          <wp:inline distT="0" distB="0" distL="114300" distR="114300">
            <wp:extent cx="5274310" cy="7446010"/>
            <wp:effectExtent l="0" t="0" r="2540" b="2540"/>
            <wp:docPr id="9" name="图片 7" descr="关于进一步推进叉车智慧监管工作的通知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descr="关于进一步推进叉车智慧监管工作的通知_07"/>
                    <pic:cNvPicPr>
                      <a:picLocks noChangeAspect="1"/>
                    </pic:cNvPicPr>
                  </pic:nvPicPr>
                  <pic:blipFill>
                    <a:blip r:embed="rId14"/>
                    <a:stretch>
                      <a:fillRect/>
                    </a:stretch>
                  </pic:blipFill>
                  <pic:spPr>
                    <a:xfrm>
                      <a:off x="0" y="0"/>
                      <a:ext cx="5274310" cy="7446010"/>
                    </a:xfrm>
                    <a:prstGeom prst="rect">
                      <a:avLst/>
                    </a:prstGeom>
                    <a:noFill/>
                    <a:ln>
                      <a:noFill/>
                    </a:ln>
                  </pic:spPr>
                </pic:pic>
              </a:graphicData>
            </a:graphic>
          </wp:inline>
        </w:drawing>
      </w:r>
      <w:r>
        <w:rPr>
          <w:rFonts w:hint="eastAsia" w:ascii="方正黑体_GBK" w:hAnsi="方正黑体_GBK" w:eastAsia="方正黑体_GBK" w:cs="方正黑体_GBK"/>
          <w:b/>
          <w:bCs/>
          <w:kern w:val="0"/>
          <w:sz w:val="32"/>
          <w:szCs w:val="32"/>
          <w:lang w:val="en-US" w:eastAsia="zh-CN" w:bidi="ar-SA"/>
        </w:rPr>
        <w:drawing>
          <wp:inline distT="0" distB="0" distL="114300" distR="114300">
            <wp:extent cx="5272405" cy="7437120"/>
            <wp:effectExtent l="0" t="0" r="4445" b="11430"/>
            <wp:docPr id="10" name="图片 6" descr="关于进一步推进叉车智慧监管工作的通知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descr="关于进一步推进叉车智慧监管工作的通知_08"/>
                    <pic:cNvPicPr>
                      <a:picLocks noChangeAspect="1"/>
                    </pic:cNvPicPr>
                  </pic:nvPicPr>
                  <pic:blipFill>
                    <a:blip r:embed="rId15"/>
                    <a:stretch>
                      <a:fillRect/>
                    </a:stretch>
                  </pic:blipFill>
                  <pic:spPr>
                    <a:xfrm>
                      <a:off x="0" y="0"/>
                      <a:ext cx="5272405" cy="7437120"/>
                    </a:xfrm>
                    <a:prstGeom prst="rect">
                      <a:avLst/>
                    </a:prstGeom>
                    <a:noFill/>
                    <a:ln>
                      <a:noFill/>
                    </a:ln>
                  </pic:spPr>
                </pic:pic>
              </a:graphicData>
            </a:graphic>
          </wp:inline>
        </w:drawing>
      </w:r>
      <w:r>
        <w:rPr>
          <w:rFonts w:hint="eastAsia" w:ascii="方正黑体_GBK" w:hAnsi="方正黑体_GBK" w:eastAsia="方正黑体_GBK" w:cs="方正黑体_GBK"/>
          <w:b/>
          <w:bCs/>
          <w:kern w:val="0"/>
          <w:sz w:val="32"/>
          <w:szCs w:val="32"/>
          <w:lang w:val="en-US" w:eastAsia="zh-CN" w:bidi="ar-SA"/>
        </w:rPr>
        <w:drawing>
          <wp:inline distT="0" distB="0" distL="114300" distR="114300">
            <wp:extent cx="5273040" cy="7448550"/>
            <wp:effectExtent l="0" t="0" r="3810" b="0"/>
            <wp:docPr id="11" name="图片 5" descr="关于进一步推进叉车智慧监管工作的通知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descr="关于进一步推进叉车智慧监管工作的通知_09"/>
                    <pic:cNvPicPr>
                      <a:picLocks noChangeAspect="1"/>
                    </pic:cNvPicPr>
                  </pic:nvPicPr>
                  <pic:blipFill>
                    <a:blip r:embed="rId16"/>
                    <a:stretch>
                      <a:fillRect/>
                    </a:stretch>
                  </pic:blipFill>
                  <pic:spPr>
                    <a:xfrm>
                      <a:off x="0" y="0"/>
                      <a:ext cx="5273040" cy="7448550"/>
                    </a:xfrm>
                    <a:prstGeom prst="rect">
                      <a:avLst/>
                    </a:prstGeom>
                    <a:noFill/>
                    <a:ln>
                      <a:noFill/>
                    </a:ln>
                  </pic:spPr>
                </pic:pic>
              </a:graphicData>
            </a:graphic>
          </wp:inline>
        </w:drawing>
      </w:r>
      <w:r>
        <w:rPr>
          <w:rFonts w:hint="eastAsia" w:ascii="方正黑体_GBK" w:hAnsi="方正黑体_GBK" w:eastAsia="方正黑体_GBK" w:cs="方正黑体_GBK"/>
          <w:b/>
          <w:bCs/>
          <w:kern w:val="0"/>
          <w:sz w:val="32"/>
          <w:szCs w:val="32"/>
          <w:lang w:val="en-US" w:eastAsia="zh-CN" w:bidi="ar-SA"/>
        </w:rPr>
        <w:drawing>
          <wp:inline distT="0" distB="0" distL="114300" distR="114300">
            <wp:extent cx="5270500" cy="7456170"/>
            <wp:effectExtent l="0" t="0" r="6350" b="11430"/>
            <wp:docPr id="12" name="图片 4" descr="关于进一步推进叉车智慧监管工作的通知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descr="关于进一步推进叉车智慧监管工作的通知_10"/>
                    <pic:cNvPicPr>
                      <a:picLocks noChangeAspect="1"/>
                    </pic:cNvPicPr>
                  </pic:nvPicPr>
                  <pic:blipFill>
                    <a:blip r:embed="rId17"/>
                    <a:stretch>
                      <a:fillRect/>
                    </a:stretch>
                  </pic:blipFill>
                  <pic:spPr>
                    <a:xfrm>
                      <a:off x="0" y="0"/>
                      <a:ext cx="5270500" cy="7456170"/>
                    </a:xfrm>
                    <a:prstGeom prst="rect">
                      <a:avLst/>
                    </a:prstGeom>
                    <a:noFill/>
                    <a:ln>
                      <a:noFill/>
                    </a:ln>
                  </pic:spPr>
                </pic:pic>
              </a:graphicData>
            </a:graphic>
          </wp:inline>
        </w:drawing>
      </w:r>
      <w:r>
        <w:rPr>
          <w:rFonts w:hint="eastAsia" w:ascii="方正黑体_GBK" w:hAnsi="方正黑体_GBK" w:eastAsia="方正黑体_GBK" w:cs="方正黑体_GBK"/>
          <w:b/>
          <w:bCs/>
          <w:kern w:val="0"/>
          <w:sz w:val="32"/>
          <w:szCs w:val="32"/>
          <w:lang w:val="en-US" w:eastAsia="zh-CN" w:bidi="ar-SA"/>
        </w:rPr>
        <w:drawing>
          <wp:inline distT="0" distB="0" distL="114300" distR="114300">
            <wp:extent cx="5274310" cy="7437755"/>
            <wp:effectExtent l="0" t="0" r="2540" b="10795"/>
            <wp:docPr id="13" name="图片 3" descr="关于进一步推进叉车智慧监管工作的通知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descr="关于进一步推进叉车智慧监管工作的通知_11"/>
                    <pic:cNvPicPr>
                      <a:picLocks noChangeAspect="1"/>
                    </pic:cNvPicPr>
                  </pic:nvPicPr>
                  <pic:blipFill>
                    <a:blip r:embed="rId18"/>
                    <a:stretch>
                      <a:fillRect/>
                    </a:stretch>
                  </pic:blipFill>
                  <pic:spPr>
                    <a:xfrm>
                      <a:off x="0" y="0"/>
                      <a:ext cx="5274310" cy="7437755"/>
                    </a:xfrm>
                    <a:prstGeom prst="rect">
                      <a:avLst/>
                    </a:prstGeom>
                    <a:noFill/>
                    <a:ln>
                      <a:noFill/>
                    </a:ln>
                  </pic:spPr>
                </pic:pic>
              </a:graphicData>
            </a:graphic>
          </wp:inline>
        </w:drawing>
      </w:r>
      <w:r>
        <w:rPr>
          <w:rFonts w:hint="eastAsia" w:ascii="方正黑体_GBK" w:hAnsi="方正黑体_GBK" w:eastAsia="方正黑体_GBK" w:cs="方正黑体_GBK"/>
          <w:b/>
          <w:bCs/>
          <w:kern w:val="0"/>
          <w:sz w:val="32"/>
          <w:szCs w:val="32"/>
          <w:lang w:val="en-US" w:eastAsia="zh-CN" w:bidi="ar-SA"/>
        </w:rPr>
        <w:drawing>
          <wp:inline distT="0" distB="0" distL="114300" distR="114300">
            <wp:extent cx="5270500" cy="7474585"/>
            <wp:effectExtent l="0" t="0" r="6350" b="12065"/>
            <wp:docPr id="14" name="图片 2" descr="关于进一步推进叉车智慧监管工作的通知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descr="关于进一步推进叉车智慧监管工作的通知_12"/>
                    <pic:cNvPicPr>
                      <a:picLocks noChangeAspect="1"/>
                    </pic:cNvPicPr>
                  </pic:nvPicPr>
                  <pic:blipFill>
                    <a:blip r:embed="rId19"/>
                    <a:stretch>
                      <a:fillRect/>
                    </a:stretch>
                  </pic:blipFill>
                  <pic:spPr>
                    <a:xfrm>
                      <a:off x="0" y="0"/>
                      <a:ext cx="5270500" cy="7474585"/>
                    </a:xfrm>
                    <a:prstGeom prst="rect">
                      <a:avLst/>
                    </a:prstGeom>
                    <a:noFill/>
                    <a:ln>
                      <a:noFill/>
                    </a:ln>
                  </pic:spPr>
                </pic:pic>
              </a:graphicData>
            </a:graphic>
          </wp:inline>
        </w:drawing>
      </w:r>
      <w:r>
        <w:rPr>
          <w:rFonts w:hint="eastAsia" w:ascii="方正黑体_GBK" w:hAnsi="方正黑体_GBK" w:eastAsia="方正黑体_GBK" w:cs="方正黑体_GBK"/>
          <w:b/>
          <w:bCs/>
          <w:kern w:val="0"/>
          <w:sz w:val="32"/>
          <w:szCs w:val="32"/>
          <w:lang w:val="en-US" w:eastAsia="zh-CN" w:bidi="ar-SA"/>
        </w:rPr>
        <w:drawing>
          <wp:inline distT="0" distB="0" distL="114300" distR="114300">
            <wp:extent cx="5274310" cy="7472680"/>
            <wp:effectExtent l="0" t="0" r="2540" b="13970"/>
            <wp:docPr id="15" name="图片 1" descr="关于进一步推进叉车智慧监管工作的通知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descr="关于进一步推进叉车智慧监管工作的通知_13"/>
                    <pic:cNvPicPr>
                      <a:picLocks noChangeAspect="1"/>
                    </pic:cNvPicPr>
                  </pic:nvPicPr>
                  <pic:blipFill>
                    <a:blip r:embed="rId20"/>
                    <a:stretch>
                      <a:fillRect/>
                    </a:stretch>
                  </pic:blipFill>
                  <pic:spPr>
                    <a:xfrm>
                      <a:off x="0" y="0"/>
                      <a:ext cx="5274310" cy="7472680"/>
                    </a:xfrm>
                    <a:prstGeom prst="rect">
                      <a:avLst/>
                    </a:prstGeom>
                    <a:noFill/>
                    <a:ln>
                      <a:noFill/>
                    </a:ln>
                  </pic:spPr>
                </pic:pic>
              </a:graphicData>
            </a:graphic>
          </wp:inline>
        </w:drawing>
      </w:r>
    </w:p>
    <w:sectPr>
      <w:pgSz w:w="11906" w:h="16838"/>
      <w:pgMar w:top="1440" w:right="1800" w:bottom="1440" w:left="180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31808DBB-1EDE-4EFB-838A-A1FD2A1F93D1}"/>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楷体">
    <w:panose1 w:val="02010609060101010101"/>
    <w:charset w:val="86"/>
    <w:family w:val="modern"/>
    <w:pitch w:val="default"/>
    <w:sig w:usb0="800002BF" w:usb1="38CF7CFA" w:usb2="00000016" w:usb3="00000000" w:csb0="00040001" w:csb1="00000000"/>
    <w:embedRegular r:id="rId2" w:fontKey="{0711E2F2-2BE6-4ABF-B0D2-9A362C1C94AF}"/>
  </w:font>
  <w:font w:name="Cambria">
    <w:panose1 w:val="02040503050406030204"/>
    <w:charset w:val="00"/>
    <w:family w:val="roman"/>
    <w:pitch w:val="default"/>
    <w:sig w:usb0="E00002FF" w:usb1="400004FF" w:usb2="00000000" w:usb3="00000000" w:csb0="2000019F" w:csb1="00000000"/>
  </w:font>
  <w:font w:name="仿宋_GB2312">
    <w:panose1 w:val="02010609030101010101"/>
    <w:charset w:val="86"/>
    <w:family w:val="modern"/>
    <w:pitch w:val="default"/>
    <w:sig w:usb0="00000001" w:usb1="080E0000" w:usb2="00000000" w:usb3="00000000" w:csb0="00040000" w:csb1="00000000"/>
    <w:embedRegular r:id="rId3" w:fontKey="{39BAF25E-A11F-4CC4-B012-97F7D9305B21}"/>
  </w:font>
  <w:font w:name="Verdana">
    <w:panose1 w:val="020B0604030504040204"/>
    <w:charset w:val="00"/>
    <w:family w:val="auto"/>
    <w:pitch w:val="default"/>
    <w:sig w:usb0="A10006FF" w:usb1="4000205B" w:usb2="00000010" w:usb3="00000000" w:csb0="2000019F" w:csb1="00000000"/>
  </w:font>
  <w:font w:name="Microsoft YaHei UI">
    <w:altName w:val="Arial Unicode MS"/>
    <w:panose1 w:val="00000000000000000000"/>
    <w:charset w:val="00"/>
    <w:family w:val="auto"/>
    <w:pitch w:val="default"/>
    <w:sig w:usb0="00000000" w:usb1="00000000" w:usb2="00000000" w:usb3="00000000" w:csb0="00040001" w:csb1="00000000"/>
  </w:font>
  <w:font w:name="方正小标宋简体">
    <w:panose1 w:val="02010601030101010101"/>
    <w:charset w:val="86"/>
    <w:family w:val="auto"/>
    <w:pitch w:val="default"/>
    <w:sig w:usb0="00000001" w:usb1="080E0000" w:usb2="00000000" w:usb3="00000000" w:csb0="00040000" w:csb1="00000000"/>
  </w:font>
  <w:font w:name="方正仿宋简体">
    <w:panose1 w:val="02010601030101010101"/>
    <w:charset w:val="86"/>
    <w:family w:val="auto"/>
    <w:pitch w:val="default"/>
    <w:sig w:usb0="00000001" w:usb1="080E0000" w:usb2="00000000" w:usb3="00000000" w:csb0="00040000" w:csb1="00000000"/>
  </w:font>
  <w:font w:name="方正黑体_GBK">
    <w:panose1 w:val="03000509000000000000"/>
    <w:charset w:val="86"/>
    <w:family w:val="script"/>
    <w:pitch w:val="default"/>
    <w:sig w:usb0="00000001" w:usb1="080E0000" w:usb2="00000000" w:usb3="00000000" w:csb0="00040000" w:csb1="00000000"/>
    <w:embedRegular r:id="rId4" w:fontKey="{54FD5ECA-82DF-494D-94FF-F2FC82E0FEFE}"/>
  </w:font>
  <w:font w:name="方正楷体_GBK">
    <w:panose1 w:val="03000509000000000000"/>
    <w:charset w:val="86"/>
    <w:family w:val="script"/>
    <w:pitch w:val="default"/>
    <w:sig w:usb0="00000001" w:usb1="080E0000" w:usb2="00000000" w:usb3="00000000" w:csb0="00040000" w:csb1="00000000"/>
    <w:embedRegular r:id="rId5" w:fontKey="{BCF70543-D53E-4A56-8761-30CB686D2104}"/>
  </w:font>
  <w:font w:name="仿宋">
    <w:panose1 w:val="02010609060101010101"/>
    <w:charset w:val="86"/>
    <w:family w:val="modern"/>
    <w:pitch w:val="default"/>
    <w:sig w:usb0="800002BF" w:usb1="38CF7CFA" w:usb2="00000016" w:usb3="00000000" w:csb0="00040001" w:csb1="00000000"/>
    <w:embedRegular r:id="rId6" w:fontKey="{0BDE82AB-6090-4D05-A0C2-042C4261829C}"/>
  </w:font>
  <w:font w:name="方正仿宋_GBK">
    <w:panose1 w:val="03000509000000000000"/>
    <w:charset w:val="86"/>
    <w:family w:val="script"/>
    <w:pitch w:val="default"/>
    <w:sig w:usb0="00000001" w:usb1="080E0000" w:usb2="00000000" w:usb3="00000000" w:csb0="00040000" w:csb1="00000000"/>
    <w:embedRegular r:id="rId7" w:fontKey="{EEC8C5F0-E69F-422F-9B37-2A237F2560C9}"/>
  </w:font>
  <w:font w:name="Arial Unicode MS">
    <w:panose1 w:val="020B0604020202020204"/>
    <w:charset w:val="86"/>
    <w:family w:val="auto"/>
    <w:pitch w:val="default"/>
    <w:sig w:usb0="FFFFFFFF" w:usb1="E9FFFFFF" w:usb2="0000003F" w:usb3="00000000" w:csb0="603F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E2C727">
    <w:pPr>
      <w:pStyle w:val="11"/>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2"/>
              <wp:cNvGraphicFramePr/>
              <a:graphic xmlns:a="http://schemas.openxmlformats.org/drawingml/2006/main">
                <a:graphicData uri="http://schemas.microsoft.com/office/word/2010/wordprocessingShape">
                  <wps:wsp>
                    <wps:cNvSpPr/>
                    <wps:spPr>
                      <a:xfrm>
                        <a:off x="0" y="0"/>
                        <a:ext cx="1828800" cy="1828800"/>
                      </a:xfrm>
                      <a:prstGeom prst="rect">
                        <a:avLst/>
                      </a:prstGeom>
                      <a:noFill/>
                      <a:ln>
                        <a:noFill/>
                      </a:ln>
                      <a:effectLst/>
                    </wps:spPr>
                    <wps:txbx>
                      <w:txbxContent>
                        <w:p w14:paraId="5BBC4E4B">
                          <w:pPr>
                            <w:pStyle w:val="11"/>
                            <w:jc w:val="center"/>
                          </w:pPr>
                          <w:r>
                            <w:fldChar w:fldCharType="begin"/>
                          </w:r>
                          <w:r>
                            <w:instrText xml:space="preserve"> PAGE  \* MERGEFORMAT </w:instrText>
                          </w:r>
                          <w:r>
                            <w:fldChar w:fldCharType="separate"/>
                          </w:r>
                          <w:r>
                            <w:t>19</w:t>
                          </w:r>
                          <w:r>
                            <w:fldChar w:fldCharType="end"/>
                          </w:r>
                        </w:p>
                      </w:txbxContent>
                    </wps:txbx>
                    <wps:bodyPr vert="horz" wrap="none" lIns="0" tIns="0" rIns="0" bIns="0" anchor="t" anchorCtr="0" upright="1">
                      <a:spAutoFit/>
                    </wps:bodyPr>
                  </wps:wsp>
                </a:graphicData>
              </a:graphic>
            </wp:anchor>
          </w:drawing>
        </mc:Choice>
        <mc:Fallback>
          <w:pict>
            <v:rect id="文本框 2" o:spid="_x0000_s1026" o:spt="1"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C5dblS0AAAAAUBAAAPAAAAAAAAAAEA&#10;IAAAACIAAABkcnMvZG93bnJldi54bWxQSwECFAAUAAAACACHTuJA0WnL2d4BAADDAwAADgAAAAAA&#10;AAABACAAAAAfAQAAZHJzL2Uyb0RvYy54bWxQSwUGAAAAAAYABgBZAQAAbwUAAAAA&#10;">
              <v:fill on="f" focussize="0,0"/>
              <v:stroke on="f"/>
              <v:imagedata o:title=""/>
              <o:lock v:ext="edit" aspectratio="f"/>
              <v:textbox inset="0mm,0mm,0mm,0mm" style="mso-fit-shape-to-text:t;">
                <w:txbxContent>
                  <w:p w14:paraId="5BBC4E4B">
                    <w:pPr>
                      <w:pStyle w:val="11"/>
                      <w:jc w:val="center"/>
                    </w:pPr>
                    <w:r>
                      <w:fldChar w:fldCharType="begin"/>
                    </w:r>
                    <w:r>
                      <w:instrText xml:space="preserve"> PAGE  \* MERGEFORMAT </w:instrText>
                    </w:r>
                    <w:r>
                      <w:fldChar w:fldCharType="separate"/>
                    </w:r>
                    <w:r>
                      <w:t>19</w:t>
                    </w:r>
                    <w:r>
                      <w:fldChar w:fldCharType="end"/>
                    </w:r>
                  </w:p>
                </w:txbxContent>
              </v:textbox>
            </v:rect>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536083">
    <w:pPr>
      <w:pStyle w:val="12"/>
      <w:pBdr>
        <w:bottom w:val="none" w:color="auto" w:sz="0" w:space="1"/>
      </w:pBdr>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58613EF7"/>
    <w:multiLevelType w:val="singleLevel"/>
    <w:tmpl w:val="58613EF7"/>
    <w:lvl w:ilvl="0" w:tentative="0">
      <w:start w:val="2"/>
      <w:numFmt w:val="chineseCounting"/>
      <w:suff w:val="nothing"/>
      <w:lvlText w:val="（%1）"/>
      <w:lvlJc w:val="left"/>
      <w:rPr>
        <w:rFonts w:hint="eastAsia"/>
      </w:rPr>
    </w:lvl>
  </w:abstractNum>
  <w:abstractNum w:abstractNumId="1">
    <w:nsid w:val="7A45D22C"/>
    <w:multiLevelType w:val="singleLevel"/>
    <w:tmpl w:val="7A45D22C"/>
    <w:lvl w:ilvl="0" w:tentative="0">
      <w:start w:val="5"/>
      <w:numFmt w:val="chineseCounting"/>
      <w:suff w:val="nothing"/>
      <w:lvlText w:val="%1、"/>
      <w:lvlJc w:val="left"/>
      <w:rPr>
        <w:rFonts w:hint="eastAsi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oNotDisplayPageBoundaries w:val="1"/>
  <w:embedTrueTypeFonts/>
  <w:saveSubsetFonts/>
  <w:bordersDoNotSurroundHeader w:val="0"/>
  <w:bordersDoNotSurroundFooter w:val="0"/>
  <w:documentProtection w:enforcement="0"/>
  <w:defaultTabStop w:val="420"/>
  <w:hyphenationZone w:val="360"/>
  <w:drawingGridVerticalSpacing w:val="156"/>
  <w:displayHorizontalDrawingGridEvery w:val="1"/>
  <w:displayVerticalDrawingGridEvery w:val="1"/>
  <w:noPunctuationKerning w:val="1"/>
  <w:characterSpacingControl w:val="compressPunctuation"/>
  <w:hdrShapeDefaults>
    <o:shapelayout v:ext="edit">
      <o:idmap v:ext="edit" data="3,4"/>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mFhOThjNjg2YjgxMzJjYThhNDQ5ZTZmNGI1ZGM0ZDkifQ=="/>
  </w:docVars>
  <w:rsids>
    <w:rsidRoot w:val="359E47FF"/>
    <w:rsid w:val="00011B4B"/>
    <w:rsid w:val="00014408"/>
    <w:rsid w:val="00027081"/>
    <w:rsid w:val="00030F87"/>
    <w:rsid w:val="000310BC"/>
    <w:rsid w:val="0003693D"/>
    <w:rsid w:val="00061383"/>
    <w:rsid w:val="00063E06"/>
    <w:rsid w:val="000A22DB"/>
    <w:rsid w:val="000B2499"/>
    <w:rsid w:val="000C1845"/>
    <w:rsid w:val="000D348B"/>
    <w:rsid w:val="000D6A23"/>
    <w:rsid w:val="00103A8D"/>
    <w:rsid w:val="00115EEC"/>
    <w:rsid w:val="00123D5D"/>
    <w:rsid w:val="001260B7"/>
    <w:rsid w:val="00136B0D"/>
    <w:rsid w:val="00160290"/>
    <w:rsid w:val="00166793"/>
    <w:rsid w:val="0018234A"/>
    <w:rsid w:val="001915A1"/>
    <w:rsid w:val="00193418"/>
    <w:rsid w:val="00196EA5"/>
    <w:rsid w:val="001A7FE6"/>
    <w:rsid w:val="001B4C8E"/>
    <w:rsid w:val="001B5044"/>
    <w:rsid w:val="001C3803"/>
    <w:rsid w:val="001C3F61"/>
    <w:rsid w:val="001D5CF3"/>
    <w:rsid w:val="001F16BE"/>
    <w:rsid w:val="001F212A"/>
    <w:rsid w:val="00210C67"/>
    <w:rsid w:val="002133E5"/>
    <w:rsid w:val="0024696A"/>
    <w:rsid w:val="002B3E65"/>
    <w:rsid w:val="002F51AC"/>
    <w:rsid w:val="002F66BD"/>
    <w:rsid w:val="0031037C"/>
    <w:rsid w:val="00313EBC"/>
    <w:rsid w:val="003152BD"/>
    <w:rsid w:val="00325814"/>
    <w:rsid w:val="00331F42"/>
    <w:rsid w:val="00345E7E"/>
    <w:rsid w:val="00355E41"/>
    <w:rsid w:val="00361955"/>
    <w:rsid w:val="003702A0"/>
    <w:rsid w:val="003732C8"/>
    <w:rsid w:val="00373AC2"/>
    <w:rsid w:val="00380BAA"/>
    <w:rsid w:val="0038382E"/>
    <w:rsid w:val="00383D99"/>
    <w:rsid w:val="00384194"/>
    <w:rsid w:val="00394D6B"/>
    <w:rsid w:val="003A6D93"/>
    <w:rsid w:val="003B4E51"/>
    <w:rsid w:val="003C384A"/>
    <w:rsid w:val="00413897"/>
    <w:rsid w:val="00423C19"/>
    <w:rsid w:val="004424E8"/>
    <w:rsid w:val="00466243"/>
    <w:rsid w:val="00466845"/>
    <w:rsid w:val="004875EB"/>
    <w:rsid w:val="004975D5"/>
    <w:rsid w:val="00497BFC"/>
    <w:rsid w:val="004C1280"/>
    <w:rsid w:val="004C289D"/>
    <w:rsid w:val="004D63D8"/>
    <w:rsid w:val="004F5E27"/>
    <w:rsid w:val="005142FA"/>
    <w:rsid w:val="00527733"/>
    <w:rsid w:val="0053268D"/>
    <w:rsid w:val="00560EB5"/>
    <w:rsid w:val="005633CB"/>
    <w:rsid w:val="00565BCE"/>
    <w:rsid w:val="0058559E"/>
    <w:rsid w:val="0058595D"/>
    <w:rsid w:val="005B0B5B"/>
    <w:rsid w:val="005D4F71"/>
    <w:rsid w:val="005D7EAF"/>
    <w:rsid w:val="005E0624"/>
    <w:rsid w:val="0061433F"/>
    <w:rsid w:val="006545BB"/>
    <w:rsid w:val="006734DC"/>
    <w:rsid w:val="00680588"/>
    <w:rsid w:val="006835A9"/>
    <w:rsid w:val="00693CB5"/>
    <w:rsid w:val="006C09FB"/>
    <w:rsid w:val="006C6B65"/>
    <w:rsid w:val="006D00BD"/>
    <w:rsid w:val="006D3CEC"/>
    <w:rsid w:val="006D5E62"/>
    <w:rsid w:val="006E4DE8"/>
    <w:rsid w:val="0070428B"/>
    <w:rsid w:val="00711ACD"/>
    <w:rsid w:val="00723CF2"/>
    <w:rsid w:val="00724955"/>
    <w:rsid w:val="007254B5"/>
    <w:rsid w:val="00745DDD"/>
    <w:rsid w:val="00746466"/>
    <w:rsid w:val="00753CD1"/>
    <w:rsid w:val="00781AF0"/>
    <w:rsid w:val="00786EDE"/>
    <w:rsid w:val="007875CD"/>
    <w:rsid w:val="007B0585"/>
    <w:rsid w:val="007D12CA"/>
    <w:rsid w:val="007D3B2F"/>
    <w:rsid w:val="007D630F"/>
    <w:rsid w:val="007E0D6B"/>
    <w:rsid w:val="007E6E47"/>
    <w:rsid w:val="008127B4"/>
    <w:rsid w:val="00823974"/>
    <w:rsid w:val="0083404A"/>
    <w:rsid w:val="00842B41"/>
    <w:rsid w:val="00856599"/>
    <w:rsid w:val="00882A3F"/>
    <w:rsid w:val="008A7E03"/>
    <w:rsid w:val="008B33B1"/>
    <w:rsid w:val="008C785B"/>
    <w:rsid w:val="008D2F65"/>
    <w:rsid w:val="008D5377"/>
    <w:rsid w:val="008E5E25"/>
    <w:rsid w:val="00900A5B"/>
    <w:rsid w:val="0091028A"/>
    <w:rsid w:val="0093613E"/>
    <w:rsid w:val="00941DFA"/>
    <w:rsid w:val="00975ECA"/>
    <w:rsid w:val="0098053C"/>
    <w:rsid w:val="00980D5A"/>
    <w:rsid w:val="00981E93"/>
    <w:rsid w:val="009A29A7"/>
    <w:rsid w:val="009B660A"/>
    <w:rsid w:val="009C4044"/>
    <w:rsid w:val="009C7CE7"/>
    <w:rsid w:val="009D1883"/>
    <w:rsid w:val="009D21BB"/>
    <w:rsid w:val="00A22FC1"/>
    <w:rsid w:val="00A30621"/>
    <w:rsid w:val="00A42D2D"/>
    <w:rsid w:val="00A43591"/>
    <w:rsid w:val="00A47E98"/>
    <w:rsid w:val="00A63D7F"/>
    <w:rsid w:val="00A7381A"/>
    <w:rsid w:val="00A76F6F"/>
    <w:rsid w:val="00A81560"/>
    <w:rsid w:val="00AB6095"/>
    <w:rsid w:val="00AC569D"/>
    <w:rsid w:val="00AD03F7"/>
    <w:rsid w:val="00AD747D"/>
    <w:rsid w:val="00AE4612"/>
    <w:rsid w:val="00AF2577"/>
    <w:rsid w:val="00AF29F9"/>
    <w:rsid w:val="00B01341"/>
    <w:rsid w:val="00B0144D"/>
    <w:rsid w:val="00B0459E"/>
    <w:rsid w:val="00B063EC"/>
    <w:rsid w:val="00B14267"/>
    <w:rsid w:val="00B353E5"/>
    <w:rsid w:val="00B51C96"/>
    <w:rsid w:val="00B63039"/>
    <w:rsid w:val="00B7406B"/>
    <w:rsid w:val="00B74619"/>
    <w:rsid w:val="00B82A10"/>
    <w:rsid w:val="00B82CED"/>
    <w:rsid w:val="00B97765"/>
    <w:rsid w:val="00BD4CF9"/>
    <w:rsid w:val="00BD78FB"/>
    <w:rsid w:val="00BF2809"/>
    <w:rsid w:val="00C2100D"/>
    <w:rsid w:val="00C258E8"/>
    <w:rsid w:val="00C31E40"/>
    <w:rsid w:val="00C41533"/>
    <w:rsid w:val="00C56465"/>
    <w:rsid w:val="00C743A3"/>
    <w:rsid w:val="00C85C6D"/>
    <w:rsid w:val="00C87CBB"/>
    <w:rsid w:val="00C97E7F"/>
    <w:rsid w:val="00CC327C"/>
    <w:rsid w:val="00CF66EF"/>
    <w:rsid w:val="00D24639"/>
    <w:rsid w:val="00D32CC0"/>
    <w:rsid w:val="00D74586"/>
    <w:rsid w:val="00D84546"/>
    <w:rsid w:val="00DA002C"/>
    <w:rsid w:val="00DD194E"/>
    <w:rsid w:val="00DD3DDB"/>
    <w:rsid w:val="00DD7DB9"/>
    <w:rsid w:val="00E224BD"/>
    <w:rsid w:val="00E2759B"/>
    <w:rsid w:val="00E30627"/>
    <w:rsid w:val="00E45A9C"/>
    <w:rsid w:val="00E50D02"/>
    <w:rsid w:val="00E523C8"/>
    <w:rsid w:val="00E74639"/>
    <w:rsid w:val="00E9659A"/>
    <w:rsid w:val="00EA4967"/>
    <w:rsid w:val="00EB7745"/>
    <w:rsid w:val="00ED1B47"/>
    <w:rsid w:val="00F0109D"/>
    <w:rsid w:val="00F16E4B"/>
    <w:rsid w:val="00F32DB5"/>
    <w:rsid w:val="00F33B17"/>
    <w:rsid w:val="00F45B42"/>
    <w:rsid w:val="00F54AE9"/>
    <w:rsid w:val="00F75185"/>
    <w:rsid w:val="00F85286"/>
    <w:rsid w:val="00FA1409"/>
    <w:rsid w:val="00FB1F61"/>
    <w:rsid w:val="00FF1217"/>
    <w:rsid w:val="00FF61CA"/>
    <w:rsid w:val="018B521D"/>
    <w:rsid w:val="030C36E5"/>
    <w:rsid w:val="054B34A5"/>
    <w:rsid w:val="08826623"/>
    <w:rsid w:val="0928131E"/>
    <w:rsid w:val="09E67744"/>
    <w:rsid w:val="0BA37E4C"/>
    <w:rsid w:val="0BD9322C"/>
    <w:rsid w:val="0CCD460E"/>
    <w:rsid w:val="0D9A4364"/>
    <w:rsid w:val="0E615903"/>
    <w:rsid w:val="0E707DD9"/>
    <w:rsid w:val="0F5A0F7A"/>
    <w:rsid w:val="109F188D"/>
    <w:rsid w:val="10FD39A0"/>
    <w:rsid w:val="11C30959"/>
    <w:rsid w:val="11E467E9"/>
    <w:rsid w:val="122F43BB"/>
    <w:rsid w:val="1444244B"/>
    <w:rsid w:val="14EA645D"/>
    <w:rsid w:val="153B4694"/>
    <w:rsid w:val="15630749"/>
    <w:rsid w:val="15831B86"/>
    <w:rsid w:val="1603009A"/>
    <w:rsid w:val="1771382D"/>
    <w:rsid w:val="19181A3A"/>
    <w:rsid w:val="1A0B7276"/>
    <w:rsid w:val="1A2C0EEB"/>
    <w:rsid w:val="1C220B3F"/>
    <w:rsid w:val="1C4830FD"/>
    <w:rsid w:val="1C9D6AB7"/>
    <w:rsid w:val="1C9F1DD3"/>
    <w:rsid w:val="1CAC2CCB"/>
    <w:rsid w:val="1D6F6BEA"/>
    <w:rsid w:val="1E0513AA"/>
    <w:rsid w:val="216E14AA"/>
    <w:rsid w:val="2197751D"/>
    <w:rsid w:val="225D796E"/>
    <w:rsid w:val="22EC3898"/>
    <w:rsid w:val="232B589C"/>
    <w:rsid w:val="238847EF"/>
    <w:rsid w:val="23C91E2B"/>
    <w:rsid w:val="24EC6623"/>
    <w:rsid w:val="25A20B86"/>
    <w:rsid w:val="25BA0516"/>
    <w:rsid w:val="28317393"/>
    <w:rsid w:val="289A5B44"/>
    <w:rsid w:val="29E76B67"/>
    <w:rsid w:val="2A9226E6"/>
    <w:rsid w:val="2A98798D"/>
    <w:rsid w:val="2BBD3669"/>
    <w:rsid w:val="2CA75FCB"/>
    <w:rsid w:val="2D1A7C52"/>
    <w:rsid w:val="2DD51314"/>
    <w:rsid w:val="2E16582B"/>
    <w:rsid w:val="2E4116FA"/>
    <w:rsid w:val="2E9C1044"/>
    <w:rsid w:val="2EC4391B"/>
    <w:rsid w:val="3034062C"/>
    <w:rsid w:val="31262BAF"/>
    <w:rsid w:val="31666F0B"/>
    <w:rsid w:val="32756EAC"/>
    <w:rsid w:val="327614D2"/>
    <w:rsid w:val="330F093A"/>
    <w:rsid w:val="34E37CA8"/>
    <w:rsid w:val="3519031D"/>
    <w:rsid w:val="354457B6"/>
    <w:rsid w:val="359E47FF"/>
    <w:rsid w:val="35B72FCB"/>
    <w:rsid w:val="35DA3E68"/>
    <w:rsid w:val="36257BD2"/>
    <w:rsid w:val="36E674AE"/>
    <w:rsid w:val="36F6333B"/>
    <w:rsid w:val="379A3E49"/>
    <w:rsid w:val="388A07AC"/>
    <w:rsid w:val="38D53666"/>
    <w:rsid w:val="390A2872"/>
    <w:rsid w:val="39144F66"/>
    <w:rsid w:val="391E61C3"/>
    <w:rsid w:val="3AD20986"/>
    <w:rsid w:val="3D4F6AA6"/>
    <w:rsid w:val="3F3D735A"/>
    <w:rsid w:val="3F724AD0"/>
    <w:rsid w:val="400A4627"/>
    <w:rsid w:val="402B3012"/>
    <w:rsid w:val="40980764"/>
    <w:rsid w:val="40D519B8"/>
    <w:rsid w:val="416D2207"/>
    <w:rsid w:val="41A8262E"/>
    <w:rsid w:val="42992DBC"/>
    <w:rsid w:val="43EC12FF"/>
    <w:rsid w:val="44366C11"/>
    <w:rsid w:val="443F7115"/>
    <w:rsid w:val="44E509D4"/>
    <w:rsid w:val="45E834B6"/>
    <w:rsid w:val="46825CD1"/>
    <w:rsid w:val="46FF481C"/>
    <w:rsid w:val="484A7410"/>
    <w:rsid w:val="491C0184"/>
    <w:rsid w:val="4ADD1BA1"/>
    <w:rsid w:val="4AFF5FAF"/>
    <w:rsid w:val="4B0853C3"/>
    <w:rsid w:val="4B195D9E"/>
    <w:rsid w:val="4C0F6DD7"/>
    <w:rsid w:val="4C3E6AE8"/>
    <w:rsid w:val="4DC0511E"/>
    <w:rsid w:val="4E91728D"/>
    <w:rsid w:val="4FAC5BC3"/>
    <w:rsid w:val="4FC61FF0"/>
    <w:rsid w:val="50846203"/>
    <w:rsid w:val="50EC2B32"/>
    <w:rsid w:val="514B3CFC"/>
    <w:rsid w:val="51E705A2"/>
    <w:rsid w:val="538763B9"/>
    <w:rsid w:val="540463E4"/>
    <w:rsid w:val="549F173E"/>
    <w:rsid w:val="5531128A"/>
    <w:rsid w:val="55913CA7"/>
    <w:rsid w:val="55DC546E"/>
    <w:rsid w:val="579C3951"/>
    <w:rsid w:val="57F90679"/>
    <w:rsid w:val="58134E48"/>
    <w:rsid w:val="596D6B7C"/>
    <w:rsid w:val="59F8095A"/>
    <w:rsid w:val="5A150610"/>
    <w:rsid w:val="5C1473E0"/>
    <w:rsid w:val="5C737BB0"/>
    <w:rsid w:val="5CEC747F"/>
    <w:rsid w:val="5DDA4712"/>
    <w:rsid w:val="5F072ED8"/>
    <w:rsid w:val="5F2F39E3"/>
    <w:rsid w:val="605B2FB7"/>
    <w:rsid w:val="60773D8D"/>
    <w:rsid w:val="61D878C6"/>
    <w:rsid w:val="630E2DDB"/>
    <w:rsid w:val="643C436B"/>
    <w:rsid w:val="658D2E41"/>
    <w:rsid w:val="66202ABE"/>
    <w:rsid w:val="66441755"/>
    <w:rsid w:val="66CF713B"/>
    <w:rsid w:val="67DC3D45"/>
    <w:rsid w:val="683F6E19"/>
    <w:rsid w:val="68961ACE"/>
    <w:rsid w:val="68FF4180"/>
    <w:rsid w:val="69C166FE"/>
    <w:rsid w:val="6A8E0A43"/>
    <w:rsid w:val="6AE467D8"/>
    <w:rsid w:val="6AE968C3"/>
    <w:rsid w:val="6D9745DB"/>
    <w:rsid w:val="6E26547D"/>
    <w:rsid w:val="6E3073EE"/>
    <w:rsid w:val="6EA6211A"/>
    <w:rsid w:val="711F7F62"/>
    <w:rsid w:val="71CF7BDA"/>
    <w:rsid w:val="726141AB"/>
    <w:rsid w:val="73B33669"/>
    <w:rsid w:val="73F5204B"/>
    <w:rsid w:val="7406451D"/>
    <w:rsid w:val="752F592A"/>
    <w:rsid w:val="756A3232"/>
    <w:rsid w:val="75EE5C09"/>
    <w:rsid w:val="761E2EDE"/>
    <w:rsid w:val="77DF544D"/>
    <w:rsid w:val="783458C3"/>
    <w:rsid w:val="786F6883"/>
    <w:rsid w:val="7A1E0C67"/>
    <w:rsid w:val="7B044DE1"/>
    <w:rsid w:val="7D8E1494"/>
    <w:rsid w:val="7DB57BC7"/>
    <w:rsid w:val="7DD76804"/>
    <w:rsid w:val="7F2F2703"/>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iPriority="99" w:semiHidden="0" w:name="Body Text"/>
    <w:lsdException w:qFormat="1"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99"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99"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3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lang w:val="en-US" w:eastAsia="zh-CN" w:bidi="ar-SA"/>
    </w:rPr>
  </w:style>
  <w:style w:type="paragraph" w:styleId="2">
    <w:name w:val="heading 1"/>
    <w:basedOn w:val="1"/>
    <w:next w:val="1"/>
    <w:link w:val="20"/>
    <w:qFormat/>
    <w:uiPriority w:val="99"/>
    <w:pPr>
      <w:keepNext/>
      <w:keepLines/>
      <w:spacing w:line="600" w:lineRule="exact"/>
      <w:jc w:val="center"/>
      <w:outlineLvl w:val="0"/>
    </w:pPr>
    <w:rPr>
      <w:rFonts w:ascii="Calibri" w:hAnsi="Calibri"/>
      <w:kern w:val="44"/>
      <w:sz w:val="44"/>
    </w:rPr>
  </w:style>
  <w:style w:type="paragraph" w:styleId="3">
    <w:name w:val="heading 2"/>
    <w:basedOn w:val="1"/>
    <w:next w:val="1"/>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4">
    <w:name w:val="heading 3"/>
    <w:next w:val="5"/>
    <w:qFormat/>
    <w:uiPriority w:val="0"/>
    <w:pPr>
      <w:keepNext/>
      <w:keepLines/>
      <w:widowControl w:val="0"/>
      <w:spacing w:line="460" w:lineRule="exact"/>
      <w:jc w:val="both"/>
      <w:outlineLvl w:val="2"/>
    </w:pPr>
    <w:rPr>
      <w:rFonts w:ascii="Times New Roman" w:hAnsi="Times New Roman" w:eastAsia="楷体" w:cs="Times New Roman"/>
      <w:b/>
      <w:bCs/>
      <w:kern w:val="2"/>
      <w:sz w:val="28"/>
      <w:szCs w:val="32"/>
      <w:lang w:val="en-US" w:eastAsia="zh-CN" w:bidi="ar-SA"/>
    </w:rPr>
  </w:style>
  <w:style w:type="character" w:default="1" w:styleId="18">
    <w:name w:val="Default Paragraph Font"/>
    <w:unhideWhenUsed/>
    <w:qFormat/>
    <w:uiPriority w:val="1"/>
  </w:style>
  <w:style w:type="table" w:default="1" w:styleId="16">
    <w:name w:val="Normal Table"/>
    <w:unhideWhenUsed/>
    <w:qFormat/>
    <w:uiPriority w:val="99"/>
    <w:tblPr>
      <w:tblCellMar>
        <w:top w:w="0" w:type="dxa"/>
        <w:left w:w="108" w:type="dxa"/>
        <w:bottom w:w="0" w:type="dxa"/>
        <w:right w:w="108" w:type="dxa"/>
      </w:tblCellMar>
    </w:tblPr>
  </w:style>
  <w:style w:type="paragraph" w:styleId="5">
    <w:name w:val="Normal Indent"/>
    <w:qFormat/>
    <w:uiPriority w:val="0"/>
    <w:pPr>
      <w:widowControl w:val="0"/>
      <w:ind w:firstLine="420"/>
      <w:jc w:val="both"/>
    </w:pPr>
    <w:rPr>
      <w:rFonts w:ascii="Times New Roman" w:hAnsi="Times New Roman" w:eastAsia="宋体" w:cs="Times New Roman"/>
      <w:kern w:val="2"/>
      <w:sz w:val="21"/>
      <w:szCs w:val="20"/>
      <w:lang w:val="en-US" w:eastAsia="zh-CN" w:bidi="ar-SA"/>
    </w:rPr>
  </w:style>
  <w:style w:type="paragraph" w:styleId="6">
    <w:name w:val="annotation text"/>
    <w:basedOn w:val="1"/>
    <w:link w:val="21"/>
    <w:qFormat/>
    <w:uiPriority w:val="0"/>
    <w:pPr>
      <w:jc w:val="left"/>
    </w:pPr>
    <w:rPr>
      <w:rFonts w:ascii="Calibri" w:hAnsi="Calibri"/>
    </w:rPr>
  </w:style>
  <w:style w:type="paragraph" w:styleId="7">
    <w:name w:val="Body Text"/>
    <w:basedOn w:val="1"/>
    <w:next w:val="8"/>
    <w:link w:val="22"/>
    <w:unhideWhenUsed/>
    <w:qFormat/>
    <w:uiPriority w:val="99"/>
    <w:pPr>
      <w:spacing w:after="120"/>
    </w:pPr>
  </w:style>
  <w:style w:type="paragraph" w:styleId="8">
    <w:name w:val="Plain Text"/>
    <w:basedOn w:val="1"/>
    <w:unhideWhenUsed/>
    <w:qFormat/>
    <w:uiPriority w:val="99"/>
    <w:rPr>
      <w:rFonts w:ascii="宋体" w:hAnsi="Courier New"/>
      <w:kern w:val="0"/>
      <w:sz w:val="20"/>
    </w:rPr>
  </w:style>
  <w:style w:type="paragraph" w:styleId="9">
    <w:name w:val="Body Text Indent"/>
    <w:basedOn w:val="1"/>
    <w:unhideWhenUsed/>
    <w:qFormat/>
    <w:uiPriority w:val="0"/>
    <w:pPr>
      <w:spacing w:after="120"/>
      <w:ind w:left="420" w:leftChars="200"/>
    </w:pPr>
  </w:style>
  <w:style w:type="paragraph" w:styleId="10">
    <w:name w:val="Balloon Text"/>
    <w:basedOn w:val="1"/>
    <w:link w:val="23"/>
    <w:qFormat/>
    <w:uiPriority w:val="0"/>
    <w:rPr>
      <w:sz w:val="18"/>
      <w:szCs w:val="18"/>
    </w:rPr>
  </w:style>
  <w:style w:type="paragraph" w:styleId="11">
    <w:name w:val="footer"/>
    <w:basedOn w:val="1"/>
    <w:qFormat/>
    <w:uiPriority w:val="99"/>
    <w:pPr>
      <w:tabs>
        <w:tab w:val="center" w:pos="4153"/>
        <w:tab w:val="right" w:pos="8306"/>
      </w:tabs>
      <w:snapToGrid w:val="0"/>
      <w:jc w:val="left"/>
    </w:pPr>
    <w:rPr>
      <w:sz w:val="18"/>
      <w:szCs w:val="18"/>
    </w:rPr>
  </w:style>
  <w:style w:type="paragraph" w:styleId="12">
    <w:name w:val="header"/>
    <w:basedOn w:val="1"/>
    <w:qFormat/>
    <w:uiPriority w:val="99"/>
    <w:pPr>
      <w:pBdr>
        <w:bottom w:val="single" w:color="auto" w:sz="6" w:space="1"/>
      </w:pBdr>
      <w:tabs>
        <w:tab w:val="center" w:pos="4153"/>
        <w:tab w:val="right" w:pos="8306"/>
      </w:tabs>
      <w:snapToGrid w:val="0"/>
      <w:jc w:val="center"/>
    </w:pPr>
    <w:rPr>
      <w:sz w:val="18"/>
      <w:szCs w:val="18"/>
    </w:rPr>
  </w:style>
  <w:style w:type="paragraph" w:styleId="13">
    <w:name w:val="HTML Preformatted"/>
    <w:basedOn w:val="1"/>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14">
    <w:name w:val="Title"/>
    <w:basedOn w:val="1"/>
    <w:next w:val="1"/>
    <w:qFormat/>
    <w:uiPriority w:val="0"/>
    <w:pPr>
      <w:spacing w:before="240" w:after="60"/>
      <w:jc w:val="center"/>
      <w:outlineLvl w:val="0"/>
    </w:pPr>
    <w:rPr>
      <w:rFonts w:ascii="Cambria" w:hAnsi="Cambria"/>
      <w:b/>
      <w:bCs/>
      <w:kern w:val="0"/>
      <w:sz w:val="32"/>
      <w:szCs w:val="32"/>
    </w:rPr>
  </w:style>
  <w:style w:type="paragraph" w:styleId="15">
    <w:name w:val="Body Text First Indent 2"/>
    <w:basedOn w:val="9"/>
    <w:qFormat/>
    <w:uiPriority w:val="99"/>
    <w:pPr>
      <w:adjustRightInd w:val="0"/>
      <w:spacing w:after="0" w:line="312" w:lineRule="atLeast"/>
      <w:ind w:left="1296" w:leftChars="0"/>
      <w:textAlignment w:val="baseline"/>
    </w:pPr>
    <w:rPr>
      <w:rFonts w:eastAsia="仿宋_GB2312"/>
      <w:kern w:val="21"/>
      <w:sz w:val="32"/>
    </w:rPr>
  </w:style>
  <w:style w:type="table" w:styleId="17">
    <w:name w:val="Table Grid"/>
    <w:basedOn w:val="16"/>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qFormat/>
    <w:uiPriority w:val="0"/>
    <w:rPr>
      <w:color w:val="0000FF"/>
      <w:u w:val="single"/>
    </w:rPr>
  </w:style>
  <w:style w:type="character" w:customStyle="1" w:styleId="20">
    <w:name w:val="标题 1 Char"/>
    <w:basedOn w:val="18"/>
    <w:link w:val="2"/>
    <w:qFormat/>
    <w:uiPriority w:val="99"/>
    <w:rPr>
      <w:rFonts w:cs="Times New Roman"/>
      <w:kern w:val="44"/>
      <w:sz w:val="44"/>
    </w:rPr>
  </w:style>
  <w:style w:type="character" w:customStyle="1" w:styleId="21">
    <w:name w:val="批注文字 Char"/>
    <w:basedOn w:val="18"/>
    <w:link w:val="6"/>
    <w:qFormat/>
    <w:uiPriority w:val="0"/>
    <w:rPr>
      <w:rFonts w:cs="Times New Roman"/>
      <w:kern w:val="2"/>
      <w:sz w:val="21"/>
    </w:rPr>
  </w:style>
  <w:style w:type="character" w:customStyle="1" w:styleId="22">
    <w:name w:val="正文文本 Char"/>
    <w:basedOn w:val="18"/>
    <w:link w:val="7"/>
    <w:qFormat/>
    <w:uiPriority w:val="99"/>
    <w:rPr>
      <w:rFonts w:ascii="Times New Roman" w:hAnsi="Times New Roman" w:cs="Times New Roman"/>
      <w:kern w:val="2"/>
      <w:sz w:val="21"/>
    </w:rPr>
  </w:style>
  <w:style w:type="character" w:customStyle="1" w:styleId="23">
    <w:name w:val="批注框文本 Char"/>
    <w:basedOn w:val="18"/>
    <w:link w:val="10"/>
    <w:qFormat/>
    <w:uiPriority w:val="0"/>
    <w:rPr>
      <w:rFonts w:ascii="Times New Roman" w:hAnsi="Times New Roman" w:cs="Times New Roman"/>
      <w:kern w:val="2"/>
      <w:sz w:val="18"/>
      <w:szCs w:val="18"/>
    </w:rPr>
  </w:style>
  <w:style w:type="paragraph" w:customStyle="1" w:styleId="24">
    <w:name w:val="列出段落11"/>
    <w:basedOn w:val="1"/>
    <w:qFormat/>
    <w:uiPriority w:val="99"/>
    <w:pPr>
      <w:ind w:firstLine="420" w:firstLineChars="200"/>
    </w:pPr>
  </w:style>
  <w:style w:type="paragraph" w:customStyle="1" w:styleId="25">
    <w:name w:val="reader-word-layer"/>
    <w:basedOn w:val="1"/>
    <w:qFormat/>
    <w:uiPriority w:val="99"/>
    <w:pPr>
      <w:widowControl/>
      <w:spacing w:before="100" w:beforeAutospacing="1" w:after="100" w:afterAutospacing="1"/>
      <w:jc w:val="left"/>
    </w:pPr>
    <w:rPr>
      <w:rFonts w:ascii="宋体" w:hAnsi="宋体" w:cs="宋体"/>
      <w:kern w:val="0"/>
      <w:sz w:val="24"/>
      <w:szCs w:val="24"/>
    </w:rPr>
  </w:style>
  <w:style w:type="paragraph" w:customStyle="1" w:styleId="26">
    <w:name w:val="列出段落1"/>
    <w:basedOn w:val="1"/>
    <w:qFormat/>
    <w:uiPriority w:val="34"/>
    <w:pPr>
      <w:ind w:firstLine="420" w:firstLineChars="200"/>
    </w:pPr>
  </w:style>
  <w:style w:type="paragraph" w:customStyle="1" w:styleId="27">
    <w:name w:val="Char"/>
    <w:qFormat/>
    <w:uiPriority w:val="0"/>
    <w:pPr>
      <w:widowControl w:val="0"/>
      <w:tabs>
        <w:tab w:val="left" w:pos="360"/>
      </w:tabs>
      <w:jc w:val="both"/>
    </w:pPr>
    <w:rPr>
      <w:rFonts w:ascii="Times New Roman" w:hAnsi="Times New Roman" w:eastAsia="宋体" w:cs="Times New Roman"/>
      <w:color w:val="000000"/>
      <w:kern w:val="2"/>
      <w:sz w:val="24"/>
      <w:szCs w:val="24"/>
      <w:lang w:val="en-US" w:eastAsia="zh-CN" w:bidi="ar-SA"/>
    </w:rPr>
  </w:style>
  <w:style w:type="character" w:customStyle="1" w:styleId="28">
    <w:name w:val="font71"/>
    <w:basedOn w:val="18"/>
    <w:qFormat/>
    <w:uiPriority w:val="0"/>
    <w:rPr>
      <w:rFonts w:hint="eastAsia" w:ascii="楷体" w:hAnsi="楷体" w:eastAsia="楷体" w:cs="楷体"/>
      <w:b/>
      <w:bCs/>
      <w:color w:val="000000"/>
      <w:sz w:val="28"/>
      <w:szCs w:val="28"/>
      <w:u w:val="none"/>
    </w:rPr>
  </w:style>
  <w:style w:type="character" w:customStyle="1" w:styleId="29">
    <w:name w:val="font81"/>
    <w:basedOn w:val="18"/>
    <w:qFormat/>
    <w:uiPriority w:val="0"/>
    <w:rPr>
      <w:rFonts w:ascii="Verdana" w:hAnsi="Verdana" w:cs="Verdana"/>
      <w:b/>
      <w:bCs/>
      <w:color w:val="000000"/>
      <w:sz w:val="28"/>
      <w:szCs w:val="28"/>
      <w:u w:val="none"/>
    </w:rPr>
  </w:style>
  <w:style w:type="character" w:customStyle="1" w:styleId="30">
    <w:name w:val="font61"/>
    <w:basedOn w:val="18"/>
    <w:qFormat/>
    <w:uiPriority w:val="0"/>
    <w:rPr>
      <w:rFonts w:hint="default" w:ascii="Microsoft YaHei UI" w:hAnsi="Microsoft YaHei UI" w:eastAsia="Microsoft YaHei UI" w:cs="Microsoft YaHei UI"/>
      <w:color w:val="000000"/>
      <w:sz w:val="22"/>
      <w:szCs w:val="22"/>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3" Type="http://schemas.openxmlformats.org/officeDocument/2006/relationships/fontTable" Target="fontTable.xml"/><Relationship Id="rId22" Type="http://schemas.openxmlformats.org/officeDocument/2006/relationships/numbering" Target="numbering.xml"/><Relationship Id="rId21" Type="http://schemas.openxmlformats.org/officeDocument/2006/relationships/customXml" Target="../customXml/item1.xml"/><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36</Pages>
  <Words>7583</Words>
  <Characters>7951</Characters>
  <Lines>52</Lines>
  <Paragraphs>14</Paragraphs>
  <TotalTime>2</TotalTime>
  <ScaleCrop>false</ScaleCrop>
  <LinksUpToDate>false</LinksUpToDate>
  <CharactersWithSpaces>8307</CharactersWithSpaces>
  <Application>WPS Office_12.1.0.18608_F1E327BC-269C-435d-A152-05C5408002CA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2023-08-10T06:55:00Z</dcterms:created>
  <dc:creator>Administrator</dc:creator>
  <cp:lastModifiedBy>yyq.</cp:lastModifiedBy>
  <cp:lastPrinted>2024-05-29T06:35:00Z</cp:lastPrinted>
  <dcterms:modified xsi:type="dcterms:W3CDTF">2024-11-12T07:04:48Z</dcterms:modified>
  <dc:title>镇江海纳川物流产业发展有限责任公司</dc:title>
  <cp:revision>23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2052-12.1.0.18608</vt:lpwstr>
  </property>
  <property fmtid="{D5CDD505-2E9C-101B-9397-08002B2CF9AE}" pid="3" name="ICV">
    <vt:lpwstr>ED1B3851AF8A442D90FB38F55F22BB02_13</vt:lpwstr>
  </property>
</Properties>
</file>