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CB403">
      <w:pPr>
        <w:widowControl/>
        <w:spacing w:line="600" w:lineRule="exact"/>
        <w:jc w:val="center"/>
        <w:rPr>
          <w:rFonts w:ascii="方正小标宋简体" w:hAnsi="黑体" w:eastAsia="方正小标宋简体" w:cs="黑体"/>
          <w:color w:val="000000"/>
          <w:spacing w:val="-11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黑体" w:eastAsia="方正小标宋简体" w:cs="黑体"/>
          <w:color w:val="000000"/>
          <w:spacing w:val="-11"/>
          <w:kern w:val="0"/>
          <w:sz w:val="44"/>
          <w:szCs w:val="44"/>
          <w:shd w:val="clear" w:color="auto" w:fill="FFFFFF"/>
        </w:rPr>
        <w:t>关于下发《索普集团</w:t>
      </w:r>
      <w:r>
        <w:rPr>
          <w:rFonts w:hint="eastAsia" w:ascii="方正小标宋简体" w:hAnsi="黑体" w:eastAsia="方正小标宋简体" w:cs="黑体"/>
          <w:bCs/>
          <w:sz w:val="44"/>
          <w:szCs w:val="44"/>
        </w:rPr>
        <w:t>叉车使用安全管理规定</w:t>
      </w:r>
      <w:r>
        <w:rPr>
          <w:rFonts w:hint="eastAsia" w:ascii="方正小标宋简体" w:hAnsi="黑体" w:eastAsia="方正小标宋简体" w:cs="黑体"/>
          <w:color w:val="000000"/>
          <w:spacing w:val="-11"/>
          <w:kern w:val="0"/>
          <w:sz w:val="44"/>
          <w:szCs w:val="44"/>
          <w:shd w:val="clear" w:color="auto" w:fill="FFFFFF"/>
        </w:rPr>
        <w:t>》的通知</w:t>
      </w:r>
    </w:p>
    <w:p w14:paraId="1E200395">
      <w:pPr>
        <w:widowControl/>
        <w:spacing w:line="600" w:lineRule="exact"/>
        <w:jc w:val="center"/>
        <w:rPr>
          <w:rFonts w:ascii="仿宋_GB2312" w:hAnsi="黑体" w:eastAsia="仿宋_GB2312" w:cs="黑体"/>
          <w:color w:val="000000"/>
          <w:kern w:val="0"/>
          <w:shd w:val="clear" w:color="auto" w:fill="FFFFFF"/>
        </w:rPr>
      </w:pPr>
    </w:p>
    <w:p w14:paraId="295AE552">
      <w:pPr>
        <w:widowControl/>
        <w:tabs>
          <w:tab w:val="left" w:pos="7571"/>
        </w:tabs>
        <w:spacing w:line="600" w:lineRule="exact"/>
        <w:jc w:val="left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各部室、直属单位：</w:t>
      </w:r>
    </w:p>
    <w:p w14:paraId="0E3E45E2">
      <w:pPr>
        <w:widowControl/>
        <w:tabs>
          <w:tab w:val="left" w:pos="7571"/>
        </w:tabs>
        <w:spacing w:line="60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现将《索普集团叉车使用安全管理规定》下发给你们，请贯彻落实执行。</w:t>
      </w:r>
    </w:p>
    <w:p w14:paraId="63575EBC">
      <w:pPr>
        <w:widowControl/>
        <w:tabs>
          <w:tab w:val="left" w:pos="7571"/>
        </w:tabs>
        <w:spacing w:line="60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</w:p>
    <w:p w14:paraId="0F84BEC2">
      <w:pPr>
        <w:widowControl/>
        <w:tabs>
          <w:tab w:val="left" w:pos="7571"/>
        </w:tabs>
        <w:spacing w:line="60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附件1.索普集团叉车使用安全管理规定</w:t>
      </w:r>
    </w:p>
    <w:p w14:paraId="7DF6BF54">
      <w:pPr>
        <w:widowControl/>
        <w:tabs>
          <w:tab w:val="left" w:pos="7571"/>
        </w:tabs>
        <w:spacing w:line="60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附件2.叉车铲车十不开</w:t>
      </w:r>
    </w:p>
    <w:p w14:paraId="63735E3A">
      <w:pPr>
        <w:widowControl/>
        <w:tabs>
          <w:tab w:val="left" w:pos="7571"/>
        </w:tabs>
        <w:spacing w:line="60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</w:p>
    <w:p w14:paraId="122834C2">
      <w:pPr>
        <w:widowControl/>
        <w:tabs>
          <w:tab w:val="left" w:pos="7571"/>
        </w:tabs>
        <w:spacing w:line="60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</w:p>
    <w:p w14:paraId="083D6EFA">
      <w:pPr>
        <w:widowControl/>
        <w:tabs>
          <w:tab w:val="left" w:pos="7571"/>
        </w:tabs>
        <w:spacing w:line="60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</w:p>
    <w:p w14:paraId="29F6C97F">
      <w:pPr>
        <w:widowControl/>
        <w:tabs>
          <w:tab w:val="left" w:pos="7571"/>
        </w:tabs>
        <w:spacing w:line="60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                    江苏索普（集团）有限公司</w:t>
      </w:r>
    </w:p>
    <w:p w14:paraId="1CD5175A">
      <w:pPr>
        <w:widowControl/>
        <w:tabs>
          <w:tab w:val="left" w:pos="7571"/>
        </w:tabs>
        <w:spacing w:line="60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                         2019年12月5日</w:t>
      </w:r>
    </w:p>
    <w:p w14:paraId="5964F160">
      <w:pPr>
        <w:widowControl/>
        <w:spacing w:line="600" w:lineRule="exact"/>
        <w:jc w:val="right"/>
        <w:rPr>
          <w:rFonts w:ascii="仿宋_GB2312" w:hAnsi="华文仿宋" w:eastAsia="仿宋_GB2312" w:cs="华文仿宋"/>
          <w:color w:val="000000"/>
          <w:kern w:val="0"/>
          <w:shd w:val="clear" w:color="auto" w:fill="FFFFFF"/>
        </w:rPr>
      </w:pPr>
    </w:p>
    <w:p w14:paraId="1BE916AE">
      <w:pPr>
        <w:widowControl/>
        <w:spacing w:line="600" w:lineRule="exact"/>
        <w:jc w:val="right"/>
        <w:rPr>
          <w:rFonts w:ascii="仿宋_GB2312" w:hAnsi="华文仿宋" w:eastAsia="仿宋_GB2312" w:cs="华文仿宋"/>
          <w:color w:val="000000"/>
          <w:kern w:val="0"/>
          <w:shd w:val="clear" w:color="auto" w:fill="FFFFFF"/>
        </w:rPr>
      </w:pPr>
    </w:p>
    <w:p w14:paraId="6A84A173">
      <w:pPr>
        <w:widowControl/>
        <w:spacing w:line="600" w:lineRule="exact"/>
        <w:jc w:val="right"/>
        <w:rPr>
          <w:rFonts w:ascii="仿宋_GB2312" w:hAnsi="华文仿宋" w:eastAsia="仿宋_GB2312" w:cs="华文仿宋"/>
          <w:color w:val="000000"/>
          <w:kern w:val="0"/>
          <w:shd w:val="clear" w:color="auto" w:fill="FFFFFF"/>
        </w:rPr>
      </w:pPr>
    </w:p>
    <w:p w14:paraId="026FECC8">
      <w:pPr>
        <w:widowControl/>
        <w:spacing w:line="600" w:lineRule="exact"/>
        <w:jc w:val="right"/>
        <w:rPr>
          <w:rFonts w:ascii="仿宋_GB2312" w:hAnsi="华文仿宋" w:eastAsia="仿宋_GB2312" w:cs="华文仿宋"/>
          <w:color w:val="000000"/>
          <w:kern w:val="0"/>
          <w:shd w:val="clear" w:color="auto" w:fill="FFFFFF"/>
        </w:rPr>
      </w:pPr>
    </w:p>
    <w:p w14:paraId="22BE8181">
      <w:pPr>
        <w:widowControl/>
        <w:spacing w:line="600" w:lineRule="exact"/>
        <w:jc w:val="right"/>
        <w:rPr>
          <w:rFonts w:ascii="仿宋_GB2312" w:hAnsi="华文仿宋" w:eastAsia="仿宋_GB2312" w:cs="华文仿宋"/>
          <w:color w:val="000000"/>
          <w:kern w:val="0"/>
          <w:shd w:val="clear" w:color="auto" w:fill="FFFFFF"/>
        </w:rPr>
      </w:pPr>
    </w:p>
    <w:p w14:paraId="24F71C04">
      <w:pPr>
        <w:widowControl/>
        <w:spacing w:line="600" w:lineRule="exact"/>
        <w:jc w:val="right"/>
        <w:rPr>
          <w:rFonts w:ascii="仿宋_GB2312" w:hAnsi="华文仿宋" w:eastAsia="仿宋_GB2312" w:cs="华文仿宋"/>
          <w:color w:val="000000"/>
          <w:kern w:val="0"/>
          <w:shd w:val="clear" w:color="auto" w:fill="FFFFFF"/>
        </w:rPr>
      </w:pPr>
    </w:p>
    <w:p w14:paraId="47B4F2A8">
      <w:pPr>
        <w:widowControl/>
        <w:spacing w:line="600" w:lineRule="exact"/>
        <w:jc w:val="right"/>
        <w:rPr>
          <w:rFonts w:ascii="仿宋_GB2312" w:hAnsi="华文仿宋" w:eastAsia="仿宋_GB2312" w:cs="华文仿宋"/>
          <w:color w:val="000000"/>
          <w:kern w:val="0"/>
          <w:shd w:val="clear" w:color="auto" w:fill="FFFFFF"/>
        </w:rPr>
      </w:pPr>
    </w:p>
    <w:p w14:paraId="46BC1477">
      <w:pPr>
        <w:widowControl/>
        <w:spacing w:line="600" w:lineRule="exact"/>
        <w:jc w:val="right"/>
        <w:rPr>
          <w:rFonts w:ascii="仿宋_GB2312" w:hAnsi="华文仿宋" w:eastAsia="仿宋_GB2312" w:cs="华文仿宋"/>
          <w:color w:val="000000"/>
          <w:kern w:val="0"/>
          <w:shd w:val="clear" w:color="auto" w:fill="FFFFFF"/>
        </w:rPr>
      </w:pPr>
    </w:p>
    <w:p w14:paraId="779ECBAF">
      <w:pPr>
        <w:widowControl/>
        <w:spacing w:line="600" w:lineRule="exact"/>
        <w:jc w:val="right"/>
        <w:rPr>
          <w:rFonts w:ascii="仿宋_GB2312" w:hAnsi="华文仿宋" w:eastAsia="仿宋_GB2312" w:cs="华文仿宋"/>
          <w:color w:val="000000"/>
          <w:kern w:val="0"/>
          <w:shd w:val="clear" w:color="auto" w:fill="FFFFFF"/>
        </w:rPr>
      </w:pPr>
    </w:p>
    <w:p w14:paraId="344AD4CC">
      <w:pPr>
        <w:widowControl/>
        <w:spacing w:line="600" w:lineRule="exact"/>
        <w:jc w:val="left"/>
        <w:rPr>
          <w:rFonts w:ascii="黑体" w:hAnsi="黑体" w:eastAsia="黑体" w:cs="黑体"/>
          <w:color w:val="000000"/>
          <w:kern w:val="0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kern w:val="0"/>
          <w:shd w:val="clear" w:color="auto" w:fill="FFFFFF"/>
        </w:rPr>
        <w:t>附件1：</w:t>
      </w:r>
    </w:p>
    <w:p w14:paraId="165F4D22">
      <w:pPr>
        <w:widowControl/>
        <w:spacing w:line="620" w:lineRule="exact"/>
        <w:jc w:val="left"/>
        <w:rPr>
          <w:rFonts w:ascii="黑体" w:hAnsi="黑体" w:eastAsia="黑体" w:cs="黑体"/>
          <w:color w:val="000000"/>
          <w:kern w:val="0"/>
          <w:shd w:val="clear" w:color="auto" w:fill="FFFFFF"/>
        </w:rPr>
      </w:pPr>
    </w:p>
    <w:p w14:paraId="3669440B">
      <w:pPr>
        <w:tabs>
          <w:tab w:val="left" w:pos="2880"/>
        </w:tabs>
        <w:spacing w:line="620" w:lineRule="exact"/>
        <w:jc w:val="center"/>
        <w:rPr>
          <w:rFonts w:ascii="方正小标宋简体" w:hAnsi="黑体" w:eastAsia="方正小标宋简体" w:cs="黑体"/>
          <w:bCs/>
          <w:sz w:val="44"/>
          <w:szCs w:val="44"/>
        </w:rPr>
      </w:pPr>
      <w:r>
        <w:rPr>
          <w:rFonts w:hint="eastAsia" w:ascii="方正小标宋简体" w:hAnsi="黑体" w:eastAsia="方正小标宋简体" w:cs="黑体"/>
          <w:bCs/>
          <w:sz w:val="44"/>
          <w:szCs w:val="44"/>
        </w:rPr>
        <w:t>索普集团叉车使用安全管理规定</w:t>
      </w:r>
    </w:p>
    <w:p w14:paraId="7E0FD5C1">
      <w:pPr>
        <w:widowControl/>
        <w:spacing w:line="620" w:lineRule="exact"/>
        <w:jc w:val="center"/>
        <w:rPr>
          <w:rFonts w:ascii="黑体" w:hAnsi="黑体" w:eastAsia="黑体" w:cs="宋体"/>
          <w:color w:val="000000"/>
          <w:kern w:val="0"/>
        </w:rPr>
      </w:pPr>
    </w:p>
    <w:p w14:paraId="6DC157DA">
      <w:pPr>
        <w:widowControl/>
        <w:tabs>
          <w:tab w:val="left" w:pos="7571"/>
        </w:tabs>
        <w:spacing w:line="62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为进一步加强集团公司叉车安全管理，维护厂区道路交通秩序，特制定本规定：</w:t>
      </w:r>
    </w:p>
    <w:p w14:paraId="2BC272E0">
      <w:pPr>
        <w:widowControl/>
        <w:tabs>
          <w:tab w:val="left" w:pos="7571"/>
        </w:tabs>
        <w:spacing w:line="620" w:lineRule="exact"/>
        <w:jc w:val="center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黑体" w:hAnsi="黑体" w:eastAsia="黑体" w:cs="宋体"/>
          <w:color w:val="000000"/>
          <w:kern w:val="0"/>
        </w:rPr>
        <w:t>第一章 总则</w:t>
      </w:r>
    </w:p>
    <w:p w14:paraId="622CA54E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第一条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叉车的车况必须良好，由特种设备监管部门定期检审，经检审合格后持证行驶，同时随车携带年检合格证（复印件）。</w:t>
      </w:r>
    </w:p>
    <w:p w14:paraId="28D67BA0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第二条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叉车驾驶员应按特种作业人员培训考核规定，经专门训练，在熟悉并掌握叉车结构、性能的基础上，进行装卸作业，并经有关部门考核，合格后才能独立驾驶叉车作业。</w:t>
      </w:r>
    </w:p>
    <w:p w14:paraId="750C71A1">
      <w:pPr>
        <w:widowControl/>
        <w:tabs>
          <w:tab w:val="left" w:pos="7571"/>
        </w:tabs>
        <w:spacing w:line="620" w:lineRule="exact"/>
        <w:jc w:val="center"/>
        <w:rPr>
          <w:rFonts w:ascii="黑体" w:hAnsi="黑体" w:eastAsia="黑体" w:cs="宋体"/>
          <w:color w:val="000000"/>
          <w:kern w:val="0"/>
        </w:rPr>
      </w:pPr>
      <w:r>
        <w:rPr>
          <w:rFonts w:hint="eastAsia" w:ascii="黑体" w:hAnsi="黑体" w:eastAsia="黑体" w:cs="宋体"/>
          <w:color w:val="000000"/>
          <w:kern w:val="0"/>
        </w:rPr>
        <w:t>第二章 行驶要求</w:t>
      </w:r>
    </w:p>
    <w:p w14:paraId="5B889267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三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出车前必须检查制动器、转向系统、操纵柄、灯光、信号装置是否可靠，燃油、水、润滑油是否充足。</w:t>
      </w:r>
    </w:p>
    <w:p w14:paraId="372FE106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highlight w:val="none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四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叉车只准在厂区行驶，要安全礼让，不准强行超越，</w:t>
      </w:r>
      <w:r>
        <w:rPr>
          <w:rFonts w:hint="eastAsia" w:ascii="仿宋_GB2312" w:hAnsi="仿宋" w:eastAsia="仿宋_GB2312" w:cs="仿宋"/>
          <w:bCs/>
          <w:color w:val="000000"/>
          <w:highlight w:val="none"/>
          <w:shd w:val="clear" w:color="auto" w:fill="FFFFFF"/>
        </w:rPr>
        <w:t>不准随意行驶厂外或公路干线。</w:t>
      </w:r>
    </w:p>
    <w:p w14:paraId="4A253D46">
      <w:pPr>
        <w:widowControl/>
        <w:tabs>
          <w:tab w:val="left" w:pos="7571"/>
        </w:tabs>
        <w:spacing w:line="62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</w:p>
    <w:p w14:paraId="5C61B617">
      <w:pPr>
        <w:widowControl/>
        <w:numPr>
          <w:ilvl w:val="0"/>
          <w:numId w:val="0"/>
        </w:numPr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bCs w:val="0"/>
          <w:color w:val="000000"/>
          <w:shd w:val="clear" w:color="auto" w:fill="FFFFFF"/>
          <w:lang w:eastAsia="zh-CN"/>
        </w:rPr>
        <w:t>第五条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在行驶中遇到前面有人，应在5m以外发出信号。如行人未避开则应停驶；在喧闹的车间行车，应不断地发出警告信号。倒车必须减速并鸣号警告，同时注意周围地形。</w:t>
      </w:r>
    </w:p>
    <w:p w14:paraId="7AAEBE0A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六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靠右行驶与其他车辆的前后距离至少大于5m、在厂内主干道上行驶空车速度不得超过20km／h，载物行驶速度不超过5km／h，在转弯、房角、十字路口处、跨越狭窄的道路以及生产区域厂房仓库内，行驶速度不得超过3km／h。不得占用对向车道。</w:t>
      </w:r>
    </w:p>
    <w:p w14:paraId="2BAE9EE8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七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在机床、管道、炉子、设备旁行驶时，其距离不得少于0.5m。夜间不得在无照明的道路上行驶。</w:t>
      </w:r>
    </w:p>
    <w:p w14:paraId="43F14596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八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在行驶中，驾驶员不得吸烟或与他人谈话。如发生事故应保护现场，并立即通知有关部门等候处理。</w:t>
      </w:r>
    </w:p>
    <w:p w14:paraId="6CF393A7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九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叉车运行时要遵守交通规则：①必须与前面的车辆保持一定的安全距离；②驾驶员应精力集中，注意一切有关指示标牌，使车辆一直处于控制之中，不得脱挡滑行；③行经交叉路口或视线受阻的路段，应减速鸣号，不允许超车；④运行中驾驶员的身体不得超出车外，尽量避免突然启动、停车和高速转弯。</w:t>
      </w:r>
    </w:p>
    <w:p w14:paraId="4F726CAA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第十条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叉车后轮控制转向，转弯不得过急，防止“自由转弯”的倾向，熟练掌握回转方向盘的操作要领。</w:t>
      </w:r>
    </w:p>
    <w:p w14:paraId="7947913B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十一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坡道停驶时，应用手制动器，并采取防滑措施；下坡时，禁止空档滑行。</w:t>
      </w:r>
    </w:p>
    <w:p w14:paraId="35AC794F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第十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二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叉车上下坡时应缓慢而匀速地运行，不得在坡道上转弯，也不得横跨坡度行驶。</w:t>
      </w:r>
    </w:p>
    <w:p w14:paraId="516C0F5F">
      <w:pPr>
        <w:widowControl/>
        <w:tabs>
          <w:tab w:val="left" w:pos="7571"/>
        </w:tabs>
        <w:spacing w:line="620" w:lineRule="exact"/>
        <w:jc w:val="center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 xml:space="preserve">   第十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三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叉车不得停放在消防道口、楼梯口及消防设备附近，也不得停放在距铁道10m以内的地方。</w:t>
      </w:r>
    </w:p>
    <w:p w14:paraId="4803C019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第十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四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 xml:space="preserve">条 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驾驶证（复印件）随身携带，不准无证人员上车操作，除驾驶人员之外，严禁其他人员乘座叉车。</w:t>
      </w:r>
    </w:p>
    <w:p w14:paraId="76BC8BFC">
      <w:pPr>
        <w:widowControl/>
        <w:tabs>
          <w:tab w:val="left" w:pos="7571"/>
        </w:tabs>
        <w:spacing w:line="620" w:lineRule="exact"/>
        <w:jc w:val="center"/>
        <w:rPr>
          <w:rFonts w:ascii="黑体" w:hAnsi="黑体" w:eastAsia="黑体" w:cs="宋体"/>
          <w:color w:val="000000"/>
          <w:kern w:val="0"/>
        </w:rPr>
      </w:pPr>
      <w:r>
        <w:rPr>
          <w:rFonts w:hint="eastAsia" w:ascii="黑体" w:hAnsi="黑体" w:eastAsia="黑体" w:cs="宋体"/>
          <w:color w:val="000000"/>
          <w:kern w:val="0"/>
        </w:rPr>
        <w:t>第三章 作业要求</w:t>
      </w:r>
    </w:p>
    <w:p w14:paraId="064E67BD">
      <w:pPr>
        <w:widowControl/>
        <w:tabs>
          <w:tab w:val="left" w:pos="7571"/>
        </w:tabs>
        <w:spacing w:line="620" w:lineRule="exact"/>
        <w:ind w:firstLine="683" w:firstLineChars="200"/>
        <w:jc w:val="both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十五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叉车作业时叉车司机必须戴好安全帽，系好安全带。</w:t>
      </w:r>
    </w:p>
    <w:p w14:paraId="4A5AE04B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十六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驾驶员不得用湿手和油手开车，司机座位周围不准有杂物。</w:t>
      </w:r>
    </w:p>
    <w:p w14:paraId="4492EFBE">
      <w:pPr>
        <w:widowControl/>
        <w:tabs>
          <w:tab w:val="left" w:pos="7571"/>
        </w:tabs>
        <w:spacing w:line="620" w:lineRule="exact"/>
        <w:ind w:firstLine="683" w:firstLineChars="200"/>
        <w:jc w:val="both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第十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七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车辆出入库门、厂房时，应下车用手开门，不许用叉车把门顶开。</w:t>
      </w:r>
    </w:p>
    <w:p w14:paraId="679C6445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十八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门架前倾时，严禁提升货物；运行时门架必须后倾行驶；行车时，叉车的载货高度不准遮挡驾驶员视线，货物最低点离地应在300-400mm左右，长度不准超过车厢（斗），严禁边提升货物边行车：严禁载人运行。</w:t>
      </w:r>
    </w:p>
    <w:p w14:paraId="5F2691A4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十九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在额定载荷中心处严禁超载，更不允许超载作业。货物位于非额定载荷中心处，按负载曲线图确定负载量，货物中心应与车体中心在一条线上，不许偏载。</w:t>
      </w:r>
    </w:p>
    <w:p w14:paraId="20773F20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第二十条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装载时要掌握好货物的重心位置。对于稳固情况不好和重心位置高的货物，要用钢丝绳捆好，防止货物崩塌和倾倒，货物上不准站人。</w:t>
      </w:r>
    </w:p>
    <w:p w14:paraId="4DCF14CD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二十一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装卸作业中，严禁一切人员在货叉下停留。开车或起吊货物时先鸣号。</w:t>
      </w:r>
    </w:p>
    <w:p w14:paraId="268B1EF6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二十二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非紧急情况下，严禁突然制动，防止在惯性力作用下，货物抛出损坏并砸伤人，同时也严禁快速转弯。</w:t>
      </w:r>
    </w:p>
    <w:p w14:paraId="7C9EA1A1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二十三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叉车操作人员工作时间不得擅自离开岗位，下车后应熄火并将钥匙随身带走。</w:t>
      </w:r>
    </w:p>
    <w:p w14:paraId="0C0C78F6">
      <w:pPr>
        <w:widowControl/>
        <w:tabs>
          <w:tab w:val="left" w:pos="7571"/>
        </w:tabs>
        <w:spacing w:line="620" w:lineRule="exact"/>
        <w:jc w:val="center"/>
        <w:rPr>
          <w:rFonts w:ascii="黑体" w:hAnsi="黑体" w:eastAsia="黑体" w:cs="宋体"/>
          <w:color w:val="000000"/>
          <w:kern w:val="0"/>
        </w:rPr>
      </w:pPr>
      <w:r>
        <w:rPr>
          <w:rFonts w:hint="eastAsia" w:ascii="黑体" w:hAnsi="黑体" w:eastAsia="黑体" w:cs="宋体"/>
          <w:color w:val="000000"/>
          <w:kern w:val="0"/>
        </w:rPr>
        <w:t>第四章 管理要求</w:t>
      </w:r>
    </w:p>
    <w:p w14:paraId="23CE00A7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第二十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四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叉车运送货物原则上必须使用叉斗进行运送，同时在厂区道路行驶时，不得叉运宽度超过叉斗宽度的货物。</w:t>
      </w:r>
    </w:p>
    <w:p w14:paraId="3A9BAE08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第二十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五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如叉车确实因工作需要运送货物超过叉斗宽度的情况下，需由用车单位向消防治安大队报备，同时由用车单位派人监护，负责对叉车进行安全引导，同时消防治安大队做好监管检查。</w:t>
      </w:r>
    </w:p>
    <w:p w14:paraId="1F47AE81">
      <w:pPr>
        <w:widowControl/>
        <w:tabs>
          <w:tab w:val="left" w:pos="7571"/>
        </w:tabs>
        <w:spacing w:line="62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1.在易燃易爆装置内严禁叉车顶物。</w:t>
      </w:r>
    </w:p>
    <w:p w14:paraId="5A4E5B43">
      <w:pPr>
        <w:widowControl/>
        <w:tabs>
          <w:tab w:val="left" w:pos="7571"/>
        </w:tabs>
        <w:spacing w:line="62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2.各单位必须配备专职的叉车司机，严禁兼职。</w:t>
      </w:r>
    </w:p>
    <w:p w14:paraId="7CE39614">
      <w:pPr>
        <w:widowControl/>
        <w:tabs>
          <w:tab w:val="left" w:pos="7571"/>
        </w:tabs>
        <w:spacing w:line="62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3.叉车牵引平板车，装载的货物宽度不允许超过平板车的宽度。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br w:type="textWrapping"/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   4.叉车必须停放在指定位置，禁止乱停乱放。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br w:type="textWrapping"/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   5.对于违反叉车安全管理规定，视情节轻重给予罚款500元-1000元。</w:t>
      </w:r>
    </w:p>
    <w:p w14:paraId="565783CD">
      <w:pPr>
        <w:widowControl/>
        <w:tabs>
          <w:tab w:val="left" w:pos="7571"/>
        </w:tabs>
        <w:spacing w:line="620" w:lineRule="exact"/>
        <w:ind w:firstLine="680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6.其他要求参照《叉车操作规定》。</w:t>
      </w:r>
    </w:p>
    <w:p w14:paraId="1908CC82">
      <w:pPr>
        <w:widowControl/>
        <w:tabs>
          <w:tab w:val="left" w:pos="7571"/>
        </w:tabs>
        <w:spacing w:line="620" w:lineRule="exact"/>
        <w:jc w:val="center"/>
        <w:rPr>
          <w:rFonts w:ascii="黑体" w:hAnsi="黑体" w:eastAsia="黑体" w:cs="宋体"/>
          <w:color w:val="000000"/>
          <w:kern w:val="0"/>
        </w:rPr>
      </w:pPr>
      <w:r>
        <w:rPr>
          <w:rFonts w:hint="eastAsia" w:ascii="黑体" w:hAnsi="黑体" w:eastAsia="黑体" w:cs="宋体"/>
          <w:color w:val="000000"/>
          <w:kern w:val="0"/>
        </w:rPr>
        <w:t>第五章 附则</w:t>
      </w:r>
    </w:p>
    <w:p w14:paraId="3A7E4E0F">
      <w:pPr>
        <w:widowControl/>
        <w:tabs>
          <w:tab w:val="left" w:pos="7571"/>
        </w:tabs>
        <w:spacing w:line="620" w:lineRule="exact"/>
        <w:ind w:firstLine="683" w:firstLineChars="200"/>
        <w:rPr>
          <w:rFonts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第二十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  <w:lang w:eastAsia="zh-CN"/>
        </w:rPr>
        <w:t>六</w:t>
      </w:r>
      <w:r>
        <w:rPr>
          <w:rFonts w:hint="eastAsia" w:ascii="仿宋_GB2312" w:hAnsi="仿宋" w:eastAsia="仿宋_GB2312" w:cs="仿宋"/>
          <w:b/>
          <w:color w:val="000000"/>
          <w:shd w:val="clear" w:color="auto" w:fill="FFFFFF"/>
        </w:rPr>
        <w:t>条</w:t>
      </w: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 xml:space="preserve"> 此规定自下发之日起执行。</w:t>
      </w:r>
    </w:p>
    <w:p w14:paraId="4D83006F"/>
    <w:p w14:paraId="4D4E202C"/>
    <w:p w14:paraId="0AD4A4D2"/>
    <w:p w14:paraId="12306594"/>
    <w:p w14:paraId="0EAD6910"/>
    <w:p w14:paraId="0CA670DE"/>
    <w:p w14:paraId="3C2FFFED"/>
    <w:p w14:paraId="28A767D4"/>
    <w:p w14:paraId="21A33762">
      <w:pPr>
        <w:keepNext w:val="0"/>
        <w:keepLines w:val="0"/>
        <w:pageBreakBefore w:val="0"/>
        <w:widowControl/>
        <w:tabs>
          <w:tab w:val="left" w:pos="75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 w:cs="黑体"/>
          <w:bCs/>
          <w:color w:val="000000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hd w:val="clear" w:color="auto" w:fill="FFFFFF"/>
        </w:rPr>
        <w:t>附件</w:t>
      </w:r>
      <w:r>
        <w:rPr>
          <w:rFonts w:hint="eastAsia" w:ascii="黑体" w:hAnsi="黑体" w:eastAsia="黑体" w:cs="黑体"/>
          <w:bCs/>
          <w:color w:val="000000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bCs/>
          <w:color w:val="000000"/>
          <w:shd w:val="clear" w:color="auto" w:fill="FFFFFF"/>
        </w:rPr>
        <w:t>：</w:t>
      </w:r>
    </w:p>
    <w:p w14:paraId="098759E7">
      <w:pPr>
        <w:keepNext w:val="0"/>
        <w:keepLines w:val="0"/>
        <w:pageBreakBefore w:val="0"/>
        <w:widowControl/>
        <w:tabs>
          <w:tab w:val="left" w:pos="75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80" w:firstLineChars="200"/>
        <w:textAlignment w:val="auto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</w:p>
    <w:p w14:paraId="495F998B">
      <w:pPr>
        <w:keepNext w:val="0"/>
        <w:keepLines w:val="0"/>
        <w:pageBreakBefore w:val="0"/>
        <w:widowControl/>
        <w:tabs>
          <w:tab w:val="left" w:pos="75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880" w:firstLineChars="200"/>
        <w:jc w:val="center"/>
        <w:textAlignment w:val="auto"/>
        <w:rPr>
          <w:rFonts w:hint="eastAsia" w:ascii="仿宋_GB2312" w:hAnsi="仿宋" w:eastAsia="仿宋_GB2312" w:cs="仿宋"/>
          <w:bCs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简体" w:hAnsi="黑体" w:eastAsia="方正小标宋简体" w:cs="黑体"/>
          <w:bCs/>
          <w:sz w:val="44"/>
          <w:szCs w:val="44"/>
          <w:lang w:val="en-US" w:eastAsia="zh-CN"/>
        </w:rPr>
        <w:t>叉车铲车十不开</w:t>
      </w:r>
    </w:p>
    <w:p w14:paraId="62E9E2BB">
      <w:pPr>
        <w:keepNext w:val="0"/>
        <w:keepLines w:val="0"/>
        <w:pageBreakBefore w:val="0"/>
        <w:widowControl/>
        <w:tabs>
          <w:tab w:val="left" w:pos="75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80" w:firstLineChars="200"/>
        <w:textAlignment w:val="auto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</w:p>
    <w:p w14:paraId="3ADD8D26">
      <w:pPr>
        <w:keepNext w:val="0"/>
        <w:keepLines w:val="0"/>
        <w:pageBreakBefore w:val="0"/>
        <w:widowControl/>
        <w:tabs>
          <w:tab w:val="left" w:pos="75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80" w:firstLineChars="200"/>
        <w:textAlignment w:val="auto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超长、超高、超载不开；</w:t>
      </w:r>
    </w:p>
    <w:p w14:paraId="0F8D8105">
      <w:pPr>
        <w:keepNext w:val="0"/>
        <w:keepLines w:val="0"/>
        <w:pageBreakBefore w:val="0"/>
        <w:widowControl/>
        <w:tabs>
          <w:tab w:val="left" w:pos="75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80" w:firstLineChars="200"/>
        <w:textAlignment w:val="auto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升斗过高挡住视线不开；</w:t>
      </w:r>
    </w:p>
    <w:p w14:paraId="070C36C4">
      <w:pPr>
        <w:widowControl/>
        <w:tabs>
          <w:tab w:val="left" w:pos="7571"/>
        </w:tabs>
        <w:spacing w:line="600" w:lineRule="exact"/>
        <w:ind w:firstLine="680" w:firstLineChars="200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安全设备不良不开；</w:t>
      </w:r>
    </w:p>
    <w:p w14:paraId="38E1AE13">
      <w:pPr>
        <w:widowControl/>
        <w:tabs>
          <w:tab w:val="left" w:pos="7571"/>
        </w:tabs>
        <w:spacing w:line="600" w:lineRule="exact"/>
        <w:ind w:firstLine="680" w:firstLineChars="200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人没坐稳不开；</w:t>
      </w:r>
    </w:p>
    <w:p w14:paraId="5A4842B5">
      <w:pPr>
        <w:widowControl/>
        <w:tabs>
          <w:tab w:val="left" w:pos="7571"/>
        </w:tabs>
        <w:spacing w:line="600" w:lineRule="exact"/>
        <w:ind w:firstLine="680" w:firstLineChars="200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物没装好未固定好不开；</w:t>
      </w:r>
    </w:p>
    <w:p w14:paraId="093E2AF3">
      <w:pPr>
        <w:widowControl/>
        <w:tabs>
          <w:tab w:val="left" w:pos="7571"/>
        </w:tabs>
        <w:spacing w:line="600" w:lineRule="exact"/>
        <w:ind w:firstLine="680" w:firstLineChars="200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脚踏板（或叉车）站人不开；</w:t>
      </w:r>
    </w:p>
    <w:p w14:paraId="3CBF2791">
      <w:pPr>
        <w:widowControl/>
        <w:tabs>
          <w:tab w:val="left" w:pos="7571"/>
        </w:tabs>
        <w:spacing w:line="600" w:lineRule="exact"/>
        <w:ind w:firstLine="680" w:firstLineChars="200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胎架站人不开；</w:t>
      </w:r>
    </w:p>
    <w:p w14:paraId="360D56DA">
      <w:pPr>
        <w:widowControl/>
        <w:tabs>
          <w:tab w:val="left" w:pos="7571"/>
        </w:tabs>
        <w:spacing w:line="600" w:lineRule="exact"/>
        <w:ind w:firstLine="680" w:firstLineChars="200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翻斗（车箱）不落好不开；</w:t>
      </w:r>
    </w:p>
    <w:p w14:paraId="55640576">
      <w:pPr>
        <w:widowControl/>
        <w:tabs>
          <w:tab w:val="left" w:pos="7571"/>
        </w:tabs>
        <w:spacing w:line="600" w:lineRule="exact"/>
        <w:ind w:firstLine="680" w:firstLineChars="200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接班没有检查不开；</w:t>
      </w:r>
    </w:p>
    <w:p w14:paraId="3A8C164C">
      <w:pPr>
        <w:widowControl/>
        <w:tabs>
          <w:tab w:val="left" w:pos="7571"/>
        </w:tabs>
        <w:spacing w:line="600" w:lineRule="exact"/>
        <w:ind w:firstLine="680" w:firstLineChars="200"/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</w:pPr>
      <w:r>
        <w:rPr>
          <w:rFonts w:hint="eastAsia" w:ascii="仿宋_GB2312" w:hAnsi="仿宋" w:eastAsia="仿宋_GB2312" w:cs="仿宋"/>
          <w:bCs/>
          <w:color w:val="000000"/>
          <w:shd w:val="clear" w:color="auto" w:fill="FFFFFF"/>
        </w:rPr>
        <w:t>没有随身带驾驶证明不开。</w:t>
      </w:r>
    </w:p>
    <w:p w14:paraId="3BEF6904"/>
    <w:p w14:paraId="49929E83"/>
    <w:p w14:paraId="7724D572"/>
    <w:sectPr>
      <w:pgSz w:w="11905" w:h="16838"/>
      <w:pgMar w:top="1440" w:right="1080" w:bottom="1440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160B"/>
    <w:rsid w:val="039F5A36"/>
    <w:rsid w:val="2A167224"/>
    <w:rsid w:val="3AC5753E"/>
    <w:rsid w:val="5D28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4"/>
      <w:szCs w:val="3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1877</Words>
  <Characters>1917</Characters>
  <Lines>0</Lines>
  <Paragraphs>0</Paragraphs>
  <TotalTime>0</TotalTime>
  <ScaleCrop>false</ScaleCrop>
  <LinksUpToDate>false</LinksUpToDate>
  <CharactersWithSpaces>2006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吴昌兵</cp:lastModifiedBy>
  <dcterms:modified xsi:type="dcterms:W3CDTF">2025-03-18T16:46:24Z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eyJoZGlkIjoiMGMzZjAyMDE4YTk2YWMyN2MyMjQ2ODUyNDhmMjJiYmUiLCJ1c2VySWQiOiIzMDM5MjQ2NDUifQ==</vt:lpwstr>
  </property>
  <property fmtid="{D5CDD505-2E9C-101B-9397-08002B2CF9AE}" pid="4" name="ICV">
    <vt:lpwstr>8788EBE4A04E42BC97D77D105610AB45_12</vt:lpwstr>
  </property>
</Properties>
</file>