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2DBF2EE">
      <w:pPr>
        <w:spacing w:beforeLines="100" w:afterLines="100" w:line="600" w:lineRule="exact"/>
        <w:jc w:val="center"/>
        <w:rPr>
          <w:rFonts w:hint="eastAsia" w:ascii="方正小标宋简体" w:hAnsi="方正小标宋简体" w:eastAsia="方正小标宋简体" w:cs="方正小标宋简体"/>
          <w:b w:val="0"/>
          <w:bCs/>
          <w:color w:val="auto"/>
          <w:sz w:val="44"/>
          <w:szCs w:val="44"/>
          <w:lang w:val="en-US" w:eastAsia="zh-CN"/>
        </w:rPr>
      </w:pPr>
      <w:r>
        <w:rPr>
          <w:rFonts w:hint="eastAsia" w:ascii="方正小标宋简体" w:hAnsi="方正小标宋简体" w:eastAsia="方正小标宋简体" w:cs="方正小标宋简体"/>
          <w:b w:val="0"/>
          <w:bCs/>
          <w:color w:val="auto"/>
          <w:sz w:val="44"/>
          <w:szCs w:val="44"/>
          <w:lang w:val="en-US" w:eastAsia="zh-CN"/>
        </w:rPr>
        <w:t>索普基建及产业项目安全环保管理规定</w:t>
      </w:r>
      <w:bookmarkStart w:id="0" w:name="OLE_LINK1"/>
      <w:bookmarkStart w:id="1" w:name="OLE_LINK2"/>
    </w:p>
    <w:p w14:paraId="34532414">
      <w:pPr>
        <w:spacing w:beforeLines="100" w:afterLines="100" w:line="600" w:lineRule="exact"/>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第一章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总</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则</w:t>
      </w:r>
    </w:p>
    <w:p w14:paraId="28C22D6E">
      <w:pPr>
        <w:adjustRightInd w:val="0"/>
        <w:snapToGrid w:val="0"/>
        <w:spacing w:line="600" w:lineRule="exact"/>
        <w:ind w:firstLine="683" w:firstLineChars="200"/>
        <w:jc w:val="left"/>
        <w:rPr>
          <w:rFonts w:ascii="仿宋_GB2312" w:hAnsi="仿宋_GB2312" w:eastAsia="仿宋_GB2312" w:cs="仿宋_GB2312"/>
          <w:color w:val="auto"/>
          <w:kern w:val="0"/>
          <w:sz w:val="34"/>
          <w:szCs w:val="34"/>
          <w:lang w:val="zh-CN" w:bidi="he-IL"/>
        </w:rPr>
      </w:pPr>
      <w:r>
        <w:rPr>
          <w:rFonts w:hint="eastAsia" w:ascii="仿宋_GB2312" w:hAnsi="仿宋_GB2312" w:eastAsia="仿宋_GB2312" w:cs="仿宋_GB2312"/>
          <w:b/>
          <w:bCs/>
          <w:color w:val="auto"/>
          <w:kern w:val="0"/>
          <w:sz w:val="34"/>
          <w:szCs w:val="34"/>
          <w:lang w:bidi="he-IL"/>
        </w:rPr>
        <w:t>第一条</w:t>
      </w:r>
      <w:r>
        <w:rPr>
          <w:rFonts w:ascii="仿宋_GB2312" w:hAnsi="仿宋_GB2312" w:eastAsia="仿宋_GB2312" w:cs="仿宋_GB2312"/>
          <w:color w:val="auto"/>
          <w:kern w:val="0"/>
          <w:sz w:val="34"/>
          <w:szCs w:val="34"/>
          <w:lang w:bidi="he-IL"/>
        </w:rPr>
        <w:t xml:space="preserve"> </w:t>
      </w:r>
      <w:r>
        <w:rPr>
          <w:rFonts w:hint="eastAsia" w:ascii="仿宋_GB2312" w:hAnsi="仿宋_GB2312" w:eastAsia="仿宋_GB2312" w:cs="仿宋_GB2312"/>
          <w:color w:val="auto"/>
          <w:kern w:val="0"/>
          <w:sz w:val="34"/>
          <w:szCs w:val="34"/>
          <w:lang w:val="zh-CN" w:bidi="he-IL"/>
        </w:rPr>
        <w:t>为加强索普</w:t>
      </w:r>
      <w:r>
        <w:rPr>
          <w:rFonts w:hint="eastAsia" w:ascii="仿宋_GB2312" w:hAnsi="仿宋_GB2312" w:eastAsia="仿宋_GB2312" w:cs="仿宋_GB2312"/>
          <w:color w:val="auto"/>
          <w:kern w:val="0"/>
          <w:sz w:val="34"/>
          <w:szCs w:val="34"/>
          <w:lang w:val="en-US" w:eastAsia="zh-CN" w:bidi="he-IL"/>
        </w:rPr>
        <w:t>集团</w:t>
      </w:r>
      <w:r>
        <w:rPr>
          <w:rFonts w:hint="eastAsia" w:ascii="仿宋_GB2312" w:hAnsi="仿宋_GB2312" w:eastAsia="仿宋_GB2312" w:cs="仿宋_GB2312"/>
          <w:color w:val="auto"/>
          <w:kern w:val="0"/>
          <w:sz w:val="34"/>
          <w:szCs w:val="34"/>
          <w:lang w:val="zh-CN" w:bidi="he-IL"/>
        </w:rPr>
        <w:t>基建及产业项目的安全环保管理，预防和减少安全环保事故，制定本规定。</w:t>
      </w:r>
    </w:p>
    <w:p w14:paraId="43FBA530">
      <w:pPr>
        <w:adjustRightInd w:val="0"/>
        <w:snapToGrid w:val="0"/>
        <w:spacing w:line="600" w:lineRule="exact"/>
        <w:ind w:firstLine="683" w:firstLineChars="200"/>
        <w:jc w:val="left"/>
        <w:rPr>
          <w:rFonts w:ascii="仿宋_GB2312" w:hAnsi="仿宋_GB2312" w:eastAsia="仿宋_GB2312" w:cs="仿宋_GB2312"/>
          <w:color w:val="auto"/>
          <w:kern w:val="0"/>
          <w:sz w:val="34"/>
          <w:szCs w:val="34"/>
          <w:lang w:bidi="he-IL"/>
        </w:rPr>
      </w:pPr>
      <w:r>
        <w:rPr>
          <w:rFonts w:hint="eastAsia" w:ascii="仿宋_GB2312" w:hAnsi="仿宋_GB2312" w:eastAsia="仿宋_GB2312" w:cs="仿宋_GB2312"/>
          <w:b/>
          <w:bCs/>
          <w:color w:val="auto"/>
          <w:kern w:val="0"/>
          <w:sz w:val="34"/>
          <w:szCs w:val="34"/>
          <w:lang w:bidi="he-IL"/>
        </w:rPr>
        <w:t>第二条</w:t>
      </w:r>
      <w:r>
        <w:rPr>
          <w:rFonts w:ascii="仿宋_GB2312" w:hAnsi="仿宋_GB2312" w:eastAsia="仿宋_GB2312" w:cs="仿宋_GB2312"/>
          <w:color w:val="auto"/>
          <w:kern w:val="0"/>
          <w:sz w:val="34"/>
          <w:szCs w:val="34"/>
          <w:lang w:bidi="he-IL"/>
        </w:rPr>
        <w:t xml:space="preserve"> </w:t>
      </w:r>
      <w:r>
        <w:rPr>
          <w:rFonts w:hint="eastAsia" w:ascii="仿宋_GB2312" w:hAnsi="仿宋_GB2312" w:eastAsia="仿宋_GB2312" w:cs="仿宋_GB2312"/>
          <w:color w:val="auto"/>
          <w:kern w:val="0"/>
          <w:sz w:val="34"/>
          <w:szCs w:val="34"/>
          <w:lang w:val="zh-CN" w:bidi="he-IL"/>
        </w:rPr>
        <w:t>本规定所指的基建及产业项目包括公司内新建、改建、扩建项目，列入项目部管理范围的</w:t>
      </w:r>
      <w:r>
        <w:rPr>
          <w:rFonts w:hint="eastAsia" w:ascii="仿宋_GB2312" w:hAnsi="仿宋_GB2312" w:eastAsia="仿宋_GB2312" w:cs="仿宋_GB2312"/>
          <w:color w:val="auto"/>
          <w:kern w:val="0"/>
          <w:sz w:val="34"/>
          <w:szCs w:val="34"/>
          <w:lang w:bidi="he-IL"/>
        </w:rPr>
        <w:t>项目适用此规定</w:t>
      </w:r>
      <w:r>
        <w:rPr>
          <w:rFonts w:hint="eastAsia" w:ascii="仿宋_GB2312" w:hAnsi="仿宋_GB2312" w:eastAsia="仿宋_GB2312" w:cs="仿宋_GB2312"/>
          <w:color w:val="auto"/>
          <w:kern w:val="0"/>
          <w:sz w:val="34"/>
          <w:szCs w:val="34"/>
          <w:lang w:val="zh-CN" w:bidi="he-IL"/>
        </w:rPr>
        <w:t>。</w:t>
      </w:r>
    </w:p>
    <w:p w14:paraId="6890A783">
      <w:pPr>
        <w:adjustRightInd w:val="0"/>
        <w:snapToGrid w:val="0"/>
        <w:spacing w:line="600" w:lineRule="exact"/>
        <w:ind w:firstLine="680" w:firstLineChars="200"/>
        <w:jc w:val="left"/>
        <w:rPr>
          <w:rFonts w:ascii="仿宋_GB2312" w:hAnsi="仿宋_GB2312" w:eastAsia="仿宋_GB2312" w:cs="仿宋_GB2312"/>
          <w:color w:val="auto"/>
          <w:kern w:val="0"/>
          <w:sz w:val="34"/>
          <w:szCs w:val="34"/>
          <w:lang w:val="zh-CN" w:bidi="he-IL"/>
        </w:rPr>
      </w:pPr>
      <w:r>
        <w:rPr>
          <w:rFonts w:hint="eastAsia" w:ascii="仿宋_GB2312" w:hAnsi="仿宋_GB2312" w:eastAsia="仿宋_GB2312" w:cs="仿宋_GB2312"/>
          <w:color w:val="auto"/>
          <w:kern w:val="0"/>
          <w:sz w:val="34"/>
          <w:szCs w:val="34"/>
          <w:lang w:bidi="he-IL"/>
        </w:rPr>
        <w:t>新建项目：</w:t>
      </w:r>
      <w:r>
        <w:rPr>
          <w:rFonts w:hint="eastAsia" w:ascii="仿宋_GB2312" w:hAnsi="仿宋_GB2312" w:eastAsia="仿宋_GB2312" w:cs="仿宋_GB2312"/>
          <w:color w:val="auto"/>
          <w:kern w:val="0"/>
          <w:sz w:val="34"/>
          <w:szCs w:val="34"/>
          <w:lang w:val="zh-CN" w:bidi="he-IL"/>
        </w:rPr>
        <w:t>主要指新建、迁建的建设项目，或现有原址重建或在原厂区内建设与现有生产、储存活动不同的建设项目。</w:t>
      </w:r>
    </w:p>
    <w:p w14:paraId="5091A58F">
      <w:pPr>
        <w:adjustRightInd w:val="0"/>
        <w:snapToGrid w:val="0"/>
        <w:spacing w:line="600" w:lineRule="exact"/>
        <w:ind w:firstLine="680" w:firstLineChars="200"/>
        <w:jc w:val="left"/>
        <w:rPr>
          <w:rFonts w:ascii="仿宋_GB2312" w:hAnsi="仿宋_GB2312" w:eastAsia="仿宋_GB2312" w:cs="仿宋_GB2312"/>
          <w:color w:val="auto"/>
          <w:kern w:val="0"/>
          <w:sz w:val="34"/>
          <w:szCs w:val="34"/>
          <w:lang w:val="zh-CN" w:bidi="he-IL"/>
        </w:rPr>
      </w:pPr>
      <w:r>
        <w:rPr>
          <w:rFonts w:hint="eastAsia" w:ascii="仿宋_GB2312" w:hAnsi="仿宋_GB2312" w:eastAsia="仿宋_GB2312" w:cs="仿宋_GB2312"/>
          <w:color w:val="auto"/>
          <w:kern w:val="0"/>
          <w:sz w:val="34"/>
          <w:szCs w:val="34"/>
          <w:lang w:bidi="he-IL"/>
        </w:rPr>
        <w:t>改建项目：</w:t>
      </w:r>
      <w:r>
        <w:rPr>
          <w:rFonts w:hint="eastAsia" w:ascii="仿宋_GB2312" w:hAnsi="仿宋_GB2312" w:eastAsia="仿宋_GB2312" w:cs="仿宋_GB2312"/>
          <w:color w:val="auto"/>
          <w:kern w:val="0"/>
          <w:sz w:val="34"/>
          <w:szCs w:val="34"/>
          <w:lang w:val="zh-CN" w:bidi="he-IL"/>
        </w:rPr>
        <w:t>主要指为更新技术、工艺和变更危险化学品品种等，对在役的主要生产、储存装置（设施）进行改造的建设项目。</w:t>
      </w:r>
    </w:p>
    <w:p w14:paraId="4F741D83">
      <w:pPr>
        <w:adjustRightInd w:val="0"/>
        <w:snapToGrid w:val="0"/>
        <w:spacing w:line="600" w:lineRule="exact"/>
        <w:ind w:firstLine="680" w:firstLineChars="200"/>
        <w:jc w:val="left"/>
        <w:rPr>
          <w:rFonts w:ascii="仿宋_GB2312" w:hAnsi="仿宋_GB2312" w:eastAsia="仿宋_GB2312" w:cs="仿宋_GB2312"/>
          <w:color w:val="auto"/>
          <w:kern w:val="0"/>
          <w:sz w:val="34"/>
          <w:szCs w:val="34"/>
          <w:lang w:bidi="he-IL"/>
        </w:rPr>
      </w:pPr>
      <w:r>
        <w:rPr>
          <w:rFonts w:hint="eastAsia" w:ascii="仿宋_GB2312" w:hAnsi="仿宋_GB2312" w:eastAsia="仿宋_GB2312" w:cs="仿宋_GB2312"/>
          <w:color w:val="auto"/>
          <w:kern w:val="0"/>
          <w:sz w:val="34"/>
          <w:szCs w:val="34"/>
          <w:lang w:bidi="he-IL"/>
        </w:rPr>
        <w:t>扩建项目：</w:t>
      </w:r>
      <w:r>
        <w:rPr>
          <w:rFonts w:hint="eastAsia" w:ascii="仿宋_GB2312" w:hAnsi="仿宋_GB2312" w:eastAsia="仿宋_GB2312" w:cs="仿宋_GB2312"/>
          <w:color w:val="auto"/>
          <w:kern w:val="0"/>
          <w:sz w:val="34"/>
          <w:szCs w:val="34"/>
          <w:lang w:val="zh-CN" w:bidi="he-IL"/>
        </w:rPr>
        <w:t>主要指为扩大生产能力，在原址建设与现有生产、储存活动相同，且生产、储存装置（设施）相对独立的建设项目。</w:t>
      </w:r>
    </w:p>
    <w:p w14:paraId="7B0E65AB">
      <w:pPr>
        <w:spacing w:beforeLines="100" w:afterLines="100" w:line="600" w:lineRule="exact"/>
        <w:ind w:firstLine="712" w:firstLineChars="200"/>
        <w:jc w:val="center"/>
        <w:rPr>
          <w:rFonts w:ascii="黑体" w:hAnsi="黑体" w:eastAsia="黑体"/>
          <w:color w:val="auto"/>
          <w:sz w:val="34"/>
          <w:szCs w:val="34"/>
        </w:rPr>
      </w:pPr>
      <w:r>
        <w:rPr>
          <w:rFonts w:hint="eastAsia" w:ascii="黑体" w:hAnsi="黑体" w:eastAsia="黑体" w:cs="Arial"/>
          <w:color w:val="auto"/>
          <w:spacing w:val="8"/>
          <w:sz w:val="34"/>
          <w:szCs w:val="34"/>
        </w:rPr>
        <w:t>第二章</w:t>
      </w:r>
      <w:r>
        <w:rPr>
          <w:rFonts w:ascii="黑体" w:hAnsi="黑体" w:eastAsia="黑体" w:cs="Arial"/>
          <w:color w:val="auto"/>
          <w:spacing w:val="8"/>
          <w:sz w:val="34"/>
          <w:szCs w:val="34"/>
        </w:rPr>
        <w:t xml:space="preserve"> </w:t>
      </w:r>
      <w:r>
        <w:rPr>
          <w:rFonts w:hint="eastAsia" w:ascii="黑体" w:hAnsi="黑体" w:eastAsia="黑体"/>
          <w:color w:val="auto"/>
          <w:sz w:val="34"/>
          <w:szCs w:val="34"/>
        </w:rPr>
        <w:t>项目安全环保管理</w:t>
      </w:r>
      <w:bookmarkEnd w:id="0"/>
      <w:bookmarkEnd w:id="1"/>
      <w:r>
        <w:rPr>
          <w:rFonts w:hint="eastAsia" w:ascii="黑体" w:hAnsi="黑体" w:eastAsia="黑体"/>
          <w:color w:val="auto"/>
          <w:sz w:val="34"/>
          <w:szCs w:val="34"/>
        </w:rPr>
        <w:t>要求</w:t>
      </w:r>
    </w:p>
    <w:p w14:paraId="47DBF7D0">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第三条</w:t>
      </w:r>
      <w:r>
        <w:rPr>
          <w:rFonts w:ascii="仿宋_GB2312" w:hAnsi="黑体" w:eastAsia="仿宋_GB2312" w:cs="Arial"/>
          <w:color w:val="auto"/>
          <w:spacing w:val="8"/>
          <w:sz w:val="34"/>
          <w:szCs w:val="34"/>
        </w:rPr>
        <w:t xml:space="preserve"> </w:t>
      </w:r>
      <w:r>
        <w:rPr>
          <w:rFonts w:hint="eastAsia" w:ascii="仿宋_GB2312" w:hAnsi="黑体" w:eastAsia="仿宋_GB2312" w:cs="Arial"/>
          <w:color w:val="auto"/>
          <w:spacing w:val="8"/>
          <w:sz w:val="34"/>
          <w:szCs w:val="34"/>
        </w:rPr>
        <w:t>公司</w:t>
      </w:r>
      <w:r>
        <w:rPr>
          <w:rFonts w:hint="eastAsia" w:ascii="仿宋_GB2312" w:hAnsi="黑体" w:eastAsia="仿宋_GB2312" w:cs="仿宋_GB2312"/>
          <w:color w:val="auto"/>
          <w:kern w:val="0"/>
          <w:sz w:val="34"/>
          <w:szCs w:val="34"/>
        </w:rPr>
        <w:t>项目部负责对基建及产业项目进行安全环保监督管理。项目部相关职能专业按照各自职责对基建及产业项目实施全过程专业安全监管。</w:t>
      </w:r>
    </w:p>
    <w:p w14:paraId="62D149C5">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承包商对施工现场安全施工负总责，负责对分项承包商现场施工的安全管理；监理单位行使项目全过程安全监理职能。</w:t>
      </w:r>
    </w:p>
    <w:p w14:paraId="682DE442">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基建及产业项目属地公司安全管理部门批准的</w:t>
      </w:r>
      <w:r>
        <w:rPr>
          <w:rFonts w:hint="eastAsia" w:ascii="仿宋_GB2312" w:hAnsi="黑体" w:eastAsia="仿宋_GB2312" w:cs="仿宋_GB2312"/>
          <w:color w:val="auto"/>
          <w:kern w:val="0"/>
          <w:sz w:val="34"/>
          <w:szCs w:val="34"/>
          <w:lang w:val="en-US" w:eastAsia="zh-CN"/>
        </w:rPr>
        <w:t>临时固定动火区</w:t>
      </w:r>
      <w:r>
        <w:rPr>
          <w:rFonts w:hint="eastAsia" w:ascii="仿宋_GB2312" w:hAnsi="黑体" w:eastAsia="仿宋_GB2312" w:cs="仿宋_GB2312"/>
          <w:color w:val="auto"/>
          <w:kern w:val="0"/>
          <w:sz w:val="34"/>
          <w:szCs w:val="34"/>
        </w:rPr>
        <w:t>为准，</w:t>
      </w:r>
      <w:r>
        <w:rPr>
          <w:rFonts w:hint="eastAsia" w:ascii="仿宋_GB2312" w:hAnsi="黑体" w:eastAsia="仿宋_GB2312" w:cs="仿宋_GB2312"/>
          <w:color w:val="auto"/>
          <w:kern w:val="0"/>
          <w:sz w:val="34"/>
          <w:szCs w:val="34"/>
          <w:lang w:val="en-US" w:eastAsia="zh-CN"/>
        </w:rPr>
        <w:t>该</w:t>
      </w:r>
      <w:r>
        <w:rPr>
          <w:rFonts w:hint="eastAsia" w:ascii="仿宋_GB2312" w:hAnsi="黑体" w:eastAsia="仿宋_GB2312" w:cs="仿宋_GB2312"/>
          <w:color w:val="auto"/>
          <w:kern w:val="0"/>
          <w:sz w:val="34"/>
          <w:szCs w:val="34"/>
        </w:rPr>
        <w:t>区域必须进行封闭围挡，有明显</w:t>
      </w:r>
      <w:r>
        <w:rPr>
          <w:rFonts w:hint="eastAsia" w:ascii="仿宋_GB2312" w:hAnsi="黑体" w:eastAsia="仿宋_GB2312" w:cs="仿宋_GB2312"/>
          <w:color w:val="auto"/>
          <w:kern w:val="0"/>
          <w:sz w:val="34"/>
          <w:szCs w:val="34"/>
          <w:lang w:eastAsia="zh-CN"/>
        </w:rPr>
        <w:t>的</w:t>
      </w:r>
      <w:r>
        <w:rPr>
          <w:rFonts w:hint="eastAsia" w:ascii="仿宋_GB2312" w:hAnsi="黑体" w:eastAsia="仿宋_GB2312" w:cs="仿宋_GB2312"/>
          <w:color w:val="auto"/>
          <w:kern w:val="0"/>
          <w:sz w:val="34"/>
          <w:szCs w:val="34"/>
        </w:rPr>
        <w:t>标志。</w:t>
      </w:r>
    </w:p>
    <w:p w14:paraId="73B45A92">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承包商的规模、财务状况和承揽能力符合所承包项目的要求。承包商必须向项目的引进部门及项目部提供相关的资质证明材料，材料必须真实、完备。相应的资质证明范围符合，期限有效。</w:t>
      </w:r>
    </w:p>
    <w:p w14:paraId="796345D6">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第六条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项目部和总承包商对承包商提供的资质材料进行审查，符合要求后，与承包商签订《工程项目安全环保管理协议》。承包商按照规定比例足额缴纳安全</w:t>
      </w:r>
      <w:r>
        <w:rPr>
          <w:rFonts w:hint="eastAsia" w:ascii="仿宋_GB2312" w:hAnsi="黑体" w:eastAsia="仿宋_GB2312" w:cs="仿宋_GB2312"/>
          <w:color w:val="auto"/>
          <w:kern w:val="0"/>
          <w:sz w:val="34"/>
          <w:szCs w:val="34"/>
          <w:lang w:val="en-US" w:eastAsia="zh-CN"/>
        </w:rPr>
        <w:t>保证</w:t>
      </w:r>
      <w:r>
        <w:rPr>
          <w:rFonts w:hint="eastAsia" w:ascii="仿宋_GB2312" w:hAnsi="黑体" w:eastAsia="仿宋_GB2312" w:cs="仿宋_GB2312"/>
          <w:color w:val="auto"/>
          <w:kern w:val="0"/>
          <w:sz w:val="34"/>
          <w:szCs w:val="34"/>
        </w:rPr>
        <w:t>金</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rPr>
        <w:t>按项目进行闭环管理、专款专用。</w:t>
      </w:r>
    </w:p>
    <w:p w14:paraId="52503B31">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项目部按照《项目安全教育规定》，做好对承包商的一级安全教育培训工作。总承包商和承包商做好对本单位施工人员的三级安全教育。项目部对总承包商和承包商票证审批人员进行</w:t>
      </w:r>
      <w:r>
        <w:rPr>
          <w:rFonts w:hint="eastAsia" w:ascii="仿宋_GB2312" w:hAnsi="黑体" w:eastAsia="仿宋_GB2312" w:cs="仿宋_GB2312"/>
          <w:color w:val="FF0000"/>
          <w:kern w:val="0"/>
          <w:sz w:val="34"/>
          <w:szCs w:val="34"/>
        </w:rPr>
        <w:t>票证审批资格</w:t>
      </w:r>
      <w:r>
        <w:rPr>
          <w:rFonts w:hint="eastAsia" w:ascii="仿宋_GB2312" w:hAnsi="黑体" w:eastAsia="仿宋_GB2312" w:cs="仿宋_GB2312"/>
          <w:color w:val="auto"/>
          <w:kern w:val="0"/>
          <w:sz w:val="34"/>
          <w:szCs w:val="34"/>
        </w:rPr>
        <w:t>的考试，考试合格者具备票证审批资格。</w:t>
      </w:r>
    </w:p>
    <w:p w14:paraId="466E312B">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项目部或总承包商针对施工人员进行考试，考试合格者，长期施工人员由项目部下发《外工作业证》，短期施工人员（指施工期限在</w:t>
      </w: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个月之内的人员，下同），由项目部开具短期施工证明，具备现场危险作业资格。</w:t>
      </w:r>
    </w:p>
    <w:p w14:paraId="3649D20F">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承包商按照《安全文明施工规定》，抓好现场施工管理；项目部监督承包商执行。</w:t>
      </w:r>
    </w:p>
    <w:p w14:paraId="3CA56764">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监理单位必须按照以下要求，认真履行监理职责：</w:t>
      </w:r>
    </w:p>
    <w:p w14:paraId="55CC8951">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（一）监理单位要为每个项目配备专职安全监理。</w:t>
      </w:r>
    </w:p>
    <w:p w14:paraId="443C7A96">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（二）安全监理人员要严格履行监理单位的安全监理职责，充分发挥安全监理的职能，重点是要加强现场施工的安全监管，及时查处安全隐患和违章行为，防止事故发生。安全隐患整改及时率</w:t>
      </w:r>
      <w:r>
        <w:rPr>
          <w:rFonts w:ascii="仿宋_GB2312" w:hAnsi="黑体" w:eastAsia="仿宋_GB2312" w:cs="仿宋_GB2312"/>
          <w:color w:val="auto"/>
          <w:kern w:val="0"/>
          <w:sz w:val="34"/>
          <w:szCs w:val="34"/>
        </w:rPr>
        <w:t>100%</w:t>
      </w:r>
      <w:r>
        <w:rPr>
          <w:rFonts w:hint="eastAsia" w:ascii="仿宋_GB2312" w:hAnsi="黑体" w:eastAsia="仿宋_GB2312" w:cs="仿宋_GB2312"/>
          <w:color w:val="auto"/>
          <w:kern w:val="0"/>
          <w:sz w:val="34"/>
          <w:szCs w:val="34"/>
        </w:rPr>
        <w:t>。</w:t>
      </w:r>
    </w:p>
    <w:p w14:paraId="2251AD6B">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（三）重大安全作业项目，项目总监必须亲自抓。包括：参加安全会议；审核重大项目施工作业方案；到重大项目现场进行安全检查，落实安全防护措施。</w:t>
      </w:r>
    </w:p>
    <w:p w14:paraId="32674BDF">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承包商按照《项目作业票证办理和审批规定》要求，办理和审批相关作业票证。</w:t>
      </w:r>
    </w:p>
    <w:p w14:paraId="004B3E0C">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第十一条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办理作业票证前，必须由承包商现场项目负责人编制具体的、符合要求的现场施工方案（本规定中的施工方案均包含安全</w:t>
      </w:r>
      <w:r>
        <w:rPr>
          <w:rFonts w:hint="eastAsia" w:ascii="仿宋_GB2312" w:hAnsi="黑体" w:eastAsia="仿宋_GB2312" w:cs="仿宋_GB2312"/>
          <w:b/>
          <w:bCs/>
          <w:color w:val="FF0000"/>
          <w:kern w:val="0"/>
          <w:sz w:val="34"/>
          <w:szCs w:val="34"/>
          <w:lang w:val="en-US" w:eastAsia="zh-CN"/>
        </w:rPr>
        <w:t>环保</w:t>
      </w:r>
      <w:r>
        <w:rPr>
          <w:rFonts w:hint="eastAsia" w:ascii="仿宋_GB2312" w:hAnsi="黑体" w:eastAsia="仿宋_GB2312" w:cs="仿宋_GB2312"/>
          <w:color w:val="auto"/>
          <w:kern w:val="0"/>
          <w:sz w:val="34"/>
          <w:szCs w:val="34"/>
        </w:rPr>
        <w:t>方案，下同），并按照《项目作业票证办理和审批规定》的程序进行审批。</w:t>
      </w:r>
      <w:r>
        <w:rPr>
          <w:rFonts w:hint="eastAsia" w:ascii="仿宋_GB2312" w:hAnsi="黑体" w:eastAsia="仿宋_GB2312" w:cs="仿宋_GB2312"/>
          <w:color w:val="FF0000"/>
          <w:kern w:val="0"/>
          <w:sz w:val="34"/>
          <w:szCs w:val="34"/>
          <w:lang w:val="en-US" w:eastAsia="zh-CN"/>
        </w:rPr>
        <w:t>及时公布公示，发放臂章，要求现场佩戴行使</w:t>
      </w:r>
      <w:r>
        <w:rPr>
          <w:rFonts w:hint="eastAsia" w:ascii="仿宋_GB2312" w:hAnsi="黑体" w:eastAsia="仿宋_GB2312" w:cs="仿宋_GB2312"/>
          <w:color w:val="auto"/>
          <w:kern w:val="0"/>
          <w:sz w:val="34"/>
          <w:szCs w:val="34"/>
        </w:rPr>
        <w:t>职责</w:t>
      </w:r>
      <w:r>
        <w:rPr>
          <w:rFonts w:hint="eastAsia" w:ascii="仿宋_GB2312" w:hAnsi="黑体" w:eastAsia="仿宋_GB2312" w:cs="仿宋_GB2312"/>
          <w:color w:val="auto"/>
          <w:kern w:val="0"/>
          <w:sz w:val="34"/>
          <w:szCs w:val="34"/>
          <w:lang w:eastAsia="zh-CN"/>
        </w:rPr>
        <w:t>。</w:t>
      </w:r>
    </w:p>
    <w:p w14:paraId="32CBD447">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第十二条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每天作业前，由承包商项目负责人根据施工方案、工器具检查情况和现场情况，对施工人员和监护人员进行安全交底。交底要准确、具体，没有歧义。施工人员和监护人都要清楚交底内容，不</w:t>
      </w:r>
      <w:r>
        <w:rPr>
          <w:rFonts w:hint="eastAsia" w:ascii="仿宋_GB2312" w:hAnsi="黑体" w:eastAsia="仿宋_GB2312" w:cs="仿宋_GB2312"/>
          <w:color w:val="auto"/>
          <w:kern w:val="0"/>
          <w:sz w:val="34"/>
          <w:szCs w:val="34"/>
          <w:lang w:val="en-US" w:eastAsia="zh-CN"/>
        </w:rPr>
        <w:t>应</w:t>
      </w:r>
      <w:r>
        <w:rPr>
          <w:rFonts w:hint="eastAsia" w:ascii="仿宋_GB2312" w:hAnsi="黑体" w:eastAsia="仿宋_GB2312" w:cs="仿宋_GB2312"/>
          <w:color w:val="auto"/>
          <w:kern w:val="0"/>
          <w:sz w:val="34"/>
          <w:szCs w:val="34"/>
        </w:rPr>
        <w:t>有模糊不清的情况。</w:t>
      </w:r>
    </w:p>
    <w:p w14:paraId="6E3B3E37">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第十三条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所有作业票证必须现场审批。票证审批人审批票证时，应对照施工方案上的安全</w:t>
      </w:r>
      <w:r>
        <w:rPr>
          <w:rFonts w:hint="eastAsia" w:ascii="仿宋_GB2312" w:hAnsi="黑体" w:eastAsia="仿宋_GB2312" w:cs="仿宋_GB2312"/>
          <w:color w:val="FF0000"/>
          <w:kern w:val="0"/>
          <w:sz w:val="34"/>
          <w:szCs w:val="34"/>
          <w:lang w:val="en-US" w:eastAsia="zh-CN"/>
        </w:rPr>
        <w:t>环保</w:t>
      </w:r>
      <w:r>
        <w:rPr>
          <w:rFonts w:hint="eastAsia" w:ascii="仿宋_GB2312" w:hAnsi="黑体" w:eastAsia="仿宋_GB2312" w:cs="仿宋_GB2312"/>
          <w:color w:val="auto"/>
          <w:kern w:val="0"/>
          <w:sz w:val="34"/>
          <w:szCs w:val="34"/>
        </w:rPr>
        <w:t>措施进行审查，确保措施实用、准确、有效、到位，没有漏项。</w:t>
      </w:r>
    </w:p>
    <w:p w14:paraId="19078299">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第十四条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项目建设后期，涉及到与生产装置管道连接的作业，由属地部门负责完成管道预留口并做好盲板隔绝。项目“三查四定”后，一旦进入危险物料，应按规定转入生产准备管理，由</w:t>
      </w:r>
      <w:r>
        <w:rPr>
          <w:rFonts w:hint="eastAsia" w:ascii="仿宋_GB2312" w:hAnsi="黑体" w:eastAsia="仿宋_GB2312" w:cs="仿宋_GB2312"/>
          <w:color w:val="auto"/>
          <w:kern w:val="0"/>
          <w:sz w:val="34"/>
          <w:szCs w:val="34"/>
          <w:lang w:val="en-US" w:eastAsia="zh-CN"/>
        </w:rPr>
        <w:t>项目所在地公司</w:t>
      </w:r>
      <w:r>
        <w:rPr>
          <w:rFonts w:hint="eastAsia" w:ascii="仿宋_GB2312" w:hAnsi="黑体" w:eastAsia="仿宋_GB2312" w:cs="仿宋_GB2312"/>
          <w:color w:val="auto"/>
          <w:kern w:val="0"/>
          <w:sz w:val="34"/>
          <w:szCs w:val="34"/>
        </w:rPr>
        <w:t>相关职能部门及属地分厂、事业部办理相关作业票证，办理和审批程序按</w:t>
      </w:r>
      <w:r>
        <w:rPr>
          <w:rFonts w:hint="eastAsia" w:ascii="仿宋_GB2312" w:hAnsi="黑体" w:eastAsia="仿宋_GB2312" w:cs="仿宋_GB2312"/>
          <w:color w:val="auto"/>
          <w:kern w:val="0"/>
          <w:sz w:val="34"/>
          <w:szCs w:val="34"/>
          <w:lang w:val="en-US" w:eastAsia="zh-CN"/>
        </w:rPr>
        <w:t>该公司</w:t>
      </w:r>
      <w:r>
        <w:rPr>
          <w:rFonts w:hint="eastAsia" w:ascii="仿宋_GB2312" w:hAnsi="黑体" w:eastAsia="仿宋_GB2312" w:cs="仿宋_GB2312"/>
          <w:color w:val="auto"/>
          <w:kern w:val="0"/>
          <w:sz w:val="34"/>
          <w:szCs w:val="34"/>
        </w:rPr>
        <w:t>相关制度执行。</w:t>
      </w:r>
    </w:p>
    <w:p w14:paraId="385AAD9D">
      <w:pPr>
        <w:spacing w:line="600" w:lineRule="exact"/>
        <w:ind w:firstLine="715" w:firstLineChars="200"/>
        <w:jc w:val="left"/>
        <w:rPr>
          <w:rFonts w:hint="eastAsia" w:ascii="仿宋_GB2312" w:hAnsi="黑体" w:eastAsia="仿宋_GB2312" w:cs="仿宋_GB2312"/>
          <w:color w:val="FF0000"/>
          <w:kern w:val="0"/>
          <w:sz w:val="34"/>
          <w:szCs w:val="34"/>
          <w:lang w:val="en-US" w:eastAsia="zh-CN"/>
        </w:rPr>
      </w:pPr>
      <w:r>
        <w:rPr>
          <w:rFonts w:hint="eastAsia" w:ascii="仿宋_GB2312" w:hAnsi="黑体" w:eastAsia="仿宋_GB2312" w:cs="Arial"/>
          <w:b/>
          <w:color w:val="auto"/>
          <w:spacing w:val="8"/>
          <w:sz w:val="34"/>
          <w:szCs w:val="34"/>
        </w:rPr>
        <w:t>第十五条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作业人员必须严格按照规范要求进行相关作业，严禁违章指挥、违章作业；</w:t>
      </w:r>
      <w:r>
        <w:rPr>
          <w:rFonts w:hint="eastAsia" w:ascii="仿宋_GB2312" w:hAnsi="黑体" w:eastAsia="仿宋_GB2312" w:cs="仿宋_GB2312"/>
          <w:color w:val="FF0000"/>
          <w:kern w:val="0"/>
          <w:sz w:val="34"/>
          <w:szCs w:val="34"/>
        </w:rPr>
        <w:t>项目部对承包商作业监护人进行监护人资格的</w:t>
      </w:r>
      <w:r>
        <w:rPr>
          <w:rFonts w:hint="eastAsia" w:ascii="仿宋_GB2312" w:hAnsi="黑体" w:eastAsia="仿宋_GB2312" w:cs="仿宋_GB2312"/>
          <w:color w:val="FF0000"/>
          <w:kern w:val="0"/>
          <w:sz w:val="34"/>
          <w:szCs w:val="34"/>
          <w:lang w:val="en-US" w:eastAsia="zh-CN"/>
        </w:rPr>
        <w:t>培训</w:t>
      </w:r>
      <w:r>
        <w:rPr>
          <w:rFonts w:hint="eastAsia" w:ascii="仿宋_GB2312" w:hAnsi="黑体" w:eastAsia="仿宋_GB2312" w:cs="仿宋_GB2312"/>
          <w:color w:val="FF0000"/>
          <w:kern w:val="0"/>
          <w:sz w:val="34"/>
          <w:szCs w:val="34"/>
        </w:rPr>
        <w:t>考试，考试合格者具备作业监护资格</w:t>
      </w:r>
      <w:r>
        <w:rPr>
          <w:rFonts w:hint="eastAsia" w:ascii="仿宋_GB2312" w:hAnsi="黑体" w:eastAsia="仿宋_GB2312" w:cs="仿宋_GB2312"/>
          <w:color w:val="FF0000"/>
          <w:kern w:val="0"/>
          <w:sz w:val="34"/>
          <w:szCs w:val="34"/>
          <w:lang w:eastAsia="zh-CN"/>
        </w:rPr>
        <w:t>，</w:t>
      </w:r>
      <w:r>
        <w:rPr>
          <w:rFonts w:hint="eastAsia" w:ascii="仿宋_GB2312" w:hAnsi="黑体" w:eastAsia="仿宋_GB2312" w:cs="仿宋_GB2312"/>
          <w:color w:val="FF0000"/>
          <w:kern w:val="0"/>
          <w:sz w:val="34"/>
          <w:szCs w:val="34"/>
          <w:lang w:val="en-US" w:eastAsia="zh-CN"/>
        </w:rPr>
        <w:t>及时公布公示，发放臂章，要求现场佩戴行使</w:t>
      </w:r>
      <w:r>
        <w:rPr>
          <w:rFonts w:hint="eastAsia" w:ascii="仿宋_GB2312" w:hAnsi="黑体" w:eastAsia="仿宋_GB2312" w:cs="仿宋_GB2312"/>
          <w:color w:val="auto"/>
          <w:kern w:val="0"/>
          <w:sz w:val="34"/>
          <w:szCs w:val="34"/>
        </w:rPr>
        <w:t>职责</w:t>
      </w:r>
      <w:r>
        <w:rPr>
          <w:rFonts w:hint="eastAsia" w:ascii="仿宋_GB2312" w:hAnsi="黑体" w:eastAsia="仿宋_GB2312" w:cs="仿宋_GB2312"/>
          <w:color w:val="auto"/>
          <w:kern w:val="0"/>
          <w:sz w:val="34"/>
          <w:szCs w:val="34"/>
          <w:lang w:eastAsia="zh-CN"/>
        </w:rPr>
        <w:t>。</w:t>
      </w:r>
    </w:p>
    <w:p w14:paraId="4A20C01B">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监护人必须严格履行监护职责，坚守岗位，及时发现和制止违章行为。</w:t>
      </w:r>
    </w:p>
    <w:p w14:paraId="36EAE064">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第十六条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相关职能专业及承包商应根据《项目检查及整改规定》，开展项目隐患排查和整治工作。检查的形式包括：日常隐患排查、综合性隐患排查、专业性隐患排查、季节性隐患排查、重大活动及节假日前隐患排查、事故类比隐患排查等。</w:t>
      </w:r>
    </w:p>
    <w:p w14:paraId="7B6EE4E5">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第十七条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各种类型的安全检查，应按照国家的规定规范要求，制定相应的安全检查表，并按照规定的频次开展检查。检查发现隐患和违章行为，应当场立即进行整改，并向上级汇报。无法当场进行整改的，采取防范措施，并下发整改通知单，限期整改。</w:t>
      </w:r>
    </w:p>
    <w:p w14:paraId="66420F17">
      <w:pPr>
        <w:spacing w:line="600" w:lineRule="exact"/>
        <w:ind w:firstLine="715" w:firstLineChars="200"/>
        <w:rPr>
          <w:rFonts w:hint="eastAsia"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第十八条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项目部、监理单位和承包商应抓好项目环保管理工作，包括大气粉尘污染控制、噪声控制、施工废水及固废的收集和处理。重点是要按照《</w:t>
      </w:r>
      <w:r>
        <w:rPr>
          <w:rFonts w:hint="eastAsia" w:ascii="仿宋_GB2312" w:hAnsi="黑体" w:eastAsia="仿宋_GB2312" w:cs="Arial"/>
          <w:color w:val="auto"/>
          <w:spacing w:val="8"/>
          <w:sz w:val="34"/>
          <w:szCs w:val="34"/>
        </w:rPr>
        <w:t>项目施工扬尘防治管理规定</w:t>
      </w:r>
      <w:r>
        <w:rPr>
          <w:rFonts w:hint="eastAsia" w:ascii="仿宋_GB2312" w:hAnsi="黑体" w:eastAsia="仿宋_GB2312" w:cs="仿宋_GB2312"/>
          <w:color w:val="auto"/>
          <w:kern w:val="0"/>
          <w:sz w:val="34"/>
          <w:szCs w:val="34"/>
        </w:rPr>
        <w:t>》，抓好扬尘管理。</w:t>
      </w:r>
    </w:p>
    <w:p w14:paraId="21466BB2">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第十九条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应根据《项目隐患和违章处罚规定》，对承包商的违章行为和隐患进行处罚，并将处罚结果以《工程建设项目承包商违章处罚单》的形式通知承包商。承包商经办人到财务管理部缴纳罚款，财务管理部开具收据后</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承包商经办人向项目部出示罚款缴纳收据。</w:t>
      </w:r>
    </w:p>
    <w:p w14:paraId="1750C7AC">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项目部、监理单位及安全环境</w:t>
      </w:r>
      <w:r>
        <w:rPr>
          <w:rFonts w:hint="eastAsia" w:ascii="仿宋_GB2312" w:hAnsi="黑体" w:eastAsia="仿宋_GB2312" w:cs="仿宋_GB2312"/>
          <w:color w:val="auto"/>
          <w:kern w:val="0"/>
          <w:sz w:val="34"/>
          <w:szCs w:val="34"/>
          <w:lang w:val="en-US" w:eastAsia="zh-CN"/>
        </w:rPr>
        <w:t>部门</w:t>
      </w:r>
      <w:r>
        <w:rPr>
          <w:rFonts w:hint="eastAsia" w:ascii="仿宋_GB2312" w:hAnsi="黑体" w:eastAsia="仿宋_GB2312" w:cs="仿宋_GB2312"/>
          <w:color w:val="auto"/>
          <w:kern w:val="0"/>
          <w:sz w:val="34"/>
          <w:szCs w:val="34"/>
        </w:rPr>
        <w:t>督促承包商制定事故应急救援预案，定期开展应急救援演练；并在事故发生时，按照预案和应急救援牌的要求开展应急处置和应急救援工作。</w:t>
      </w:r>
    </w:p>
    <w:p w14:paraId="57098DC8">
      <w:pPr>
        <w:spacing w:line="600" w:lineRule="exact"/>
        <w:ind w:firstLine="715" w:firstLineChars="200"/>
        <w:rPr>
          <w:rFonts w:ascii="黑体" w:hAnsi="黑体" w:eastAsia="黑体" w:cs="Arial"/>
          <w:color w:val="auto"/>
          <w:spacing w:val="8"/>
          <w:sz w:val="34"/>
          <w:szCs w:val="34"/>
        </w:rPr>
      </w:pPr>
      <w:r>
        <w:rPr>
          <w:rFonts w:hint="eastAsia" w:ascii="仿宋_GB2312" w:hAnsi="黑体" w:eastAsia="仿宋_GB2312" w:cs="Arial"/>
          <w:b/>
          <w:color w:val="auto"/>
          <w:spacing w:val="8"/>
          <w:sz w:val="34"/>
          <w:szCs w:val="34"/>
        </w:rPr>
        <w:t>第二十一条</w:t>
      </w:r>
      <w:r>
        <w:rPr>
          <w:rFonts w:ascii="仿宋_GB2312" w:hAnsi="黑体" w:eastAsia="仿宋_GB2312" w:cs="Arial"/>
          <w:color w:val="auto"/>
          <w:spacing w:val="8"/>
          <w:sz w:val="34"/>
          <w:szCs w:val="34"/>
        </w:rPr>
        <w:t xml:space="preserve"> </w:t>
      </w:r>
      <w:r>
        <w:rPr>
          <w:rFonts w:hint="eastAsia" w:ascii="仿宋_GB2312" w:hAnsi="黑体" w:eastAsia="仿宋_GB2312" w:cs="仿宋_GB2312"/>
          <w:color w:val="auto"/>
          <w:kern w:val="0"/>
          <w:sz w:val="34"/>
          <w:szCs w:val="34"/>
        </w:rPr>
        <w:t>项目部负责对一般事故进行调查，并召开事故分析会，根据“四不放过”的原则，对事故进行处理。重大事故按照索普股份相关制度执行。</w:t>
      </w:r>
    </w:p>
    <w:p w14:paraId="47A61F98">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第三章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项目承包商管理规定</w:t>
      </w:r>
    </w:p>
    <w:p w14:paraId="1BF66241">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第二十二条</w:t>
      </w:r>
      <w:r>
        <w:rPr>
          <w:rFonts w:ascii="黑体" w:hAnsi="黑体" w:eastAsia="黑体" w:cs="Arial"/>
          <w:color w:val="auto"/>
          <w:spacing w:val="8"/>
          <w:sz w:val="34"/>
          <w:szCs w:val="34"/>
        </w:rPr>
        <w:t xml:space="preserve"> </w:t>
      </w:r>
      <w:r>
        <w:rPr>
          <w:rFonts w:hint="eastAsia" w:ascii="仿宋_GB2312" w:hAnsi="黑体" w:eastAsia="仿宋_GB2312" w:cs="Arial"/>
          <w:color w:val="auto"/>
          <w:spacing w:val="8"/>
          <w:sz w:val="34"/>
          <w:szCs w:val="34"/>
        </w:rPr>
        <w:t>承包商的</w:t>
      </w:r>
      <w:r>
        <w:rPr>
          <w:rFonts w:hint="eastAsia" w:ascii="仿宋_GB2312" w:hAnsi="黑体" w:eastAsia="仿宋_GB2312" w:cs="仿宋_GB2312"/>
          <w:color w:val="auto"/>
          <w:kern w:val="0"/>
          <w:sz w:val="34"/>
          <w:szCs w:val="34"/>
        </w:rPr>
        <w:t>公司规模、财务状况和承揽能力符合承担项目要求。以往业绩良好，无重大违规、违法和重大安全生产事故记录，服务态度和工作配合无不良记录等。</w:t>
      </w:r>
    </w:p>
    <w:p w14:paraId="7E254107">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第二十三条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必须向项目的引进部门及项目部提供相关的资质证明材料，材料必须真实、完备。相应的资质证明范围符合，期限有效。</w:t>
      </w:r>
    </w:p>
    <w:p w14:paraId="526F8ACD">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第二十四条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建立健全安全管理制度，管理职责明确。</w:t>
      </w:r>
    </w:p>
    <w:p w14:paraId="58F40057">
      <w:pPr>
        <w:spacing w:line="600" w:lineRule="exact"/>
        <w:ind w:firstLine="715" w:firstLineChars="200"/>
        <w:rPr>
          <w:rFonts w:hint="eastAsia" w:ascii="仿宋_GB2312" w:hAnsi="黑体" w:eastAsia="仿宋_GB2312" w:cs="仿宋_GB2312"/>
          <w:color w:val="auto"/>
          <w:kern w:val="0"/>
          <w:sz w:val="34"/>
          <w:szCs w:val="34"/>
          <w:lang w:eastAsia="zh-CN"/>
        </w:rPr>
      </w:pPr>
      <w:r>
        <w:rPr>
          <w:rFonts w:hint="eastAsia" w:ascii="仿宋_GB2312" w:hAnsi="黑体" w:eastAsia="仿宋_GB2312" w:cs="Arial"/>
          <w:b/>
          <w:color w:val="auto"/>
          <w:spacing w:val="8"/>
          <w:sz w:val="34"/>
          <w:szCs w:val="34"/>
        </w:rPr>
        <w:t>第二十五条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必须按照国家规范要求，完善组织架构，建立健全</w:t>
      </w:r>
      <w:r>
        <w:rPr>
          <w:rFonts w:hint="eastAsia" w:ascii="仿宋_GB2312" w:hAnsi="黑体" w:eastAsia="仿宋_GB2312" w:cs="仿宋_GB2312"/>
          <w:color w:val="FF0000"/>
          <w:kern w:val="0"/>
          <w:sz w:val="34"/>
          <w:szCs w:val="34"/>
        </w:rPr>
        <w:t>至少三级</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lang w:val="en-US" w:eastAsia="zh-CN"/>
        </w:rPr>
        <w:t>包括公司</w:t>
      </w:r>
      <w:r>
        <w:rPr>
          <w:rFonts w:hint="eastAsia" w:ascii="仿宋_GB2312" w:hAnsi="黑体" w:eastAsia="仿宋_GB2312" w:cs="仿宋_GB2312"/>
          <w:color w:val="auto"/>
          <w:kern w:val="0"/>
          <w:sz w:val="34"/>
          <w:szCs w:val="34"/>
          <w:lang w:eastAsia="zh-CN"/>
        </w:rPr>
        <w:t>级、</w:t>
      </w:r>
      <w:r>
        <w:rPr>
          <w:rFonts w:hint="eastAsia" w:ascii="仿宋_GB2312" w:hAnsi="黑体" w:eastAsia="仿宋_GB2312" w:cs="仿宋_GB2312"/>
          <w:color w:val="auto"/>
          <w:kern w:val="0"/>
          <w:sz w:val="34"/>
          <w:szCs w:val="34"/>
          <w:lang w:val="en-US" w:eastAsia="zh-CN"/>
        </w:rPr>
        <w:t>项目部</w:t>
      </w:r>
      <w:r>
        <w:rPr>
          <w:rFonts w:hint="eastAsia" w:ascii="仿宋_GB2312" w:hAnsi="黑体" w:eastAsia="仿宋_GB2312" w:cs="仿宋_GB2312"/>
          <w:color w:val="auto"/>
          <w:kern w:val="0"/>
          <w:sz w:val="34"/>
          <w:szCs w:val="34"/>
          <w:lang w:eastAsia="zh-CN"/>
        </w:rPr>
        <w:t>级、</w:t>
      </w:r>
      <w:r>
        <w:rPr>
          <w:rFonts w:hint="eastAsia" w:ascii="仿宋_GB2312" w:hAnsi="黑体" w:eastAsia="仿宋_GB2312" w:cs="仿宋_GB2312"/>
          <w:color w:val="auto"/>
          <w:kern w:val="0"/>
          <w:sz w:val="34"/>
          <w:szCs w:val="34"/>
          <w:lang w:val="en-US" w:eastAsia="zh-CN"/>
        </w:rPr>
        <w:t>施工队（班组）</w:t>
      </w:r>
      <w:r>
        <w:rPr>
          <w:rFonts w:hint="eastAsia" w:ascii="仿宋_GB2312" w:hAnsi="黑体" w:eastAsia="仿宋_GB2312" w:cs="仿宋_GB2312"/>
          <w:color w:val="auto"/>
          <w:kern w:val="0"/>
          <w:sz w:val="34"/>
          <w:szCs w:val="34"/>
          <w:lang w:eastAsia="zh-CN"/>
        </w:rPr>
        <w:t>级）</w:t>
      </w:r>
      <w:r>
        <w:rPr>
          <w:rFonts w:hint="eastAsia" w:ascii="仿宋_GB2312" w:hAnsi="黑体" w:eastAsia="仿宋_GB2312" w:cs="仿宋_GB2312"/>
          <w:color w:val="auto"/>
          <w:kern w:val="0"/>
          <w:sz w:val="34"/>
          <w:szCs w:val="34"/>
        </w:rPr>
        <w:t>安全管理网络</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rPr>
        <w:t>配备专职</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rPr>
        <w:t>兼职</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rPr>
        <w:t>安全员</w:t>
      </w:r>
      <w:r>
        <w:rPr>
          <w:rFonts w:hint="eastAsia" w:ascii="仿宋_GB2312" w:hAnsi="黑体" w:eastAsia="仿宋_GB2312" w:cs="仿宋_GB2312"/>
          <w:color w:val="auto"/>
          <w:kern w:val="0"/>
          <w:sz w:val="34"/>
          <w:szCs w:val="34"/>
          <w:lang w:eastAsia="zh-CN"/>
        </w:rPr>
        <w:t>。</w:t>
      </w:r>
    </w:p>
    <w:p w14:paraId="535E0B66">
      <w:pPr>
        <w:spacing w:line="600" w:lineRule="exact"/>
        <w:ind w:firstLine="680" w:firstLineChars="200"/>
        <w:rPr>
          <w:rFonts w:hint="eastAsia" w:ascii="仿宋_GB2312" w:hAnsi="黑体" w:eastAsia="仿宋_GB2312" w:cs="仿宋_GB2312"/>
          <w:color w:val="auto"/>
          <w:kern w:val="0"/>
          <w:sz w:val="34"/>
          <w:szCs w:val="34"/>
          <w:lang w:eastAsia="zh-CN"/>
        </w:rPr>
      </w:pPr>
      <w:r>
        <w:rPr>
          <w:rFonts w:hint="eastAsia" w:ascii="仿宋_GB2312" w:hAnsi="黑体" w:eastAsia="仿宋_GB2312" w:cs="仿宋_GB2312"/>
          <w:color w:val="FF0000"/>
          <w:kern w:val="0"/>
          <w:sz w:val="34"/>
          <w:szCs w:val="34"/>
          <w:lang w:val="en-US" w:eastAsia="zh-CN"/>
        </w:rPr>
        <w:t>每一</w:t>
      </w:r>
      <w:r>
        <w:rPr>
          <w:rFonts w:hint="eastAsia" w:ascii="仿宋_GB2312" w:hAnsi="黑体" w:eastAsia="仿宋_GB2312" w:cs="仿宋_GB2312"/>
          <w:color w:val="FF0000"/>
          <w:kern w:val="0"/>
          <w:sz w:val="34"/>
          <w:szCs w:val="34"/>
          <w:lang w:eastAsia="zh-CN"/>
        </w:rPr>
        <w:t>级</w:t>
      </w:r>
      <w:r>
        <w:rPr>
          <w:rFonts w:hint="eastAsia" w:ascii="仿宋_GB2312" w:hAnsi="黑体" w:eastAsia="仿宋_GB2312" w:cs="仿宋_GB2312"/>
          <w:color w:val="FF0000"/>
          <w:kern w:val="0"/>
          <w:sz w:val="34"/>
          <w:szCs w:val="34"/>
          <w:lang w:val="en-US" w:eastAsia="zh-CN"/>
        </w:rPr>
        <w:t>包</w:t>
      </w:r>
      <w:r>
        <w:rPr>
          <w:rFonts w:hint="eastAsia" w:ascii="仿宋_GB2312" w:hAnsi="黑体" w:eastAsia="仿宋_GB2312" w:cs="仿宋_GB2312"/>
          <w:color w:val="auto"/>
          <w:kern w:val="0"/>
          <w:sz w:val="34"/>
          <w:szCs w:val="34"/>
          <w:lang w:val="en-US" w:eastAsia="zh-CN"/>
        </w:rPr>
        <w:t>含负责人和安全员，</w:t>
      </w:r>
      <w:r>
        <w:rPr>
          <w:rFonts w:hint="eastAsia" w:ascii="仿宋_GB2312" w:hAnsi="黑体" w:eastAsia="仿宋_GB2312" w:cs="仿宋_GB2312"/>
          <w:color w:val="auto"/>
          <w:kern w:val="0"/>
          <w:sz w:val="34"/>
          <w:szCs w:val="34"/>
        </w:rPr>
        <w:t>提供安全管理网络成员</w:t>
      </w:r>
      <w:r>
        <w:rPr>
          <w:rFonts w:hint="eastAsia" w:ascii="仿宋_GB2312" w:hAnsi="黑体" w:eastAsia="仿宋_GB2312" w:cs="仿宋_GB2312"/>
          <w:color w:val="auto"/>
          <w:kern w:val="0"/>
          <w:sz w:val="34"/>
          <w:szCs w:val="34"/>
          <w:lang w:val="en-US" w:eastAsia="zh-CN"/>
        </w:rPr>
        <w:t>信息</w:t>
      </w:r>
      <w:r>
        <w:rPr>
          <w:rFonts w:hint="eastAsia" w:ascii="仿宋_GB2312" w:hAnsi="黑体" w:eastAsia="仿宋_GB2312" w:cs="仿宋_GB2312"/>
          <w:color w:val="auto"/>
          <w:kern w:val="0"/>
          <w:sz w:val="34"/>
          <w:szCs w:val="34"/>
        </w:rPr>
        <w:t>，包括姓名、职务、职称、资质、联系方式等。</w:t>
      </w:r>
    </w:p>
    <w:p w14:paraId="0A329ED1">
      <w:pPr>
        <w:spacing w:line="600" w:lineRule="exact"/>
        <w:ind w:firstLine="680" w:firstLineChars="200"/>
        <w:rPr>
          <w:rFonts w:hint="eastAsia" w:ascii="仿宋_GB2312" w:hAnsi="黑体" w:eastAsia="仿宋_GB2312" w:cs="仿宋_GB2312"/>
          <w:color w:val="auto"/>
          <w:kern w:val="0"/>
          <w:sz w:val="34"/>
          <w:szCs w:val="34"/>
          <w:lang w:val="en-US" w:eastAsia="zh-CN"/>
        </w:rPr>
      </w:pPr>
      <w:r>
        <w:rPr>
          <w:rFonts w:hint="eastAsia" w:ascii="仿宋_GB2312" w:hAnsi="黑体" w:eastAsia="仿宋_GB2312" w:cs="仿宋_GB2312"/>
          <w:color w:val="auto"/>
          <w:kern w:val="0"/>
          <w:sz w:val="34"/>
          <w:szCs w:val="34"/>
          <w:lang w:val="en-US" w:eastAsia="zh-CN"/>
        </w:rPr>
        <w:t>其中公司</w:t>
      </w:r>
      <w:r>
        <w:rPr>
          <w:rFonts w:hint="eastAsia" w:ascii="仿宋_GB2312" w:hAnsi="黑体" w:eastAsia="仿宋_GB2312" w:cs="仿宋_GB2312"/>
          <w:color w:val="auto"/>
          <w:kern w:val="0"/>
          <w:sz w:val="34"/>
          <w:szCs w:val="34"/>
          <w:lang w:eastAsia="zh-CN"/>
        </w:rPr>
        <w:t>级</w:t>
      </w:r>
      <w:r>
        <w:rPr>
          <w:rFonts w:hint="eastAsia" w:ascii="仿宋_GB2312" w:hAnsi="黑体" w:eastAsia="仿宋_GB2312" w:cs="仿宋_GB2312"/>
          <w:color w:val="auto"/>
          <w:kern w:val="0"/>
          <w:sz w:val="34"/>
          <w:szCs w:val="34"/>
          <w:lang w:val="en-US" w:eastAsia="zh-CN"/>
        </w:rPr>
        <w:t>和项目部</w:t>
      </w:r>
      <w:r>
        <w:rPr>
          <w:rFonts w:hint="eastAsia" w:ascii="仿宋_GB2312" w:hAnsi="黑体" w:eastAsia="仿宋_GB2312" w:cs="仿宋_GB2312"/>
          <w:color w:val="auto"/>
          <w:kern w:val="0"/>
          <w:sz w:val="34"/>
          <w:szCs w:val="34"/>
          <w:lang w:eastAsia="zh-CN"/>
        </w:rPr>
        <w:t>级的</w:t>
      </w:r>
      <w:r>
        <w:rPr>
          <w:rFonts w:hint="eastAsia" w:ascii="仿宋_GB2312" w:hAnsi="黑体" w:eastAsia="仿宋_GB2312" w:cs="仿宋_GB2312"/>
          <w:color w:val="auto"/>
          <w:kern w:val="0"/>
          <w:sz w:val="34"/>
          <w:szCs w:val="34"/>
          <w:lang w:val="en-US" w:eastAsia="zh-CN"/>
        </w:rPr>
        <w:t>安全员人数应根据国家规定要求和规模大小配备，但不少于</w:t>
      </w:r>
      <w:r>
        <w:rPr>
          <w:rFonts w:hint="eastAsia" w:ascii="仿宋_GB2312" w:hAnsi="黑体" w:eastAsia="仿宋_GB2312" w:cs="仿宋_GB2312"/>
          <w:color w:val="FF0000"/>
          <w:kern w:val="0"/>
          <w:sz w:val="34"/>
          <w:szCs w:val="34"/>
          <w:lang w:val="en-US" w:eastAsia="zh-CN"/>
        </w:rPr>
        <w:t>2名</w:t>
      </w:r>
      <w:r>
        <w:rPr>
          <w:rFonts w:hint="eastAsia" w:ascii="仿宋_GB2312" w:hAnsi="黑体" w:eastAsia="仿宋_GB2312" w:cs="仿宋_GB2312"/>
          <w:color w:val="auto"/>
          <w:kern w:val="0"/>
          <w:sz w:val="34"/>
          <w:szCs w:val="34"/>
          <w:lang w:val="en-US" w:eastAsia="zh-CN"/>
        </w:rPr>
        <w:t>，施工队</w:t>
      </w:r>
      <w:r>
        <w:rPr>
          <w:rFonts w:hint="eastAsia" w:ascii="仿宋_GB2312" w:hAnsi="黑体" w:eastAsia="仿宋_GB2312" w:cs="仿宋_GB2312"/>
          <w:color w:val="auto"/>
          <w:kern w:val="0"/>
          <w:sz w:val="34"/>
          <w:szCs w:val="34"/>
          <w:lang w:eastAsia="zh-CN"/>
        </w:rPr>
        <w:t>级的</w:t>
      </w:r>
      <w:r>
        <w:rPr>
          <w:rFonts w:hint="eastAsia" w:ascii="仿宋_GB2312" w:hAnsi="黑体" w:eastAsia="仿宋_GB2312" w:cs="仿宋_GB2312"/>
          <w:color w:val="auto"/>
          <w:kern w:val="0"/>
          <w:sz w:val="34"/>
          <w:szCs w:val="34"/>
          <w:lang w:val="en-US" w:eastAsia="zh-CN"/>
        </w:rPr>
        <w:t>安全员人数的配备同理应不少于1名。</w:t>
      </w:r>
    </w:p>
    <w:p w14:paraId="2955F1C4">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主要负责人、项目负责人</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lang w:val="en-US" w:eastAsia="zh-CN"/>
        </w:rPr>
        <w:t>安全</w:t>
      </w:r>
      <w:r>
        <w:rPr>
          <w:rFonts w:hint="eastAsia" w:ascii="仿宋_GB2312" w:hAnsi="黑体" w:eastAsia="仿宋_GB2312" w:cs="仿宋_GB2312"/>
          <w:color w:val="auto"/>
          <w:kern w:val="0"/>
          <w:sz w:val="34"/>
          <w:szCs w:val="34"/>
        </w:rPr>
        <w:t>管理</w:t>
      </w:r>
      <w:r>
        <w:rPr>
          <w:rFonts w:hint="eastAsia" w:ascii="仿宋_GB2312" w:hAnsi="黑体" w:eastAsia="仿宋_GB2312" w:cs="仿宋_GB2312"/>
          <w:color w:val="auto"/>
          <w:kern w:val="0"/>
          <w:sz w:val="34"/>
          <w:szCs w:val="34"/>
          <w:lang w:val="en-US" w:eastAsia="zh-CN"/>
        </w:rPr>
        <w:t>人员要具备行业培训合格资质。</w:t>
      </w:r>
    </w:p>
    <w:p w14:paraId="5D90B5E6">
      <w:pPr>
        <w:spacing w:line="600" w:lineRule="exact"/>
        <w:ind w:firstLine="680" w:firstLineChars="200"/>
        <w:rPr>
          <w:rFonts w:hint="eastAsia" w:ascii="仿宋_GB2312" w:hAnsi="黑体" w:eastAsia="仿宋_GB2312" w:cs="仿宋_GB2312"/>
          <w:color w:val="auto"/>
          <w:kern w:val="0"/>
          <w:sz w:val="34"/>
          <w:szCs w:val="34"/>
          <w:lang w:val="en-US" w:eastAsia="zh-CN"/>
        </w:rPr>
      </w:pPr>
      <w:r>
        <w:rPr>
          <w:rFonts w:hint="eastAsia" w:ascii="仿宋_GB2312" w:hAnsi="黑体" w:eastAsia="仿宋_GB2312" w:cs="仿宋_GB2312"/>
          <w:color w:val="auto"/>
          <w:kern w:val="0"/>
          <w:sz w:val="34"/>
          <w:szCs w:val="34"/>
        </w:rPr>
        <w:t>建筑施工承包商主要负责人、项目负责人、专职安全生产管理人员要分别取得安全员</w:t>
      </w:r>
      <w:r>
        <w:rPr>
          <w:rFonts w:ascii="仿宋_GB2312" w:hAnsi="黑体" w:eastAsia="仿宋_GB2312" w:cs="仿宋_GB2312"/>
          <w:color w:val="auto"/>
          <w:kern w:val="0"/>
          <w:sz w:val="34"/>
          <w:szCs w:val="34"/>
        </w:rPr>
        <w:t>A</w:t>
      </w:r>
      <w:r>
        <w:rPr>
          <w:rFonts w:hint="eastAsia" w:ascii="仿宋_GB2312" w:hAnsi="黑体" w:eastAsia="仿宋_GB2312" w:cs="仿宋_GB2312"/>
          <w:color w:val="auto"/>
          <w:kern w:val="0"/>
          <w:sz w:val="34"/>
          <w:szCs w:val="34"/>
        </w:rPr>
        <w:t>证、</w:t>
      </w:r>
      <w:r>
        <w:rPr>
          <w:rFonts w:ascii="仿宋_GB2312" w:hAnsi="黑体" w:eastAsia="仿宋_GB2312" w:cs="仿宋_GB2312"/>
          <w:color w:val="auto"/>
          <w:kern w:val="0"/>
          <w:sz w:val="34"/>
          <w:szCs w:val="34"/>
        </w:rPr>
        <w:t>B</w:t>
      </w:r>
      <w:r>
        <w:rPr>
          <w:rFonts w:hint="eastAsia" w:ascii="仿宋_GB2312" w:hAnsi="黑体" w:eastAsia="仿宋_GB2312" w:cs="仿宋_GB2312"/>
          <w:color w:val="auto"/>
          <w:kern w:val="0"/>
          <w:sz w:val="34"/>
          <w:szCs w:val="34"/>
        </w:rPr>
        <w:t>证、</w:t>
      </w:r>
      <w:r>
        <w:rPr>
          <w:rFonts w:ascii="仿宋_GB2312" w:hAnsi="黑体" w:eastAsia="仿宋_GB2312" w:cs="仿宋_GB2312"/>
          <w:color w:val="auto"/>
          <w:kern w:val="0"/>
          <w:sz w:val="34"/>
          <w:szCs w:val="34"/>
        </w:rPr>
        <w:t>C</w:t>
      </w:r>
      <w:r>
        <w:rPr>
          <w:rFonts w:hint="eastAsia" w:ascii="仿宋_GB2312" w:hAnsi="黑体" w:eastAsia="仿宋_GB2312" w:cs="仿宋_GB2312"/>
          <w:color w:val="auto"/>
          <w:kern w:val="0"/>
          <w:sz w:val="34"/>
          <w:szCs w:val="34"/>
        </w:rPr>
        <w:t>证等资质。</w:t>
      </w:r>
    </w:p>
    <w:p w14:paraId="2B6A9D45">
      <w:pPr>
        <w:spacing w:line="600" w:lineRule="exact"/>
        <w:ind w:firstLine="715" w:firstLineChars="200"/>
        <w:rPr>
          <w:rFonts w:hint="eastAsia" w:ascii="仿宋_GB2312" w:hAnsi="黑体" w:eastAsia="仿宋_GB2312" w:cs="仿宋_GB2312"/>
          <w:color w:val="auto"/>
          <w:kern w:val="0"/>
          <w:sz w:val="34"/>
          <w:szCs w:val="34"/>
          <w:lang w:eastAsia="zh-CN"/>
        </w:rPr>
      </w:pPr>
      <w:r>
        <w:rPr>
          <w:rFonts w:hint="eastAsia" w:ascii="仿宋_GB2312" w:hAnsi="黑体" w:eastAsia="仿宋_GB2312" w:cs="Arial"/>
          <w:b/>
          <w:color w:val="auto"/>
          <w:spacing w:val="8"/>
          <w:sz w:val="34"/>
          <w:szCs w:val="34"/>
        </w:rPr>
        <w:t>第二十六条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必须制定安全管理网络成员的安全职责，做到职责明确，分工合理</w:t>
      </w:r>
      <w:r>
        <w:rPr>
          <w:rFonts w:hint="eastAsia" w:ascii="仿宋_GB2312" w:hAnsi="黑体" w:eastAsia="仿宋_GB2312" w:cs="仿宋_GB2312"/>
          <w:color w:val="auto"/>
          <w:kern w:val="0"/>
          <w:sz w:val="34"/>
          <w:szCs w:val="34"/>
          <w:lang w:eastAsia="zh-CN"/>
        </w:rPr>
        <w:t>。</w:t>
      </w:r>
    </w:p>
    <w:p w14:paraId="46073890">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特种作业人员必须持有资格证书上岗作业；特种作业不得超项作业。</w:t>
      </w:r>
    </w:p>
    <w:p w14:paraId="56BE860E">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建立健全相关安全台帐，包括：安全教育和安全活动台帐、工器具台帐、安全检查和整改台帐等。</w:t>
      </w:r>
    </w:p>
    <w:p w14:paraId="0358FED9">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第二十九条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按规范定期开展安全教育、培训活动，并有记录。特别是要进行事故警示教育，教育员工“反三违”，做到“四不伤害。”承包商员工必须接受项目部或总承包商安全教育，考试合格并持证上岗，持证上岗率为</w:t>
      </w:r>
      <w:r>
        <w:rPr>
          <w:rFonts w:ascii="仿宋_GB2312" w:hAnsi="黑体" w:eastAsia="仿宋_GB2312" w:cs="仿宋_GB2312"/>
          <w:color w:val="auto"/>
          <w:kern w:val="0"/>
          <w:sz w:val="34"/>
          <w:szCs w:val="34"/>
        </w:rPr>
        <w:t>100</w:t>
      </w:r>
      <w:r>
        <w:rPr>
          <w:rFonts w:hint="eastAsia" w:ascii="仿宋_GB2312" w:hAnsi="黑体" w:eastAsia="仿宋_GB2312" w:cs="仿宋_GB2312"/>
          <w:color w:val="auto"/>
          <w:kern w:val="0"/>
          <w:sz w:val="34"/>
          <w:szCs w:val="34"/>
        </w:rPr>
        <w:t>％。</w:t>
      </w:r>
    </w:p>
    <w:p w14:paraId="5C04AAE9">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安全装备和设施要定期检查、检测，确保完好可用，没有缺陷；并须填表记录。携带到现场的设备、工具等必须进行认真检查，确保完好。</w:t>
      </w:r>
    </w:p>
    <w:p w14:paraId="387E1035">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第三十一条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保证安全投入，为作业安全配备相应的安全装备和物资：</w:t>
      </w:r>
    </w:p>
    <w:p w14:paraId="6CEE8AC5">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（一）便携式</w:t>
      </w:r>
      <w:r>
        <w:rPr>
          <w:rFonts w:ascii="仿宋_GB2312" w:hAnsi="黑体" w:eastAsia="仿宋_GB2312" w:cs="仿宋_GB2312"/>
          <w:color w:val="auto"/>
          <w:kern w:val="0"/>
          <w:sz w:val="34"/>
          <w:szCs w:val="34"/>
        </w:rPr>
        <w:t>CO</w:t>
      </w:r>
      <w:r>
        <w:rPr>
          <w:rFonts w:hint="eastAsia" w:ascii="仿宋_GB2312" w:hAnsi="黑体" w:eastAsia="仿宋_GB2312" w:cs="仿宋_GB2312"/>
          <w:color w:val="auto"/>
          <w:kern w:val="0"/>
          <w:sz w:val="34"/>
          <w:szCs w:val="34"/>
        </w:rPr>
        <w:t>报警仪，气化装置每个层面提供</w:t>
      </w: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只。</w:t>
      </w:r>
    </w:p>
    <w:p w14:paraId="725D6A24">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（二）便携式</w:t>
      </w:r>
      <w:r>
        <w:rPr>
          <w:rFonts w:hint="eastAsia" w:ascii="仿宋_GB2312" w:hAnsi="黑体" w:eastAsia="仿宋_GB2312" w:cs="仿宋_GB2312"/>
          <w:color w:val="auto"/>
          <w:kern w:val="0"/>
          <w:sz w:val="34"/>
          <w:szCs w:val="34"/>
          <w:lang w:val="en-US" w:eastAsia="zh-CN"/>
        </w:rPr>
        <w:t>气体</w:t>
      </w:r>
      <w:r>
        <w:rPr>
          <w:rFonts w:hint="eastAsia" w:ascii="仿宋_GB2312" w:hAnsi="黑体" w:eastAsia="仿宋_GB2312" w:cs="仿宋_GB2312"/>
          <w:color w:val="auto"/>
          <w:kern w:val="0"/>
          <w:sz w:val="34"/>
          <w:szCs w:val="34"/>
        </w:rPr>
        <w:t>报警仪。</w:t>
      </w:r>
    </w:p>
    <w:p w14:paraId="209D8F6D">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（三）医用吸氧器：每个施工项目部配备</w:t>
      </w: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个。</w:t>
      </w:r>
    </w:p>
    <w:p w14:paraId="2BCEDB45">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（四）密闭空间作业的照明工具。</w:t>
      </w:r>
    </w:p>
    <w:p w14:paraId="1C61C700">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（五）消防器材。</w:t>
      </w:r>
    </w:p>
    <w:p w14:paraId="7838EFCD">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（六）雨天作业的雨衣、雨裤。</w:t>
      </w:r>
    </w:p>
    <w:p w14:paraId="5A07205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（七）防暑降温药品。</w:t>
      </w:r>
    </w:p>
    <w:p w14:paraId="63722C05">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（八）长管呼吸器和空气呼吸器必要时由项目部协调，生产分厂提供。</w:t>
      </w:r>
    </w:p>
    <w:p w14:paraId="7EEE8A41">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第三十二条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认真执行公司和属地单位各项规章制度规定。</w:t>
      </w:r>
    </w:p>
    <w:p w14:paraId="5308DE31">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第三十三条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必须制定《施工作业规程》。进入现场作业，必须按照国家规范要求，针对项目特点，制定与现场情况相符合的施工方案。</w:t>
      </w:r>
    </w:p>
    <w:p w14:paraId="20761B94">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第三十四条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施工作业人员服从管理，接受指挥和监督。施工人员进入现场，必须按照规范要求穿戴好个人防护用品，禁止穿戴带有索普标志的安全帽和工作服，索普</w:t>
      </w:r>
      <w:r>
        <w:rPr>
          <w:rFonts w:hint="eastAsia" w:ascii="仿宋_GB2312" w:hAnsi="黑体" w:eastAsia="仿宋_GB2312" w:cs="仿宋_GB2312"/>
          <w:color w:val="auto"/>
          <w:kern w:val="0"/>
          <w:sz w:val="34"/>
          <w:szCs w:val="34"/>
          <w:lang w:val="en-US" w:eastAsia="zh-CN"/>
        </w:rPr>
        <w:t>工程</w:t>
      </w:r>
      <w:r>
        <w:rPr>
          <w:rFonts w:hint="eastAsia" w:ascii="仿宋_GB2312" w:hAnsi="黑体" w:eastAsia="仿宋_GB2312" w:cs="仿宋_GB2312"/>
          <w:color w:val="auto"/>
          <w:kern w:val="0"/>
          <w:sz w:val="34"/>
          <w:szCs w:val="34"/>
        </w:rPr>
        <w:t>施工人员除外。</w:t>
      </w:r>
    </w:p>
    <w:p w14:paraId="7B37E434">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第三十五条</w:t>
      </w:r>
      <w:r>
        <w:rPr>
          <w:rFonts w:ascii="仿宋_GB2312" w:hAnsi="黑体" w:eastAsia="仿宋_GB2312" w:cs="仿宋_GB2312"/>
          <w:color w:val="auto"/>
          <w:kern w:val="0"/>
          <w:sz w:val="34"/>
          <w:szCs w:val="34"/>
        </w:rPr>
        <w:t xml:space="preserve"> </w:t>
      </w:r>
      <w:r>
        <w:rPr>
          <w:rFonts w:hint="eastAsia" w:ascii="仿宋_GB2312" w:hAnsi="黑体" w:eastAsia="仿宋_GB2312" w:cs="仿宋_GB2312"/>
          <w:color w:val="auto"/>
          <w:kern w:val="0"/>
          <w:sz w:val="34"/>
          <w:szCs w:val="34"/>
        </w:rPr>
        <w:t>物资保管符合规定要求。现场围护有效，物资摆放和物料堆放有序，现场环境良好，并采取有效的防盗措施。</w:t>
      </w:r>
    </w:p>
    <w:p w14:paraId="50E4D9A7">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第四章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承包商入场和退场</w:t>
      </w:r>
    </w:p>
    <w:p w14:paraId="286A7045">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资质审查，承包商引进部门在签订合同后，告知承包商《索普基建及产业项目安全环保管理规定》。</w:t>
      </w:r>
    </w:p>
    <w:p w14:paraId="114CB023">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FF0000"/>
          <w:kern w:val="0"/>
          <w:sz w:val="34"/>
          <w:szCs w:val="34"/>
        </w:rPr>
        <w:t>签订安全协议</w:t>
      </w:r>
    </w:p>
    <w:p w14:paraId="169FB3D8">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（一）承包商向项目部或总</w:t>
      </w:r>
      <w:r>
        <w:rPr>
          <w:rFonts w:hint="eastAsia" w:ascii="仿宋_GB2312" w:hAnsi="黑体" w:eastAsia="仿宋_GB2312" w:cs="仿宋_GB2312"/>
          <w:color w:val="FF0000"/>
          <w:kern w:val="0"/>
          <w:sz w:val="34"/>
          <w:szCs w:val="34"/>
        </w:rPr>
        <w:t>承包商提供相关材料</w:t>
      </w:r>
      <w:r>
        <w:rPr>
          <w:rFonts w:hint="eastAsia" w:ascii="仿宋_GB2312" w:hAnsi="黑体" w:eastAsia="仿宋_GB2312" w:cs="仿宋_GB2312"/>
          <w:color w:val="auto"/>
          <w:kern w:val="0"/>
          <w:sz w:val="34"/>
          <w:szCs w:val="34"/>
        </w:rPr>
        <w:t>，包括：</w:t>
      </w:r>
    </w:p>
    <w:p w14:paraId="4DB65F45">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基建及产业项目合同复印件；</w:t>
      </w:r>
    </w:p>
    <w:p w14:paraId="06137182">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营业执照、安全生产许可证、建筑业企业资质证书等资质证明；</w:t>
      </w:r>
    </w:p>
    <w:p w14:paraId="17896C1D">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 xml:space="preserve">3. </w:t>
      </w:r>
      <w:r>
        <w:rPr>
          <w:rFonts w:hint="eastAsia" w:ascii="仿宋_GB2312" w:hAnsi="黑体" w:eastAsia="仿宋_GB2312" w:cs="仿宋_GB2312"/>
          <w:color w:val="auto"/>
          <w:kern w:val="0"/>
          <w:sz w:val="34"/>
          <w:szCs w:val="34"/>
        </w:rPr>
        <w:t>含成员和职责的安全网络组织架构，安全管理制度和规定，安全投入情况，总体施工方案，安全台帐包括安全教育培训台帐、安全检查整改台帐、劳动防护用品发放台帐、自备安全装备设施台帐和检测维保检查记录、自备消防器材台帐、自备防暑降温药品台帐，施工人员统计表等材料；</w:t>
      </w:r>
    </w:p>
    <w:p w14:paraId="0ACD9AFB">
      <w:pPr>
        <w:spacing w:line="600" w:lineRule="exact"/>
        <w:ind w:firstLine="680" w:firstLineChars="200"/>
        <w:rPr>
          <w:rFonts w:ascii="仿宋_GB2312" w:hAnsi="黑体" w:eastAsia="仿宋_GB2312" w:cs="仿宋_GB2312"/>
          <w:color w:val="FF0000"/>
          <w:kern w:val="0"/>
          <w:sz w:val="34"/>
          <w:szCs w:val="34"/>
        </w:rPr>
      </w:pPr>
      <w:r>
        <w:rPr>
          <w:rFonts w:ascii="仿宋_GB2312" w:hAnsi="黑体" w:eastAsia="仿宋_GB2312" w:cs="仿宋_GB2312"/>
          <w:color w:val="FF0000"/>
          <w:kern w:val="0"/>
          <w:sz w:val="34"/>
          <w:szCs w:val="34"/>
        </w:rPr>
        <w:t>4.</w:t>
      </w:r>
      <w:r>
        <w:rPr>
          <w:rFonts w:hint="eastAsia" w:ascii="仿宋_GB2312" w:hAnsi="黑体" w:eastAsia="仿宋_GB2312" w:cs="仿宋_GB2312"/>
          <w:color w:val="FF0000"/>
          <w:kern w:val="0"/>
          <w:sz w:val="34"/>
          <w:szCs w:val="34"/>
        </w:rPr>
        <w:t>巡检要求；</w:t>
      </w:r>
    </w:p>
    <w:p w14:paraId="486BE1A8">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5.</w:t>
      </w:r>
      <w:r>
        <w:rPr>
          <w:rFonts w:hint="eastAsia" w:ascii="仿宋_GB2312" w:hAnsi="黑体" w:eastAsia="仿宋_GB2312" w:cs="仿宋_GB2312"/>
          <w:color w:val="auto"/>
          <w:kern w:val="0"/>
          <w:sz w:val="34"/>
          <w:szCs w:val="34"/>
        </w:rPr>
        <w:t>应急救援方案及要求。</w:t>
      </w:r>
    </w:p>
    <w:p w14:paraId="609F1224">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（二）项目部或总承包商对上述材料进行审查，符合要求后，与承包商签订《工程项目安全环保管理协议》，总承包商与分承包商也须签订安全协议。</w:t>
      </w:r>
    </w:p>
    <w:p w14:paraId="3850FAA5">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（三）《工程项目安全环保管理协议》包括项目的</w:t>
      </w:r>
      <w:r>
        <w:rPr>
          <w:rFonts w:hint="eastAsia" w:ascii="仿宋_GB2312" w:hAnsi="黑体" w:eastAsia="仿宋_GB2312" w:cs="仿宋_GB2312"/>
          <w:color w:val="auto"/>
          <w:kern w:val="0"/>
          <w:sz w:val="34"/>
          <w:szCs w:val="34"/>
          <w:lang w:val="en-US" w:eastAsia="zh-CN"/>
        </w:rPr>
        <w:t>临时固定动火</w:t>
      </w:r>
      <w:r>
        <w:rPr>
          <w:rFonts w:hint="eastAsia" w:ascii="仿宋_GB2312" w:hAnsi="黑体" w:eastAsia="仿宋_GB2312" w:cs="仿宋_GB2312"/>
          <w:color w:val="auto"/>
          <w:kern w:val="0"/>
          <w:sz w:val="34"/>
          <w:szCs w:val="34"/>
        </w:rPr>
        <w:t>区，及与生产装置相衔接的、在</w:t>
      </w:r>
      <w:r>
        <w:rPr>
          <w:rFonts w:hint="eastAsia" w:ascii="仿宋_GB2312" w:hAnsi="黑体" w:eastAsia="仿宋_GB2312" w:cs="仿宋_GB2312"/>
          <w:color w:val="auto"/>
          <w:kern w:val="0"/>
          <w:sz w:val="34"/>
          <w:szCs w:val="34"/>
          <w:lang w:val="en-US" w:eastAsia="zh-CN"/>
        </w:rPr>
        <w:t>临时固定动火</w:t>
      </w:r>
      <w:r>
        <w:rPr>
          <w:rFonts w:hint="eastAsia" w:ascii="仿宋_GB2312" w:hAnsi="黑体" w:eastAsia="仿宋_GB2312" w:cs="仿宋_GB2312"/>
          <w:color w:val="auto"/>
          <w:kern w:val="0"/>
          <w:sz w:val="34"/>
          <w:szCs w:val="34"/>
        </w:rPr>
        <w:t>区之外的子项目。在</w:t>
      </w:r>
      <w:r>
        <w:rPr>
          <w:rFonts w:hint="eastAsia" w:ascii="仿宋_GB2312" w:hAnsi="黑体" w:eastAsia="仿宋_GB2312" w:cs="仿宋_GB2312"/>
          <w:color w:val="auto"/>
          <w:kern w:val="0"/>
          <w:sz w:val="34"/>
          <w:szCs w:val="34"/>
          <w:lang w:val="en-US" w:eastAsia="zh-CN"/>
        </w:rPr>
        <w:t>临时固定动火</w:t>
      </w:r>
      <w:r>
        <w:rPr>
          <w:rFonts w:hint="eastAsia" w:ascii="仿宋_GB2312" w:hAnsi="黑体" w:eastAsia="仿宋_GB2312" w:cs="仿宋_GB2312"/>
          <w:color w:val="auto"/>
          <w:kern w:val="0"/>
          <w:sz w:val="34"/>
          <w:szCs w:val="34"/>
        </w:rPr>
        <w:t>区区域外的项目施工需要按生产装置区域安全管理要求进行管理，另行签订安全协议和进行安全教育，按生产单元安全管理要求进行管理。</w:t>
      </w:r>
    </w:p>
    <w:p w14:paraId="02A2DB30">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缴纳</w:t>
      </w:r>
      <w:r>
        <w:rPr>
          <w:rFonts w:hint="eastAsia" w:ascii="仿宋_GB2312" w:hAnsi="黑体" w:eastAsia="仿宋_GB2312" w:cs="仿宋_GB2312"/>
          <w:color w:val="auto"/>
          <w:kern w:val="0"/>
          <w:sz w:val="34"/>
          <w:szCs w:val="34"/>
          <w:lang w:val="en-US" w:eastAsia="zh-CN"/>
        </w:rPr>
        <w:t>安全保证</w:t>
      </w:r>
      <w:r>
        <w:rPr>
          <w:rFonts w:hint="eastAsia" w:ascii="仿宋_GB2312" w:hAnsi="黑体" w:eastAsia="仿宋_GB2312" w:cs="仿宋_GB2312"/>
          <w:color w:val="auto"/>
          <w:kern w:val="0"/>
          <w:sz w:val="34"/>
          <w:szCs w:val="34"/>
        </w:rPr>
        <w:t>金</w:t>
      </w:r>
    </w:p>
    <w:p w14:paraId="27189A8D">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承包商按照规定比例足额缴纳</w:t>
      </w:r>
      <w:r>
        <w:rPr>
          <w:rFonts w:hint="eastAsia" w:ascii="仿宋_GB2312" w:hAnsi="黑体" w:eastAsia="仿宋_GB2312" w:cs="仿宋_GB2312"/>
          <w:color w:val="auto"/>
          <w:kern w:val="0"/>
          <w:sz w:val="34"/>
          <w:szCs w:val="34"/>
          <w:lang w:val="en-US" w:eastAsia="zh-CN"/>
        </w:rPr>
        <w:t>安全保证</w:t>
      </w:r>
      <w:r>
        <w:rPr>
          <w:rFonts w:hint="eastAsia" w:ascii="仿宋_GB2312" w:hAnsi="黑体" w:eastAsia="仿宋_GB2312" w:cs="仿宋_GB2312"/>
          <w:color w:val="auto"/>
          <w:kern w:val="0"/>
          <w:sz w:val="34"/>
          <w:szCs w:val="34"/>
        </w:rPr>
        <w:t>金</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rPr>
        <w:t>最低不少于</w:t>
      </w:r>
      <w:r>
        <w:rPr>
          <w:rFonts w:ascii="仿宋_GB2312" w:hAnsi="黑体" w:eastAsia="仿宋_GB2312" w:cs="仿宋_GB2312"/>
          <w:color w:val="auto"/>
          <w:kern w:val="0"/>
          <w:sz w:val="34"/>
          <w:szCs w:val="34"/>
        </w:rPr>
        <w:t>3000</w:t>
      </w:r>
      <w:r>
        <w:rPr>
          <w:rFonts w:hint="eastAsia" w:ascii="仿宋_GB2312" w:hAnsi="黑体" w:eastAsia="仿宋_GB2312" w:cs="仿宋_GB2312"/>
          <w:color w:val="auto"/>
          <w:kern w:val="0"/>
          <w:sz w:val="34"/>
          <w:szCs w:val="34"/>
        </w:rPr>
        <w:t>元，最多不超过</w:t>
      </w:r>
      <w:r>
        <w:rPr>
          <w:rFonts w:ascii="仿宋_GB2312" w:hAnsi="黑体" w:eastAsia="仿宋_GB2312" w:cs="仿宋_GB2312"/>
          <w:color w:val="auto"/>
          <w:kern w:val="0"/>
          <w:sz w:val="34"/>
          <w:szCs w:val="34"/>
        </w:rPr>
        <w:t>50000</w:t>
      </w:r>
      <w:r>
        <w:rPr>
          <w:rFonts w:hint="eastAsia" w:ascii="仿宋_GB2312" w:hAnsi="黑体" w:eastAsia="仿宋_GB2312" w:cs="仿宋_GB2312"/>
          <w:color w:val="auto"/>
          <w:kern w:val="0"/>
          <w:sz w:val="34"/>
          <w:szCs w:val="34"/>
        </w:rPr>
        <w:t>元。按项目闭环管理、专款专用。</w:t>
      </w:r>
      <w:r>
        <w:rPr>
          <w:rFonts w:hint="eastAsia" w:ascii="仿宋_GB2312" w:hAnsi="黑体" w:eastAsia="仿宋_GB2312" w:cs="仿宋_GB2312"/>
          <w:color w:val="auto"/>
          <w:kern w:val="0"/>
          <w:sz w:val="34"/>
          <w:szCs w:val="34"/>
          <w:lang w:val="en-US" w:eastAsia="zh-CN"/>
        </w:rPr>
        <w:t>具体见《</w:t>
      </w:r>
      <w:r>
        <w:rPr>
          <w:rFonts w:hint="eastAsia" w:ascii="仿宋_GB2312" w:hAnsi="黑体" w:eastAsia="仿宋_GB2312" w:cs="仿宋_GB2312"/>
          <w:color w:val="auto"/>
          <w:kern w:val="0"/>
          <w:sz w:val="34"/>
          <w:szCs w:val="34"/>
        </w:rPr>
        <w:t>项目安全保证金管理细则</w:t>
      </w:r>
      <w:r>
        <w:rPr>
          <w:rFonts w:hint="eastAsia" w:ascii="仿宋_GB2312" w:hAnsi="黑体" w:eastAsia="仿宋_GB2312" w:cs="仿宋_GB2312"/>
          <w:color w:val="auto"/>
          <w:kern w:val="0"/>
          <w:sz w:val="34"/>
          <w:szCs w:val="34"/>
          <w:lang w:val="en-US" w:eastAsia="zh-CN"/>
        </w:rPr>
        <w:t>》</w:t>
      </w:r>
      <w:r>
        <w:rPr>
          <w:rFonts w:hint="eastAsia" w:ascii="仿宋_GB2312" w:hAnsi="黑体" w:eastAsia="仿宋_GB2312" w:cs="仿宋_GB2312"/>
          <w:color w:val="auto"/>
          <w:kern w:val="0"/>
          <w:sz w:val="34"/>
          <w:szCs w:val="34"/>
        </w:rPr>
        <w:t>告知书，项目结束无考核扣罚等情况时，全额免息退还。</w:t>
      </w:r>
    </w:p>
    <w:p w14:paraId="4E57C9CE">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第三十九条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进行安全教育，考试合格后发放证件</w:t>
      </w:r>
    </w:p>
    <w:p w14:paraId="13B0BA56">
      <w:pPr>
        <w:numPr>
          <w:ilvl w:val="0"/>
          <w:numId w:val="1"/>
        </w:numPr>
        <w:spacing w:line="600" w:lineRule="exact"/>
        <w:ind w:firstLine="680" w:firstLineChars="200"/>
        <w:rPr>
          <w:rFonts w:hint="eastAsia"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项目部对承包商</w:t>
      </w:r>
      <w:r>
        <w:rPr>
          <w:rFonts w:hint="eastAsia" w:ascii="仿宋_GB2312" w:hAnsi="黑体" w:eastAsia="仿宋_GB2312" w:cs="仿宋_GB2312"/>
          <w:color w:val="auto"/>
          <w:kern w:val="0"/>
          <w:sz w:val="34"/>
          <w:szCs w:val="34"/>
          <w:lang w:val="en-US" w:eastAsia="zh-CN"/>
        </w:rPr>
        <w:t>上报的特殊作业</w:t>
      </w:r>
      <w:r>
        <w:rPr>
          <w:rFonts w:hint="eastAsia" w:ascii="仿宋_GB2312" w:hAnsi="黑体" w:eastAsia="仿宋_GB2312" w:cs="仿宋_GB2312"/>
          <w:color w:val="auto"/>
          <w:kern w:val="0"/>
          <w:sz w:val="34"/>
          <w:szCs w:val="34"/>
        </w:rPr>
        <w:t>票证审批</w:t>
      </w:r>
      <w:r>
        <w:rPr>
          <w:rFonts w:hint="eastAsia" w:ascii="仿宋_GB2312" w:hAnsi="黑体" w:eastAsia="仿宋_GB2312" w:cs="仿宋_GB2312"/>
          <w:color w:val="auto"/>
          <w:kern w:val="0"/>
          <w:sz w:val="34"/>
          <w:szCs w:val="34"/>
          <w:lang w:val="en-US" w:eastAsia="zh-CN"/>
        </w:rPr>
        <w:t>管理</w:t>
      </w:r>
      <w:r>
        <w:rPr>
          <w:rFonts w:hint="eastAsia" w:ascii="仿宋_GB2312" w:hAnsi="黑体" w:eastAsia="仿宋_GB2312" w:cs="仿宋_GB2312"/>
          <w:color w:val="auto"/>
          <w:kern w:val="0"/>
          <w:sz w:val="34"/>
          <w:szCs w:val="34"/>
        </w:rPr>
        <w:t>人员</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lang w:val="en-US" w:eastAsia="zh-CN"/>
        </w:rPr>
        <w:t>作业监护</w:t>
      </w:r>
      <w:r>
        <w:rPr>
          <w:rFonts w:hint="eastAsia" w:ascii="仿宋_GB2312" w:hAnsi="黑体" w:eastAsia="仿宋_GB2312" w:cs="仿宋_GB2312"/>
          <w:color w:val="auto"/>
          <w:kern w:val="0"/>
          <w:sz w:val="34"/>
          <w:szCs w:val="34"/>
        </w:rPr>
        <w:t>人员进行票证审批</w:t>
      </w:r>
      <w:r>
        <w:rPr>
          <w:rFonts w:hint="eastAsia" w:ascii="仿宋_GB2312" w:hAnsi="黑体" w:eastAsia="仿宋_GB2312" w:cs="仿宋_GB2312"/>
          <w:color w:val="auto"/>
          <w:kern w:val="0"/>
          <w:sz w:val="34"/>
          <w:szCs w:val="34"/>
          <w:lang w:val="en-US" w:eastAsia="zh-CN"/>
        </w:rPr>
        <w:t>和作业监护</w:t>
      </w:r>
      <w:r>
        <w:rPr>
          <w:rFonts w:hint="eastAsia" w:ascii="仿宋_GB2312" w:hAnsi="黑体" w:eastAsia="仿宋_GB2312" w:cs="仿宋_GB2312"/>
          <w:color w:val="auto"/>
          <w:kern w:val="0"/>
          <w:sz w:val="34"/>
          <w:szCs w:val="34"/>
        </w:rPr>
        <w:t>资格</w:t>
      </w:r>
      <w:r>
        <w:rPr>
          <w:rFonts w:hint="eastAsia" w:ascii="仿宋_GB2312" w:hAnsi="黑体" w:eastAsia="仿宋_GB2312" w:cs="仿宋_GB2312"/>
          <w:color w:val="auto"/>
          <w:kern w:val="0"/>
          <w:sz w:val="34"/>
          <w:szCs w:val="34"/>
          <w:lang w:val="en-US" w:eastAsia="zh-CN"/>
        </w:rPr>
        <w:t>培训考核</w:t>
      </w:r>
      <w:r>
        <w:rPr>
          <w:rFonts w:hint="eastAsia" w:ascii="仿宋_GB2312" w:hAnsi="黑体" w:eastAsia="仿宋_GB2312" w:cs="仿宋_GB2312"/>
          <w:color w:val="auto"/>
          <w:kern w:val="0"/>
          <w:sz w:val="34"/>
          <w:szCs w:val="34"/>
        </w:rPr>
        <w:t>，合格者</w:t>
      </w:r>
      <w:r>
        <w:rPr>
          <w:rFonts w:hint="eastAsia" w:ascii="仿宋_GB2312" w:hAnsi="黑体" w:eastAsia="仿宋_GB2312" w:cs="仿宋_GB2312"/>
          <w:color w:val="auto"/>
          <w:kern w:val="0"/>
          <w:sz w:val="34"/>
          <w:szCs w:val="34"/>
          <w:lang w:val="en-US" w:eastAsia="zh-CN"/>
        </w:rPr>
        <w:t>配发相应臂章，现场佩戴行使职责，并及时公布公示特殊作业票证审批</w:t>
      </w:r>
      <w:r>
        <w:rPr>
          <w:rFonts w:hint="eastAsia" w:ascii="仿宋_GB2312" w:hAnsi="黑体" w:eastAsia="仿宋_GB2312" w:cs="仿宋_GB2312"/>
          <w:color w:val="auto"/>
          <w:kern w:val="0"/>
          <w:sz w:val="34"/>
          <w:szCs w:val="34"/>
        </w:rPr>
        <w:t>人员</w:t>
      </w:r>
      <w:r>
        <w:rPr>
          <w:rFonts w:hint="eastAsia" w:ascii="仿宋_GB2312" w:hAnsi="黑体" w:eastAsia="仿宋_GB2312" w:cs="仿宋_GB2312"/>
          <w:color w:val="auto"/>
          <w:kern w:val="0"/>
          <w:sz w:val="34"/>
          <w:szCs w:val="34"/>
          <w:lang w:val="en-US" w:eastAsia="zh-CN"/>
        </w:rPr>
        <w:t>和监护人员的名单、</w:t>
      </w:r>
      <w:r>
        <w:rPr>
          <w:rFonts w:hint="eastAsia" w:ascii="仿宋_GB2312" w:hAnsi="黑体" w:eastAsia="仿宋_GB2312" w:cs="仿宋_GB2312"/>
          <w:color w:val="auto"/>
          <w:kern w:val="0"/>
          <w:sz w:val="34"/>
          <w:szCs w:val="34"/>
        </w:rPr>
        <w:t>准许资格</w:t>
      </w:r>
      <w:r>
        <w:rPr>
          <w:rFonts w:hint="eastAsia" w:ascii="仿宋_GB2312" w:hAnsi="黑体" w:eastAsia="仿宋_GB2312" w:cs="仿宋_GB2312"/>
          <w:color w:val="auto"/>
          <w:kern w:val="0"/>
          <w:sz w:val="34"/>
          <w:szCs w:val="34"/>
          <w:lang w:val="en-US" w:eastAsia="zh-CN"/>
        </w:rPr>
        <w:t>和生效日期</w:t>
      </w:r>
      <w:r>
        <w:rPr>
          <w:rFonts w:hint="eastAsia" w:ascii="仿宋_GB2312" w:hAnsi="黑体" w:eastAsia="仿宋_GB2312" w:cs="仿宋_GB2312"/>
          <w:color w:val="auto"/>
          <w:kern w:val="0"/>
          <w:sz w:val="34"/>
          <w:szCs w:val="34"/>
        </w:rPr>
        <w:t>。</w:t>
      </w:r>
      <w:bookmarkStart w:id="4" w:name="_GoBack"/>
      <w:bookmarkEnd w:id="4"/>
    </w:p>
    <w:p w14:paraId="5DA1F85D">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（二）项目部或总承包商施工人员进行安全教育，考试合格后，长期施工人员，由项目部办理《外工上岗证》；短期施工人员，由项目部或总承包商开具短期施工证明。</w:t>
      </w:r>
    </w:p>
    <w:p w14:paraId="35AC910A">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（三）承包商项目部对施工人员进行二级安全教育、培训及考试；承包商施工队对施工人员进行三级安全教育、培训和考试。</w:t>
      </w:r>
    </w:p>
    <w:p w14:paraId="48D51CA6">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入场施工</w:t>
      </w:r>
    </w:p>
    <w:p w14:paraId="660F52F1">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承包商项目负责人组织施工人员、设备、工具进入施工现场，按照《项目作业票证办理和审批规定》，制订施工方案并按照流程审批，办理相关作业票证，对施工人员进行安全交底，落实好所有安全措施，票证审批人员检查确认并审批相关作业票证后，开始施工作业。</w:t>
      </w:r>
    </w:p>
    <w:p w14:paraId="4400A242">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第四十一条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现场管理和监管</w:t>
      </w:r>
    </w:p>
    <w:p w14:paraId="377A4DD6">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（一）承包商按照本制度和规定的相关要求，对现场施工进行管理。</w:t>
      </w:r>
    </w:p>
    <w:p w14:paraId="5B085241">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（二）监理单位严格履行监理职责，做好监管工作。</w:t>
      </w:r>
    </w:p>
    <w:p w14:paraId="6C02F0CF">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（三）项目部各职能专业按照职责要求，对承包商施工实施全过程监督管理。</w:t>
      </w:r>
    </w:p>
    <w:p w14:paraId="0E392DDD">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第四十二条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项目结束，项目承包商退场</w:t>
      </w:r>
    </w:p>
    <w:p w14:paraId="1DE21B39">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项目结束之后，项目部或总承包商依据承包商作业全过程监督情况，退还承包商的安全环保风险抵押金，承包商退场。</w:t>
      </w:r>
    </w:p>
    <w:p w14:paraId="0A3ED684">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第五章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项目安全教育规定</w:t>
      </w:r>
    </w:p>
    <w:p w14:paraId="3EE7AD37">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第四十三条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项目部针对基建及产业项目承包商施工人员，实行三级安全教育、培训。</w:t>
      </w:r>
    </w:p>
    <w:p w14:paraId="69CCE10A">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第四十四条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项目部安全教育职责：</w:t>
      </w:r>
    </w:p>
    <w:p w14:paraId="66146F83">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（一）负责对总承包单位、建设方招标的专业分包单位项目部管理人员及监理单位、勘察单位、设计单位、供应商的进场人员进行资质审查和一级安全教育。</w:t>
      </w:r>
    </w:p>
    <w:p w14:paraId="0058AF8C">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（二）针对施工人员的安全教育内容包括：</w:t>
      </w:r>
    </w:p>
    <w:p w14:paraId="385D5EC6">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索普</w:t>
      </w:r>
      <w:r>
        <w:rPr>
          <w:rFonts w:hint="eastAsia" w:ascii="仿宋_GB2312" w:hAnsi="黑体" w:eastAsia="仿宋_GB2312" w:cs="仿宋_GB2312"/>
          <w:color w:val="auto"/>
          <w:kern w:val="0"/>
          <w:sz w:val="34"/>
          <w:szCs w:val="34"/>
          <w:lang w:val="en-US" w:eastAsia="zh-CN"/>
        </w:rPr>
        <w:t>相关分公司</w:t>
      </w:r>
      <w:r>
        <w:rPr>
          <w:rFonts w:hint="eastAsia" w:ascii="仿宋_GB2312" w:hAnsi="黑体" w:eastAsia="仿宋_GB2312" w:cs="仿宋_GB2312"/>
          <w:color w:val="auto"/>
          <w:kern w:val="0"/>
          <w:sz w:val="34"/>
          <w:szCs w:val="34"/>
        </w:rPr>
        <w:t>对项目承包商和施工人员的安全管理基本要求；</w:t>
      </w:r>
    </w:p>
    <w:p w14:paraId="03B002C9">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票证办理和审批要求；</w:t>
      </w:r>
    </w:p>
    <w:p w14:paraId="6D7E2149">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现场作业和监护要求；</w:t>
      </w:r>
    </w:p>
    <w:p w14:paraId="39E24448">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4.</w:t>
      </w:r>
      <w:r>
        <w:rPr>
          <w:rFonts w:hint="eastAsia" w:ascii="仿宋_GB2312" w:hAnsi="黑体" w:eastAsia="仿宋_GB2312" w:cs="仿宋_GB2312"/>
          <w:color w:val="auto"/>
          <w:kern w:val="0"/>
          <w:sz w:val="34"/>
          <w:szCs w:val="34"/>
        </w:rPr>
        <w:t>违章处罚要点；</w:t>
      </w:r>
    </w:p>
    <w:p w14:paraId="149774C8">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5.</w:t>
      </w:r>
      <w:r>
        <w:rPr>
          <w:rFonts w:hint="eastAsia" w:ascii="仿宋_GB2312" w:hAnsi="黑体" w:eastAsia="仿宋_GB2312" w:cs="仿宋_GB2312"/>
          <w:color w:val="auto"/>
          <w:kern w:val="0"/>
          <w:sz w:val="34"/>
          <w:szCs w:val="34"/>
        </w:rPr>
        <w:t>应急救援要求。</w:t>
      </w:r>
    </w:p>
    <w:p w14:paraId="0ED7EF2F">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6.</w:t>
      </w:r>
      <w:r>
        <w:rPr>
          <w:rFonts w:hint="eastAsia" w:ascii="仿宋_GB2312" w:hAnsi="黑体" w:eastAsia="仿宋_GB2312" w:cs="仿宋_GB2312"/>
          <w:color w:val="auto"/>
          <w:kern w:val="0"/>
          <w:sz w:val="34"/>
          <w:szCs w:val="34"/>
        </w:rPr>
        <w:t>检修事故案例。</w:t>
      </w:r>
    </w:p>
    <w:p w14:paraId="02B55C48">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（三）对施工人员进行安全教育、培训和考试，考试合格者，长期施工人员由项目部下发《外工作业证》，短期施工人员，由项目部开具短期施工证明。</w:t>
      </w:r>
    </w:p>
    <w:p w14:paraId="357A9B48">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（四）针对部分勘探、设计、技术服务和技术指导等不涉及动火、高处、吊装、受限空间、盲板抽堵等危险作业的人员，进行安全告知，填写《安全环保教育告知卡》后，作业人员具备作业资格。</w:t>
      </w:r>
    </w:p>
    <w:p w14:paraId="3D5CCCFA">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对总承包商，及与项目部签订安全协议的承包商的票证审批人员进行资质审查，符合要求者安排安全教育和票证审批资格考试，考试合格者具备票证审批资格，由项目部颁发票证审批资格胸牌，现场审批票证时必须佩戴。</w:t>
      </w:r>
    </w:p>
    <w:p w14:paraId="7F86E462">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（六）针对总承包商票证审批人员的培训内容包括：</w:t>
      </w:r>
    </w:p>
    <w:p w14:paraId="5A63B29B">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危险危害因素的识别和控制；</w:t>
      </w:r>
    </w:p>
    <w:p w14:paraId="0BB2B238">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施工方案中施工安全注意事项要点；</w:t>
      </w:r>
    </w:p>
    <w:p w14:paraId="0364C97C">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票证填写要求；</w:t>
      </w:r>
    </w:p>
    <w:p w14:paraId="3474856C">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4.</w:t>
      </w:r>
      <w:r>
        <w:rPr>
          <w:rFonts w:hint="eastAsia" w:ascii="仿宋_GB2312" w:hAnsi="黑体" w:eastAsia="仿宋_GB2312" w:cs="仿宋_GB2312"/>
          <w:color w:val="auto"/>
          <w:kern w:val="0"/>
          <w:sz w:val="34"/>
          <w:szCs w:val="34"/>
        </w:rPr>
        <w:t>票证审批程序。</w:t>
      </w:r>
    </w:p>
    <w:p w14:paraId="0B7DF22B">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（七）对由总承包单位实施的一级安全教育进行监管和检查。</w:t>
      </w:r>
    </w:p>
    <w:p w14:paraId="6559E671">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第四十五条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总承包单位安全教育职责：</w:t>
      </w:r>
    </w:p>
    <w:p w14:paraId="70927080">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（一）对本单位施工人员进行三级安全教育。</w:t>
      </w:r>
    </w:p>
    <w:p w14:paraId="68361F5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（二）对专业分包及劳务分包单位人员进行资质审查和一级安全教育。</w:t>
      </w:r>
    </w:p>
    <w:p w14:paraId="2958D8AC">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（三）将由本单位进行教育并考试合格的一级安全教育人员清单包括单位、姓名、性别、身份证号码、考试成绩、特种作业证号</w:t>
      </w:r>
      <w:r>
        <w:rPr>
          <w:rFonts w:hint="eastAsia" w:ascii="仿宋_GB2312" w:hAnsi="黑体" w:eastAsia="仿宋_GB2312" w:cs="仿宋_GB2312"/>
          <w:color w:val="auto"/>
          <w:kern w:val="0"/>
          <w:sz w:val="34"/>
          <w:szCs w:val="34"/>
          <w:lang w:val="en-US" w:eastAsia="zh-CN"/>
        </w:rPr>
        <w:t>及有效期</w:t>
      </w:r>
      <w:r>
        <w:rPr>
          <w:rFonts w:hint="eastAsia" w:ascii="仿宋_GB2312" w:hAnsi="黑体" w:eastAsia="仿宋_GB2312" w:cs="仿宋_GB2312"/>
          <w:color w:val="auto"/>
          <w:kern w:val="0"/>
          <w:sz w:val="34"/>
          <w:szCs w:val="34"/>
        </w:rPr>
        <w:t>等报项目部备案。</w:t>
      </w:r>
    </w:p>
    <w:p w14:paraId="60864A8E">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（四）对由本单位进行教育并考试合格的短期施工人员开具短期施工证明。</w:t>
      </w:r>
    </w:p>
    <w:p w14:paraId="5BD6E7D2">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承包商安全教育职责：</w:t>
      </w:r>
    </w:p>
    <w:p w14:paraId="7E92E698">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（一）承包商项目部对施工人员进行二级安全教育、培训及考试。内容包括施工安全规定、施工方案、控制措施、危险识别、安全交底、现场工器具性能检查要求等。</w:t>
      </w:r>
    </w:p>
    <w:p w14:paraId="09A56699">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（二）承包商施工队对施工人员进行三级安全教育、培训和考试。内容包括对施工方案的学习、安全交底、安全施工注意事项等。</w:t>
      </w:r>
    </w:p>
    <w:p w14:paraId="27671A5A">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二级、三级安全教育、培训和考试结束后，承包商将安全教育材料、二级和三级考试人员的名单及成绩报项目部或总承包商备案，然后由项目部或总承包商对承包商施工人员进行一级安全教育、培训和考试工作。</w:t>
      </w:r>
    </w:p>
    <w:p w14:paraId="2E2298B7">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考试要求：施工人员如有不识字者，由承包商安排专人讲解安全教育材料内容。考试时，由本人执笔进行答题，即由承包商安排人员讲述题目内容，考试人员自行判断并做出选择。禁止</w:t>
      </w:r>
      <w:r>
        <w:rPr>
          <w:rFonts w:hint="eastAsia" w:ascii="仿宋_GB2312" w:hAnsi="黑体" w:eastAsia="仿宋_GB2312" w:cs="仿宋_GB2312"/>
          <w:color w:val="auto"/>
          <w:kern w:val="0"/>
          <w:sz w:val="34"/>
          <w:szCs w:val="34"/>
          <w:lang w:val="en-US" w:eastAsia="zh-CN"/>
        </w:rPr>
        <w:t>他</w:t>
      </w:r>
      <w:r>
        <w:rPr>
          <w:rFonts w:hint="eastAsia" w:ascii="仿宋_GB2312" w:hAnsi="黑体" w:eastAsia="仿宋_GB2312" w:cs="仿宋_GB2312"/>
          <w:color w:val="auto"/>
          <w:kern w:val="0"/>
          <w:sz w:val="34"/>
          <w:szCs w:val="34"/>
        </w:rPr>
        <w:t>人代做试卷。在考试过程中，有舞弊行为者，按索普股份相关考试制度进行处罚。</w:t>
      </w:r>
    </w:p>
    <w:p w14:paraId="06E456C4">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《外工上岗证》、短期施工证明、《安全环保教育告知卡》管理要求：</w:t>
      </w:r>
    </w:p>
    <w:p w14:paraId="084C4E20">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（一）长期施工人员，由项目部统一制作《外工上岗证》。</w:t>
      </w:r>
    </w:p>
    <w:p w14:paraId="7D8002BC">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（二）短期施工人员，经教育、考试合格后，由项目部或总承包单位出具短期施工证明后，也可进入现场进行施工。施工不得超出证明所开具的时间期限及内容。</w:t>
      </w:r>
    </w:p>
    <w:p w14:paraId="54958295">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（三）总承包单位出具安全教育证明后，应立即将证明以电子文档形式报项目部备案。</w:t>
      </w:r>
    </w:p>
    <w:p w14:paraId="358FF453">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（四）如承包商长期施工人员已有《外工作业证》，只需经项目部教育并考试合格，将成绩登记在《外工作业证》上，并签字盖章即可。</w:t>
      </w:r>
    </w:p>
    <w:p w14:paraId="486701B1">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（五）施工人员凭《外工上岗证》、短期施工证明或《安全环保教育告知卡》入场施工。安全教育证明、外工上岗证或安全告知卡遗失后，必须立即进行补办。</w:t>
      </w:r>
    </w:p>
    <w:p w14:paraId="1DB5F5D1">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第六章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安全文明施工规定</w:t>
      </w:r>
    </w:p>
    <w:p w14:paraId="324AA211">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第四十九条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施工区域设置要求：</w:t>
      </w:r>
    </w:p>
    <w:p w14:paraId="38A428FE">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施工现场必须设有“五牌一图”，即工程概况牌其内容包括工程项目名称、承包单位、进度要求，管理人员名单及监督电话牌、消防保卫（防火责任）牌、安全生产牌、文明施工和环境保护牌和施工现场总平面图。</w:t>
      </w:r>
    </w:p>
    <w:p w14:paraId="27046B01">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其中施工现场总平面图必须包括以下内容：</w:t>
      </w:r>
    </w:p>
    <w:p w14:paraId="32F57944">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一切地上、地下已有和拟建的建筑物、构筑物及其他设施的位置和尺寸。</w:t>
      </w:r>
    </w:p>
    <w:p w14:paraId="5DB879D3">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一切为施工服务的临时设施的布置，其中包括：</w:t>
      </w:r>
    </w:p>
    <w:p w14:paraId="2C4CC99A">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工地上各种运输业务用的建筑物和道路；</w:t>
      </w:r>
    </w:p>
    <w:p w14:paraId="5B54624C">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各种加工厂、半成品制备站及机械化装置；</w:t>
      </w:r>
    </w:p>
    <w:p w14:paraId="0A34612F">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各种建筑材料、半成品、构配件的仓库及堆场；</w:t>
      </w:r>
    </w:p>
    <w:p w14:paraId="63AEA8BC">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(4)</w:t>
      </w:r>
      <w:r>
        <w:rPr>
          <w:rFonts w:hint="eastAsia" w:ascii="仿宋_GB2312" w:hAnsi="黑体" w:eastAsia="仿宋_GB2312" w:cs="仿宋_GB2312"/>
          <w:color w:val="auto"/>
          <w:kern w:val="0"/>
          <w:sz w:val="34"/>
          <w:szCs w:val="34"/>
        </w:rPr>
        <w:t>施工管理用的办公室；</w:t>
      </w:r>
    </w:p>
    <w:p w14:paraId="3198EB00">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(5)</w:t>
      </w:r>
      <w:r>
        <w:rPr>
          <w:rFonts w:hint="eastAsia" w:ascii="仿宋_GB2312" w:hAnsi="黑体" w:eastAsia="仿宋_GB2312" w:cs="仿宋_GB2312"/>
          <w:color w:val="auto"/>
          <w:kern w:val="0"/>
          <w:sz w:val="34"/>
          <w:szCs w:val="34"/>
        </w:rPr>
        <w:t>临时给、排水的管线，动力、照明供电线路；</w:t>
      </w:r>
    </w:p>
    <w:p w14:paraId="7B9F48DC">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(6)</w:t>
      </w:r>
      <w:r>
        <w:rPr>
          <w:rFonts w:hint="eastAsia" w:ascii="仿宋_GB2312" w:hAnsi="黑体" w:eastAsia="仿宋_GB2312" w:cs="仿宋_GB2312"/>
          <w:color w:val="auto"/>
          <w:kern w:val="0"/>
          <w:sz w:val="34"/>
          <w:szCs w:val="34"/>
        </w:rPr>
        <w:t>保安及防火的设施等。</w:t>
      </w:r>
    </w:p>
    <w:p w14:paraId="6C221E96">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取土及弃土的位置，渣土车清洗装置位置。</w:t>
      </w:r>
    </w:p>
    <w:p w14:paraId="72A62F7B">
      <w:pPr>
        <w:spacing w:line="600" w:lineRule="exact"/>
        <w:ind w:firstLine="680" w:firstLineChars="200"/>
        <w:jc w:val="left"/>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4.</w:t>
      </w:r>
      <w:r>
        <w:rPr>
          <w:rFonts w:hint="eastAsia" w:ascii="仿宋_GB2312" w:hAnsi="黑体" w:eastAsia="仿宋_GB2312" w:cs="仿宋_GB2312"/>
          <w:color w:val="auto"/>
          <w:kern w:val="0"/>
          <w:sz w:val="34"/>
          <w:szCs w:val="34"/>
        </w:rPr>
        <w:t>地形、地貌及坐标位置。</w:t>
      </w:r>
    </w:p>
    <w:p w14:paraId="51B2128E">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（二）基建及产业项目必须采取有效的隔离措施，与正常的生产区域隔离，确保基建及产业项目</w:t>
      </w:r>
      <w:r>
        <w:rPr>
          <w:rFonts w:hint="eastAsia" w:ascii="仿宋_GB2312" w:hAnsi="黑体" w:eastAsia="仿宋_GB2312" w:cs="仿宋_GB2312"/>
          <w:color w:val="auto"/>
          <w:kern w:val="0"/>
          <w:sz w:val="34"/>
          <w:szCs w:val="34"/>
          <w:lang w:val="en-US" w:eastAsia="zh-CN"/>
        </w:rPr>
        <w:t>建设施工和正常</w:t>
      </w:r>
      <w:r>
        <w:rPr>
          <w:rFonts w:hint="eastAsia" w:ascii="仿宋_GB2312" w:hAnsi="黑体" w:eastAsia="仿宋_GB2312" w:cs="仿宋_GB2312"/>
          <w:color w:val="auto"/>
          <w:kern w:val="0"/>
          <w:sz w:val="34"/>
          <w:szCs w:val="34"/>
        </w:rPr>
        <w:t>生产</w:t>
      </w:r>
      <w:r>
        <w:rPr>
          <w:rFonts w:hint="eastAsia" w:ascii="仿宋_GB2312" w:hAnsi="黑体" w:eastAsia="仿宋_GB2312" w:cs="仿宋_GB2312"/>
          <w:color w:val="auto"/>
          <w:kern w:val="0"/>
          <w:sz w:val="34"/>
          <w:szCs w:val="34"/>
          <w:lang w:val="en-US" w:eastAsia="zh-CN"/>
        </w:rPr>
        <w:t>活动之间没有相互</w:t>
      </w:r>
      <w:r>
        <w:rPr>
          <w:rFonts w:hint="eastAsia" w:ascii="仿宋_GB2312" w:hAnsi="黑体" w:eastAsia="仿宋_GB2312" w:cs="仿宋_GB2312"/>
          <w:color w:val="auto"/>
          <w:kern w:val="0"/>
          <w:sz w:val="34"/>
          <w:szCs w:val="34"/>
        </w:rPr>
        <w:t>影响。</w:t>
      </w:r>
    </w:p>
    <w:p w14:paraId="12DDF791">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（三）施工现场应做好规划，设置有主干道、消防通道和疏散逃生通道，划定施工区、吊装区、定置摆放点。</w:t>
      </w:r>
    </w:p>
    <w:p w14:paraId="00DCC043">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（四）施工现场必须设置不低于</w:t>
      </w:r>
      <w:r>
        <w:rPr>
          <w:rFonts w:ascii="仿宋_GB2312" w:hAnsi="黑体" w:eastAsia="仿宋_GB2312" w:cs="仿宋_GB2312"/>
          <w:color w:val="auto"/>
          <w:kern w:val="0"/>
          <w:sz w:val="34"/>
          <w:szCs w:val="34"/>
        </w:rPr>
        <w:t>1.8</w:t>
      </w:r>
      <w:r>
        <w:rPr>
          <w:rFonts w:hint="eastAsia" w:ascii="仿宋_GB2312" w:hAnsi="黑体" w:eastAsia="仿宋_GB2312" w:cs="仿宋_GB2312"/>
          <w:color w:val="auto"/>
          <w:kern w:val="0"/>
          <w:sz w:val="34"/>
          <w:szCs w:val="34"/>
        </w:rPr>
        <w:t>－</w:t>
      </w:r>
      <w:r>
        <w:rPr>
          <w:rFonts w:ascii="仿宋_GB2312" w:hAnsi="黑体" w:eastAsia="仿宋_GB2312" w:cs="仿宋_GB2312"/>
          <w:color w:val="auto"/>
          <w:kern w:val="0"/>
          <w:sz w:val="34"/>
          <w:szCs w:val="34"/>
        </w:rPr>
        <w:t>2.5</w:t>
      </w:r>
      <w:r>
        <w:rPr>
          <w:rFonts w:hint="eastAsia" w:ascii="仿宋_GB2312" w:hAnsi="黑体" w:eastAsia="仿宋_GB2312" w:cs="仿宋_GB2312"/>
          <w:color w:val="auto"/>
          <w:kern w:val="0"/>
          <w:sz w:val="34"/>
          <w:szCs w:val="34"/>
        </w:rPr>
        <w:t>米高的全封闭围挡；封闭材质要求坚固、稳定，抗风压不得低于</w:t>
      </w:r>
      <w:r>
        <w:rPr>
          <w:rFonts w:ascii="仿宋_GB2312" w:hAnsi="黑体" w:eastAsia="仿宋_GB2312" w:cs="仿宋_GB2312"/>
          <w:color w:val="auto"/>
          <w:kern w:val="0"/>
          <w:sz w:val="34"/>
          <w:szCs w:val="34"/>
        </w:rPr>
        <w:t>8</w:t>
      </w:r>
      <w:r>
        <w:rPr>
          <w:rFonts w:hint="eastAsia" w:ascii="仿宋_GB2312" w:hAnsi="黑体" w:eastAsia="仿宋_GB2312" w:cs="仿宋_GB2312"/>
          <w:color w:val="auto"/>
          <w:kern w:val="0"/>
          <w:sz w:val="34"/>
          <w:szCs w:val="34"/>
        </w:rPr>
        <w:t>级风。</w:t>
      </w:r>
    </w:p>
    <w:p w14:paraId="25DFABF6">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（五）施工区域应清除易燃易爆物品、可燃物等。</w:t>
      </w:r>
    </w:p>
    <w:p w14:paraId="6D0910E7">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（六）进场施工后，首先应对主要道路及材料加工区地面进行场地平整和路面硬化处理。减少扬尘，方便管理和施工，提高工作效率。</w:t>
      </w:r>
    </w:p>
    <w:p w14:paraId="6C335F34">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（七）在施工现场出口设置渣土车清洗装置。清洗装置要有上水、排水和淤泥收集池；并安排专人冲洗车辆、清理淤泥。车辆要冲洗干净，淤泥应及时清理。</w:t>
      </w:r>
    </w:p>
    <w:p w14:paraId="159AA127">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公示标牌、安全标志、应急救援牌的设置要求：</w:t>
      </w:r>
    </w:p>
    <w:p w14:paraId="2095EC49">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（一）施工现场必须有安全承诺公示牌。</w:t>
      </w:r>
    </w:p>
    <w:p w14:paraId="6154BD25">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（二）施工现场悬挂、张贴安全标语。</w:t>
      </w:r>
    </w:p>
    <w:p w14:paraId="754E27DE">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（三）承包商对各工种每个阶段存在的风险进行分析，并针对性地制定安全措施。</w:t>
      </w:r>
    </w:p>
    <w:p w14:paraId="511159F6">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（四）安全警示标志：</w:t>
      </w:r>
    </w:p>
    <w:p w14:paraId="2818485B">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在施工现场入口处、施工起重机械、临时用电设施、脚手架、出入通道口、楼梯口、电梯井口、孔洞口、基坑边沿、有害危险气体和液体存放处及泄漏扩散临近区域等危险部位，设置明显的安全警示标志。安全警示标志必须符合国家标准。</w:t>
      </w:r>
    </w:p>
    <w:p w14:paraId="45BF8DFB">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绘制现场安全标志布置图。</w:t>
      </w:r>
    </w:p>
    <w:p w14:paraId="6D407C07">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安全标志如有损坏，应及时补充。</w:t>
      </w:r>
    </w:p>
    <w:p w14:paraId="4CEBCF26">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（五）有害危险气体和液体存放处及泄漏扩散临近区域设置报警装置。报警装置的数量以及位置的选择，要确保发生泄漏事故时能够及时监测并报警。报警装置旁应张贴报警值说明、岗位联系电话和报警电话。</w:t>
      </w:r>
    </w:p>
    <w:p w14:paraId="610D98C9">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（六）每个施工现场必须悬挂应急救援牌。要求做到：</w:t>
      </w:r>
    </w:p>
    <w:p w14:paraId="2CB507B5">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1.</w:t>
      </w:r>
      <w:r>
        <w:rPr>
          <w:rFonts w:hint="eastAsia" w:ascii="仿宋_GB2312" w:hAnsi="黑体" w:eastAsia="仿宋_GB2312" w:cs="仿宋_GB2312"/>
          <w:color w:val="auto"/>
          <w:kern w:val="0"/>
          <w:sz w:val="34"/>
          <w:szCs w:val="34"/>
        </w:rPr>
        <w:t>应急救援牌内容包括以下要点：周边生产装置的危险介质和特性、防范措施和防护器材、岗位联系人及电话、应急救援负责人及电话、风向旗位置、疏散通道和示意图、撤离疏散逃生要点、集合点等。</w:t>
      </w:r>
    </w:p>
    <w:p w14:paraId="026E21E3">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2.</w:t>
      </w:r>
      <w:r>
        <w:rPr>
          <w:rFonts w:hint="eastAsia" w:ascii="仿宋_GB2312" w:hAnsi="黑体" w:eastAsia="仿宋_GB2312" w:cs="仿宋_GB2312"/>
          <w:color w:val="auto"/>
          <w:kern w:val="0"/>
          <w:sz w:val="34"/>
          <w:szCs w:val="34"/>
        </w:rPr>
        <w:t>应急救援牌应有专人负责，并进行有效管理。</w:t>
      </w:r>
    </w:p>
    <w:p w14:paraId="4CBE5BF6">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3.</w:t>
      </w:r>
      <w:r>
        <w:rPr>
          <w:rFonts w:hint="eastAsia" w:ascii="仿宋_GB2312" w:hAnsi="黑体" w:eastAsia="仿宋_GB2312" w:cs="仿宋_GB2312"/>
          <w:color w:val="auto"/>
          <w:kern w:val="0"/>
          <w:sz w:val="34"/>
          <w:szCs w:val="34"/>
        </w:rPr>
        <w:t>应急救援牌相关内容发生变化后，应及时更新。</w:t>
      </w:r>
    </w:p>
    <w:p w14:paraId="3CB81D8F">
      <w:pPr>
        <w:spacing w:line="600" w:lineRule="exact"/>
        <w:ind w:firstLine="680" w:firstLineChars="200"/>
        <w:rPr>
          <w:rFonts w:ascii="仿宋_GB2312" w:hAnsi="黑体" w:eastAsia="仿宋_GB2312" w:cs="仿宋_GB2312"/>
          <w:color w:val="auto"/>
          <w:kern w:val="0"/>
          <w:sz w:val="34"/>
          <w:szCs w:val="34"/>
        </w:rPr>
      </w:pPr>
      <w:r>
        <w:rPr>
          <w:rFonts w:ascii="仿宋_GB2312" w:hAnsi="黑体" w:eastAsia="仿宋_GB2312" w:cs="仿宋_GB2312"/>
          <w:color w:val="auto"/>
          <w:kern w:val="0"/>
          <w:sz w:val="34"/>
          <w:szCs w:val="34"/>
        </w:rPr>
        <w:t>4.</w:t>
      </w:r>
      <w:r>
        <w:rPr>
          <w:rFonts w:hint="eastAsia" w:ascii="仿宋_GB2312" w:hAnsi="黑体" w:eastAsia="仿宋_GB2312" w:cs="仿宋_GB2312"/>
          <w:color w:val="auto"/>
          <w:kern w:val="0"/>
          <w:sz w:val="34"/>
          <w:szCs w:val="34"/>
        </w:rPr>
        <w:t>应急救援牌如有损坏，应及时修复。</w:t>
      </w:r>
    </w:p>
    <w:p w14:paraId="2CCB5DE9">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第五十一条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材料管理要求：建筑材料、构件、料具按总平面布局码放。材料标牌要统一。材料必须按类码放，标明名称、规格。码放整齐，高度要符合要求。需要绑扎的材料都应进行绑扎。拆除下来的材料也要码放整齐，并及时清理。</w:t>
      </w:r>
    </w:p>
    <w:p w14:paraId="4FFF7F43">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第五十二条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坑洞防护要求：</w:t>
      </w:r>
    </w:p>
    <w:p w14:paraId="50C90732">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（一）在开挖深度超过</w:t>
      </w:r>
      <w:r>
        <w:rPr>
          <w:rFonts w:ascii="仿宋_GB2312" w:hAnsi="黑体" w:eastAsia="仿宋_GB2312" w:cs="仿宋_GB2312"/>
          <w:color w:val="auto"/>
          <w:kern w:val="0"/>
          <w:sz w:val="34"/>
          <w:szCs w:val="34"/>
        </w:rPr>
        <w:t>2M</w:t>
      </w:r>
      <w:r>
        <w:rPr>
          <w:rFonts w:hint="eastAsia" w:ascii="仿宋_GB2312" w:hAnsi="黑体" w:eastAsia="仿宋_GB2312" w:cs="仿宋_GB2312"/>
          <w:color w:val="auto"/>
          <w:kern w:val="0"/>
          <w:sz w:val="34"/>
          <w:szCs w:val="34"/>
        </w:rPr>
        <w:t>的基坑周边按照要求设置防护栏杆，立杆、纵向杆、横向杆高度、间距和强度均要符合要求。</w:t>
      </w:r>
    </w:p>
    <w:p w14:paraId="564B9256">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（二）基坑内设置符合规范要求的供施工人员上下的专用梯道。梯道应设置扶手栏杆，梯道的宽度不应小于</w:t>
      </w:r>
      <w:r>
        <w:rPr>
          <w:rFonts w:ascii="仿宋_GB2312" w:hAnsi="黑体" w:eastAsia="仿宋_GB2312" w:cs="仿宋_GB2312"/>
          <w:color w:val="auto"/>
          <w:kern w:val="0"/>
          <w:sz w:val="34"/>
          <w:szCs w:val="34"/>
        </w:rPr>
        <w:t>1m</w:t>
      </w:r>
      <w:r>
        <w:rPr>
          <w:rFonts w:hint="eastAsia" w:ascii="仿宋_GB2312" w:hAnsi="黑体" w:eastAsia="仿宋_GB2312" w:cs="仿宋_GB2312"/>
          <w:color w:val="auto"/>
          <w:kern w:val="0"/>
          <w:sz w:val="34"/>
          <w:szCs w:val="34"/>
        </w:rPr>
        <w:t>，梯道搭设应符合规范要求。</w:t>
      </w:r>
    </w:p>
    <w:p w14:paraId="1A530C21">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（三）现场的坑洞必须做好安全防护，可以使用定制的移动式防护栏杆，或用钢管和扣件搭建防护栏杆。</w:t>
      </w:r>
    </w:p>
    <w:p w14:paraId="6FCF42BD">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第五十三条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安全防护设施检查要求：</w:t>
      </w:r>
    </w:p>
    <w:p w14:paraId="45BF68B4">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（一）脚手架、梯子、过桥、坑洞围栏等安全防护设施搭设完成后，必须由项目负责人、专业技术人员、安全人员、安全监理等在施工方案上检查验收签字，并存档。</w:t>
      </w:r>
    </w:p>
    <w:p w14:paraId="054E3AB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（二）重大项目的安全防护设施要报项目部审批、备案，并现场验收。</w:t>
      </w:r>
    </w:p>
    <w:p w14:paraId="066C04F9">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（三）在施工过程中，安全防护设施挪动后，应及时复位；如有损坏，应及时修复。</w:t>
      </w:r>
    </w:p>
    <w:p w14:paraId="2B3EEADA">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第五十四条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地下管网的勘察和保护要求：</w:t>
      </w:r>
    </w:p>
    <w:p w14:paraId="0E8A66D9">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项目建设前期，进行土方工程前，必须进行勘察。勘察部门包括：承包商、属地所在分厂、专业管理部门、消防治安大队等。上述部门一起探明地下水网管道、电缆及保护套管，并做好标识；勘察结束后，相关人员要签字确认，并存档。</w:t>
      </w:r>
    </w:p>
    <w:p w14:paraId="49706CC0">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（二）对项目建设区域内的地下管道，能够移除的进行移除，不能移除的要做好标识和防护，确保动土作业和其它施工过程中不被损坏。</w:t>
      </w:r>
    </w:p>
    <w:p w14:paraId="0D918B1F">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（三）对基建及产业项目区域内道路及进出口下方的地下管道，也必须做好保护，防止因重型车辆包括施工挖掘车辆、土方运输车辆及吊装车辆进出现场、施工作业，反复辗压导致管道损坏。</w:t>
      </w:r>
    </w:p>
    <w:p w14:paraId="359BEDA2">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第五十五条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现场安全管理基本要求：</w:t>
      </w:r>
    </w:p>
    <w:p w14:paraId="4DE3CA0C">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（一）所有人员进入现场必须要戴好安全帽，安全帽扣带要系牢。</w:t>
      </w:r>
    </w:p>
    <w:p w14:paraId="352669B3">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（二）承包商带至现场的设备设施、工具必须符合国家标准和规范的要求。</w:t>
      </w:r>
    </w:p>
    <w:p w14:paraId="74D969DD">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（三）机动车辆必须按要求办理禁区通行证，安装阻火器，限速限高行驶。如必须进入路障以内的区域，应办理相关手续，通过后要及时将路障复位。</w:t>
      </w:r>
    </w:p>
    <w:p w14:paraId="6892B945">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（四）现场禁止吸烟，违反者将按每人次</w:t>
      </w:r>
      <w:r>
        <w:rPr>
          <w:rFonts w:ascii="仿宋_GB2312" w:hAnsi="黑体" w:eastAsia="仿宋_GB2312" w:cs="仿宋_GB2312"/>
          <w:color w:val="auto"/>
          <w:kern w:val="0"/>
          <w:sz w:val="34"/>
          <w:szCs w:val="34"/>
        </w:rPr>
        <w:t>500</w:t>
      </w:r>
      <w:r>
        <w:rPr>
          <w:rFonts w:hint="eastAsia" w:ascii="仿宋_GB2312" w:hAnsi="黑体" w:eastAsia="仿宋_GB2312" w:cs="仿宋_GB2312"/>
          <w:color w:val="auto"/>
          <w:kern w:val="0"/>
          <w:sz w:val="34"/>
          <w:szCs w:val="34"/>
        </w:rPr>
        <w:t>元罚款；作业前和作业中禁止喝酒。</w:t>
      </w:r>
    </w:p>
    <w:p w14:paraId="2FDB35EB">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（五）施工人员要服从管理，严禁进入生产区域。</w:t>
      </w:r>
    </w:p>
    <w:p w14:paraId="341126D3">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（六）不准动用现场的任何阀门、设备等，借用岗位器材和工具必须得到许可。施工机械禁止碰撞附近生产装置的管线、设备和设施。</w:t>
      </w:r>
    </w:p>
    <w:p w14:paraId="001B32E5">
      <w:pPr>
        <w:spacing w:line="600" w:lineRule="exact"/>
        <w:ind w:firstLine="680" w:firstLineChars="200"/>
        <w:rPr>
          <w:rFonts w:hint="eastAsia"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（七）作业现场设置票证摆放点。</w:t>
      </w:r>
    </w:p>
    <w:p w14:paraId="1A9EC31A">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作业票证审批结束后，统一放在票证摆放点备查，包括施工方案、《工程施工现场安全交底表》。</w:t>
      </w:r>
    </w:p>
    <w:p w14:paraId="5188FFAF">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（八）施工项目负责人每次施工前须对现场的设备、工具的可靠性安全性进行检查确认，并填写《现场施工设备工具安全可靠性检查表》，放在票证摆放点盒内备查。工程监理检查，项目部督查。</w:t>
      </w:r>
    </w:p>
    <w:p w14:paraId="035A6851">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管理人员现场签到簿也要放在票证摆放点。承包商安全管理人员、项目部相关职能专业按规定频次到现场检查并签到。</w:t>
      </w:r>
    </w:p>
    <w:p w14:paraId="702486C5">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（九）严禁疲劳作业，做好现场</w:t>
      </w:r>
      <w:r>
        <w:rPr>
          <w:rFonts w:ascii="仿宋_GB2312" w:hAnsi="黑体" w:eastAsia="仿宋_GB2312" w:cs="仿宋_GB2312"/>
          <w:color w:val="auto"/>
          <w:kern w:val="0"/>
          <w:sz w:val="34"/>
          <w:szCs w:val="34"/>
        </w:rPr>
        <w:t>24</w:t>
      </w:r>
      <w:r>
        <w:rPr>
          <w:rFonts w:hint="eastAsia" w:ascii="仿宋_GB2312" w:hAnsi="黑体" w:eastAsia="仿宋_GB2312" w:cs="仿宋_GB2312"/>
          <w:color w:val="auto"/>
          <w:kern w:val="0"/>
          <w:sz w:val="34"/>
          <w:szCs w:val="34"/>
        </w:rPr>
        <w:t>小时连续作业的交接管理工作。</w:t>
      </w:r>
    </w:p>
    <w:p w14:paraId="34B7DDF5">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（十）平面交叉作业，相关承包商要做好安排，采取有效的控制措施，做到不相互影响。</w:t>
      </w:r>
    </w:p>
    <w:p w14:paraId="3A67B977">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（十一）一般情况下，不允许进行垂直交叉作业。如必须进行垂直交叉作业，应采取可靠的隔离措施，否则不得施工。</w:t>
      </w:r>
    </w:p>
    <w:p w14:paraId="669B0430">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（十二）高温天气做好防暑降温工作，现场配备防暑降温药品，室外作业避开高温时段。</w:t>
      </w:r>
    </w:p>
    <w:p w14:paraId="583BAE9E">
      <w:pPr>
        <w:spacing w:line="600" w:lineRule="exact"/>
        <w:ind w:firstLine="680" w:firstLineChars="200"/>
        <w:jc w:val="left"/>
        <w:rPr>
          <w:rFonts w:hint="eastAsia"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（十三）所有施工项目必须由承包商安排专人监护，具体监护要求见《</w:t>
      </w:r>
      <w:r>
        <w:rPr>
          <w:rFonts w:hint="eastAsia" w:ascii="仿宋_GB2312" w:hAnsi="黑体" w:eastAsia="仿宋_GB2312" w:cs="Arial"/>
          <w:color w:val="auto"/>
          <w:spacing w:val="8"/>
          <w:sz w:val="34"/>
          <w:szCs w:val="34"/>
        </w:rPr>
        <w:t>项目</w:t>
      </w:r>
      <w:r>
        <w:rPr>
          <w:rFonts w:hint="eastAsia" w:ascii="仿宋_GB2312" w:hAnsi="黑体" w:eastAsia="仿宋_GB2312" w:cs="Arial"/>
          <w:color w:val="auto"/>
          <w:spacing w:val="8"/>
          <w:sz w:val="34"/>
          <w:szCs w:val="34"/>
          <w:lang w:val="en-US" w:eastAsia="zh-CN"/>
        </w:rPr>
        <w:t>安全</w:t>
      </w:r>
      <w:r>
        <w:rPr>
          <w:rFonts w:hint="eastAsia" w:ascii="仿宋_GB2312" w:hAnsi="黑体" w:eastAsia="仿宋_GB2312" w:cs="Arial"/>
          <w:color w:val="auto"/>
          <w:spacing w:val="8"/>
          <w:sz w:val="34"/>
          <w:szCs w:val="34"/>
        </w:rPr>
        <w:t>作业监护规定</w:t>
      </w:r>
      <w:r>
        <w:rPr>
          <w:rFonts w:hint="eastAsia" w:ascii="仿宋_GB2312" w:hAnsi="黑体" w:eastAsia="仿宋_GB2312" w:cs="仿宋_GB2312"/>
          <w:color w:val="auto"/>
          <w:kern w:val="0"/>
          <w:sz w:val="34"/>
          <w:szCs w:val="34"/>
        </w:rPr>
        <w:t>》。</w:t>
      </w:r>
    </w:p>
    <w:p w14:paraId="28D6F304">
      <w:pPr>
        <w:spacing w:line="480" w:lineRule="exact"/>
        <w:ind w:firstLine="680" w:firstLineChars="200"/>
        <w:jc w:val="left"/>
        <w:rPr>
          <w:rFonts w:hint="default" w:ascii="宋体" w:hAnsi="宋体" w:eastAsia="宋体"/>
          <w:color w:val="auto"/>
          <w:sz w:val="28"/>
          <w:szCs w:val="28"/>
          <w:lang w:val="en-US" w:eastAsia="zh-CN"/>
        </w:rPr>
      </w:pPr>
      <w:r>
        <w:rPr>
          <w:rFonts w:hint="eastAsia" w:ascii="仿宋_GB2312" w:hAnsi="黑体" w:eastAsia="仿宋_GB2312" w:cs="仿宋_GB2312"/>
          <w:color w:val="auto"/>
          <w:kern w:val="0"/>
          <w:sz w:val="34"/>
          <w:szCs w:val="34"/>
        </w:rPr>
        <w:t>（十四）</w:t>
      </w:r>
      <w:r>
        <w:rPr>
          <w:rFonts w:hint="eastAsia" w:ascii="仿宋_GB2312" w:hAnsi="黑体" w:eastAsia="仿宋_GB2312" w:cs="仿宋_GB2312"/>
          <w:color w:val="auto"/>
          <w:kern w:val="0"/>
          <w:sz w:val="34"/>
          <w:szCs w:val="34"/>
          <w:lang w:val="en-US" w:eastAsia="zh-CN"/>
        </w:rPr>
        <w:t>焊接部位X射线探伤作业应安排在周围施工人员较少的夜间或凌晨进行，编制X射线探伤通知单，写明探伤作业内容、地点、时间段、作业人员、负责人及联系方式，采取30米以上安全距离区域警戒，设置夜间醒目警戒标志，安排警戒人员，向周边生产装置和相关部门及时通知告知。</w:t>
      </w:r>
    </w:p>
    <w:p w14:paraId="51591DC2">
      <w:pPr>
        <w:spacing w:line="600" w:lineRule="exact"/>
        <w:ind w:firstLine="680" w:firstLineChars="200"/>
        <w:jc w:val="left"/>
        <w:rPr>
          <w:rFonts w:hint="eastAsia"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（十</w:t>
      </w:r>
      <w:r>
        <w:rPr>
          <w:rFonts w:hint="eastAsia" w:ascii="仿宋_GB2312" w:hAnsi="黑体" w:eastAsia="仿宋_GB2312" w:cs="仿宋_GB2312"/>
          <w:color w:val="auto"/>
          <w:kern w:val="0"/>
          <w:sz w:val="34"/>
          <w:szCs w:val="34"/>
          <w:lang w:val="en-US" w:eastAsia="zh-CN"/>
        </w:rPr>
        <w:t>五</w:t>
      </w:r>
      <w:r>
        <w:rPr>
          <w:rFonts w:hint="eastAsia" w:ascii="仿宋_GB2312" w:hAnsi="黑体" w:eastAsia="仿宋_GB2312" w:cs="仿宋_GB2312"/>
          <w:color w:val="auto"/>
          <w:kern w:val="0"/>
          <w:sz w:val="34"/>
          <w:szCs w:val="34"/>
        </w:rPr>
        <w:t>）现场保持良好的施工秩序和作业环境。作业完成后，做到工完、料尽、场地清。</w:t>
      </w:r>
    </w:p>
    <w:p w14:paraId="2CD8B333">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现场作业管理要求：</w:t>
      </w:r>
    </w:p>
    <w:p w14:paraId="5EA1EA1F">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（一）各项危险作业的安全文明施工规定要求详见《项目作业票证办理和审批规定》。</w:t>
      </w:r>
    </w:p>
    <w:p w14:paraId="283F8B06">
      <w:pPr>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承包商相关人员包括负责人、现场项目负责人、安全员、施工队长等，监理单位相关人员包括总监、安全监理应按照职责要求和规定的频次，对现场进行安全日常巡查和检查，及时发现、处理隐患和违章，防止事故发生。</w:t>
      </w:r>
    </w:p>
    <w:p w14:paraId="53364A40">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环保管理要求：</w:t>
      </w:r>
    </w:p>
    <w:p w14:paraId="3B983F53">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（一）施工现场的主要道路要进行硬化处理。裸露的场地和堆放的土方应采取覆盖、固化或绿化等措施。</w:t>
      </w:r>
    </w:p>
    <w:p w14:paraId="4CBCF07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（二）施工现场土方作业应采取防止扬尘措施，主要道路应定期清扫、洒水。</w:t>
      </w:r>
    </w:p>
    <w:p w14:paraId="7DE2E883">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三）土方和建筑垃圾的运输必须采用封闭式运输车辆或采取覆盖措施。施工现场出口处应设置车辆冲洗设施，并应对驶出的车辆进行清洗。详见本规定“施工区域设置要求”条款及《项目施工扬尘防治管理规定》。</w:t>
      </w:r>
    </w:p>
    <w:p w14:paraId="20EAB22D">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（四）在规定区域内的施工现场应使用预制混凝土及预拌砂质浆。采用现场搅拌混凝土或砂浆的场所应采取封闭、降尘、降噪措施。水泥和其他易飞扬的细颗粒建筑材料应密闭存放或采取覆盖等措施。</w:t>
      </w:r>
    </w:p>
    <w:p w14:paraId="416D05A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（五）当环境空气质量指数达到中度及以上的污染时，施工现场应增加洒水频次，加强覆盖措施，减少易造成大气污染的施工作业。</w:t>
      </w:r>
    </w:p>
    <w:p w14:paraId="499961A8">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黑体" w:eastAsia="仿宋_GB2312" w:cs="仿宋_GB2312"/>
          <w:color w:val="auto"/>
          <w:kern w:val="0"/>
          <w:sz w:val="34"/>
          <w:szCs w:val="34"/>
        </w:rPr>
        <w:t>（六）防止油料跑冒滴漏污染水体。</w:t>
      </w:r>
    </w:p>
    <w:p w14:paraId="0BE21A57">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第五十八条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应急救援要求：</w:t>
      </w:r>
    </w:p>
    <w:p w14:paraId="20F73362">
      <w:pPr>
        <w:spacing w:line="600" w:lineRule="exact"/>
        <w:ind w:firstLine="680" w:firstLineChars="200"/>
      </w:pPr>
      <w:r>
        <w:rPr>
          <w:rFonts w:hint="eastAsia" w:ascii="仿宋_GB2312" w:hAnsi="黑体" w:eastAsia="仿宋_GB2312" w:cs="仿宋_GB2312"/>
          <w:color w:val="auto"/>
          <w:kern w:val="0"/>
          <w:sz w:val="34"/>
          <w:szCs w:val="34"/>
        </w:rPr>
        <w:t>具体见《项目事故应急救援规定》。</w:t>
      </w:r>
    </w:p>
    <w:p w14:paraId="332B1C0F"/>
    <w:p w14:paraId="6FD0C7C4">
      <w:pPr>
        <w:spacing w:beforeLines="100" w:afterLines="100" w:line="600" w:lineRule="exact"/>
        <w:jc w:val="center"/>
        <w:rPr>
          <w:rFonts w:ascii="黑体" w:hAnsi="黑体" w:eastAsia="黑体" w:cs="Arial"/>
          <w:b w:val="0"/>
          <w:bCs w:val="0"/>
          <w:color w:val="auto"/>
          <w:spacing w:val="8"/>
          <w:sz w:val="34"/>
          <w:szCs w:val="34"/>
        </w:rPr>
      </w:pPr>
      <w:r>
        <w:rPr>
          <w:rFonts w:hint="eastAsia" w:ascii="黑体" w:hAnsi="黑体" w:eastAsia="黑体" w:cs="Arial"/>
          <w:b w:val="0"/>
          <w:bCs w:val="0"/>
          <w:color w:val="auto"/>
          <w:spacing w:val="8"/>
          <w:sz w:val="34"/>
          <w:szCs w:val="34"/>
        </w:rPr>
        <w:t>第七章</w:t>
      </w:r>
      <w:r>
        <w:rPr>
          <w:rFonts w:ascii="黑体" w:hAnsi="黑体" w:eastAsia="黑体" w:cs="Arial"/>
          <w:b w:val="0"/>
          <w:bCs w:val="0"/>
          <w:color w:val="auto"/>
          <w:spacing w:val="8"/>
          <w:sz w:val="34"/>
          <w:szCs w:val="34"/>
        </w:rPr>
        <w:t xml:space="preserve"> </w:t>
      </w:r>
      <w:r>
        <w:rPr>
          <w:rFonts w:hint="eastAsia" w:ascii="黑体" w:hAnsi="黑体" w:eastAsia="黑体" w:cs="Arial"/>
          <w:b w:val="0"/>
          <w:bCs w:val="0"/>
          <w:color w:val="auto"/>
          <w:spacing w:val="8"/>
          <w:sz w:val="34"/>
          <w:szCs w:val="34"/>
        </w:rPr>
        <w:t>项目作业票证办理和审批规定</w:t>
      </w:r>
    </w:p>
    <w:p w14:paraId="266A7C36">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第五十九条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总体要求</w:t>
      </w:r>
    </w:p>
    <w:p w14:paraId="284C4612">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（一）基建及产业项目现场所有作业应符合《化工生产单位特殊作业安全规范（</w:t>
      </w:r>
      <w:r>
        <w:rPr>
          <w:rFonts w:ascii="仿宋_GB2312" w:hAnsi="黑体" w:eastAsia="仿宋_GB2312" w:cs="仿宋_GB2312"/>
          <w:b w:val="0"/>
          <w:bCs w:val="0"/>
          <w:color w:val="auto"/>
          <w:kern w:val="0"/>
          <w:sz w:val="34"/>
          <w:szCs w:val="34"/>
        </w:rPr>
        <w:t>GB30871-20</w:t>
      </w:r>
      <w:r>
        <w:rPr>
          <w:rFonts w:hint="eastAsia" w:ascii="仿宋_GB2312" w:hAnsi="黑体" w:eastAsia="仿宋_GB2312" w:cs="仿宋_GB2312"/>
          <w:b w:val="0"/>
          <w:bCs w:val="0"/>
          <w:color w:val="auto"/>
          <w:kern w:val="0"/>
          <w:sz w:val="34"/>
          <w:szCs w:val="34"/>
          <w:lang w:val="en-US" w:eastAsia="zh-CN"/>
        </w:rPr>
        <w:t>22</w:t>
      </w:r>
      <w:r>
        <w:rPr>
          <w:rFonts w:hint="eastAsia" w:ascii="仿宋_GB2312" w:hAnsi="黑体" w:eastAsia="仿宋_GB2312" w:cs="仿宋_GB2312"/>
          <w:b w:val="0"/>
          <w:bCs w:val="0"/>
          <w:color w:val="auto"/>
          <w:kern w:val="0"/>
          <w:sz w:val="34"/>
          <w:szCs w:val="34"/>
        </w:rPr>
        <w:t>）》及其他国家相关规范的规定。</w:t>
      </w:r>
    </w:p>
    <w:p w14:paraId="127731B5">
      <w:pPr>
        <w:pStyle w:val="9"/>
        <w:shd w:val="clear" w:color="auto" w:fill="FFFFFF"/>
        <w:spacing w:line="600" w:lineRule="exact"/>
        <w:ind w:firstLine="680" w:firstLineChars="200"/>
        <w:rPr>
          <w:rFonts w:ascii="仿宋_GB2312" w:hAnsi="黑体" w:eastAsia="仿宋_GB2312" w:cs="仿宋_GB2312"/>
          <w:b w:val="0"/>
          <w:bCs w:val="0"/>
          <w:color w:val="auto"/>
          <w:sz w:val="34"/>
          <w:szCs w:val="34"/>
        </w:rPr>
      </w:pPr>
      <w:r>
        <w:rPr>
          <w:rFonts w:hint="eastAsia" w:ascii="仿宋_GB2312" w:hAnsi="黑体" w:eastAsia="仿宋_GB2312" w:cs="仿宋_GB2312"/>
          <w:b w:val="0"/>
          <w:bCs w:val="0"/>
          <w:color w:val="auto"/>
          <w:sz w:val="34"/>
          <w:szCs w:val="34"/>
        </w:rPr>
        <w:t>（二）承包商进场作业前，必须制订项目总体施工方案及项目施工子方案，由承包商负责人、项目监理就方案的可行性和合理性进行仔细认真的讨论、修改，签署审核意见并签章，报项目部。</w:t>
      </w:r>
    </w:p>
    <w:p w14:paraId="29E40AB7">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（三）办理作业票证前，需编制具体的现场施工方案。施工方案编制要求：</w:t>
      </w:r>
    </w:p>
    <w:p w14:paraId="5DDDE5FA">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施工项目简介：施工项目名称、人员、材料、工具、进度要求，及探伤、吹扫等特殊施工要求。</w:t>
      </w:r>
    </w:p>
    <w:p w14:paraId="4968CB15">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施工步骤及危险危害分析。施工步骤要详细、具体；危险危害因素辨识清楚、全面，填写准确。</w:t>
      </w:r>
    </w:p>
    <w:p w14:paraId="06DE3EE5">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采取的控制措施要有针对性，实用、有效。</w:t>
      </w:r>
    </w:p>
    <w:p w14:paraId="45708350">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应急救援要求简明扼要，规范、准确。</w:t>
      </w:r>
    </w:p>
    <w:p w14:paraId="170A8547">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安全交底栏要包括承包商项目负责人、监护人、施工人员。</w:t>
      </w:r>
    </w:p>
    <w:p w14:paraId="09F5025F">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lang w:val="en-US" w:eastAsia="zh-CN"/>
        </w:rPr>
        <w:t>审核页要有完整的</w:t>
      </w:r>
      <w:r>
        <w:rPr>
          <w:rFonts w:hint="eastAsia" w:ascii="仿宋_GB2312" w:hAnsi="黑体" w:eastAsia="仿宋_GB2312" w:cs="仿宋_GB2312"/>
          <w:b w:val="0"/>
          <w:bCs w:val="0"/>
          <w:color w:val="auto"/>
          <w:kern w:val="0"/>
          <w:sz w:val="34"/>
          <w:szCs w:val="34"/>
        </w:rPr>
        <w:t>编制人员、编制时间、</w:t>
      </w:r>
      <w:r>
        <w:rPr>
          <w:rFonts w:hint="eastAsia" w:ascii="仿宋_GB2312" w:hAnsi="黑体" w:eastAsia="仿宋_GB2312" w:cs="仿宋_GB2312"/>
          <w:b w:val="0"/>
          <w:bCs w:val="0"/>
          <w:color w:val="auto"/>
          <w:kern w:val="0"/>
          <w:sz w:val="34"/>
          <w:szCs w:val="34"/>
          <w:lang w:val="en-US" w:eastAsia="zh-CN"/>
        </w:rPr>
        <w:t>单位</w:t>
      </w:r>
      <w:r>
        <w:rPr>
          <w:rFonts w:hint="eastAsia" w:ascii="仿宋_GB2312" w:hAnsi="黑体" w:eastAsia="仿宋_GB2312" w:cs="仿宋_GB2312"/>
          <w:b w:val="0"/>
          <w:bCs w:val="0"/>
          <w:color w:val="auto"/>
          <w:kern w:val="0"/>
          <w:sz w:val="34"/>
          <w:szCs w:val="34"/>
        </w:rPr>
        <w:t>部门、初审、复审、终审</w:t>
      </w:r>
      <w:r>
        <w:rPr>
          <w:rFonts w:hint="eastAsia" w:ascii="仿宋_GB2312" w:hAnsi="黑体" w:eastAsia="仿宋_GB2312" w:cs="仿宋_GB2312"/>
          <w:b w:val="0"/>
          <w:bCs w:val="0"/>
          <w:color w:val="auto"/>
          <w:kern w:val="0"/>
          <w:sz w:val="34"/>
          <w:szCs w:val="34"/>
          <w:lang w:val="en-US" w:eastAsia="zh-CN"/>
        </w:rPr>
        <w:t>或批准</w:t>
      </w:r>
      <w:r>
        <w:rPr>
          <w:rFonts w:hint="eastAsia" w:ascii="仿宋_GB2312" w:hAnsi="黑体" w:eastAsia="仿宋_GB2312" w:cs="仿宋_GB2312"/>
          <w:b w:val="0"/>
          <w:bCs w:val="0"/>
          <w:color w:val="auto"/>
          <w:kern w:val="0"/>
          <w:sz w:val="34"/>
          <w:szCs w:val="34"/>
        </w:rPr>
        <w:t>等</w:t>
      </w:r>
      <w:r>
        <w:rPr>
          <w:rFonts w:hint="eastAsia" w:ascii="仿宋_GB2312" w:hAnsi="黑体" w:eastAsia="仿宋_GB2312" w:cs="仿宋_GB2312"/>
          <w:b w:val="0"/>
          <w:bCs w:val="0"/>
          <w:color w:val="auto"/>
          <w:kern w:val="0"/>
          <w:sz w:val="34"/>
          <w:szCs w:val="34"/>
          <w:lang w:val="en-US" w:eastAsia="zh-CN"/>
        </w:rPr>
        <w:t>内容</w:t>
      </w:r>
      <w:r>
        <w:rPr>
          <w:rFonts w:hint="eastAsia" w:ascii="仿宋_GB2312" w:hAnsi="黑体" w:eastAsia="仿宋_GB2312" w:cs="仿宋_GB2312"/>
          <w:b w:val="0"/>
          <w:bCs w:val="0"/>
          <w:color w:val="auto"/>
          <w:kern w:val="0"/>
          <w:sz w:val="34"/>
          <w:szCs w:val="34"/>
        </w:rPr>
        <w:t>。</w:t>
      </w:r>
    </w:p>
    <w:p w14:paraId="13029F99">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（四）现场施工方案由承包商现场项目负责人组织编制。方案分为两类，即建筑类和设备管道安装类。</w:t>
      </w:r>
    </w:p>
    <w:p w14:paraId="4D3DB63A">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建筑类方案按照《江苏省房屋建筑和市政基础设施工程危险性较大的分部分项工程安全管理实施细则》进行分类、编制和审批。方案由承包商项目负责人组织编制。一般工程由承包商项目负责人审批，危大工程需要承包商技术负责人、监理单位总监审批，超危工程必须经过专家论证后，由承包商技术负责人和监理单位总监审批。</w:t>
      </w:r>
    </w:p>
    <w:p w14:paraId="72B850FC">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设备管道安装类方案按照石化标准执行。方案由承包商项目负责人组织编制。一般方案由承包商项目负责人或安全员审批。风险较高的工程施工方案，如气化炉筑炉、空分冷箱等高大设备的吊装、竖塔等作业，必须经项目装置经理、专业经理，及监理单位总监审批。</w:t>
      </w:r>
    </w:p>
    <w:p w14:paraId="7A22E12C">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（五）一般项目，施工前一天向项目部报备。建筑类危大工程、超危工程，及化工设备管道安装类重大项目如：四级以上高处作业、大型设备安装吊装作业，施工前三天向项目部报备。</w:t>
      </w:r>
    </w:p>
    <w:p w14:paraId="2837EC0D">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如施工过程中现场作业环境发生重大变化，需要采取的安全措施也发生了相应的变化，承包商应及时修订、审核施工方案，并向项目部报备。</w:t>
      </w:r>
    </w:p>
    <w:p w14:paraId="56E0CF56">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（六）动火、高处、吊装、受限空间、动土、断路、临时用电、盲板抽堵等作业，必须办理作业票证，禁止无证作业。作业票证由项目负责人办理。</w:t>
      </w:r>
    </w:p>
    <w:p w14:paraId="7AFC1D89">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（七）票证填写必须符合要求：</w:t>
      </w:r>
    </w:p>
    <w:p w14:paraId="3291A1E5">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涉及到签名的地方，必须由本人签字，不得代签。</w:t>
      </w:r>
    </w:p>
    <w:p w14:paraId="7B99C41F">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不得有缺项。</w:t>
      </w:r>
    </w:p>
    <w:p w14:paraId="3DD5141A">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字迹清楚，不得潦草无法辨认。</w:t>
      </w:r>
    </w:p>
    <w:p w14:paraId="602B80A9">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八）每天作业前，由承包商项目负责人根据施工方案、工器具检查情况和现场情况，对施工人员和监护人员进行安全交底。交底要准确、具体，没有歧义。施工人员和监护人都要清楚交底内容，不能有模糊不清的情况。</w:t>
      </w:r>
    </w:p>
    <w:p w14:paraId="66A36FC4">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正常情况下，由现场作业负责人交底后，相关人员在作业票证上由本人签字确认即可。如作业情况特殊，需要采取</w:t>
      </w:r>
      <w:r>
        <w:rPr>
          <w:rFonts w:hint="eastAsia" w:ascii="仿宋_GB2312" w:hAnsi="黑体" w:eastAsia="仿宋_GB2312" w:cs="仿宋_GB2312"/>
          <w:b w:val="0"/>
          <w:bCs w:val="0"/>
          <w:color w:val="auto"/>
          <w:kern w:val="0"/>
          <w:sz w:val="34"/>
          <w:szCs w:val="34"/>
          <w:lang w:val="en-US" w:eastAsia="zh-CN"/>
        </w:rPr>
        <w:t>补充较多</w:t>
      </w:r>
      <w:r>
        <w:rPr>
          <w:rFonts w:hint="eastAsia" w:ascii="仿宋_GB2312" w:hAnsi="黑体" w:eastAsia="仿宋_GB2312" w:cs="仿宋_GB2312"/>
          <w:b w:val="0"/>
          <w:bCs w:val="0"/>
          <w:color w:val="auto"/>
          <w:kern w:val="0"/>
          <w:sz w:val="34"/>
          <w:szCs w:val="34"/>
        </w:rPr>
        <w:t>重要的安全措施，则由现场作业负责人交底，并填写《工程施工现场安全交底表》，相关人员在交底表上由本人签名确认。</w:t>
      </w:r>
    </w:p>
    <w:p w14:paraId="4B206A0F">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（九）所有作业票证必须现场审批。票证审批人审批票证时，应对照施工方案上的安全措施进行审查，确保措施实用、准确、有效、到位，没有漏项。</w:t>
      </w:r>
    </w:p>
    <w:p w14:paraId="43F69784">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（十）每天作业结束后，承包商现场项目负责人对现场作业情况包括施工人员身体状况、安全控制措施落实情况、有无违章和隐患情况、有无异常情况和未遂事故等，进行检查确认</w:t>
      </w:r>
      <w:r>
        <w:rPr>
          <w:rFonts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rPr>
        <w:t>并且在相关作业票证上签字。</w:t>
      </w:r>
    </w:p>
    <w:p w14:paraId="438C8AB9">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（十一）基建及产业项目后期，涉及到与生产装置管道连接的作业，由生产装置</w:t>
      </w:r>
      <w:r>
        <w:rPr>
          <w:rFonts w:hint="eastAsia" w:ascii="仿宋_GB2312" w:hAnsi="黑体" w:eastAsia="仿宋_GB2312" w:cs="仿宋_GB2312"/>
          <w:b w:val="0"/>
          <w:bCs w:val="0"/>
          <w:color w:val="auto"/>
          <w:kern w:val="0"/>
          <w:sz w:val="34"/>
          <w:szCs w:val="34"/>
          <w:lang w:val="en-US" w:eastAsia="zh-CN"/>
        </w:rPr>
        <w:t>所在公司</w:t>
      </w:r>
      <w:r>
        <w:rPr>
          <w:rFonts w:hint="eastAsia" w:ascii="仿宋_GB2312" w:hAnsi="黑体" w:eastAsia="仿宋_GB2312" w:cs="仿宋_GB2312"/>
          <w:b w:val="0"/>
          <w:bCs w:val="0"/>
          <w:color w:val="auto"/>
          <w:kern w:val="0"/>
          <w:sz w:val="34"/>
          <w:szCs w:val="34"/>
        </w:rPr>
        <w:t>相关职能部门及属地分厂、事业部办理相关作业票证，办理和审批程序按生产装置</w:t>
      </w:r>
      <w:r>
        <w:rPr>
          <w:rFonts w:hint="eastAsia" w:ascii="仿宋_GB2312" w:hAnsi="黑体" w:eastAsia="仿宋_GB2312" w:cs="仿宋_GB2312"/>
          <w:b w:val="0"/>
          <w:bCs w:val="0"/>
          <w:color w:val="auto"/>
          <w:kern w:val="0"/>
          <w:sz w:val="34"/>
          <w:szCs w:val="34"/>
          <w:lang w:val="en-US" w:eastAsia="zh-CN"/>
        </w:rPr>
        <w:t>所在公司</w:t>
      </w:r>
      <w:r>
        <w:rPr>
          <w:rFonts w:hint="eastAsia" w:ascii="仿宋_GB2312" w:hAnsi="黑体" w:eastAsia="仿宋_GB2312" w:cs="仿宋_GB2312"/>
          <w:b w:val="0"/>
          <w:bCs w:val="0"/>
          <w:color w:val="auto"/>
          <w:kern w:val="0"/>
          <w:sz w:val="34"/>
          <w:szCs w:val="34"/>
        </w:rPr>
        <w:t>相关制度执行。</w:t>
      </w:r>
    </w:p>
    <w:p w14:paraId="16D697BD">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动火作业</w:t>
      </w:r>
    </w:p>
    <w:p w14:paraId="397C45C9">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（一）动火作业分级</w:t>
      </w:r>
    </w:p>
    <w:p w14:paraId="7D242478">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特殊动火作业：在生产运行状态下的易燃易爆生产装置、输送管道、储罐、容器等部位上及其他特殊危险场所进行的动火作业，带压不置换动火作业按特殊动火作业管理。</w:t>
      </w:r>
    </w:p>
    <w:p w14:paraId="296FEA94">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一级动火作业：动火点周围有无法清除和移除的可燃物的；设备、管道内有易燃易爆介质并经清洗、置换，分析合格的；管廊上的动火作业。</w:t>
      </w:r>
    </w:p>
    <w:p w14:paraId="4450818C">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二级动火作业：除特殊动火作业和一级动火作业外的动火作业。</w:t>
      </w:r>
    </w:p>
    <w:p w14:paraId="010EDCD3">
      <w:pPr>
        <w:spacing w:line="600" w:lineRule="exact"/>
        <w:ind w:firstLine="680" w:firstLineChars="200"/>
        <w:jc w:val="left"/>
        <w:rPr>
          <w:rFonts w:hint="eastAsia"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 固定动火区</w:t>
      </w:r>
    </w:p>
    <w:p w14:paraId="21A5579C">
      <w:pPr>
        <w:spacing w:line="600" w:lineRule="exact"/>
        <w:ind w:firstLine="680" w:firstLineChars="200"/>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1.</w:t>
      </w:r>
      <w:r>
        <w:rPr>
          <w:rFonts w:hint="eastAsia" w:ascii="仿宋_GB2312" w:hAnsi="黑体" w:eastAsia="仿宋_GB2312" w:cs="仿宋_GB2312"/>
          <w:b w:val="0"/>
          <w:bCs w:val="0"/>
          <w:color w:val="auto"/>
          <w:kern w:val="0"/>
          <w:sz w:val="34"/>
          <w:szCs w:val="34"/>
        </w:rPr>
        <w:t>固定动火区设置由施工单位申请,建设单位进行审批</w:t>
      </w:r>
      <w:r>
        <w:rPr>
          <w:rFonts w:hint="eastAsia" w:ascii="仿宋_GB2312" w:hAnsi="黑体" w:eastAsia="仿宋_GB2312" w:cs="仿宋_GB2312"/>
          <w:b w:val="0"/>
          <w:bCs w:val="0"/>
          <w:color w:val="auto"/>
          <w:kern w:val="0"/>
          <w:sz w:val="34"/>
          <w:szCs w:val="34"/>
          <w:lang w:eastAsia="zh-CN"/>
        </w:rPr>
        <w:t>。</w:t>
      </w:r>
    </w:p>
    <w:p w14:paraId="734D733D">
      <w:pPr>
        <w:spacing w:line="600" w:lineRule="exact"/>
        <w:ind w:firstLine="680" w:firstLineChars="200"/>
        <w:jc w:val="left"/>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2.</w:t>
      </w:r>
      <w:r>
        <w:rPr>
          <w:rFonts w:hint="eastAsia" w:ascii="仿宋_GB2312" w:hAnsi="黑体" w:eastAsia="仿宋_GB2312" w:cs="仿宋_GB2312"/>
          <w:b w:val="0"/>
          <w:bCs w:val="0"/>
          <w:color w:val="auto"/>
          <w:kern w:val="0"/>
          <w:sz w:val="34"/>
          <w:szCs w:val="34"/>
        </w:rPr>
        <w:t>施工单位应加强固定动火区的日常管理，且应遵守建设单位固定动火区的相关规定</w:t>
      </w:r>
      <w:r>
        <w:rPr>
          <w:rFonts w:hint="eastAsia" w:ascii="仿宋_GB2312" w:hAnsi="黑体" w:eastAsia="仿宋_GB2312" w:cs="仿宋_GB2312"/>
          <w:b w:val="0"/>
          <w:bCs w:val="0"/>
          <w:color w:val="auto"/>
          <w:kern w:val="0"/>
          <w:sz w:val="34"/>
          <w:szCs w:val="34"/>
          <w:lang w:eastAsia="zh-CN"/>
        </w:rPr>
        <w:t>。</w:t>
      </w:r>
    </w:p>
    <w:p w14:paraId="33DDE3F2">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3.固定动火区内一般情况下不办理动火作业证，但是动火作业前仍然必须要按照实际情况落实动火作业的一切安全措施。</w:t>
      </w:r>
    </w:p>
    <w:p w14:paraId="6C7E76C4">
      <w:pPr>
        <w:spacing w:line="600" w:lineRule="exact"/>
        <w:ind w:firstLine="680" w:firstLineChars="200"/>
        <w:jc w:val="left"/>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4.但是固定动火区内涉及到以下特殊情况的的动火作业，</w:t>
      </w:r>
      <w:r>
        <w:rPr>
          <w:rFonts w:hint="eastAsia" w:ascii="仿宋_GB2312" w:hAnsi="黑体" w:eastAsia="仿宋_GB2312" w:cs="仿宋_GB2312"/>
          <w:b w:val="0"/>
          <w:bCs w:val="0"/>
          <w:color w:val="auto"/>
          <w:kern w:val="0"/>
          <w:sz w:val="34"/>
          <w:szCs w:val="34"/>
        </w:rPr>
        <w:t>应申请办理一级动火手续</w:t>
      </w:r>
      <w:r>
        <w:rPr>
          <w:rFonts w:hint="eastAsia" w:ascii="仿宋_GB2312" w:hAnsi="黑体" w:eastAsia="仿宋_GB2312" w:cs="仿宋_GB2312"/>
          <w:b w:val="0"/>
          <w:bCs w:val="0"/>
          <w:color w:val="auto"/>
          <w:kern w:val="0"/>
          <w:sz w:val="34"/>
          <w:szCs w:val="34"/>
          <w:lang w:eastAsia="zh-CN"/>
        </w:rPr>
        <w:t>：</w:t>
      </w:r>
    </w:p>
    <w:p w14:paraId="057FDF6D">
      <w:pPr>
        <w:spacing w:line="600" w:lineRule="exact"/>
        <w:ind w:firstLine="680" w:firstLineChars="200"/>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存在易燃施工用料及包装的场所上方或水平距离10m内进行明火或产生火花的作业;</w:t>
      </w:r>
    </w:p>
    <w:p w14:paraId="7FEB06E3">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已安装好的电气、仪表控制室内或已敷设完成的电缆槽架上方从事明火或产生火花的作业。</w:t>
      </w:r>
    </w:p>
    <w:p w14:paraId="52203901">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（3）固定动火区内</w:t>
      </w:r>
      <w:r>
        <w:rPr>
          <w:rFonts w:hint="eastAsia" w:ascii="仿宋_GB2312" w:hAnsi="黑体" w:eastAsia="仿宋_GB2312" w:cs="仿宋_GB2312"/>
          <w:b w:val="0"/>
          <w:bCs w:val="0"/>
          <w:color w:val="auto"/>
          <w:kern w:val="0"/>
          <w:sz w:val="34"/>
          <w:szCs w:val="34"/>
        </w:rPr>
        <w:t>管廊上的动火作业，</w:t>
      </w:r>
      <w:r>
        <w:rPr>
          <w:rFonts w:hint="eastAsia" w:ascii="仿宋_GB2312" w:hAnsi="黑体" w:eastAsia="仿宋_GB2312" w:cs="仿宋_GB2312"/>
          <w:b w:val="0"/>
          <w:bCs w:val="0"/>
          <w:color w:val="auto"/>
          <w:kern w:val="0"/>
          <w:sz w:val="34"/>
          <w:szCs w:val="34"/>
          <w:lang w:val="en-US" w:eastAsia="zh-CN"/>
        </w:rPr>
        <w:t>除了必须按</w:t>
      </w:r>
      <w:r>
        <w:rPr>
          <w:rFonts w:hint="eastAsia" w:ascii="仿宋_GB2312" w:hAnsi="黑体" w:eastAsia="仿宋_GB2312" w:cs="仿宋_GB2312"/>
          <w:b w:val="0"/>
          <w:bCs w:val="0"/>
          <w:color w:val="auto"/>
          <w:kern w:val="0"/>
          <w:sz w:val="34"/>
          <w:szCs w:val="34"/>
        </w:rPr>
        <w:t>一级动火作业</w:t>
      </w:r>
      <w:r>
        <w:rPr>
          <w:rFonts w:hint="eastAsia" w:ascii="仿宋_GB2312" w:hAnsi="黑体" w:eastAsia="仿宋_GB2312" w:cs="仿宋_GB2312"/>
          <w:b w:val="0"/>
          <w:bCs w:val="0"/>
          <w:color w:val="auto"/>
          <w:kern w:val="0"/>
          <w:sz w:val="34"/>
          <w:szCs w:val="34"/>
          <w:lang w:eastAsia="zh-CN"/>
        </w:rPr>
        <w:t>的</w:t>
      </w:r>
      <w:r>
        <w:rPr>
          <w:rFonts w:hint="eastAsia" w:ascii="仿宋_GB2312" w:hAnsi="黑体" w:eastAsia="仿宋_GB2312" w:cs="仿宋_GB2312"/>
          <w:b w:val="0"/>
          <w:bCs w:val="0"/>
          <w:color w:val="auto"/>
          <w:kern w:val="0"/>
          <w:sz w:val="34"/>
          <w:szCs w:val="34"/>
          <w:lang w:val="en-US" w:eastAsia="zh-CN"/>
        </w:rPr>
        <w:t>安全要求进行管理外，还要符合高处作业的安全管理要求，</w:t>
      </w:r>
      <w:r>
        <w:rPr>
          <w:rFonts w:hint="eastAsia" w:ascii="仿宋_GB2312" w:hAnsi="黑体" w:eastAsia="仿宋_GB2312" w:cs="仿宋_GB2312"/>
          <w:b w:val="0"/>
          <w:bCs w:val="0"/>
          <w:color w:val="auto"/>
          <w:kern w:val="0"/>
          <w:sz w:val="34"/>
          <w:szCs w:val="34"/>
        </w:rPr>
        <w:t>涉及</w:t>
      </w:r>
      <w:r>
        <w:rPr>
          <w:rFonts w:hint="eastAsia" w:ascii="仿宋_GB2312" w:hAnsi="黑体" w:eastAsia="仿宋_GB2312" w:cs="仿宋_GB2312"/>
          <w:b w:val="0"/>
          <w:bCs w:val="0"/>
          <w:color w:val="auto"/>
          <w:kern w:val="0"/>
          <w:sz w:val="34"/>
          <w:szCs w:val="34"/>
          <w:lang w:val="en-US" w:eastAsia="zh-CN"/>
        </w:rPr>
        <w:t>到</w:t>
      </w:r>
      <w:r>
        <w:rPr>
          <w:rFonts w:hint="eastAsia" w:ascii="仿宋_GB2312" w:hAnsi="黑体" w:eastAsia="仿宋_GB2312" w:cs="仿宋_GB2312"/>
          <w:b w:val="0"/>
          <w:bCs w:val="0"/>
          <w:color w:val="auto"/>
          <w:kern w:val="0"/>
          <w:sz w:val="34"/>
          <w:szCs w:val="34"/>
        </w:rPr>
        <w:t>危险化学品管道的，</w:t>
      </w:r>
      <w:r>
        <w:rPr>
          <w:rFonts w:hint="eastAsia" w:ascii="仿宋_GB2312" w:hAnsi="黑体" w:eastAsia="仿宋_GB2312" w:cs="仿宋_GB2312"/>
          <w:b w:val="0"/>
          <w:bCs w:val="0"/>
          <w:color w:val="auto"/>
          <w:kern w:val="0"/>
          <w:sz w:val="34"/>
          <w:szCs w:val="34"/>
          <w:lang w:val="en-US" w:eastAsia="zh-CN"/>
        </w:rPr>
        <w:t>还要采取隔离防护措施等。</w:t>
      </w:r>
    </w:p>
    <w:p w14:paraId="57D0FEEA">
      <w:pPr>
        <w:spacing w:line="600" w:lineRule="exact"/>
        <w:ind w:firstLine="680" w:firstLineChars="200"/>
        <w:jc w:val="left"/>
        <w:rPr>
          <w:rFonts w:hint="eastAsia"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lang w:val="en-US" w:eastAsia="zh-CN"/>
        </w:rPr>
        <w:t>（三）</w:t>
      </w:r>
      <w:r>
        <w:rPr>
          <w:rFonts w:hint="eastAsia" w:ascii="楷体" w:hAnsi="楷体" w:eastAsia="楷体" w:cs="仿宋_GB2312"/>
          <w:b w:val="0"/>
          <w:bCs w:val="0"/>
          <w:color w:val="auto"/>
          <w:kern w:val="0"/>
          <w:sz w:val="34"/>
          <w:szCs w:val="34"/>
        </w:rPr>
        <w:t>动火作业管理要求</w:t>
      </w:r>
    </w:p>
    <w:p w14:paraId="5893BFE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动火点周围易燃物和可燃物必须在动火作业前清理干净。</w:t>
      </w:r>
    </w:p>
    <w:p w14:paraId="741320CF">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在靠近</w:t>
      </w:r>
      <w:r>
        <w:rPr>
          <w:rFonts w:hint="eastAsia" w:ascii="仿宋_GB2312" w:hAnsi="黑体" w:eastAsia="仿宋_GB2312" w:cs="仿宋_GB2312"/>
          <w:b w:val="0"/>
          <w:bCs w:val="0"/>
          <w:color w:val="auto"/>
          <w:kern w:val="0"/>
          <w:sz w:val="34"/>
          <w:szCs w:val="34"/>
          <w:lang w:val="en-US" w:eastAsia="zh-CN"/>
        </w:rPr>
        <w:t>有毒有害易燃易爆介质</w:t>
      </w:r>
      <w:r>
        <w:rPr>
          <w:rFonts w:hint="eastAsia" w:ascii="仿宋_GB2312" w:hAnsi="黑体" w:eastAsia="仿宋_GB2312" w:cs="仿宋_GB2312"/>
          <w:b w:val="0"/>
          <w:bCs w:val="0"/>
          <w:color w:val="auto"/>
          <w:kern w:val="0"/>
          <w:sz w:val="34"/>
          <w:szCs w:val="34"/>
        </w:rPr>
        <w:t>生产装置作业时，应悬挂</w:t>
      </w:r>
      <w:r>
        <w:rPr>
          <w:rFonts w:hint="eastAsia" w:ascii="仿宋_GB2312" w:hAnsi="黑体" w:eastAsia="仿宋_GB2312" w:cs="仿宋_GB2312"/>
          <w:b w:val="0"/>
          <w:bCs w:val="0"/>
          <w:color w:val="auto"/>
          <w:kern w:val="0"/>
          <w:sz w:val="34"/>
          <w:szCs w:val="34"/>
          <w:lang w:val="en-US" w:eastAsia="zh-CN"/>
        </w:rPr>
        <w:t>相关介质的检测</w:t>
      </w:r>
      <w:r>
        <w:rPr>
          <w:rFonts w:hint="eastAsia" w:ascii="仿宋_GB2312" w:hAnsi="黑体" w:eastAsia="仿宋_GB2312" w:cs="仿宋_GB2312"/>
          <w:b w:val="0"/>
          <w:bCs w:val="0"/>
          <w:color w:val="auto"/>
          <w:kern w:val="0"/>
          <w:sz w:val="34"/>
          <w:szCs w:val="34"/>
        </w:rPr>
        <w:t>报警</w:t>
      </w:r>
      <w:r>
        <w:rPr>
          <w:rFonts w:hint="eastAsia" w:ascii="仿宋_GB2312" w:hAnsi="黑体" w:eastAsia="仿宋_GB2312" w:cs="仿宋_GB2312"/>
          <w:b w:val="0"/>
          <w:bCs w:val="0"/>
          <w:color w:val="auto"/>
          <w:kern w:val="0"/>
          <w:sz w:val="34"/>
          <w:szCs w:val="34"/>
          <w:lang w:val="en-US" w:eastAsia="zh-CN"/>
        </w:rPr>
        <w:t>仪</w:t>
      </w:r>
      <w:r>
        <w:rPr>
          <w:rFonts w:hint="eastAsia" w:ascii="仿宋_GB2312" w:hAnsi="黑体" w:eastAsia="仿宋_GB2312" w:cs="仿宋_GB2312"/>
          <w:b w:val="0"/>
          <w:bCs w:val="0"/>
          <w:color w:val="auto"/>
          <w:kern w:val="0"/>
          <w:sz w:val="34"/>
          <w:szCs w:val="34"/>
        </w:rPr>
        <w:t>。如靠近</w:t>
      </w:r>
      <w:r>
        <w:rPr>
          <w:rFonts w:ascii="仿宋_GB2312" w:hAnsi="黑体" w:eastAsia="仿宋_GB2312" w:cs="仿宋_GB2312"/>
          <w:b w:val="0"/>
          <w:bCs w:val="0"/>
          <w:color w:val="auto"/>
          <w:kern w:val="0"/>
          <w:sz w:val="34"/>
          <w:szCs w:val="34"/>
        </w:rPr>
        <w:t>CO</w:t>
      </w:r>
      <w:r>
        <w:rPr>
          <w:rFonts w:hint="eastAsia" w:ascii="仿宋_GB2312" w:hAnsi="黑体" w:eastAsia="仿宋_GB2312" w:cs="仿宋_GB2312"/>
          <w:b w:val="0"/>
          <w:bCs w:val="0"/>
          <w:color w:val="auto"/>
          <w:kern w:val="0"/>
          <w:sz w:val="34"/>
          <w:szCs w:val="34"/>
        </w:rPr>
        <w:t>生产装置应悬挂</w:t>
      </w:r>
      <w:r>
        <w:rPr>
          <w:rFonts w:ascii="仿宋_GB2312" w:hAnsi="黑体" w:eastAsia="仿宋_GB2312" w:cs="仿宋_GB2312"/>
          <w:b w:val="0"/>
          <w:bCs w:val="0"/>
          <w:color w:val="auto"/>
          <w:kern w:val="0"/>
          <w:sz w:val="34"/>
          <w:szCs w:val="34"/>
        </w:rPr>
        <w:t>CO</w:t>
      </w:r>
      <w:r>
        <w:rPr>
          <w:rFonts w:hint="eastAsia" w:ascii="仿宋_GB2312" w:hAnsi="黑体" w:eastAsia="仿宋_GB2312" w:cs="仿宋_GB2312"/>
          <w:b w:val="0"/>
          <w:bCs w:val="0"/>
          <w:color w:val="auto"/>
          <w:kern w:val="0"/>
          <w:sz w:val="34"/>
          <w:szCs w:val="34"/>
          <w:lang w:val="en-US" w:eastAsia="zh-CN"/>
        </w:rPr>
        <w:t>检测</w:t>
      </w:r>
      <w:r>
        <w:rPr>
          <w:rFonts w:hint="eastAsia" w:ascii="仿宋_GB2312" w:hAnsi="黑体" w:eastAsia="仿宋_GB2312" w:cs="仿宋_GB2312"/>
          <w:b w:val="0"/>
          <w:bCs w:val="0"/>
          <w:color w:val="auto"/>
          <w:kern w:val="0"/>
          <w:sz w:val="34"/>
          <w:szCs w:val="34"/>
        </w:rPr>
        <w:t>报警</w:t>
      </w:r>
      <w:r>
        <w:rPr>
          <w:rFonts w:hint="eastAsia" w:ascii="仿宋_GB2312" w:hAnsi="黑体" w:eastAsia="仿宋_GB2312" w:cs="仿宋_GB2312"/>
          <w:b w:val="0"/>
          <w:bCs w:val="0"/>
          <w:color w:val="auto"/>
          <w:kern w:val="0"/>
          <w:sz w:val="34"/>
          <w:szCs w:val="34"/>
          <w:lang w:val="en-US" w:eastAsia="zh-CN"/>
        </w:rPr>
        <w:t>仪。当</w:t>
      </w:r>
      <w:r>
        <w:rPr>
          <w:rFonts w:hint="eastAsia" w:ascii="仿宋_GB2312" w:hAnsi="黑体" w:eastAsia="仿宋_GB2312" w:cs="仿宋_GB2312"/>
          <w:b w:val="0"/>
          <w:bCs w:val="0"/>
          <w:color w:val="auto"/>
          <w:kern w:val="0"/>
          <w:sz w:val="34"/>
          <w:szCs w:val="34"/>
        </w:rPr>
        <w:t>发生泄漏时，应立即停止动火作业，对动火部位进行降温处理，并迅速撤离现场。</w:t>
      </w:r>
    </w:p>
    <w:p w14:paraId="7DE29FBE">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在进行气割动火作业时，应做到：气瓶间距应不小于</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米。二者与动火点的距离应不小于</w:t>
      </w: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米。乙炔瓶或丙烷瓶应直立摆放。放置在未硬化的不平整的泥土地面上的乙炔瓶或丙烷瓶，必须采取有效的防倾倒措施。压力表、减压阀必须完好。乙炔瓶或丙烷瓶必须配备完好的阻火器。夏天气瓶应做好降温工作，不得在烈日下曝晒。输气管应保证完好。安全附件齐全，气瓶要有防震圈。</w:t>
      </w:r>
    </w:p>
    <w:p w14:paraId="7C0F6E3B">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气瓶管理应做到以下几点：</w:t>
      </w:r>
    </w:p>
    <w:p w14:paraId="6F53B0F0">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）必须设置专门的气瓶间，实行挂牌管理，并张贴安全警示标志。</w:t>
      </w:r>
    </w:p>
    <w:p w14:paraId="3F0BD1D3">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）气瓶间由专人负责，做好气瓶的登记、充装、检查、领用、交接、验收等管理工作。</w:t>
      </w:r>
    </w:p>
    <w:p w14:paraId="4BC8A5AD">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）气瓶必须符合国家标准要求，必须有可追溯的二维码，未贴二维码为不合格，严禁进场。</w:t>
      </w:r>
    </w:p>
    <w:p w14:paraId="0D4851E1">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）按照类别摆放，乙炔瓶不得与氧气瓶同室存放，并将空瓶、实瓶分开放置。</w:t>
      </w:r>
    </w:p>
    <w:p w14:paraId="0E8D4DCB">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）直立摆放的气瓶要采取防倾倒措施。</w:t>
      </w:r>
    </w:p>
    <w:p w14:paraId="630754AD">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）气瓶间要做好通风，防止爆炸性气体积聚。</w:t>
      </w:r>
    </w:p>
    <w:p w14:paraId="13974979">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）乙炔瓶的储存间，应避免阳</w:t>
      </w:r>
      <w:r>
        <w:rPr>
          <w:rFonts w:hint="eastAsia" w:ascii="仿宋_GB2312" w:hAnsi="黑体" w:eastAsia="仿宋_GB2312" w:cs="仿宋_GB2312"/>
          <w:b w:val="0"/>
          <w:bCs w:val="0"/>
          <w:color w:val="auto"/>
          <w:kern w:val="0"/>
          <w:sz w:val="34"/>
          <w:szCs w:val="34"/>
          <w:lang w:val="en-US" w:eastAsia="zh-CN"/>
        </w:rPr>
        <w:t>光</w:t>
      </w:r>
      <w:r>
        <w:rPr>
          <w:rFonts w:hint="eastAsia" w:ascii="仿宋_GB2312" w:hAnsi="黑体" w:eastAsia="仿宋_GB2312" w:cs="仿宋_GB2312"/>
          <w:b w:val="0"/>
          <w:bCs w:val="0"/>
          <w:color w:val="auto"/>
          <w:kern w:val="0"/>
          <w:sz w:val="34"/>
          <w:szCs w:val="34"/>
        </w:rPr>
        <w:t>直射，与明火或散发火花地点的距离不得小于</w:t>
      </w: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米。</w:t>
      </w:r>
    </w:p>
    <w:p w14:paraId="1BBCB2CD">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）施工人员每天作业前从气瓶间领用气瓶，作业结束后送回气瓶间。</w:t>
      </w:r>
    </w:p>
    <w:p w14:paraId="49F0E9B0">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）在运输和使用气瓶过程中，</w:t>
      </w:r>
      <w:r>
        <w:rPr>
          <w:rFonts w:hint="eastAsia" w:ascii="仿宋_GB2312" w:hAnsi="黑体" w:eastAsia="仿宋_GB2312" w:cs="仿宋_GB2312"/>
          <w:b w:val="0"/>
          <w:bCs w:val="0"/>
          <w:color w:val="auto"/>
          <w:kern w:val="0"/>
          <w:sz w:val="34"/>
          <w:szCs w:val="34"/>
          <w:lang w:val="en-US" w:eastAsia="zh-CN"/>
        </w:rPr>
        <w:t>应</w:t>
      </w:r>
      <w:r>
        <w:rPr>
          <w:rFonts w:hint="eastAsia" w:ascii="仿宋_GB2312" w:hAnsi="黑体" w:eastAsia="仿宋_GB2312" w:cs="仿宋_GB2312"/>
          <w:b w:val="0"/>
          <w:bCs w:val="0"/>
          <w:color w:val="auto"/>
          <w:kern w:val="0"/>
          <w:sz w:val="34"/>
          <w:szCs w:val="34"/>
        </w:rPr>
        <w:t>避免气瓶沾上油脂。</w:t>
      </w:r>
    </w:p>
    <w:p w14:paraId="7588A05F">
      <w:pPr>
        <w:spacing w:line="480" w:lineRule="exact"/>
        <w:ind w:firstLine="680" w:firstLineChars="200"/>
        <w:jc w:val="left"/>
        <w:rPr>
          <w:rFonts w:hint="default" w:ascii="仿宋_GB2312" w:hAnsi="黑体" w:eastAsia="仿宋_GB2312" w:cs="仿宋_GB2312"/>
          <w:b w:val="0"/>
          <w:bCs w:val="0"/>
          <w:color w:val="auto"/>
          <w:kern w:val="0"/>
          <w:sz w:val="34"/>
          <w:szCs w:val="34"/>
          <w:lang w:val="en-US" w:eastAsia="zh-CN"/>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在动火点</w:t>
      </w:r>
      <w:r>
        <w:rPr>
          <w:rFonts w:ascii="仿宋_GB2312" w:hAnsi="黑体" w:eastAsia="仿宋_GB2312" w:cs="仿宋_GB2312"/>
          <w:b w:val="0"/>
          <w:bCs w:val="0"/>
          <w:color w:val="auto"/>
          <w:kern w:val="0"/>
          <w:sz w:val="34"/>
          <w:szCs w:val="34"/>
        </w:rPr>
        <w:t xml:space="preserve">10 </w:t>
      </w:r>
      <w:r>
        <w:rPr>
          <w:rFonts w:hint="eastAsia" w:ascii="仿宋_GB2312" w:hAnsi="黑体" w:eastAsia="仿宋_GB2312" w:cs="仿宋_GB2312"/>
          <w:b w:val="0"/>
          <w:bCs w:val="0"/>
          <w:color w:val="auto"/>
          <w:kern w:val="0"/>
          <w:sz w:val="34"/>
          <w:szCs w:val="34"/>
        </w:rPr>
        <w:t>米范围内及动火点下方不应同时进行可燃溶剂清洗或喷漆等作业。</w:t>
      </w:r>
    </w:p>
    <w:p w14:paraId="0EC77A17">
      <w:pPr>
        <w:spacing w:line="480" w:lineRule="exact"/>
        <w:ind w:firstLine="680" w:firstLineChars="200"/>
        <w:jc w:val="left"/>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在带电设备附近动火，火焰距带电部位</w:t>
      </w:r>
      <w:r>
        <w:rPr>
          <w:rFonts w:ascii="仿宋_GB2312" w:hAnsi="黑体" w:eastAsia="仿宋_GB2312" w:cs="仿宋_GB2312"/>
          <w:b w:val="0"/>
          <w:bCs w:val="0"/>
          <w:color w:val="auto"/>
          <w:kern w:val="0"/>
          <w:sz w:val="34"/>
          <w:szCs w:val="34"/>
        </w:rPr>
        <w:t>10k</w:t>
      </w:r>
      <w:r>
        <w:rPr>
          <w:rFonts w:hint="eastAsia" w:ascii="仿宋_GB2312" w:hAnsi="黑体" w:eastAsia="仿宋_GB2312" w:cs="仿宋_GB2312"/>
          <w:b w:val="0"/>
          <w:bCs w:val="0"/>
          <w:color w:val="auto"/>
          <w:kern w:val="0"/>
          <w:sz w:val="34"/>
          <w:szCs w:val="34"/>
        </w:rPr>
        <w:t>V以下的为1.</w:t>
      </w:r>
      <w:r>
        <w:rPr>
          <w:rFonts w:hint="eastAsia" w:ascii="仿宋_GB2312" w:hAnsi="黑体" w:eastAsia="仿宋_GB2312" w:cs="仿宋_GB2312"/>
          <w:b w:val="0"/>
          <w:bCs w:val="0"/>
          <w:color w:val="auto"/>
          <w:kern w:val="0"/>
          <w:sz w:val="34"/>
          <w:szCs w:val="34"/>
          <w:lang w:val="en-US" w:eastAsia="zh-CN"/>
        </w:rPr>
        <w:t>7</w:t>
      </w:r>
      <w:r>
        <w:rPr>
          <w:rFonts w:hint="eastAsia" w:ascii="仿宋_GB2312" w:hAnsi="黑体" w:eastAsia="仿宋_GB2312" w:cs="仿宋_GB2312"/>
          <w:b w:val="0"/>
          <w:bCs w:val="0"/>
          <w:color w:val="auto"/>
          <w:kern w:val="0"/>
          <w:sz w:val="34"/>
          <w:szCs w:val="34"/>
        </w:rPr>
        <w:t>米</w:t>
      </w:r>
      <w:r>
        <w:rPr>
          <w:rFonts w:hint="eastAsia" w:ascii="仿宋_GB2312" w:hAnsi="黑体" w:eastAsia="仿宋_GB2312" w:cs="仿宋_GB2312"/>
          <w:b w:val="0"/>
          <w:bCs w:val="0"/>
          <w:color w:val="auto"/>
          <w:kern w:val="0"/>
          <w:sz w:val="34"/>
          <w:szCs w:val="34"/>
          <w:lang w:val="en-US" w:eastAsia="zh-CN"/>
        </w:rPr>
        <w:t>以上</w:t>
      </w:r>
      <w:r>
        <w:rPr>
          <w:rFonts w:hint="eastAsia" w:ascii="仿宋_GB2312" w:hAnsi="黑体" w:eastAsia="仿宋_GB2312" w:cs="仿宋_GB2312"/>
          <w:b w:val="0"/>
          <w:bCs w:val="0"/>
          <w:color w:val="auto"/>
          <w:kern w:val="0"/>
          <w:sz w:val="34"/>
          <w:szCs w:val="34"/>
        </w:rPr>
        <w:t>，10kV以上的为3米</w:t>
      </w:r>
      <w:r>
        <w:rPr>
          <w:rFonts w:hint="eastAsia" w:ascii="仿宋_GB2312" w:hAnsi="黑体" w:eastAsia="仿宋_GB2312" w:cs="仿宋_GB2312"/>
          <w:b w:val="0"/>
          <w:bCs w:val="0"/>
          <w:color w:val="auto"/>
          <w:kern w:val="0"/>
          <w:sz w:val="34"/>
          <w:szCs w:val="34"/>
          <w:lang w:val="en-US" w:eastAsia="zh-CN"/>
        </w:rPr>
        <w:t>以上</w:t>
      </w:r>
      <w:r>
        <w:rPr>
          <w:rFonts w:hint="eastAsia" w:ascii="仿宋_GB2312" w:hAnsi="黑体" w:eastAsia="仿宋_GB2312" w:cs="仿宋_GB2312"/>
          <w:b w:val="0"/>
          <w:bCs w:val="0"/>
          <w:color w:val="auto"/>
          <w:kern w:val="0"/>
          <w:sz w:val="34"/>
          <w:szCs w:val="34"/>
        </w:rPr>
        <w:t>。</w:t>
      </w:r>
    </w:p>
    <w:p w14:paraId="46275131">
      <w:pPr>
        <w:spacing w:line="480" w:lineRule="exact"/>
        <w:ind w:firstLine="680" w:firstLineChars="200"/>
        <w:jc w:val="left"/>
        <w:rPr>
          <w:rFonts w:hint="default" w:ascii="宋体" w:hAnsi="宋体" w:eastAsia="宋体" w:cs="黑体"/>
          <w:b w:val="0"/>
          <w:bCs w:val="0"/>
          <w:color w:val="auto"/>
          <w:sz w:val="28"/>
          <w:szCs w:val="28"/>
          <w:lang w:val="en-US" w:eastAsia="zh-CN"/>
        </w:rPr>
      </w:pPr>
      <w:r>
        <w:rPr>
          <w:rFonts w:hint="eastAsia" w:ascii="仿宋_GB2312" w:hAnsi="黑体" w:eastAsia="仿宋_GB2312" w:cs="仿宋_GB2312"/>
          <w:b w:val="0"/>
          <w:bCs w:val="0"/>
          <w:color w:val="auto"/>
          <w:kern w:val="0"/>
          <w:sz w:val="34"/>
          <w:szCs w:val="34"/>
          <w:lang w:val="en-US" w:eastAsia="zh-CN"/>
        </w:rPr>
        <w:t>7.在管廊上</w:t>
      </w:r>
      <w:r>
        <w:rPr>
          <w:rFonts w:hint="eastAsia" w:ascii="仿宋_GB2312" w:hAnsi="黑体" w:eastAsia="仿宋_GB2312" w:cs="仿宋_GB2312"/>
          <w:b w:val="0"/>
          <w:bCs w:val="0"/>
          <w:color w:val="auto"/>
          <w:kern w:val="0"/>
          <w:sz w:val="34"/>
          <w:szCs w:val="34"/>
        </w:rPr>
        <w:t>动火</w:t>
      </w:r>
      <w:r>
        <w:rPr>
          <w:rFonts w:hint="eastAsia" w:ascii="仿宋_GB2312" w:hAnsi="黑体" w:eastAsia="仿宋_GB2312" w:cs="仿宋_GB2312"/>
          <w:b w:val="0"/>
          <w:bCs w:val="0"/>
          <w:color w:val="auto"/>
          <w:kern w:val="0"/>
          <w:sz w:val="34"/>
          <w:szCs w:val="34"/>
          <w:lang w:val="en-US" w:eastAsia="zh-CN"/>
        </w:rPr>
        <w:t>作业，</w:t>
      </w:r>
      <w:r>
        <w:rPr>
          <w:rFonts w:hint="eastAsia" w:ascii="仿宋_GB2312" w:hAnsi="黑体" w:eastAsia="仿宋_GB2312" w:cs="仿宋_GB2312"/>
          <w:b w:val="0"/>
          <w:bCs w:val="0"/>
          <w:color w:val="auto"/>
          <w:kern w:val="0"/>
          <w:sz w:val="34"/>
          <w:szCs w:val="34"/>
        </w:rPr>
        <w:t>下方</w:t>
      </w:r>
      <w:r>
        <w:rPr>
          <w:rFonts w:hint="eastAsia" w:ascii="仿宋_GB2312" w:hAnsi="黑体" w:eastAsia="仿宋_GB2312" w:cs="仿宋_GB2312"/>
          <w:b w:val="0"/>
          <w:bCs w:val="0"/>
          <w:color w:val="auto"/>
          <w:kern w:val="0"/>
          <w:sz w:val="34"/>
          <w:szCs w:val="34"/>
          <w:lang w:val="en-US" w:eastAsia="zh-CN"/>
        </w:rPr>
        <w:t>要设置接火盆，防止火花飘散。</w:t>
      </w:r>
    </w:p>
    <w:p w14:paraId="1957DD04">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8</w:t>
      </w:r>
      <w:r>
        <w:rPr>
          <w:rFonts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rPr>
        <w:t>动火作业完毕，动火人和监火人以及参与动火作业的人员应清理现场，监火人确认无残留火种后方可离开。</w:t>
      </w:r>
    </w:p>
    <w:p w14:paraId="035D2755">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9</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级及以上大风天气和其他恶劣天气情况下禁止室外动火作业。</w:t>
      </w:r>
    </w:p>
    <w:p w14:paraId="32EEE7A1">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10.高处动火作业时,应对周围存在的易燃物进行处理，并对其下方的可燃物、机械设备、电缆、气瓶等进行清理或采取可靠的防护措施,同时应采取防止火花飞溅坠落的安全措施。</w:t>
      </w:r>
    </w:p>
    <w:p w14:paraId="629E1B9F">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（三）动火作业证办理、审批程序</w:t>
      </w:r>
    </w:p>
    <w:p w14:paraId="444208C4">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特级动火、</w:t>
      </w:r>
      <w:r>
        <w:rPr>
          <w:rFonts w:hint="eastAsia" w:ascii="仿宋_GB2312" w:hAnsi="黑体" w:eastAsia="仿宋_GB2312" w:cs="仿宋_GB2312"/>
          <w:b w:val="0"/>
          <w:bCs w:val="0"/>
          <w:color w:val="auto"/>
          <w:kern w:val="0"/>
          <w:sz w:val="34"/>
          <w:szCs w:val="34"/>
        </w:rPr>
        <w:t>一级动火有效期</w:t>
      </w: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小时</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二级动火有效期</w:t>
      </w:r>
      <w:r>
        <w:rPr>
          <w:rFonts w:hint="eastAsia" w:ascii="仿宋_GB2312" w:hAnsi="黑体" w:eastAsia="仿宋_GB2312" w:cs="仿宋_GB2312"/>
          <w:b w:val="0"/>
          <w:bCs w:val="0"/>
          <w:color w:val="auto"/>
          <w:kern w:val="0"/>
          <w:sz w:val="34"/>
          <w:szCs w:val="34"/>
          <w:lang w:val="en-US" w:eastAsia="zh-CN"/>
        </w:rPr>
        <w:t>72小时</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所涉及各分级的动火作业票证</w:t>
      </w:r>
      <w:r>
        <w:rPr>
          <w:rFonts w:hint="eastAsia" w:ascii="仿宋_GB2312" w:hAnsi="黑体" w:eastAsia="仿宋_GB2312" w:cs="仿宋_GB2312"/>
          <w:b w:val="0"/>
          <w:bCs w:val="0"/>
          <w:color w:val="auto"/>
          <w:kern w:val="0"/>
          <w:sz w:val="34"/>
          <w:szCs w:val="34"/>
        </w:rPr>
        <w:t>由承包商现场项目负责人办理，承包商负责人或安全员</w:t>
      </w:r>
      <w:r>
        <w:rPr>
          <w:rFonts w:hint="eastAsia" w:ascii="仿宋_GB2312" w:hAnsi="黑体" w:eastAsia="仿宋_GB2312" w:cs="仿宋_GB2312"/>
          <w:b w:val="0"/>
          <w:bCs w:val="0"/>
          <w:color w:val="auto"/>
          <w:kern w:val="0"/>
          <w:sz w:val="34"/>
          <w:szCs w:val="34"/>
          <w:lang w:val="en-US" w:eastAsia="zh-CN"/>
        </w:rPr>
        <w:t>负责初审</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安全监理负责终审</w:t>
      </w:r>
      <w:r>
        <w:rPr>
          <w:rFonts w:hint="eastAsia" w:ascii="仿宋_GB2312" w:hAnsi="黑体" w:eastAsia="仿宋_GB2312" w:cs="仿宋_GB2312"/>
          <w:b w:val="0"/>
          <w:bCs w:val="0"/>
          <w:color w:val="auto"/>
          <w:kern w:val="0"/>
          <w:sz w:val="34"/>
          <w:szCs w:val="34"/>
        </w:rPr>
        <w:t>。</w:t>
      </w:r>
    </w:p>
    <w:p w14:paraId="021B3B5D">
      <w:pPr>
        <w:spacing w:line="600" w:lineRule="exact"/>
        <w:ind w:firstLine="712" w:firstLineChars="200"/>
        <w:jc w:val="left"/>
        <w:rPr>
          <w:rFonts w:hint="eastAsia" w:ascii="仿宋_GB2312" w:hAnsi="黑体" w:eastAsia="仿宋_GB2312" w:cs="Arial"/>
          <w:b w:val="0"/>
          <w:bCs w:val="0"/>
          <w:color w:val="auto"/>
          <w:spacing w:val="8"/>
          <w:sz w:val="34"/>
          <w:szCs w:val="34"/>
        </w:rPr>
      </w:pPr>
    </w:p>
    <w:p w14:paraId="5C9C8562">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第六十一条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高处作业</w:t>
      </w:r>
    </w:p>
    <w:p w14:paraId="6C79F578">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（一）高处作业分级</w:t>
      </w:r>
    </w:p>
    <w:p w14:paraId="5D908166">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）高处作业具体分级见下表：</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843"/>
        <w:gridCol w:w="1984"/>
        <w:gridCol w:w="1985"/>
        <w:gridCol w:w="1544"/>
      </w:tblGrid>
      <w:tr w14:paraId="0A2E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Align w:val="center"/>
          </w:tcPr>
          <w:p w14:paraId="31409B66">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作业高度</w:t>
            </w:r>
            <w:r>
              <w:rPr>
                <w:rFonts w:ascii="仿宋_GB2312" w:hAnsi="黑体" w:eastAsia="仿宋_GB2312" w:cs="仿宋_GB2312"/>
                <w:b w:val="0"/>
                <w:bCs w:val="0"/>
                <w:color w:val="auto"/>
                <w:kern w:val="0"/>
                <w:sz w:val="24"/>
              </w:rPr>
              <w:t>h/m</w:t>
            </w:r>
          </w:p>
        </w:tc>
        <w:tc>
          <w:tcPr>
            <w:tcW w:w="1843" w:type="dxa"/>
            <w:vAlign w:val="center"/>
          </w:tcPr>
          <w:p w14:paraId="0956F099">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2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h</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5 m</w:t>
            </w:r>
          </w:p>
        </w:tc>
        <w:tc>
          <w:tcPr>
            <w:tcW w:w="1984" w:type="dxa"/>
            <w:vAlign w:val="center"/>
          </w:tcPr>
          <w:p w14:paraId="2C61B4C8">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5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15 m</w:t>
            </w:r>
          </w:p>
        </w:tc>
        <w:tc>
          <w:tcPr>
            <w:tcW w:w="1985" w:type="dxa"/>
            <w:vAlign w:val="center"/>
          </w:tcPr>
          <w:p w14:paraId="2689B267">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l5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30 m</w:t>
            </w:r>
          </w:p>
        </w:tc>
        <w:tc>
          <w:tcPr>
            <w:tcW w:w="1544" w:type="dxa"/>
            <w:vAlign w:val="center"/>
          </w:tcPr>
          <w:p w14:paraId="6FEB1124">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30 m</w:t>
            </w:r>
          </w:p>
        </w:tc>
      </w:tr>
      <w:tr w14:paraId="3475A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22" w:type="dxa"/>
            <w:vAlign w:val="center"/>
          </w:tcPr>
          <w:p w14:paraId="647BFD1B">
            <w:pP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作业级别</w:t>
            </w:r>
          </w:p>
        </w:tc>
        <w:tc>
          <w:tcPr>
            <w:tcW w:w="1843" w:type="dxa"/>
            <w:vAlign w:val="center"/>
          </w:tcPr>
          <w:p w14:paraId="0754B336">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一级</w:t>
            </w:r>
          </w:p>
        </w:tc>
        <w:tc>
          <w:tcPr>
            <w:tcW w:w="1984" w:type="dxa"/>
            <w:vAlign w:val="center"/>
          </w:tcPr>
          <w:p w14:paraId="1ECB19BB">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二级</w:t>
            </w:r>
          </w:p>
        </w:tc>
        <w:tc>
          <w:tcPr>
            <w:tcW w:w="1985" w:type="dxa"/>
            <w:vAlign w:val="center"/>
          </w:tcPr>
          <w:p w14:paraId="610E3407">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三级</w:t>
            </w:r>
          </w:p>
        </w:tc>
        <w:tc>
          <w:tcPr>
            <w:tcW w:w="1544" w:type="dxa"/>
            <w:vAlign w:val="center"/>
          </w:tcPr>
          <w:p w14:paraId="44DED784">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四级</w:t>
            </w:r>
          </w:p>
        </w:tc>
      </w:tr>
    </w:tbl>
    <w:p w14:paraId="7657765C">
      <w:pPr>
        <w:spacing w:line="600" w:lineRule="exact"/>
        <w:ind w:firstLine="680" w:firstLineChars="200"/>
        <w:rPr>
          <w:rFonts w:hint="eastAsia" w:ascii="仿宋_GB2312" w:hAnsi="黑体" w:eastAsia="仿宋_GB2312" w:cs="仿宋_GB2312"/>
          <w:b w:val="0"/>
          <w:bCs w:val="0"/>
          <w:color w:val="auto"/>
          <w:kern w:val="0"/>
          <w:sz w:val="34"/>
          <w:szCs w:val="34"/>
        </w:rPr>
      </w:pPr>
    </w:p>
    <w:p w14:paraId="036932DA">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）以下情况也属于四级高处作业：雨雪天气；夜间作业；无固定立足点的悬空作业。</w:t>
      </w:r>
    </w:p>
    <w:p w14:paraId="6BE53A83">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（二）高处作业管理要求</w:t>
      </w:r>
    </w:p>
    <w:p w14:paraId="7365BA12">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有职业禁忌症者和身体不适者，不得登高作业，如：患有精神病、恐高症、癫痫病、高血压、心脏病、深度近视；作业前饮酒、精神不振、身体不适；年老体弱、疲劳过度等。</w:t>
      </w:r>
    </w:p>
    <w:p w14:paraId="3CF9BAC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脚手架搭设必须符合国家标准规范要求，防止坍塌、倾倒。踏板铺设绑扎牢固、稳定，防止翘头。作业面要做到完全覆盖。</w:t>
      </w:r>
    </w:p>
    <w:p w14:paraId="7CA5624F">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禁止使用单块木板作为过桥。</w:t>
      </w:r>
    </w:p>
    <w:p w14:paraId="1ECE9B1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高处作业时，必须集中精力，系好安全带，戴好安全帽，严禁穿硬底鞋。随身的工具、零件、材料等必须装入工具袋内；人员攀爬或移动时严禁手持工具或材料。</w:t>
      </w:r>
    </w:p>
    <w:p w14:paraId="742B792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高处作业使用的安全带必须符合要求；每次使用安全带前必须认真检查，不得用绳索代替安全带。</w:t>
      </w:r>
    </w:p>
    <w:p w14:paraId="121CCC2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安全带要高挂低用。必须系挂在结实牢固的物件上，严禁系挂在仪表管线、工艺管线、伴热管线等细小管线和移动设备或转动部件上，不准低挂高用，暂不用时应把安全绳随身缠好。禁止踩踏保温。</w:t>
      </w:r>
    </w:p>
    <w:p w14:paraId="224981B5">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严禁随意向下乱丢物件。如必须向下抛物，必须事先用栏杆或红白旗绳设置危险区域，并派专人现场监护。</w:t>
      </w:r>
    </w:p>
    <w:p w14:paraId="600DB748">
      <w:pPr>
        <w:keepNext w:val="0"/>
        <w:keepLines w:val="0"/>
        <w:pageBreakBefore w:val="0"/>
        <w:widowControl w:val="0"/>
        <w:kinsoku/>
        <w:wordWrap/>
        <w:overflowPunct/>
        <w:topLinePunct w:val="0"/>
        <w:autoSpaceDE/>
        <w:autoSpaceDN/>
        <w:bidi w:val="0"/>
        <w:adjustRightInd/>
        <w:snapToGrid/>
        <w:spacing w:after="157" w:afterLines="50" w:line="600" w:lineRule="exact"/>
        <w:ind w:firstLine="680" w:firstLineChars="200"/>
        <w:textAlignment w:val="auto"/>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从事高处作业时，必须注意架空电线，要做好隔绝措施。人员和器具的作业活动范围与危险电压带电体距离符合下表要求：</w:t>
      </w:r>
    </w:p>
    <w:tbl>
      <w:tblPr>
        <w:tblStyle w:val="10"/>
        <w:tblW w:w="8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1080"/>
        <w:gridCol w:w="1080"/>
        <w:gridCol w:w="1260"/>
        <w:gridCol w:w="1080"/>
        <w:gridCol w:w="900"/>
        <w:gridCol w:w="1028"/>
      </w:tblGrid>
      <w:tr w14:paraId="3347B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3" w:type="dxa"/>
            <w:vAlign w:val="center"/>
          </w:tcPr>
          <w:p w14:paraId="25405D0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危险电压带电体</w:t>
            </w:r>
          </w:p>
          <w:p w14:paraId="60E60FC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的电压等级</w:t>
            </w:r>
            <w:r>
              <w:rPr>
                <w:rFonts w:ascii="仿宋_GB2312" w:hAnsi="黑体" w:eastAsia="仿宋_GB2312" w:cs="仿宋_GB2312"/>
                <w:b w:val="0"/>
                <w:bCs w:val="0"/>
                <w:color w:val="auto"/>
                <w:kern w:val="0"/>
                <w:sz w:val="28"/>
                <w:szCs w:val="28"/>
              </w:rPr>
              <w:t>/kV</w:t>
            </w:r>
          </w:p>
        </w:tc>
        <w:tc>
          <w:tcPr>
            <w:tcW w:w="1080" w:type="dxa"/>
            <w:vAlign w:val="center"/>
          </w:tcPr>
          <w:p w14:paraId="01A9312D">
            <w:pPr>
              <w:jc w:val="center"/>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w:t>
            </w:r>
            <w:r>
              <w:rPr>
                <w:rFonts w:ascii="仿宋_GB2312" w:hAnsi="黑体" w:eastAsia="仿宋_GB2312" w:cs="仿宋_GB2312"/>
                <w:b w:val="0"/>
                <w:bCs w:val="0"/>
                <w:color w:val="auto"/>
                <w:kern w:val="0"/>
                <w:sz w:val="28"/>
                <w:szCs w:val="28"/>
              </w:rPr>
              <w:t>10</w:t>
            </w:r>
          </w:p>
        </w:tc>
        <w:tc>
          <w:tcPr>
            <w:tcW w:w="1080" w:type="dxa"/>
            <w:vAlign w:val="center"/>
          </w:tcPr>
          <w:p w14:paraId="580F848E">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35</w:t>
            </w:r>
          </w:p>
        </w:tc>
        <w:tc>
          <w:tcPr>
            <w:tcW w:w="1260" w:type="dxa"/>
            <w:vAlign w:val="center"/>
          </w:tcPr>
          <w:p w14:paraId="59E17B99">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63-110</w:t>
            </w:r>
          </w:p>
        </w:tc>
        <w:tc>
          <w:tcPr>
            <w:tcW w:w="1080" w:type="dxa"/>
            <w:vAlign w:val="center"/>
          </w:tcPr>
          <w:p w14:paraId="13557D9E">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220</w:t>
            </w:r>
          </w:p>
        </w:tc>
        <w:tc>
          <w:tcPr>
            <w:tcW w:w="900" w:type="dxa"/>
            <w:vAlign w:val="center"/>
          </w:tcPr>
          <w:p w14:paraId="67681DA2">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330</w:t>
            </w:r>
          </w:p>
        </w:tc>
        <w:tc>
          <w:tcPr>
            <w:tcW w:w="1028" w:type="dxa"/>
            <w:vAlign w:val="center"/>
          </w:tcPr>
          <w:p w14:paraId="2A99679D">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500</w:t>
            </w:r>
          </w:p>
        </w:tc>
      </w:tr>
      <w:tr w14:paraId="3D84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563" w:type="dxa"/>
            <w:vAlign w:val="center"/>
          </w:tcPr>
          <w:p w14:paraId="54BBA886">
            <w:pPr>
              <w:ind w:firstLine="560" w:firstLineChars="200"/>
              <w:jc w:val="both"/>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距离</w:t>
            </w:r>
            <w:r>
              <w:rPr>
                <w:rFonts w:ascii="仿宋_GB2312" w:hAnsi="黑体" w:eastAsia="仿宋_GB2312" w:cs="仿宋_GB2312"/>
                <w:b w:val="0"/>
                <w:bCs w:val="0"/>
                <w:color w:val="auto"/>
                <w:kern w:val="0"/>
                <w:sz w:val="28"/>
                <w:szCs w:val="28"/>
              </w:rPr>
              <w:t>/m</w:t>
            </w:r>
          </w:p>
        </w:tc>
        <w:tc>
          <w:tcPr>
            <w:tcW w:w="1080" w:type="dxa"/>
            <w:vAlign w:val="center"/>
          </w:tcPr>
          <w:p w14:paraId="49F51133">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1.7</w:t>
            </w:r>
          </w:p>
        </w:tc>
        <w:tc>
          <w:tcPr>
            <w:tcW w:w="1080" w:type="dxa"/>
            <w:vAlign w:val="center"/>
          </w:tcPr>
          <w:p w14:paraId="75A0FB59">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2.0</w:t>
            </w:r>
          </w:p>
        </w:tc>
        <w:tc>
          <w:tcPr>
            <w:tcW w:w="1260" w:type="dxa"/>
            <w:vAlign w:val="center"/>
          </w:tcPr>
          <w:p w14:paraId="7213F460">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2.5</w:t>
            </w:r>
          </w:p>
        </w:tc>
        <w:tc>
          <w:tcPr>
            <w:tcW w:w="1080" w:type="dxa"/>
            <w:vAlign w:val="center"/>
          </w:tcPr>
          <w:p w14:paraId="5E90A320">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4.0</w:t>
            </w:r>
          </w:p>
        </w:tc>
        <w:tc>
          <w:tcPr>
            <w:tcW w:w="900" w:type="dxa"/>
            <w:vAlign w:val="center"/>
          </w:tcPr>
          <w:p w14:paraId="4D465CDF">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5.0</w:t>
            </w:r>
          </w:p>
        </w:tc>
        <w:tc>
          <w:tcPr>
            <w:tcW w:w="1028" w:type="dxa"/>
            <w:vAlign w:val="center"/>
          </w:tcPr>
          <w:p w14:paraId="5A7EC15C">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6.0</w:t>
            </w:r>
          </w:p>
        </w:tc>
      </w:tr>
    </w:tbl>
    <w:p w14:paraId="70C0FABB">
      <w:pPr>
        <w:keepNext w:val="0"/>
        <w:keepLines w:val="0"/>
        <w:pageBreakBefore w:val="0"/>
        <w:widowControl w:val="0"/>
        <w:kinsoku/>
        <w:wordWrap/>
        <w:overflowPunct/>
        <w:topLinePunct w:val="0"/>
        <w:autoSpaceDE/>
        <w:autoSpaceDN/>
        <w:bidi w:val="0"/>
        <w:adjustRightInd/>
        <w:snapToGrid/>
        <w:spacing w:before="157" w:beforeLines="50" w:line="600" w:lineRule="exact"/>
        <w:ind w:firstLine="680" w:firstLineChars="200"/>
        <w:textAlignment w:val="auto"/>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雨天高处作业要清除鞋底泥污，防止打滑。</w:t>
      </w:r>
    </w:p>
    <w:p w14:paraId="6667C6E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10.5</w:t>
      </w:r>
      <w:r>
        <w:rPr>
          <w:rFonts w:hint="eastAsia" w:ascii="仿宋_GB2312" w:hAnsi="黑体" w:eastAsia="仿宋_GB2312" w:cs="仿宋_GB2312"/>
          <w:b w:val="0"/>
          <w:bCs w:val="0"/>
          <w:color w:val="auto"/>
          <w:kern w:val="0"/>
          <w:sz w:val="34"/>
          <w:szCs w:val="34"/>
        </w:rPr>
        <w:t>级（风速</w:t>
      </w:r>
      <w:r>
        <w:rPr>
          <w:rFonts w:ascii="仿宋_GB2312" w:hAnsi="黑体" w:eastAsia="仿宋_GB2312" w:cs="仿宋_GB2312"/>
          <w:b w:val="0"/>
          <w:bCs w:val="0"/>
          <w:color w:val="auto"/>
          <w:kern w:val="0"/>
          <w:sz w:val="34"/>
          <w:szCs w:val="34"/>
        </w:rPr>
        <w:t>8.0m/s</w:t>
      </w:r>
      <w:r>
        <w:rPr>
          <w:rFonts w:hint="eastAsia" w:ascii="仿宋_GB2312" w:hAnsi="黑体" w:eastAsia="仿宋_GB2312" w:cs="仿宋_GB2312"/>
          <w:b w:val="0"/>
          <w:bCs w:val="0"/>
          <w:color w:val="auto"/>
          <w:kern w:val="0"/>
          <w:sz w:val="34"/>
          <w:szCs w:val="34"/>
        </w:rPr>
        <w:t>）及以上大风天气和其他恶劣天气情况下禁止室外高处作业。</w:t>
      </w:r>
    </w:p>
    <w:p w14:paraId="019903D8">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（三）高处作业证办理、审批程序</w:t>
      </w:r>
    </w:p>
    <w:p w14:paraId="4A77C95B">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rPr>
        <w:t>由承包商现场项目负责人办理，承包商负责人或安全员审批</w:t>
      </w:r>
      <w:r>
        <w:rPr>
          <w:rFonts w:hint="eastAsia" w:ascii="仿宋_GB2312" w:hAnsi="黑体" w:eastAsia="仿宋_GB2312" w:cs="仿宋_GB2312"/>
          <w:b w:val="0"/>
          <w:bCs w:val="0"/>
          <w:color w:val="auto"/>
          <w:kern w:val="0"/>
          <w:sz w:val="34"/>
          <w:szCs w:val="34"/>
          <w:lang w:val="en-US" w:eastAsia="zh-CN"/>
        </w:rPr>
        <w:t>初审</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w:t>
      </w:r>
      <w:r>
        <w:rPr>
          <w:rFonts w:hint="eastAsia" w:ascii="仿宋_GB2312" w:hAnsi="黑体" w:eastAsia="仿宋_GB2312" w:cs="仿宋_GB2312"/>
          <w:b w:val="0"/>
          <w:bCs w:val="0"/>
          <w:color w:val="auto"/>
          <w:kern w:val="0"/>
          <w:sz w:val="34"/>
          <w:szCs w:val="34"/>
        </w:rPr>
        <w:t>审批</w:t>
      </w:r>
      <w:r>
        <w:rPr>
          <w:rFonts w:hint="eastAsia" w:ascii="仿宋_GB2312" w:hAnsi="黑体" w:eastAsia="仿宋_GB2312" w:cs="仿宋_GB2312"/>
          <w:b w:val="0"/>
          <w:bCs w:val="0"/>
          <w:color w:val="auto"/>
          <w:kern w:val="0"/>
          <w:sz w:val="34"/>
          <w:szCs w:val="34"/>
          <w:lang w:val="en-US" w:eastAsia="zh-CN"/>
        </w:rPr>
        <w:t>终审</w:t>
      </w:r>
      <w:r>
        <w:rPr>
          <w:rFonts w:hint="eastAsia" w:ascii="仿宋_GB2312" w:hAnsi="黑体" w:eastAsia="仿宋_GB2312" w:cs="仿宋_GB2312"/>
          <w:b w:val="0"/>
          <w:bCs w:val="0"/>
          <w:color w:val="auto"/>
          <w:kern w:val="0"/>
          <w:sz w:val="34"/>
          <w:szCs w:val="34"/>
          <w:lang w:eastAsia="zh-CN"/>
        </w:rPr>
        <w:t>。</w:t>
      </w:r>
    </w:p>
    <w:p w14:paraId="471FB54C">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第六十二条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受限空间作业</w:t>
      </w:r>
    </w:p>
    <w:p w14:paraId="74D477D9">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（一）受限空间作业管理要求</w:t>
      </w:r>
    </w:p>
    <w:p w14:paraId="645C9158">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受限作业内如有危险介质包括吹扫用的氮气，必须做到有效隔绝，清洗置换彻底，分析合格后人员方可进入作业。</w:t>
      </w:r>
    </w:p>
    <w:p w14:paraId="069B6FB5">
      <w:pPr>
        <w:spacing w:line="600" w:lineRule="exact"/>
        <w:ind w:firstLine="680" w:firstLineChars="200"/>
        <w:rPr>
          <w:rFonts w:hint="eastAsia" w:ascii="仿宋_GB2312" w:hAnsi="黑体" w:eastAsia="仿宋_GB2312" w:cs="仿宋_GB2312"/>
          <w:b w:val="0"/>
          <w:bCs w:val="0"/>
          <w:color w:val="auto"/>
          <w:kern w:val="0"/>
          <w:sz w:val="34"/>
          <w:szCs w:val="34"/>
          <w:lang w:eastAsia="zh-CN"/>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作业前</w:t>
      </w:r>
      <w:r>
        <w:rPr>
          <w:rFonts w:ascii="仿宋_GB2312" w:hAnsi="黑体" w:eastAsia="仿宋_GB2312" w:cs="仿宋_GB2312"/>
          <w:b w:val="0"/>
          <w:bCs w:val="0"/>
          <w:color w:val="auto"/>
          <w:kern w:val="0"/>
          <w:sz w:val="34"/>
          <w:szCs w:val="34"/>
        </w:rPr>
        <w:t>30</w:t>
      </w:r>
      <w:r>
        <w:rPr>
          <w:rFonts w:hint="eastAsia" w:ascii="仿宋_GB2312" w:hAnsi="黑体" w:eastAsia="仿宋_GB2312" w:cs="仿宋_GB2312"/>
          <w:b w:val="0"/>
          <w:bCs w:val="0"/>
          <w:color w:val="auto"/>
          <w:kern w:val="0"/>
          <w:sz w:val="34"/>
          <w:szCs w:val="34"/>
        </w:rPr>
        <w:t>分钟内，应对受限空间进行气体分析，分析合格后方可进入</w:t>
      </w:r>
      <w:r>
        <w:rPr>
          <w:rFonts w:hint="eastAsia" w:ascii="仿宋_GB2312" w:hAnsi="黑体" w:eastAsia="仿宋_GB2312" w:cs="仿宋_GB2312"/>
          <w:b w:val="0"/>
          <w:bCs w:val="0"/>
          <w:color w:val="auto"/>
          <w:kern w:val="0"/>
          <w:sz w:val="34"/>
          <w:szCs w:val="34"/>
          <w:lang w:eastAsia="zh-CN"/>
        </w:rPr>
        <w:t>。</w:t>
      </w:r>
    </w:p>
    <w:p w14:paraId="76D9BDA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受限空间首次作业，应由分析人员进行易燃易爆、有毒有害介质的含量进行分析，合格后方可进行受限空间作业。如受限空间紧临有毒有害介质的生产装置，则必须在每次作业前由分析人员进行易燃易爆、有毒有害介质的含量进行分析，合格后方可进行受限空间作业。</w:t>
      </w:r>
    </w:p>
    <w:p w14:paraId="1A30E6C5">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取样分析应有代表性。</w:t>
      </w:r>
    </w:p>
    <w:p w14:paraId="6BBCCF45">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分析仪器应在校验有效期内，使用前应保证其处于正常工作状态；在附近没有其它有毒有害介质扩散挥发的情况下，可以使用完好的氧气报警仪检测受限空间内的氧气浓度是否符合要求。由现场项目负责人或监护人将氧含量填写在作业证上。承包商应每周对氧气报警仪进行比对，确保氧气报警仪完好有效。如存在问题，必须及时进行修理。</w:t>
      </w:r>
    </w:p>
    <w:p w14:paraId="762B23A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作业中应定时监测，至少每</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小时监测一次，如监测分析结果有明显变化，应立即停止作业，撤离人员，对现场进行处理，分析合格后方可恢复作业。</w:t>
      </w:r>
    </w:p>
    <w:p w14:paraId="6F603B3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项目建设前期，进入设备受限空间作业的，其备用孔要尽可能全部打开。项目建设后期，设备连接管道后，如系统较大，尽可能采取单设备隔离和断开的措施。</w:t>
      </w:r>
    </w:p>
    <w:p w14:paraId="0D6DF262">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承包商现场项目负责人、设备负责人，及工程监理总监、工程设备监理、工程安全监理等要对受限空间隔绝状态进行检查和确认，并在《基建及产业项目受限空间隔绝状态检查确认票》上签名。</w:t>
      </w:r>
    </w:p>
    <w:p w14:paraId="48179EC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人员和工具进出受限空间时，项目负责人或监护人对人员和工具的数量进行检查确认，并填写《基建及产业项目受限空间人员和工具进出登记表》，作业人员也须在表上签名确认。</w:t>
      </w:r>
    </w:p>
    <w:p w14:paraId="657E2A18">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作业人员不应携带与作业无关的物品进入受限空间；如需将工具、材料运送至受限空间内部，必须采取有效措施，确保运送过程中工具、材料不会掉落，砸伤人员、设备。</w:t>
      </w:r>
    </w:p>
    <w:p w14:paraId="160F78FB">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11.</w:t>
      </w:r>
      <w:r>
        <w:rPr>
          <w:rFonts w:hint="eastAsia" w:ascii="仿宋_GB2312" w:hAnsi="黑体" w:eastAsia="仿宋_GB2312" w:cs="仿宋_GB2312"/>
          <w:b w:val="0"/>
          <w:bCs w:val="0"/>
          <w:color w:val="auto"/>
          <w:kern w:val="0"/>
          <w:sz w:val="34"/>
          <w:szCs w:val="34"/>
        </w:rPr>
        <w:t>作业中不应抛掷材料、工器具等物品。</w:t>
      </w:r>
    </w:p>
    <w:p w14:paraId="31C085BA">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12.</w:t>
      </w:r>
      <w:r>
        <w:rPr>
          <w:rFonts w:hint="eastAsia" w:ascii="仿宋_GB2312" w:hAnsi="黑体" w:eastAsia="仿宋_GB2312" w:cs="仿宋_GB2312"/>
          <w:b w:val="0"/>
          <w:bCs w:val="0"/>
          <w:color w:val="auto"/>
          <w:kern w:val="0"/>
          <w:sz w:val="34"/>
          <w:szCs w:val="34"/>
        </w:rPr>
        <w:t>作业过程中，要采取有效的通风措施。如设备较大，应采用鼓风机等进行强制通风。</w:t>
      </w:r>
    </w:p>
    <w:p w14:paraId="6FD748B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13.</w:t>
      </w:r>
      <w:r>
        <w:rPr>
          <w:rFonts w:hint="eastAsia" w:ascii="仿宋_GB2312" w:hAnsi="黑体" w:eastAsia="仿宋_GB2312" w:cs="仿宋_GB2312"/>
          <w:b w:val="0"/>
          <w:bCs w:val="0"/>
          <w:color w:val="auto"/>
          <w:kern w:val="0"/>
          <w:sz w:val="34"/>
          <w:szCs w:val="34"/>
        </w:rPr>
        <w:t>监护人员要</w:t>
      </w:r>
      <w:r>
        <w:rPr>
          <w:rFonts w:hint="eastAsia" w:ascii="仿宋_GB2312" w:hAnsi="黑体" w:eastAsia="仿宋_GB2312" w:cs="仿宋_GB2312"/>
          <w:b w:val="0"/>
          <w:bCs w:val="0"/>
          <w:color w:val="auto"/>
          <w:kern w:val="0"/>
          <w:sz w:val="34"/>
          <w:szCs w:val="34"/>
          <w:lang w:val="en-US" w:eastAsia="zh-CN"/>
        </w:rPr>
        <w:t>时刻</w:t>
      </w:r>
      <w:r>
        <w:rPr>
          <w:rFonts w:hint="eastAsia" w:ascii="仿宋_GB2312" w:hAnsi="黑体" w:eastAsia="仿宋_GB2312" w:cs="仿宋_GB2312"/>
          <w:b w:val="0"/>
          <w:bCs w:val="0"/>
          <w:color w:val="auto"/>
          <w:kern w:val="0"/>
          <w:sz w:val="34"/>
          <w:szCs w:val="34"/>
        </w:rPr>
        <w:t>与设备内作业人员保持联系。</w:t>
      </w:r>
    </w:p>
    <w:p w14:paraId="02297F5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14.</w:t>
      </w:r>
      <w:r>
        <w:rPr>
          <w:rFonts w:hint="eastAsia" w:ascii="仿宋_GB2312" w:hAnsi="黑体" w:eastAsia="仿宋_GB2312" w:cs="仿宋_GB2312"/>
          <w:b w:val="0"/>
          <w:bCs w:val="0"/>
          <w:color w:val="auto"/>
          <w:kern w:val="0"/>
          <w:sz w:val="34"/>
          <w:szCs w:val="34"/>
        </w:rPr>
        <w:t>作业结束后，受限空间所在单位和作业单位共同检查受限空间内外，</w:t>
      </w:r>
      <w:r>
        <w:rPr>
          <w:rFonts w:hint="eastAsia" w:ascii="仿宋_GB2312" w:hAnsi="黑体" w:eastAsia="仿宋_GB2312" w:cs="仿宋_GB2312"/>
          <w:b w:val="0"/>
          <w:bCs w:val="0"/>
          <w:color w:val="auto"/>
          <w:kern w:val="0"/>
          <w:sz w:val="34"/>
          <w:szCs w:val="34"/>
          <w:lang w:val="en-US" w:eastAsia="zh-CN"/>
        </w:rPr>
        <w:t>项目总监或监理</w:t>
      </w:r>
      <w:r>
        <w:rPr>
          <w:rFonts w:hint="eastAsia" w:ascii="仿宋_GB2312" w:hAnsi="黑体" w:eastAsia="仿宋_GB2312" w:cs="仿宋_GB2312"/>
          <w:b w:val="0"/>
          <w:bCs w:val="0"/>
          <w:color w:val="auto"/>
          <w:kern w:val="0"/>
          <w:sz w:val="34"/>
          <w:szCs w:val="34"/>
        </w:rPr>
        <w:t>确认无问题后方可封闭空间，并悬挂“今日作业结束，禁止人员进入”警示牌禁止人员进入。</w:t>
      </w:r>
    </w:p>
    <w:p w14:paraId="55341BC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做好受限空间的安全防护。工程项目的受限空间，可以分为建筑受限空间和设备受限空间，针对这两种情况，要求如下：</w:t>
      </w:r>
    </w:p>
    <w:p w14:paraId="471D1E98">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）建筑孔洞，施工过程中要用防护栏杆进行防护。项目结束后，如拆除防护栏杆，需加装盖板或采取其它措施进行封闭；</w:t>
      </w:r>
    </w:p>
    <w:p w14:paraId="793DC347">
      <w:pPr>
        <w:spacing w:line="600" w:lineRule="exact"/>
        <w:ind w:firstLine="680" w:firstLineChars="200"/>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）设备人孔，每天作业结束后，由施工队使用专门的、符合国家规范的人孔封堵牌进行封堵。项目结束后至开车前，需加装盖板或用焊条焊死。并挂符合标准要求的专用警示牌（警示牌长</w:t>
      </w:r>
      <w:r>
        <w:rPr>
          <w:rFonts w:ascii="仿宋_GB2312" w:hAnsi="黑体" w:eastAsia="仿宋_GB2312" w:cs="仿宋_GB2312"/>
          <w:b w:val="0"/>
          <w:bCs w:val="0"/>
          <w:color w:val="auto"/>
          <w:kern w:val="0"/>
          <w:sz w:val="34"/>
          <w:szCs w:val="34"/>
        </w:rPr>
        <w:t>40</w:t>
      </w:r>
      <w:r>
        <w:rPr>
          <w:rFonts w:hint="eastAsia" w:ascii="仿宋_GB2312" w:hAnsi="黑体" w:eastAsia="仿宋_GB2312" w:cs="仿宋_GB2312"/>
          <w:b w:val="0"/>
          <w:bCs w:val="0"/>
          <w:color w:val="auto"/>
          <w:kern w:val="0"/>
          <w:sz w:val="34"/>
          <w:szCs w:val="34"/>
        </w:rPr>
        <w:t>厘米，宽</w:t>
      </w:r>
      <w:r>
        <w:rPr>
          <w:rFonts w:ascii="仿宋_GB2312" w:hAnsi="黑体" w:eastAsia="仿宋_GB2312" w:cs="仿宋_GB2312"/>
          <w:b w:val="0"/>
          <w:bCs w:val="0"/>
          <w:color w:val="auto"/>
          <w:kern w:val="0"/>
          <w:sz w:val="34"/>
          <w:szCs w:val="34"/>
        </w:rPr>
        <w:t>30</w:t>
      </w:r>
      <w:r>
        <w:rPr>
          <w:rFonts w:hint="eastAsia" w:ascii="仿宋_GB2312" w:hAnsi="黑体" w:eastAsia="仿宋_GB2312" w:cs="仿宋_GB2312"/>
          <w:b w:val="0"/>
          <w:bCs w:val="0"/>
          <w:color w:val="auto"/>
          <w:kern w:val="0"/>
          <w:sz w:val="34"/>
          <w:szCs w:val="34"/>
        </w:rPr>
        <w:t>厘米，上面用中英文标注：受限空间，未经许可，严禁进入）。</w:t>
      </w:r>
    </w:p>
    <w:p w14:paraId="3F56D65F">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16.气体分析合格前或非作业期间，受限空间人口应采取封闭措施,并挂警示牌,不得私自进人,再次作业时应经过气体分析合格。</w:t>
      </w:r>
    </w:p>
    <w:p w14:paraId="52C45F8D">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17. 发生人员中毒、窒息的紧急情况,抢救人员应佩带空气呼吸器或长管式呼吸器进入受限空间,不得进行无防护救援,且至少有一人在受限空间外部负责看护、联络。</w:t>
      </w:r>
    </w:p>
    <w:p w14:paraId="210574AA">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（二）受限空间作业证办理、审批程序</w:t>
      </w:r>
    </w:p>
    <w:p w14:paraId="35D3FE70">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由承包商现场项目负责人办理，承包商负责人或安全员</w:t>
      </w:r>
      <w:r>
        <w:rPr>
          <w:rFonts w:hint="eastAsia" w:ascii="仿宋_GB2312" w:hAnsi="黑体" w:eastAsia="仿宋_GB2312" w:cs="仿宋_GB2312"/>
          <w:b w:val="0"/>
          <w:bCs w:val="0"/>
          <w:color w:val="auto"/>
          <w:kern w:val="0"/>
          <w:sz w:val="34"/>
          <w:szCs w:val="34"/>
          <w:lang w:val="en-US" w:eastAsia="zh-CN"/>
        </w:rPr>
        <w:t>负责初审，工程总监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安全监理负责终审</w:t>
      </w:r>
      <w:r>
        <w:rPr>
          <w:rFonts w:hint="eastAsia" w:ascii="仿宋_GB2312" w:hAnsi="黑体" w:eastAsia="仿宋_GB2312" w:cs="仿宋_GB2312"/>
          <w:b w:val="0"/>
          <w:bCs w:val="0"/>
          <w:color w:val="auto"/>
          <w:kern w:val="0"/>
          <w:sz w:val="34"/>
          <w:szCs w:val="34"/>
        </w:rPr>
        <w:t>。有效期</w:t>
      </w:r>
      <w:r>
        <w:rPr>
          <w:rFonts w:hint="eastAsia" w:ascii="仿宋_GB2312" w:hAnsi="黑体" w:eastAsia="仿宋_GB2312" w:cs="仿宋_GB2312"/>
          <w:b w:val="0"/>
          <w:bCs w:val="0"/>
          <w:color w:val="auto"/>
          <w:kern w:val="0"/>
          <w:sz w:val="34"/>
          <w:szCs w:val="34"/>
          <w:lang w:val="en-US" w:eastAsia="zh-CN"/>
        </w:rPr>
        <w:t>为</w:t>
      </w:r>
      <w:r>
        <w:rPr>
          <w:rFonts w:ascii="仿宋_GB2312" w:hAnsi="黑体" w:eastAsia="仿宋_GB2312" w:cs="仿宋_GB2312"/>
          <w:b w:val="0"/>
          <w:bCs w:val="0"/>
          <w:color w:val="auto"/>
          <w:kern w:val="0"/>
          <w:sz w:val="34"/>
          <w:szCs w:val="34"/>
        </w:rPr>
        <w:t>24</w:t>
      </w:r>
      <w:r>
        <w:rPr>
          <w:rFonts w:hint="eastAsia" w:ascii="仿宋_GB2312" w:hAnsi="黑体" w:eastAsia="仿宋_GB2312" w:cs="仿宋_GB2312"/>
          <w:b w:val="0"/>
          <w:bCs w:val="0"/>
          <w:color w:val="auto"/>
          <w:kern w:val="0"/>
          <w:sz w:val="34"/>
          <w:szCs w:val="34"/>
        </w:rPr>
        <w:t>小时。</w:t>
      </w:r>
    </w:p>
    <w:p w14:paraId="2D737AF3">
      <w:pPr>
        <w:spacing w:line="600" w:lineRule="exact"/>
        <w:ind w:firstLine="712" w:firstLineChars="200"/>
        <w:jc w:val="left"/>
        <w:rPr>
          <w:rFonts w:hint="eastAsia" w:ascii="仿宋_GB2312" w:hAnsi="黑体" w:eastAsia="仿宋_GB2312" w:cs="Arial"/>
          <w:b w:val="0"/>
          <w:bCs w:val="0"/>
          <w:color w:val="auto"/>
          <w:spacing w:val="8"/>
          <w:sz w:val="34"/>
          <w:szCs w:val="34"/>
        </w:rPr>
      </w:pPr>
    </w:p>
    <w:p w14:paraId="3F271232">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第六十三条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吊装作业</w:t>
      </w:r>
    </w:p>
    <w:p w14:paraId="707F23EA">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（一）吊装作业分级</w:t>
      </w:r>
    </w:p>
    <w:p w14:paraId="083986D1">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按吊装重物的质量分为三级：三级吊装作业吊装重物的质量小于</w:t>
      </w:r>
      <w:r>
        <w:rPr>
          <w:rFonts w:ascii="仿宋_GB2312" w:hAnsi="黑体" w:eastAsia="仿宋_GB2312" w:cs="仿宋_GB2312"/>
          <w:b w:val="0"/>
          <w:bCs w:val="0"/>
          <w:color w:val="auto"/>
          <w:kern w:val="0"/>
          <w:sz w:val="34"/>
          <w:szCs w:val="34"/>
        </w:rPr>
        <w:t>40t</w:t>
      </w:r>
      <w:r>
        <w:rPr>
          <w:rFonts w:hint="eastAsia" w:ascii="仿宋_GB2312" w:hAnsi="黑体" w:eastAsia="仿宋_GB2312" w:cs="仿宋_GB2312"/>
          <w:b w:val="0"/>
          <w:bCs w:val="0"/>
          <w:color w:val="auto"/>
          <w:kern w:val="0"/>
          <w:sz w:val="34"/>
          <w:szCs w:val="34"/>
        </w:rPr>
        <w:t>；二级吊装作业吊装重物的质量大于等于</w:t>
      </w:r>
      <w:r>
        <w:rPr>
          <w:rFonts w:ascii="仿宋_GB2312" w:hAnsi="黑体" w:eastAsia="仿宋_GB2312" w:cs="仿宋_GB2312"/>
          <w:b w:val="0"/>
          <w:bCs w:val="0"/>
          <w:color w:val="auto"/>
          <w:kern w:val="0"/>
          <w:sz w:val="34"/>
          <w:szCs w:val="34"/>
        </w:rPr>
        <w:t>40t</w:t>
      </w:r>
      <w:r>
        <w:rPr>
          <w:rFonts w:hint="eastAsia" w:ascii="仿宋_GB2312" w:hAnsi="黑体" w:eastAsia="仿宋_GB2312" w:cs="仿宋_GB2312"/>
          <w:b w:val="0"/>
          <w:bCs w:val="0"/>
          <w:color w:val="auto"/>
          <w:kern w:val="0"/>
          <w:sz w:val="34"/>
          <w:szCs w:val="34"/>
        </w:rPr>
        <w:t>至小于等于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；一级吊装作业吊装重物的质量大于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w:t>
      </w:r>
    </w:p>
    <w:p w14:paraId="7913F33F">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以下两种情况，也属于一级吊装作业：质量小于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的不规则重物的吊装；高大设备的吊装。</w:t>
      </w:r>
    </w:p>
    <w:p w14:paraId="6307BEC1">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（二）吊装作业管理要求</w:t>
      </w:r>
    </w:p>
    <w:p w14:paraId="270AAC4F">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吊装作业前，应预先在吊装现场划定符合规范要求的警戒区域，设置警戒绳和醒目的安全警示标志并设专人监护。</w:t>
      </w:r>
    </w:p>
    <w:p w14:paraId="03663FC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吊装作业前必须对起重机械的运行部位、安全装置以及吊具、索具进行详细的检查，吊装前必须先试吊，确认无误后方可作业。</w:t>
      </w:r>
    </w:p>
    <w:p w14:paraId="7C1F98A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施工过程中，必须坚持起重作业“十不吊”原则，严禁碰撞现场各种设备、设施、管架、容器和贮罐。</w:t>
      </w:r>
    </w:p>
    <w:p w14:paraId="65B3BC17">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吊装过程中，警戒区域内禁止人员通行。</w:t>
      </w:r>
    </w:p>
    <w:p w14:paraId="29C3B6B0">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大雨、大雾和雪天严禁吊装作业；夜间进行吊装作业时，应有足够的照明。</w:t>
      </w:r>
    </w:p>
    <w:p w14:paraId="01E7E400">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6.起重吊装作业应编制吊装方案和安全技术措施,经审查批准后实施。</w:t>
      </w:r>
    </w:p>
    <w:p w14:paraId="12309DAB">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（三）吊装作业票证办理和审批程序</w:t>
      </w:r>
    </w:p>
    <w:p w14:paraId="3D17AA29">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由承包商现场项目负责人办理，承包商负责人</w:t>
      </w:r>
      <w:r>
        <w:rPr>
          <w:rFonts w:hint="eastAsia" w:ascii="仿宋_GB2312" w:hAnsi="黑体" w:eastAsia="仿宋_GB2312" w:cs="仿宋_GB2312"/>
          <w:b w:val="0"/>
          <w:bCs w:val="0"/>
          <w:color w:val="auto"/>
          <w:kern w:val="0"/>
          <w:sz w:val="34"/>
          <w:szCs w:val="34"/>
          <w:lang w:val="en-US" w:eastAsia="zh-CN"/>
        </w:rPr>
        <w:t>初审，工程总监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安全监理终审</w:t>
      </w:r>
      <w:r>
        <w:rPr>
          <w:rFonts w:hint="eastAsia" w:ascii="仿宋_GB2312" w:hAnsi="黑体" w:eastAsia="仿宋_GB2312" w:cs="仿宋_GB2312"/>
          <w:b w:val="0"/>
          <w:bCs w:val="0"/>
          <w:color w:val="auto"/>
          <w:kern w:val="0"/>
          <w:sz w:val="34"/>
          <w:szCs w:val="34"/>
        </w:rPr>
        <w:t>。</w:t>
      </w:r>
    </w:p>
    <w:p w14:paraId="4EFD8F61">
      <w:pPr>
        <w:spacing w:line="600" w:lineRule="exact"/>
        <w:ind w:firstLine="680" w:firstLineChars="200"/>
        <w:jc w:val="left"/>
        <w:rPr>
          <w:rFonts w:hint="eastAsia" w:ascii="仿宋_GB2312" w:hAnsi="黑体" w:eastAsia="仿宋_GB2312" w:cs="仿宋_GB2312"/>
          <w:b w:val="0"/>
          <w:bCs w:val="0"/>
          <w:color w:val="auto"/>
          <w:kern w:val="0"/>
          <w:sz w:val="34"/>
          <w:szCs w:val="34"/>
        </w:rPr>
      </w:pPr>
    </w:p>
    <w:p w14:paraId="580EAD93">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第六十四条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动土作业</w:t>
      </w:r>
    </w:p>
    <w:p w14:paraId="6AE188E2">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（一）动土作业管理要求</w:t>
      </w:r>
    </w:p>
    <w:p w14:paraId="2FC917D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动土作业施工现场应根据需要设置护栏、盖板和警告标志，夜间应悬挂红灯示警。</w:t>
      </w:r>
    </w:p>
    <w:p w14:paraId="4C989130">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在破土开挖前，应先做好地面和地下排水，防止地面水渗入作业层面造成塌方。地下隐蔽设施情况不明的不得使用机械作业。</w:t>
      </w:r>
    </w:p>
    <w:p w14:paraId="4579ADB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挖掘坑、槽、井、沟等作业，应遵守下列规定：</w:t>
      </w:r>
    </w:p>
    <w:p w14:paraId="0504B46C">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）挖掘土方应自上而下进行，不准采用挖底脚的办法挖掘，挖出的土石严禁堵塞下水道和窨井。</w:t>
      </w:r>
    </w:p>
    <w:p w14:paraId="683B684D">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）在挖较深的坑、槽、井、沟时，严禁在土壁上挖洞攀登，当使用便携式木梯或便携式金属梯时，应符合相应安全要求。作业时应戴安全帽。坑、槽、井、沟上端边沿不准人员站立、行走。</w:t>
      </w:r>
    </w:p>
    <w:p w14:paraId="18F66B62">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）要视土壤性质、湿度和挖掘深度设置安全边坡或固壁支撑。挖出的泥土堆放处所和堆放的材料至少应距坑、槽、井、沟边沿</w:t>
      </w:r>
      <w:r>
        <w:rPr>
          <w:rFonts w:ascii="仿宋_GB2312" w:hAnsi="黑体" w:eastAsia="仿宋_GB2312" w:cs="仿宋_GB2312"/>
          <w:b w:val="0"/>
          <w:bCs w:val="0"/>
          <w:color w:val="auto"/>
          <w:kern w:val="0"/>
          <w:sz w:val="34"/>
          <w:szCs w:val="34"/>
        </w:rPr>
        <w:t xml:space="preserve">0.8 </w:t>
      </w:r>
      <w:r>
        <w:rPr>
          <w:rFonts w:hint="eastAsia" w:ascii="仿宋_GB2312" w:hAnsi="黑体" w:eastAsia="仿宋_GB2312" w:cs="仿宋_GB2312"/>
          <w:b w:val="0"/>
          <w:bCs w:val="0"/>
          <w:color w:val="auto"/>
          <w:kern w:val="0"/>
          <w:sz w:val="34"/>
          <w:szCs w:val="34"/>
        </w:rPr>
        <w:t>米，高度不得超过</w:t>
      </w:r>
      <w:r>
        <w:rPr>
          <w:rFonts w:ascii="仿宋_GB2312" w:hAnsi="黑体" w:eastAsia="仿宋_GB2312" w:cs="仿宋_GB2312"/>
          <w:b w:val="0"/>
          <w:bCs w:val="0"/>
          <w:color w:val="auto"/>
          <w:kern w:val="0"/>
          <w:sz w:val="34"/>
          <w:szCs w:val="34"/>
        </w:rPr>
        <w:t xml:space="preserve">1.5 </w:t>
      </w:r>
      <w:r>
        <w:rPr>
          <w:rFonts w:hint="eastAsia" w:ascii="仿宋_GB2312" w:hAnsi="黑体" w:eastAsia="仿宋_GB2312" w:cs="仿宋_GB2312"/>
          <w:b w:val="0"/>
          <w:bCs w:val="0"/>
          <w:color w:val="auto"/>
          <w:kern w:val="0"/>
          <w:sz w:val="34"/>
          <w:szCs w:val="34"/>
        </w:rPr>
        <w:t>米。对坑、槽、井、沟边坡或固壁支撑架应随时检查，特别是雨雪后和解冻时期，如发现边坡有裂缝、松疏或支撑有折断、走位等异常危险征兆，应立即停止工作，并采取可靠的安全措施。</w:t>
      </w:r>
    </w:p>
    <w:p w14:paraId="058FCA5F">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）在坑、槽、井、沟的边缘安放机械、铺设轨道及通行车辆时，应保持适当距离，采取有效的固壁措施，确保安全。</w:t>
      </w:r>
    </w:p>
    <w:p w14:paraId="1A2BAA7F">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）在拆除固壁支撑时，应从下而上进行。更换支撑时，应先装新的，后拆旧的。</w:t>
      </w:r>
    </w:p>
    <w:p w14:paraId="3DE0BD06">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）所有人员不准在坑、槽、井、沟内休息。</w:t>
      </w:r>
    </w:p>
    <w:p w14:paraId="56508B78">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作业人员在沟、槽、坑下作业应按规定坡度顺序进行，使用机械挖掘时不应进入机械旋转半径内；深度大于</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米时应设置人员上下的梯子等，保证人员能快速进出设施；作业人员多人同时挖土应相距在</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米以上，防止工具伤人。</w:t>
      </w:r>
    </w:p>
    <w:p w14:paraId="300CEBC3">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（二）动土作业证办理、审批程序</w:t>
      </w:r>
    </w:p>
    <w:p w14:paraId="38AC25E7">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动土作业证按</w:t>
      </w:r>
      <w:r>
        <w:rPr>
          <w:rFonts w:hint="eastAsia" w:ascii="仿宋_GB2312" w:hAnsi="黑体" w:eastAsia="仿宋_GB2312" w:cs="仿宋_GB2312"/>
          <w:b w:val="0"/>
          <w:bCs w:val="0"/>
          <w:color w:val="auto"/>
          <w:kern w:val="0"/>
          <w:sz w:val="34"/>
          <w:szCs w:val="34"/>
          <w:lang w:val="en-US" w:eastAsia="zh-CN"/>
        </w:rPr>
        <w:t>属地公司</w:t>
      </w:r>
      <w:r>
        <w:rPr>
          <w:rFonts w:hint="eastAsia" w:ascii="仿宋_GB2312" w:hAnsi="黑体" w:eastAsia="仿宋_GB2312" w:cs="仿宋_GB2312"/>
          <w:b w:val="0"/>
          <w:bCs w:val="0"/>
          <w:color w:val="auto"/>
          <w:kern w:val="0"/>
          <w:sz w:val="34"/>
          <w:szCs w:val="34"/>
        </w:rPr>
        <w:t>正常的程序进行办理和审批。即由承包商现场项目负责人</w:t>
      </w:r>
      <w:r>
        <w:rPr>
          <w:rFonts w:hint="eastAsia" w:ascii="仿宋_GB2312" w:hAnsi="黑体" w:eastAsia="仿宋_GB2312" w:cs="仿宋_GB2312"/>
          <w:b w:val="0"/>
          <w:bCs w:val="0"/>
          <w:color w:val="auto"/>
          <w:kern w:val="0"/>
          <w:sz w:val="34"/>
          <w:szCs w:val="34"/>
          <w:lang w:val="en-US" w:eastAsia="zh-CN"/>
        </w:rPr>
        <w:t>提出申请</w:t>
      </w:r>
      <w:r>
        <w:rPr>
          <w:rFonts w:hint="eastAsia"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lang w:val="en-US" w:eastAsia="zh-CN"/>
        </w:rPr>
        <w:t>属地办理票证，</w:t>
      </w:r>
      <w:r>
        <w:rPr>
          <w:rFonts w:hint="eastAsia" w:ascii="仿宋_GB2312" w:hAnsi="黑体" w:eastAsia="仿宋_GB2312" w:cs="仿宋_GB2312"/>
          <w:b w:val="0"/>
          <w:bCs w:val="0"/>
          <w:color w:val="auto"/>
          <w:kern w:val="0"/>
          <w:sz w:val="34"/>
          <w:szCs w:val="34"/>
        </w:rPr>
        <w:t>承包商项目负责人或安全员，以及</w:t>
      </w:r>
      <w:r>
        <w:rPr>
          <w:rFonts w:hint="eastAsia" w:ascii="仿宋_GB2312" w:hAnsi="黑体" w:eastAsia="仿宋_GB2312" w:cs="仿宋_GB2312"/>
          <w:b w:val="0"/>
          <w:bCs w:val="0"/>
          <w:color w:val="auto"/>
          <w:kern w:val="0"/>
          <w:sz w:val="34"/>
          <w:szCs w:val="34"/>
          <w:lang w:val="en-US" w:eastAsia="zh-CN"/>
        </w:rPr>
        <w:t>公司</w:t>
      </w:r>
      <w:r>
        <w:rPr>
          <w:rFonts w:hint="eastAsia" w:ascii="仿宋_GB2312" w:hAnsi="黑体" w:eastAsia="仿宋_GB2312" w:cs="仿宋_GB2312"/>
          <w:b w:val="0"/>
          <w:bCs w:val="0"/>
          <w:color w:val="auto"/>
          <w:kern w:val="0"/>
          <w:sz w:val="34"/>
          <w:szCs w:val="34"/>
        </w:rPr>
        <w:t>水、电、汽、工艺、设备、消防、安全管理等部门进行会签后，由</w:t>
      </w:r>
      <w:r>
        <w:rPr>
          <w:rFonts w:hint="eastAsia" w:ascii="仿宋_GB2312" w:hAnsi="黑体" w:eastAsia="仿宋_GB2312" w:cs="仿宋_GB2312"/>
          <w:b w:val="0"/>
          <w:bCs w:val="0"/>
          <w:color w:val="auto"/>
          <w:kern w:val="0"/>
          <w:sz w:val="34"/>
          <w:szCs w:val="34"/>
          <w:lang w:val="en-US" w:eastAsia="zh-CN"/>
        </w:rPr>
        <w:t>生产</w:t>
      </w:r>
      <w:r>
        <w:rPr>
          <w:rFonts w:hint="eastAsia" w:ascii="仿宋_GB2312" w:hAnsi="黑体" w:eastAsia="仿宋_GB2312" w:cs="仿宋_GB2312"/>
          <w:b w:val="0"/>
          <w:bCs w:val="0"/>
          <w:color w:val="auto"/>
          <w:kern w:val="0"/>
          <w:sz w:val="34"/>
          <w:szCs w:val="34"/>
        </w:rPr>
        <w:t>计划运行部</w:t>
      </w:r>
      <w:r>
        <w:rPr>
          <w:rFonts w:hint="eastAsia" w:ascii="仿宋_GB2312" w:hAnsi="黑体" w:eastAsia="仿宋_GB2312" w:cs="仿宋_GB2312"/>
          <w:b w:val="0"/>
          <w:bCs w:val="0"/>
          <w:color w:val="auto"/>
          <w:kern w:val="0"/>
          <w:sz w:val="34"/>
          <w:szCs w:val="34"/>
          <w:lang w:val="en-US" w:eastAsia="zh-CN"/>
        </w:rPr>
        <w:t>门</w:t>
      </w:r>
      <w:r>
        <w:rPr>
          <w:rFonts w:hint="eastAsia" w:ascii="仿宋_GB2312" w:hAnsi="黑体" w:eastAsia="仿宋_GB2312" w:cs="仿宋_GB2312"/>
          <w:b w:val="0"/>
          <w:bCs w:val="0"/>
          <w:color w:val="auto"/>
          <w:kern w:val="0"/>
          <w:sz w:val="34"/>
          <w:szCs w:val="34"/>
        </w:rPr>
        <w:t>终审。</w:t>
      </w:r>
    </w:p>
    <w:p w14:paraId="099AA0C0">
      <w:pPr>
        <w:tabs>
          <w:tab w:val="right" w:pos="9298"/>
        </w:tabs>
        <w:spacing w:line="600" w:lineRule="exact"/>
        <w:ind w:firstLine="712" w:firstLineChars="200"/>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第六十五条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临时用电作业</w:t>
      </w:r>
    </w:p>
    <w:p w14:paraId="3DED61B1">
      <w:pPr>
        <w:tabs>
          <w:tab w:val="right" w:pos="9298"/>
        </w:tabs>
        <w:spacing w:line="600" w:lineRule="exact"/>
        <w:ind w:firstLine="680" w:firstLineChars="200"/>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（一）临时用电管理要求</w:t>
      </w:r>
    </w:p>
    <w:p w14:paraId="660870B6">
      <w:pPr>
        <w:tabs>
          <w:tab w:val="right" w:pos="9298"/>
        </w:tabs>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使用的移动式电气工器具，应配有漏电保护装置。</w:t>
      </w:r>
    </w:p>
    <w:p w14:paraId="6BD9E46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临时用电箱必须经过电气专业部门检查审核合格后方可投入使用，并将检查表贴在箱门内侧。外壳必须可靠接地；开关必须做到一机一闸；禁止敞开箱门，防止异物进入或人员误触。</w:t>
      </w:r>
    </w:p>
    <w:p w14:paraId="34968FCD">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固定式配电箱的中心与地面的垂直距离宜为</w:t>
      </w:r>
      <w:r>
        <w:rPr>
          <w:rFonts w:ascii="仿宋_GB2312" w:hAnsi="黑体" w:eastAsia="仿宋_GB2312" w:cs="仿宋_GB2312"/>
          <w:b w:val="0"/>
          <w:bCs w:val="0"/>
          <w:color w:val="auto"/>
          <w:kern w:val="0"/>
          <w:sz w:val="34"/>
          <w:szCs w:val="34"/>
        </w:rPr>
        <w:t>1.4</w:t>
      </w:r>
      <w:r>
        <w:rPr>
          <w:rFonts w:hint="eastAsia" w:ascii="仿宋_GB2312" w:hAnsi="黑体" w:eastAsia="仿宋_GB2312" w:cs="仿宋_GB2312"/>
          <w:b w:val="0"/>
          <w:bCs w:val="0"/>
          <w:color w:val="auto"/>
          <w:kern w:val="0"/>
          <w:sz w:val="34"/>
          <w:szCs w:val="34"/>
        </w:rPr>
        <w:t>米－</w:t>
      </w:r>
      <w:r>
        <w:rPr>
          <w:rFonts w:ascii="仿宋_GB2312" w:hAnsi="黑体" w:eastAsia="仿宋_GB2312" w:cs="仿宋_GB2312"/>
          <w:b w:val="0"/>
          <w:bCs w:val="0"/>
          <w:color w:val="auto"/>
          <w:kern w:val="0"/>
          <w:sz w:val="34"/>
          <w:szCs w:val="34"/>
        </w:rPr>
        <w:t>1.6</w:t>
      </w:r>
      <w:r>
        <w:rPr>
          <w:rFonts w:hint="eastAsia" w:ascii="仿宋_GB2312" w:hAnsi="黑体" w:eastAsia="仿宋_GB2312" w:cs="仿宋_GB2312"/>
          <w:b w:val="0"/>
          <w:bCs w:val="0"/>
          <w:color w:val="auto"/>
          <w:kern w:val="0"/>
          <w:sz w:val="34"/>
          <w:szCs w:val="34"/>
        </w:rPr>
        <w:t>米，安装应平正、牢固。</w:t>
      </w:r>
    </w:p>
    <w:p w14:paraId="29A0C4E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户外落地安装的配电箱、柜，其底部离地面不应小于</w:t>
      </w:r>
      <w:r>
        <w:rPr>
          <w:rFonts w:ascii="仿宋_GB2312" w:hAnsi="黑体" w:eastAsia="仿宋_GB2312" w:cs="仿宋_GB2312"/>
          <w:b w:val="0"/>
          <w:bCs w:val="0"/>
          <w:color w:val="auto"/>
          <w:kern w:val="0"/>
          <w:sz w:val="34"/>
          <w:szCs w:val="34"/>
        </w:rPr>
        <w:t>0.2</w:t>
      </w:r>
      <w:r>
        <w:rPr>
          <w:rFonts w:hint="eastAsia" w:ascii="仿宋_GB2312" w:hAnsi="黑体" w:eastAsia="仿宋_GB2312" w:cs="仿宋_GB2312"/>
          <w:b w:val="0"/>
          <w:bCs w:val="0"/>
          <w:color w:val="auto"/>
          <w:kern w:val="0"/>
          <w:sz w:val="34"/>
          <w:szCs w:val="34"/>
        </w:rPr>
        <w:t>米。</w:t>
      </w:r>
    </w:p>
    <w:p w14:paraId="7E8C2AB7">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如电缆需过路，架空高度不得低于５米；从地面过路时，应用钢管或槽钢加以保护，以防止电缆被压扁、压断。</w:t>
      </w:r>
    </w:p>
    <w:p w14:paraId="191BCC5A">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阴雨天作业时，对室外用电要做好防护，防止雨水进入盖板、开关箱等；禁止电缆等电气设备淹没在水中或淤积的导电液体中。</w:t>
      </w:r>
    </w:p>
    <w:p w14:paraId="33F263A9">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7.电工应经安全技术培训,取得“特种作业操作证”，方可从事电工作业。在外电线路上作业的电工还应持有与作业类别相适应的“电工进网作业许可证”</w:t>
      </w:r>
    </w:p>
    <w:p w14:paraId="2854ABD0">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8.施工现场临时用电应编制临时用电方案,并严格按批准的方案实施。</w:t>
      </w:r>
    </w:p>
    <w:p w14:paraId="32314C3C">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9.临时用电工程验收合格后方可使用,验收资料与现场实物应相符。</w:t>
      </w:r>
    </w:p>
    <w:p w14:paraId="79AA4C6E">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10.安装、巡检、维修和拆除临时用电设施应由电工完成。电工使用的绝缘用品应定期进行检查和试验。</w:t>
      </w:r>
    </w:p>
    <w:p w14:paraId="3884718E">
      <w:pPr>
        <w:spacing w:line="600" w:lineRule="exact"/>
        <w:ind w:firstLine="680" w:firstLineChars="200"/>
        <w:jc w:val="left"/>
        <w:rPr>
          <w:rFonts w:ascii="楷体" w:hAnsi="楷体" w:eastAsia="楷体" w:cs="仿宋_GB2312"/>
          <w:b w:val="0"/>
          <w:bCs w:val="0"/>
          <w:color w:val="auto"/>
          <w:kern w:val="0"/>
          <w:sz w:val="34"/>
          <w:szCs w:val="34"/>
          <w:highlight w:val="none"/>
        </w:rPr>
      </w:pPr>
      <w:r>
        <w:rPr>
          <w:rFonts w:hint="eastAsia" w:ascii="楷体" w:hAnsi="楷体" w:eastAsia="楷体" w:cs="仿宋_GB2312"/>
          <w:b w:val="0"/>
          <w:bCs w:val="0"/>
          <w:color w:val="auto"/>
          <w:kern w:val="0"/>
          <w:sz w:val="34"/>
          <w:szCs w:val="34"/>
          <w:highlight w:val="none"/>
        </w:rPr>
        <w:t>（二）临时用电作业票证办理和审批程序</w:t>
      </w:r>
    </w:p>
    <w:p w14:paraId="3B11E1B4">
      <w:pPr>
        <w:spacing w:line="600" w:lineRule="exact"/>
        <w:ind w:firstLine="680" w:firstLineChars="200"/>
        <w:jc w:val="left"/>
        <w:rPr>
          <w:rFonts w:ascii="仿宋_GB2312" w:hAnsi="黑体" w:eastAsia="仿宋_GB2312" w:cs="仿宋_GB2312"/>
          <w:b w:val="0"/>
          <w:bCs w:val="0"/>
          <w:color w:val="auto"/>
          <w:kern w:val="0"/>
          <w:sz w:val="34"/>
          <w:szCs w:val="34"/>
          <w:highlight w:val="none"/>
        </w:rPr>
      </w:pPr>
      <w:r>
        <w:rPr>
          <w:rFonts w:hint="eastAsia" w:ascii="仿宋_GB2312" w:hAnsi="黑体" w:eastAsia="仿宋_GB2312" w:cs="仿宋_GB2312"/>
          <w:b w:val="0"/>
          <w:bCs w:val="0"/>
          <w:color w:val="auto"/>
          <w:kern w:val="0"/>
          <w:sz w:val="34"/>
          <w:szCs w:val="34"/>
          <w:highlight w:val="none"/>
        </w:rPr>
        <w:t>由承包商现场项目负责人办理，承包商负责人</w:t>
      </w:r>
      <w:r>
        <w:rPr>
          <w:rFonts w:hint="eastAsia" w:ascii="仿宋_GB2312" w:hAnsi="黑体" w:eastAsia="仿宋_GB2312" w:cs="仿宋_GB2312"/>
          <w:b w:val="0"/>
          <w:bCs w:val="0"/>
          <w:color w:val="auto"/>
          <w:kern w:val="0"/>
          <w:sz w:val="34"/>
          <w:szCs w:val="34"/>
          <w:highlight w:val="none"/>
          <w:lang w:val="en-US" w:eastAsia="zh-CN"/>
        </w:rPr>
        <w:t>初审，土建工程总监</w:t>
      </w:r>
      <w:r>
        <w:rPr>
          <w:rFonts w:hint="eastAsia" w:ascii="仿宋_GB2312" w:hAnsi="黑体" w:eastAsia="仿宋_GB2312" w:cs="仿宋_GB2312"/>
          <w:b w:val="0"/>
          <w:bCs w:val="0"/>
          <w:color w:val="auto"/>
          <w:kern w:val="0"/>
          <w:sz w:val="34"/>
          <w:szCs w:val="34"/>
          <w:highlight w:val="none"/>
        </w:rPr>
        <w:t>或</w:t>
      </w:r>
      <w:r>
        <w:rPr>
          <w:rFonts w:hint="eastAsia" w:ascii="仿宋_GB2312" w:hAnsi="黑体" w:eastAsia="仿宋_GB2312" w:cs="仿宋_GB2312"/>
          <w:b w:val="0"/>
          <w:bCs w:val="0"/>
          <w:color w:val="auto"/>
          <w:kern w:val="0"/>
          <w:sz w:val="34"/>
          <w:szCs w:val="34"/>
          <w:highlight w:val="none"/>
          <w:lang w:val="en-US" w:eastAsia="zh-CN"/>
        </w:rPr>
        <w:t>安全监理终审</w:t>
      </w:r>
      <w:r>
        <w:rPr>
          <w:rFonts w:hint="eastAsia" w:ascii="仿宋_GB2312" w:hAnsi="黑体" w:eastAsia="仿宋_GB2312" w:cs="仿宋_GB2312"/>
          <w:b w:val="0"/>
          <w:bCs w:val="0"/>
          <w:color w:val="auto"/>
          <w:kern w:val="0"/>
          <w:sz w:val="34"/>
          <w:szCs w:val="34"/>
          <w:highlight w:val="none"/>
        </w:rPr>
        <w:t>。</w:t>
      </w:r>
    </w:p>
    <w:p w14:paraId="476B46AC">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第六十六条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断路作业</w:t>
      </w:r>
    </w:p>
    <w:p w14:paraId="49AD2A38">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（一）断路作业管理要求</w:t>
      </w:r>
    </w:p>
    <w:p w14:paraId="46C6DA54">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作业前，承包商应会同消防安全、属地所在部门制定交通替代方案，方案应能保证消防车和其他重要车辆的通行，并满足应急救援要求。</w:t>
      </w:r>
    </w:p>
    <w:p w14:paraId="3E972117">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项目承包商应根据需要在断路的路口和相关道路上设置交通警示标志，在作业区附近设置路栏、道路作业警示灯、导向标等交通警示设施。</w:t>
      </w:r>
    </w:p>
    <w:p w14:paraId="07D184D7">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在道路上进行定点作业，白天不超过</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小时、夜间不超过</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小时即可完工的，在有现场交通指挥人员指挥交通的情况下，只要作业区设置了相应的交通警示设施，即白天设置了锥形交通路标或路栏，夜间设置了锥形交通路标或路栏及道路作业警示灯，可不设标志牌。</w:t>
      </w:r>
    </w:p>
    <w:p w14:paraId="1032FA27">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在夜间或雨、雪、雾天进行作业应设置道路作业警示灯，警示灯设置要求如下：采用安全电压；设置高度应离地面</w:t>
      </w: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米，不低于</w:t>
      </w: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米；其设置应能反映作业区的轮廓；应能发出至少自</w:t>
      </w:r>
      <w:r>
        <w:rPr>
          <w:rFonts w:ascii="仿宋_GB2312" w:hAnsi="黑体" w:eastAsia="仿宋_GB2312" w:cs="仿宋_GB2312"/>
          <w:b w:val="0"/>
          <w:bCs w:val="0"/>
          <w:color w:val="auto"/>
          <w:kern w:val="0"/>
          <w:sz w:val="34"/>
          <w:szCs w:val="34"/>
        </w:rPr>
        <w:t>150</w:t>
      </w:r>
      <w:r>
        <w:rPr>
          <w:rFonts w:hint="eastAsia" w:ascii="仿宋_GB2312" w:hAnsi="黑体" w:eastAsia="仿宋_GB2312" w:cs="仿宋_GB2312"/>
          <w:b w:val="0"/>
          <w:bCs w:val="0"/>
          <w:color w:val="auto"/>
          <w:kern w:val="0"/>
          <w:sz w:val="34"/>
          <w:szCs w:val="34"/>
        </w:rPr>
        <w:t>米以外清晰可见的连续、闪烁或旋转的红光。</w:t>
      </w:r>
    </w:p>
    <w:p w14:paraId="3B5BF9E4">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动土挖开的路面宜做好临时应急措施，保证消防车的通行。</w:t>
      </w:r>
    </w:p>
    <w:p w14:paraId="31733DF4">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断路作业结束后，承包商应清理现场，撤除作业、路口设置的路栏、道路作业警示灯、导向标等交通警示设施，并报告消防治安大队恢复交通。</w:t>
      </w:r>
    </w:p>
    <w:p w14:paraId="6E76939D">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（二）断路作业票证办理和审批程序</w:t>
      </w:r>
    </w:p>
    <w:p w14:paraId="7C83C083">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highlight w:val="none"/>
        </w:rPr>
        <w:t>由承包商现场项目负责人</w:t>
      </w:r>
      <w:r>
        <w:rPr>
          <w:rFonts w:hint="eastAsia" w:ascii="仿宋_GB2312" w:hAnsi="黑体" w:eastAsia="仿宋_GB2312" w:cs="仿宋_GB2312"/>
          <w:b w:val="0"/>
          <w:bCs w:val="0"/>
          <w:color w:val="auto"/>
          <w:kern w:val="0"/>
          <w:sz w:val="34"/>
          <w:szCs w:val="34"/>
          <w:highlight w:val="none"/>
          <w:lang w:val="en-US" w:eastAsia="zh-CN"/>
        </w:rPr>
        <w:t>向所在公司的</w:t>
      </w:r>
      <w:r>
        <w:rPr>
          <w:rFonts w:hint="eastAsia" w:ascii="仿宋_GB2312" w:hAnsi="黑体" w:eastAsia="仿宋_GB2312" w:cs="仿宋_GB2312"/>
          <w:b w:val="0"/>
          <w:bCs w:val="0"/>
          <w:color w:val="auto"/>
          <w:kern w:val="0"/>
          <w:sz w:val="34"/>
          <w:szCs w:val="34"/>
          <w:highlight w:val="none"/>
        </w:rPr>
        <w:t>消防治安</w:t>
      </w:r>
      <w:r>
        <w:rPr>
          <w:rFonts w:hint="eastAsia" w:ascii="仿宋_GB2312" w:hAnsi="黑体" w:eastAsia="仿宋_GB2312" w:cs="仿宋_GB2312"/>
          <w:b w:val="0"/>
          <w:bCs w:val="0"/>
          <w:color w:val="auto"/>
          <w:kern w:val="0"/>
          <w:sz w:val="34"/>
          <w:szCs w:val="34"/>
          <w:highlight w:val="none"/>
          <w:lang w:val="en-US" w:eastAsia="zh-CN"/>
        </w:rPr>
        <w:t>部门提出申请</w:t>
      </w:r>
      <w:r>
        <w:rPr>
          <w:rFonts w:hint="eastAsia" w:ascii="仿宋_GB2312" w:hAnsi="黑体" w:eastAsia="仿宋_GB2312" w:cs="仿宋_GB2312"/>
          <w:b w:val="0"/>
          <w:bCs w:val="0"/>
          <w:color w:val="auto"/>
          <w:kern w:val="0"/>
          <w:sz w:val="34"/>
          <w:szCs w:val="34"/>
          <w:highlight w:val="none"/>
        </w:rPr>
        <w:t>办理，承包商负责人或安全员初审，消防治安</w:t>
      </w:r>
      <w:r>
        <w:rPr>
          <w:rFonts w:hint="eastAsia" w:ascii="仿宋_GB2312" w:hAnsi="黑体" w:eastAsia="仿宋_GB2312" w:cs="仿宋_GB2312"/>
          <w:b w:val="0"/>
          <w:bCs w:val="0"/>
          <w:color w:val="auto"/>
          <w:kern w:val="0"/>
          <w:sz w:val="34"/>
          <w:szCs w:val="34"/>
          <w:highlight w:val="none"/>
          <w:lang w:val="en-US" w:eastAsia="zh-CN"/>
        </w:rPr>
        <w:t>部门</w:t>
      </w:r>
      <w:r>
        <w:rPr>
          <w:rFonts w:hint="eastAsia" w:ascii="仿宋_GB2312" w:hAnsi="黑体" w:eastAsia="仿宋_GB2312" w:cs="仿宋_GB2312"/>
          <w:b w:val="0"/>
          <w:bCs w:val="0"/>
          <w:color w:val="auto"/>
          <w:kern w:val="0"/>
          <w:sz w:val="34"/>
          <w:szCs w:val="34"/>
          <w:highlight w:val="none"/>
        </w:rPr>
        <w:t>终审。票证有效期：原则上不超过</w:t>
      </w:r>
      <w:r>
        <w:rPr>
          <w:rFonts w:ascii="仿宋_GB2312" w:hAnsi="黑体" w:eastAsia="仿宋_GB2312" w:cs="仿宋_GB2312"/>
          <w:b w:val="0"/>
          <w:bCs w:val="0"/>
          <w:color w:val="auto"/>
          <w:kern w:val="0"/>
          <w:sz w:val="34"/>
          <w:szCs w:val="34"/>
          <w:highlight w:val="none"/>
        </w:rPr>
        <w:t>1</w:t>
      </w:r>
      <w:r>
        <w:rPr>
          <w:rFonts w:hint="eastAsia" w:ascii="仿宋_GB2312" w:hAnsi="黑体" w:eastAsia="仿宋_GB2312" w:cs="仿宋_GB2312"/>
          <w:b w:val="0"/>
          <w:bCs w:val="0"/>
          <w:color w:val="auto"/>
          <w:kern w:val="0"/>
          <w:sz w:val="34"/>
          <w:szCs w:val="34"/>
          <w:highlight w:val="none"/>
        </w:rPr>
        <w:t>天；</w:t>
      </w:r>
      <w:r>
        <w:rPr>
          <w:rFonts w:hint="eastAsia" w:ascii="仿宋_GB2312" w:hAnsi="黑体" w:eastAsia="仿宋_GB2312" w:cs="仿宋_GB2312"/>
          <w:b w:val="0"/>
          <w:bCs w:val="0"/>
          <w:color w:val="auto"/>
          <w:kern w:val="0"/>
          <w:sz w:val="34"/>
          <w:szCs w:val="34"/>
        </w:rPr>
        <w:t>非主干道如遇修路或其它不可抗力，有效期可适当延长，具体延长时间视现场情况</w:t>
      </w:r>
      <w:r>
        <w:rPr>
          <w:rFonts w:hint="eastAsia" w:ascii="仿宋_GB2312" w:hAnsi="黑体" w:eastAsia="仿宋_GB2312" w:cs="仿宋_GB2312"/>
          <w:b w:val="0"/>
          <w:bCs w:val="0"/>
          <w:color w:val="auto"/>
          <w:kern w:val="0"/>
          <w:sz w:val="34"/>
          <w:szCs w:val="34"/>
          <w:lang w:val="en-US" w:eastAsia="zh-CN"/>
        </w:rPr>
        <w:t>由</w:t>
      </w:r>
      <w:r>
        <w:rPr>
          <w:rFonts w:hint="eastAsia" w:ascii="仿宋_GB2312" w:hAnsi="黑体" w:eastAsia="仿宋_GB2312" w:cs="仿宋_GB2312"/>
          <w:b w:val="0"/>
          <w:bCs w:val="0"/>
          <w:color w:val="auto"/>
          <w:kern w:val="0"/>
          <w:sz w:val="34"/>
          <w:szCs w:val="34"/>
          <w:highlight w:val="none"/>
        </w:rPr>
        <w:t>消防治安</w:t>
      </w:r>
      <w:r>
        <w:rPr>
          <w:rFonts w:hint="eastAsia" w:ascii="仿宋_GB2312" w:hAnsi="黑体" w:eastAsia="仿宋_GB2312" w:cs="仿宋_GB2312"/>
          <w:b w:val="0"/>
          <w:bCs w:val="0"/>
          <w:color w:val="auto"/>
          <w:kern w:val="0"/>
          <w:sz w:val="34"/>
          <w:szCs w:val="34"/>
          <w:highlight w:val="none"/>
          <w:lang w:val="en-US" w:eastAsia="zh-CN"/>
        </w:rPr>
        <w:t>部门</w:t>
      </w:r>
      <w:r>
        <w:rPr>
          <w:rFonts w:hint="eastAsia" w:ascii="仿宋_GB2312" w:hAnsi="黑体" w:eastAsia="仿宋_GB2312" w:cs="仿宋_GB2312"/>
          <w:b w:val="0"/>
          <w:bCs w:val="0"/>
          <w:color w:val="auto"/>
          <w:kern w:val="0"/>
          <w:sz w:val="34"/>
          <w:szCs w:val="34"/>
        </w:rPr>
        <w:t>确定。</w:t>
      </w:r>
    </w:p>
    <w:p w14:paraId="7976F827">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第六十七条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票证审批人员管理要求</w:t>
      </w:r>
    </w:p>
    <w:p w14:paraId="5210D98F">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1.</w:t>
      </w:r>
      <w:r>
        <w:rPr>
          <w:rFonts w:hint="eastAsia" w:ascii="仿宋_GB2312" w:hAnsi="黑体" w:eastAsia="仿宋_GB2312" w:cs="仿宋_GB2312"/>
          <w:b w:val="0"/>
          <w:bCs w:val="0"/>
          <w:color w:val="auto"/>
          <w:kern w:val="0"/>
          <w:sz w:val="34"/>
          <w:szCs w:val="34"/>
        </w:rPr>
        <w:t>承包商票证审批人员实行挂牌管理。胸牌由项目部统一制作。承包商票证审批人员在现场审批票证时，必须将胸牌挂在胸前。</w:t>
      </w:r>
    </w:p>
    <w:p w14:paraId="570C0B4E">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2.特殊作业审批人员的职责要求:</w:t>
      </w:r>
    </w:p>
    <w:p w14:paraId="6A6A6BD3">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（1）应在作业现场完成审批工作。</w:t>
      </w:r>
    </w:p>
    <w:p w14:paraId="59E4C61B">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（2）应核查安全作业票审批级别与企业管理制度中规定级别一致情况,各项审批环节符合企业管理要求情况。</w:t>
      </w:r>
    </w:p>
    <w:p w14:paraId="3F678C19">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（3）应核查安全作业票中各项风险识别及管控措施落实情况。</w:t>
      </w:r>
    </w:p>
    <w:p w14:paraId="6CBFFBEE">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第八章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项目</w:t>
      </w:r>
      <w:r>
        <w:rPr>
          <w:rFonts w:hint="eastAsia" w:ascii="黑体" w:hAnsi="黑体" w:eastAsia="黑体" w:cs="Arial"/>
          <w:color w:val="auto"/>
          <w:spacing w:val="8"/>
          <w:sz w:val="34"/>
          <w:szCs w:val="34"/>
          <w:lang w:val="en-US" w:eastAsia="zh-CN"/>
        </w:rPr>
        <w:t>安全</w:t>
      </w:r>
      <w:r>
        <w:rPr>
          <w:rFonts w:hint="eastAsia" w:ascii="黑体" w:hAnsi="黑体" w:eastAsia="黑体" w:cs="Arial"/>
          <w:color w:val="auto"/>
          <w:spacing w:val="8"/>
          <w:sz w:val="34"/>
          <w:szCs w:val="34"/>
        </w:rPr>
        <w:t>作业监护规定</w:t>
      </w:r>
    </w:p>
    <w:p w14:paraId="7ABBE325">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第六十八条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现场所有作业</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lang w:val="en-US" w:eastAsia="zh-CN"/>
        </w:rPr>
        <w:t>除特殊要求的作业）</w:t>
      </w:r>
      <w:r>
        <w:rPr>
          <w:rFonts w:hint="eastAsia" w:ascii="仿宋_GB2312" w:hAnsi="黑体" w:eastAsia="仿宋_GB2312" w:cs="仿宋_GB2312"/>
          <w:color w:val="auto"/>
          <w:kern w:val="0"/>
          <w:sz w:val="34"/>
          <w:szCs w:val="34"/>
        </w:rPr>
        <w:t>必须由承包商安排专人监护</w:t>
      </w:r>
      <w:r>
        <w:rPr>
          <w:rFonts w:hint="eastAsia" w:ascii="仿宋_GB2312" w:hAnsi="黑体" w:eastAsia="仿宋_GB2312" w:cs="仿宋_GB2312"/>
          <w:color w:val="auto"/>
          <w:kern w:val="0"/>
          <w:sz w:val="34"/>
          <w:szCs w:val="34"/>
          <w:lang w:eastAsia="zh-CN"/>
        </w:rPr>
        <w:t>，</w:t>
      </w:r>
      <w:r>
        <w:rPr>
          <w:rFonts w:hint="eastAsia" w:ascii="仿宋_GB2312" w:hAnsi="黑体" w:eastAsia="仿宋_GB2312" w:cs="仿宋_GB2312"/>
          <w:color w:val="auto"/>
          <w:kern w:val="0"/>
          <w:sz w:val="34"/>
          <w:szCs w:val="34"/>
          <w:lang w:val="en-US" w:eastAsia="zh-CN"/>
        </w:rPr>
        <w:t>监护人应由具有作业实践经验的人员担任，并经专项培训考核合格，佩戴明显标识，持培训合格证上岗</w:t>
      </w:r>
      <w:r>
        <w:rPr>
          <w:rFonts w:hint="eastAsia" w:ascii="仿宋_GB2312" w:hAnsi="黑体" w:eastAsia="仿宋_GB2312" w:cs="仿宋_GB2312"/>
          <w:color w:val="auto"/>
          <w:kern w:val="0"/>
          <w:sz w:val="34"/>
          <w:szCs w:val="34"/>
        </w:rPr>
        <w:t>。监护人的职责如下：</w:t>
      </w:r>
    </w:p>
    <w:p w14:paraId="580E595B">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作业前，监护人必须认真检查施工使用的工具、设备和防护器材，保证安全、有效、可靠。</w:t>
      </w:r>
    </w:p>
    <w:p w14:paraId="0C0E8361">
      <w:pPr>
        <w:spacing w:line="600" w:lineRule="exact"/>
        <w:ind w:firstLine="680" w:firstLineChars="200"/>
        <w:rPr>
          <w:rFonts w:hint="eastAsia" w:ascii="仿宋_GB2312" w:hAnsi="楷体" w:eastAsia="仿宋_GB2312" w:cs="仿宋_GB2312"/>
          <w:color w:val="auto"/>
          <w:kern w:val="0"/>
          <w:sz w:val="34"/>
          <w:szCs w:val="34"/>
        </w:rPr>
      </w:pPr>
      <w:r>
        <w:rPr>
          <w:rFonts w:hint="eastAsia" w:ascii="仿宋_GB2312" w:hAnsi="楷体" w:eastAsia="仿宋_GB2312" w:cs="仿宋_GB2312"/>
          <w:color w:val="auto"/>
          <w:kern w:val="0"/>
          <w:sz w:val="34"/>
          <w:szCs w:val="34"/>
        </w:rPr>
        <w:t>（二）作业前检查安全作业票。安全作业票应与作业内容相符并在有效期内;核查安全作业票中各项安全措施已得到落实。</w:t>
      </w:r>
    </w:p>
    <w:p w14:paraId="61389223">
      <w:pPr>
        <w:spacing w:line="600" w:lineRule="exact"/>
        <w:ind w:firstLine="680" w:firstLineChars="200"/>
        <w:rPr>
          <w:rFonts w:hint="eastAsia" w:ascii="仿宋_GB2312" w:hAnsi="楷体" w:eastAsia="仿宋_GB2312" w:cs="仿宋_GB2312"/>
          <w:color w:val="auto"/>
          <w:kern w:val="0"/>
          <w:sz w:val="34"/>
          <w:szCs w:val="34"/>
        </w:rPr>
      </w:pP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lang w:val="en-US" w:eastAsia="zh-CN"/>
        </w:rPr>
        <w:t>三）</w:t>
      </w:r>
      <w:r>
        <w:rPr>
          <w:rFonts w:hint="eastAsia" w:ascii="仿宋_GB2312" w:hAnsi="楷体" w:eastAsia="仿宋_GB2312" w:cs="仿宋_GB2312"/>
          <w:color w:val="auto"/>
          <w:kern w:val="0"/>
          <w:sz w:val="34"/>
          <w:szCs w:val="34"/>
        </w:rPr>
        <w:t>确认相关作业人员持有效资格证书上岗</w:t>
      </w: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rPr>
        <w:t>核查作业人员配备和使用的个体防护装备满足作业要求。</w:t>
      </w:r>
    </w:p>
    <w:p w14:paraId="3E4A8732">
      <w:pPr>
        <w:spacing w:line="600" w:lineRule="exact"/>
        <w:ind w:firstLine="680" w:firstLineChars="200"/>
        <w:rPr>
          <w:rFonts w:hint="eastAsia" w:ascii="仿宋_GB2312" w:hAnsi="楷体" w:eastAsia="仿宋_GB2312" w:cs="仿宋_GB2312"/>
          <w:color w:val="auto"/>
          <w:kern w:val="0"/>
          <w:sz w:val="34"/>
          <w:szCs w:val="34"/>
        </w:rPr>
      </w:pP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lang w:val="en-US" w:eastAsia="zh-CN"/>
        </w:rPr>
        <w:t>四）</w:t>
      </w:r>
      <w:r>
        <w:rPr>
          <w:rFonts w:hint="eastAsia" w:ascii="仿宋_GB2312" w:hAnsi="楷体" w:eastAsia="仿宋_GB2312" w:cs="仿宋_GB2312"/>
          <w:color w:val="auto"/>
          <w:kern w:val="0"/>
          <w:sz w:val="34"/>
          <w:szCs w:val="34"/>
        </w:rPr>
        <w:t>对作业人员的行为和现场安全作业条件进行检查与监督,负责作业现场的安全协调与联系。</w:t>
      </w:r>
    </w:p>
    <w:p w14:paraId="09273E78">
      <w:pPr>
        <w:spacing w:line="600" w:lineRule="exact"/>
        <w:ind w:firstLine="680" w:firstLineChars="200"/>
        <w:rPr>
          <w:rFonts w:hint="eastAsia" w:ascii="仿宋_GB2312" w:hAnsi="楷体" w:eastAsia="仿宋_GB2312" w:cs="仿宋_GB2312"/>
          <w:color w:val="auto"/>
          <w:kern w:val="0"/>
          <w:sz w:val="34"/>
          <w:szCs w:val="34"/>
        </w:rPr>
      </w:pP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lang w:val="en-US" w:eastAsia="zh-CN"/>
        </w:rPr>
        <w:t>五）</w:t>
      </w:r>
      <w:r>
        <w:rPr>
          <w:rFonts w:hint="eastAsia" w:ascii="仿宋_GB2312" w:hAnsi="楷体" w:eastAsia="仿宋_GB2312" w:cs="仿宋_GB2312"/>
          <w:color w:val="auto"/>
          <w:kern w:val="0"/>
          <w:sz w:val="34"/>
          <w:szCs w:val="34"/>
        </w:rPr>
        <w:t>当作业现场出现</w:t>
      </w:r>
      <w:r>
        <w:rPr>
          <w:rFonts w:hint="eastAsia" w:ascii="仿宋_GB2312" w:hAnsi="黑体" w:eastAsia="仿宋_GB2312" w:cs="仿宋_GB2312"/>
          <w:color w:val="auto"/>
          <w:kern w:val="0"/>
          <w:sz w:val="34"/>
          <w:szCs w:val="34"/>
        </w:rPr>
        <w:t>有可能发生危及到施工安全的</w:t>
      </w:r>
      <w:r>
        <w:rPr>
          <w:rFonts w:hint="eastAsia" w:ascii="仿宋_GB2312" w:hAnsi="楷体" w:eastAsia="仿宋_GB2312" w:cs="仿宋_GB2312"/>
          <w:color w:val="auto"/>
          <w:kern w:val="0"/>
          <w:sz w:val="34"/>
          <w:szCs w:val="34"/>
        </w:rPr>
        <w:t>异常情况时</w:t>
      </w: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rPr>
        <w:t>应</w:t>
      </w:r>
      <w:r>
        <w:rPr>
          <w:rFonts w:hint="eastAsia" w:ascii="仿宋_GB2312" w:hAnsi="楷体" w:eastAsia="仿宋_GB2312" w:cs="仿宋_GB2312"/>
          <w:color w:val="auto"/>
          <w:kern w:val="0"/>
          <w:sz w:val="34"/>
          <w:szCs w:val="34"/>
          <w:lang w:val="en-US" w:eastAsia="zh-CN"/>
        </w:rPr>
        <w:t>立即</w:t>
      </w:r>
      <w:r>
        <w:rPr>
          <w:rFonts w:hint="eastAsia" w:ascii="仿宋_GB2312" w:hAnsi="楷体" w:eastAsia="仿宋_GB2312" w:cs="仿宋_GB2312"/>
          <w:color w:val="auto"/>
          <w:kern w:val="0"/>
          <w:sz w:val="34"/>
          <w:szCs w:val="34"/>
        </w:rPr>
        <w:t>中止作业</w:t>
      </w:r>
      <w:r>
        <w:rPr>
          <w:rFonts w:hint="eastAsia" w:ascii="仿宋_GB2312" w:hAnsi="黑体" w:eastAsia="仿宋_GB2312" w:cs="仿宋_GB2312"/>
          <w:color w:val="auto"/>
          <w:kern w:val="0"/>
          <w:sz w:val="34"/>
          <w:szCs w:val="34"/>
        </w:rPr>
        <w:t>停止施工，指挥施工人员撤离、疏散和逃生</w:t>
      </w:r>
      <w:r>
        <w:rPr>
          <w:rFonts w:hint="eastAsia" w:ascii="仿宋_GB2312" w:hAnsi="黑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rPr>
        <w:t>采取</w:t>
      </w:r>
      <w:r>
        <w:rPr>
          <w:rFonts w:hint="eastAsia" w:ascii="仿宋_GB2312" w:hAnsi="楷体" w:eastAsia="仿宋_GB2312" w:cs="仿宋_GB2312"/>
          <w:color w:val="auto"/>
          <w:kern w:val="0"/>
          <w:sz w:val="34"/>
          <w:szCs w:val="34"/>
          <w:lang w:val="en-US" w:eastAsia="zh-CN"/>
        </w:rPr>
        <w:t>必要的</w:t>
      </w:r>
      <w:r>
        <w:rPr>
          <w:rFonts w:hint="eastAsia" w:ascii="仿宋_GB2312" w:hAnsi="楷体" w:eastAsia="仿宋_GB2312" w:cs="仿宋_GB2312"/>
          <w:color w:val="auto"/>
          <w:kern w:val="0"/>
          <w:sz w:val="34"/>
          <w:szCs w:val="34"/>
        </w:rPr>
        <w:t>应急措施进行</w:t>
      </w:r>
      <w:r>
        <w:rPr>
          <w:rFonts w:hint="eastAsia" w:ascii="仿宋_GB2312" w:hAnsi="楷体" w:eastAsia="仿宋_GB2312" w:cs="仿宋_GB2312"/>
          <w:color w:val="auto"/>
          <w:kern w:val="0"/>
          <w:sz w:val="34"/>
          <w:szCs w:val="34"/>
          <w:lang w:val="en-US" w:eastAsia="zh-CN"/>
        </w:rPr>
        <w:t>现场</w:t>
      </w:r>
      <w:r>
        <w:rPr>
          <w:rFonts w:hint="eastAsia" w:ascii="仿宋_GB2312" w:hAnsi="楷体" w:eastAsia="仿宋_GB2312" w:cs="仿宋_GB2312"/>
          <w:color w:val="auto"/>
          <w:kern w:val="0"/>
          <w:sz w:val="34"/>
          <w:szCs w:val="34"/>
        </w:rPr>
        <w:t>处置</w:t>
      </w: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rPr>
        <w:t>当作业人员违章时,应及时制止违章,情节严重时,应收回安全作业票、中止作业。</w:t>
      </w:r>
    </w:p>
    <w:p w14:paraId="7BD1D932">
      <w:pPr>
        <w:spacing w:line="600" w:lineRule="exact"/>
        <w:ind w:firstLine="680" w:firstLineChars="200"/>
        <w:rPr>
          <w:rFonts w:hint="eastAsia" w:ascii="仿宋_GB2312" w:hAnsi="楷体" w:eastAsia="仿宋_GB2312" w:cs="仿宋_GB2312"/>
          <w:color w:val="auto"/>
          <w:kern w:val="0"/>
          <w:sz w:val="34"/>
          <w:szCs w:val="34"/>
        </w:rPr>
      </w:pPr>
      <w:r>
        <w:rPr>
          <w:rFonts w:hint="eastAsia" w:ascii="仿宋_GB2312" w:hAnsi="楷体" w:eastAsia="仿宋_GB2312" w:cs="仿宋_GB2312"/>
          <w:color w:val="auto"/>
          <w:kern w:val="0"/>
          <w:sz w:val="34"/>
          <w:szCs w:val="34"/>
          <w:lang w:eastAsia="zh-CN"/>
        </w:rPr>
        <w:t>（</w:t>
      </w:r>
      <w:r>
        <w:rPr>
          <w:rFonts w:hint="eastAsia" w:ascii="仿宋_GB2312" w:hAnsi="楷体" w:eastAsia="仿宋_GB2312" w:cs="仿宋_GB2312"/>
          <w:color w:val="auto"/>
          <w:kern w:val="0"/>
          <w:sz w:val="34"/>
          <w:szCs w:val="34"/>
          <w:lang w:val="en-US" w:eastAsia="zh-CN"/>
        </w:rPr>
        <w:t>六）</w:t>
      </w:r>
      <w:r>
        <w:rPr>
          <w:rFonts w:hint="eastAsia" w:ascii="仿宋_GB2312" w:hAnsi="楷体" w:eastAsia="仿宋_GB2312" w:cs="仿宋_GB2312"/>
          <w:color w:val="auto"/>
          <w:kern w:val="0"/>
          <w:sz w:val="34"/>
          <w:szCs w:val="34"/>
        </w:rPr>
        <w:t>作业期间,监护人不应擅自离开作业现场且不应从事与监护无关的事。确需离开作业现场时，应收回安全作业票,中止作业</w:t>
      </w:r>
      <w:r>
        <w:rPr>
          <w:rFonts w:hint="eastAsia" w:ascii="仿宋_GB2312" w:hAnsi="楷体" w:eastAsia="仿宋_GB2312" w:cs="仿宋_GB2312"/>
          <w:color w:val="auto"/>
          <w:kern w:val="0"/>
          <w:sz w:val="34"/>
          <w:szCs w:val="34"/>
          <w:lang w:eastAsia="zh-CN"/>
        </w:rPr>
        <w:t>。</w:t>
      </w:r>
    </w:p>
    <w:p w14:paraId="6497088E">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第六十九条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监护人所在位置应便于观察作业项目的施工情况，如动火作业要便于观察动火和火花溅落。</w:t>
      </w:r>
    </w:p>
    <w:p w14:paraId="28C541C8">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监护人必须履行监护职责，坚守岗位，不准脱岗，不准在作业期间兼作其它工作。监护人变更时必须对以上内容和现场情况进行认真详细的交接，并在作业证的监护人一栏签名，履行交接签字手续。</w:t>
      </w:r>
    </w:p>
    <w:p w14:paraId="36040FA4">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第七十一条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动火作业监护人应随时扑灭动火飞溅的火花，发现异常情况时及时通知动火人停止作业。动火作业结束后，扑灭余火，清理现场。</w:t>
      </w:r>
    </w:p>
    <w:p w14:paraId="69D00572">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第七十二条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登高作业监护人负责检查登高人员资格、持证情况及安全措施落实情况，如高处重物是否有坠落可能，是否存在高空抛物，安全带没有按规定系挂等的违章情况；施工单位监护人必须对登高用器具进行检查并确认安全可靠。</w:t>
      </w:r>
    </w:p>
    <w:p w14:paraId="634D9D0E">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第七十三条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受限空间作业监护人应与作业人员持续保持联系，密切关注作业人员状况，定期通知分析人员检测受限空间内部相关介质的数据。</w:t>
      </w:r>
    </w:p>
    <w:p w14:paraId="2200AE1A">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第七十四条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吊装作业监护人应密切关注：吊装重物不要碰撞与生产相关的设备、设施、桥架、管道；注意吊臂远离高压线；注意吊臂下方警戒区域禁止人员通行。</w:t>
      </w:r>
    </w:p>
    <w:p w14:paraId="7006CE80">
      <w:pPr>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第七十五条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动土作业监护人应密切关注：动土作业现场是否有明确的地下管道、电缆标注；动土作业过程中是否对地下管网采取有效的保护措施；动土作业防止土方坍塌的措施是否落实到位。</w:t>
      </w:r>
    </w:p>
    <w:p w14:paraId="7C012365">
      <w:pPr>
        <w:rPr>
          <w:color w:val="auto"/>
        </w:rPr>
      </w:pPr>
    </w:p>
    <w:p w14:paraId="118ADAC1">
      <w:pPr>
        <w:rPr>
          <w:color w:val="auto"/>
        </w:rPr>
      </w:pPr>
    </w:p>
    <w:p w14:paraId="0487CB79">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第九章</w:t>
      </w:r>
      <w:r>
        <w:rPr>
          <w:rFonts w:ascii="黑体" w:hAnsi="黑体" w:eastAsia="黑体" w:cs="Arial"/>
          <w:color w:val="auto"/>
          <w:spacing w:val="8"/>
          <w:sz w:val="34"/>
          <w:szCs w:val="34"/>
        </w:rPr>
        <w:t xml:space="preserve"> </w:t>
      </w:r>
      <w:r>
        <w:rPr>
          <w:rFonts w:hint="eastAsia" w:ascii="黑体" w:hAnsi="黑体" w:eastAsia="黑体" w:cs="仿宋_GB2312"/>
          <w:color w:val="auto"/>
          <w:kern w:val="0"/>
          <w:sz w:val="34"/>
          <w:szCs w:val="34"/>
        </w:rPr>
        <w:t>项目施工</w:t>
      </w:r>
      <w:r>
        <w:rPr>
          <w:rFonts w:hint="eastAsia" w:ascii="黑体" w:hAnsi="黑体" w:eastAsia="黑体" w:cs="Arial"/>
          <w:color w:val="auto"/>
          <w:spacing w:val="8"/>
          <w:sz w:val="34"/>
          <w:szCs w:val="34"/>
        </w:rPr>
        <w:t>扬尘防治管理规定</w:t>
      </w:r>
    </w:p>
    <w:p w14:paraId="52ADC8BB">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为了防治基建及产业项目施工扬尘污染，促进文明施工，提升环境空气质量，保障公众健康，根据《中华人民共和国环境保护法》、《中华人民共和国大气污染防治法》等有关法律、法规，及公司相关环保制度要求，制定本规定。本规定适用于索普股份基建及产业项目施工活动的扬尘防治和管理。</w:t>
      </w:r>
    </w:p>
    <w:p w14:paraId="6C60E1FE">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本规定所称工程施工扬尘，是指工程施工涉及的建筑物拆除、土方挖掘、土方回填、渣土和砂石运输，以及设备、管道喷砂和除锈过程中产生的对大气环境造成污染的粉尘颗粒物。</w:t>
      </w:r>
    </w:p>
    <w:p w14:paraId="5B20D3B5">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第七十八条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项目施工扬尘防治应当遵循预防为主、防治结合、科学规范、属地管理的原则。</w:t>
      </w:r>
    </w:p>
    <w:p w14:paraId="0D5D215B">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第七十九条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项目部对施工扬尘治理负总责。承担下列职责：</w:t>
      </w:r>
    </w:p>
    <w:p w14:paraId="1A3BE14F">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将施工扬尘污染防治费用列入工程造价，在施工承包合同中明确相关内容，并按合同约定或相关规定及时支付给施工单位。</w:t>
      </w:r>
    </w:p>
    <w:p w14:paraId="1B7379BF">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（二）</w:t>
      </w:r>
      <w:r>
        <w:rPr>
          <w:rFonts w:hint="eastAsia" w:ascii="仿宋_GB2312" w:hAnsi="黑体" w:eastAsia="仿宋_GB2312" w:cs="仿宋_GB2312"/>
          <w:color w:val="auto"/>
          <w:kern w:val="0"/>
          <w:sz w:val="34"/>
          <w:szCs w:val="34"/>
        </w:rPr>
        <w:t>监督承包商做好施工扬尘防治工作。加大对基建及产业项目检查力度，督促承包商落实安全生产文明施工措施。发现存在施工扬尘问题或隐患的，及时提出整改意见，并对整改情况进行复查。</w:t>
      </w:r>
    </w:p>
    <w:p w14:paraId="675C658D">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（三）</w:t>
      </w:r>
      <w:r>
        <w:rPr>
          <w:rFonts w:hint="eastAsia" w:ascii="仿宋_GB2312" w:hAnsi="黑体" w:eastAsia="仿宋_GB2312" w:cs="仿宋_GB2312"/>
          <w:color w:val="auto"/>
          <w:kern w:val="0"/>
          <w:sz w:val="34"/>
          <w:szCs w:val="34"/>
        </w:rPr>
        <w:t>工程项目有两家及以上施工单位的，协调解决共用场地、道路的扬尘防治问题。</w:t>
      </w:r>
    </w:p>
    <w:p w14:paraId="4DB19CE8">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（四）</w:t>
      </w:r>
      <w:r>
        <w:rPr>
          <w:rFonts w:hint="eastAsia" w:ascii="仿宋_GB2312" w:hAnsi="黑体" w:eastAsia="仿宋_GB2312" w:cs="仿宋_GB2312"/>
          <w:color w:val="auto"/>
          <w:kern w:val="0"/>
          <w:sz w:val="34"/>
          <w:szCs w:val="34"/>
        </w:rPr>
        <w:t>对承包商违章情况进行处理。</w:t>
      </w:r>
    </w:p>
    <w:p w14:paraId="68E23F78">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承包商是工程施工扬尘防治的第一责任人。承担下列扬尘防治具体职责：</w:t>
      </w:r>
    </w:p>
    <w:p w14:paraId="4AD17C7E">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编制施工扬尘污染防治方案，并按照方案实施。</w:t>
      </w:r>
    </w:p>
    <w:p w14:paraId="546DA252">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（二）</w:t>
      </w:r>
      <w:r>
        <w:rPr>
          <w:rFonts w:hint="eastAsia" w:ascii="仿宋_GB2312" w:hAnsi="黑体" w:eastAsia="仿宋_GB2312" w:cs="仿宋_GB2312"/>
          <w:color w:val="auto"/>
          <w:kern w:val="0"/>
          <w:sz w:val="34"/>
          <w:szCs w:val="34"/>
        </w:rPr>
        <w:t>落实施工扬尘防治措施，控制扬尘污染源。</w:t>
      </w:r>
    </w:p>
    <w:p w14:paraId="182E5837">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（三）</w:t>
      </w:r>
      <w:r>
        <w:rPr>
          <w:rFonts w:hint="eastAsia" w:ascii="仿宋_GB2312" w:hAnsi="黑体" w:eastAsia="仿宋_GB2312" w:cs="仿宋_GB2312"/>
          <w:color w:val="auto"/>
          <w:kern w:val="0"/>
          <w:sz w:val="34"/>
          <w:szCs w:val="34"/>
        </w:rPr>
        <w:t>在施工工地出入口的醒目位置，公布扬尘防治措施、相关责任人。</w:t>
      </w:r>
    </w:p>
    <w:p w14:paraId="16B14E7E">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（四）</w:t>
      </w:r>
      <w:r>
        <w:rPr>
          <w:rFonts w:hint="eastAsia" w:ascii="仿宋_GB2312" w:hAnsi="黑体" w:eastAsia="仿宋_GB2312" w:cs="仿宋_GB2312"/>
          <w:color w:val="auto"/>
          <w:kern w:val="0"/>
          <w:sz w:val="34"/>
          <w:szCs w:val="34"/>
        </w:rPr>
        <w:t>对施工过程中存在的扬尘问题进行原因分析，制定相应整改、防范措施并跟踪落实。</w:t>
      </w:r>
    </w:p>
    <w:p w14:paraId="40355EAA">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第八十一条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监理单位对建筑工程施工扬尘防治负监理责任。承担下列职责：</w:t>
      </w:r>
    </w:p>
    <w:p w14:paraId="798FCDB1">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工程开工前审批施工扬尘污染防治方案。</w:t>
      </w:r>
    </w:p>
    <w:p w14:paraId="4F44EB23">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（二）</w:t>
      </w:r>
      <w:r>
        <w:rPr>
          <w:rFonts w:hint="eastAsia" w:ascii="仿宋_GB2312" w:hAnsi="黑体" w:eastAsia="仿宋_GB2312" w:cs="仿宋_GB2312"/>
          <w:color w:val="auto"/>
          <w:kern w:val="0"/>
          <w:sz w:val="34"/>
          <w:szCs w:val="34"/>
        </w:rPr>
        <w:t>督促施工单位落实施工扬尘防治措施。</w:t>
      </w:r>
    </w:p>
    <w:p w14:paraId="0FBAB897">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（三）</w:t>
      </w:r>
      <w:r>
        <w:rPr>
          <w:rFonts w:hint="eastAsia" w:ascii="仿宋_GB2312" w:hAnsi="黑体" w:eastAsia="仿宋_GB2312" w:cs="仿宋_GB2312"/>
          <w:color w:val="auto"/>
          <w:kern w:val="0"/>
          <w:sz w:val="34"/>
          <w:szCs w:val="34"/>
        </w:rPr>
        <w:t>对施工单位扬尘防治情况进行监督、检查，发现存在施工扬尘问题或隐患的，及时提出整改意见，对拒不整改或者情节严重的，及时报告项目部。</w:t>
      </w:r>
    </w:p>
    <w:p w14:paraId="741F03B9">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第八十二条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工程施工现场应当符合下列扬尘防治基本要求：</w:t>
      </w:r>
    </w:p>
    <w:p w14:paraId="4175EBFF">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施工场地边界应当按照规范要求连续设置硬质封闭围挡。</w:t>
      </w:r>
    </w:p>
    <w:p w14:paraId="3FC740E7">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（二）</w:t>
      </w:r>
      <w:r>
        <w:rPr>
          <w:rFonts w:hint="eastAsia" w:ascii="仿宋_GB2312" w:hAnsi="黑体" w:eastAsia="仿宋_GB2312" w:cs="仿宋_GB2312"/>
          <w:color w:val="auto"/>
          <w:kern w:val="0"/>
          <w:sz w:val="34"/>
          <w:szCs w:val="34"/>
        </w:rPr>
        <w:t>施工工地的出入口、主要道路、物料堆放场地等应尽可能做到硬化处理。</w:t>
      </w:r>
    </w:p>
    <w:p w14:paraId="03F36C49">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（三）</w:t>
      </w:r>
      <w:r>
        <w:rPr>
          <w:rFonts w:hint="eastAsia" w:ascii="仿宋_GB2312" w:hAnsi="黑体" w:eastAsia="仿宋_GB2312" w:cs="仿宋_GB2312"/>
          <w:color w:val="auto"/>
          <w:kern w:val="0"/>
          <w:sz w:val="34"/>
          <w:szCs w:val="34"/>
        </w:rPr>
        <w:t>按照要求配置、使用移动式雾炮机、喷雾（淋）装置、洒水车等降尘设备。</w:t>
      </w:r>
    </w:p>
    <w:p w14:paraId="567EB312">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（四）</w:t>
      </w:r>
      <w:r>
        <w:rPr>
          <w:rFonts w:hint="eastAsia" w:ascii="仿宋_GB2312" w:hAnsi="黑体" w:eastAsia="仿宋_GB2312" w:cs="仿宋_GB2312"/>
          <w:color w:val="auto"/>
          <w:kern w:val="0"/>
          <w:sz w:val="34"/>
          <w:szCs w:val="34"/>
        </w:rPr>
        <w:t>配备与工程规模相适应的卫生保洁人员，负责洒水抑尘，清除浮土、积灰，冲洗地面和车辆，保证施工场地和出场车辆清洁。</w:t>
      </w:r>
    </w:p>
    <w:p w14:paraId="365099AE">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（五）</w:t>
      </w:r>
      <w:r>
        <w:rPr>
          <w:rFonts w:hint="eastAsia" w:ascii="仿宋_GB2312" w:hAnsi="黑体" w:eastAsia="仿宋_GB2312" w:cs="仿宋_GB2312"/>
          <w:color w:val="auto"/>
          <w:kern w:val="0"/>
          <w:sz w:val="34"/>
          <w:szCs w:val="34"/>
        </w:rPr>
        <w:t>使用预拌混凝土和预拌砂浆，因特殊情况需要现场搅拌的，应当采取集中、封闭搅拌方式，并进行降尘处理。</w:t>
      </w:r>
    </w:p>
    <w:p w14:paraId="1228FF22">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（六）</w:t>
      </w:r>
      <w:r>
        <w:rPr>
          <w:rFonts w:hint="eastAsia" w:ascii="仿宋_GB2312" w:hAnsi="黑体" w:eastAsia="仿宋_GB2312" w:cs="仿宋_GB2312"/>
          <w:color w:val="auto"/>
          <w:kern w:val="0"/>
          <w:sz w:val="34"/>
          <w:szCs w:val="34"/>
        </w:rPr>
        <w:t>施工现场进行土方工程以及切割、抹灰、钻孔、凿槽等易产生扬尘的作业时，应当采取洒水、喷雾（淋）等有效降尘措施。</w:t>
      </w:r>
    </w:p>
    <w:p w14:paraId="012F1A89">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（七）</w:t>
      </w:r>
      <w:r>
        <w:rPr>
          <w:rFonts w:hint="eastAsia" w:ascii="仿宋_GB2312" w:hAnsi="黑体" w:eastAsia="仿宋_GB2312" w:cs="仿宋_GB2312"/>
          <w:color w:val="auto"/>
          <w:kern w:val="0"/>
          <w:sz w:val="34"/>
          <w:szCs w:val="34"/>
        </w:rPr>
        <w:t>设备和管道的喷砂、除锈作业，必须转移至喷砂房进行。</w:t>
      </w:r>
    </w:p>
    <w:p w14:paraId="4B9B32B0">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（八）</w:t>
      </w:r>
      <w:r>
        <w:rPr>
          <w:rFonts w:hint="eastAsia" w:ascii="仿宋_GB2312" w:hAnsi="黑体" w:eastAsia="仿宋_GB2312" w:cs="仿宋_GB2312"/>
          <w:color w:val="auto"/>
          <w:kern w:val="0"/>
          <w:sz w:val="34"/>
          <w:szCs w:val="34"/>
        </w:rPr>
        <w:t>建筑土方、渣土、垃圾及时清运至指定场所处置，在场内临时堆存的，应当采用覆盖密闭式防尘网等防尘措施。</w:t>
      </w:r>
    </w:p>
    <w:p w14:paraId="3CFB3BAF">
      <w:pPr>
        <w:widowControl/>
        <w:shd w:val="clear" w:color="auto" w:fill="FFFFFF"/>
        <w:spacing w:line="600" w:lineRule="exact"/>
        <w:ind w:firstLine="680" w:firstLineChars="200"/>
        <w:jc w:val="left"/>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（九）</w:t>
      </w:r>
      <w:r>
        <w:rPr>
          <w:rFonts w:hint="eastAsia" w:ascii="仿宋_GB2312" w:hAnsi="黑体" w:eastAsia="仿宋_GB2312" w:cs="仿宋_GB2312"/>
          <w:color w:val="auto"/>
          <w:kern w:val="0"/>
          <w:sz w:val="34"/>
          <w:szCs w:val="34"/>
        </w:rPr>
        <w:t>暂时不能开工的建设用地，建设单位应当对裸露地面进行覆盖。超过三个月的，应当进行绿化、铺装或者遮盖。</w:t>
      </w:r>
    </w:p>
    <w:p w14:paraId="672AA159">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第八十三条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项目部或承包商应当将建筑土方、渣土、垃圾运输、处置业务交给已经核准的单位从事建筑垃圾运输、处置。</w:t>
      </w:r>
    </w:p>
    <w:p w14:paraId="463D300A">
      <w:pPr>
        <w:spacing w:line="600" w:lineRule="exact"/>
        <w:ind w:firstLine="715" w:firstLineChars="200"/>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第八十四条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与扬尘相关的运输车辆，应当符合下列扬尘防治要求：</w:t>
      </w:r>
    </w:p>
    <w:p w14:paraId="264490B3">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（一）</w:t>
      </w:r>
      <w:r>
        <w:rPr>
          <w:rFonts w:hint="eastAsia" w:ascii="仿宋_GB2312" w:hAnsi="黑体" w:eastAsia="仿宋_GB2312" w:cs="仿宋_GB2312"/>
          <w:color w:val="auto"/>
          <w:kern w:val="0"/>
          <w:sz w:val="34"/>
          <w:szCs w:val="34"/>
        </w:rPr>
        <w:t>运输车辆年检合格，车况良好。</w:t>
      </w:r>
    </w:p>
    <w:p w14:paraId="3726D52B">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（二）</w:t>
      </w:r>
      <w:r>
        <w:rPr>
          <w:rFonts w:hint="eastAsia" w:ascii="仿宋_GB2312" w:hAnsi="黑体" w:eastAsia="仿宋_GB2312" w:cs="仿宋_GB2312"/>
          <w:color w:val="auto"/>
          <w:kern w:val="0"/>
          <w:sz w:val="34"/>
          <w:szCs w:val="34"/>
        </w:rPr>
        <w:t>车辆出口处按照有关规定设置洗车台、冲洗设备、排水沟、泥浆沉淀池等车辆冲洗设施，出场车辆应当经除泥冲洗，车身整洁，车轮不带泥上路行驶。</w:t>
      </w:r>
    </w:p>
    <w:p w14:paraId="0AD4E58B">
      <w:pPr>
        <w:spacing w:line="600" w:lineRule="exact"/>
        <w:ind w:firstLine="680" w:firstLineChars="200"/>
        <w:rPr>
          <w:rFonts w:ascii="仿宋_GB2312" w:hAnsi="黑体" w:eastAsia="仿宋_GB2312" w:cs="仿宋_GB2312"/>
          <w:color w:val="auto"/>
          <w:kern w:val="0"/>
          <w:sz w:val="34"/>
          <w:szCs w:val="34"/>
        </w:rPr>
      </w:pPr>
      <w:r>
        <w:rPr>
          <w:rFonts w:hint="eastAsia" w:ascii="仿宋_GB2312" w:hAnsi="楷体" w:eastAsia="仿宋_GB2312" w:cs="仿宋_GB2312"/>
          <w:color w:val="auto"/>
          <w:kern w:val="0"/>
          <w:sz w:val="34"/>
          <w:szCs w:val="34"/>
        </w:rPr>
        <w:t>（三）</w:t>
      </w:r>
      <w:r>
        <w:rPr>
          <w:rFonts w:hint="eastAsia" w:ascii="仿宋_GB2312" w:hAnsi="黑体" w:eastAsia="仿宋_GB2312" w:cs="仿宋_GB2312"/>
          <w:color w:val="auto"/>
          <w:kern w:val="0"/>
          <w:sz w:val="34"/>
          <w:szCs w:val="34"/>
        </w:rPr>
        <w:t>运输建筑土方、渣土、垃圾、砂石、灰浆等散装、流体物料的车辆，应当采取密闭、覆盖等防护措施，按照规定路线行驶，转弯时要减速行驶。不得沿途撒漏，不得随意倾倒。</w:t>
      </w:r>
    </w:p>
    <w:p w14:paraId="1D60C02D">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第八十五条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施工产生的垃圾集中堆放，采取洒水、遮盖等防尘措施并及时清运，不得在工地围挡外堆放。</w:t>
      </w:r>
    </w:p>
    <w:p w14:paraId="18F0F96D">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第八十六条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遇有雾霾天气，环境空气质量指数达到中度及以上污染时，施工现场应当采取增加洒水或喷淋（雾）频次、加强覆盖封闭等有效降尘措施，减少施工作业扬尘污染。</w:t>
      </w:r>
    </w:p>
    <w:p w14:paraId="70F238FD">
      <w:pPr>
        <w:widowControl/>
        <w:shd w:val="clear" w:color="auto" w:fill="FFFFFF"/>
        <w:spacing w:line="600" w:lineRule="exact"/>
        <w:ind w:firstLine="715" w:firstLineChars="200"/>
        <w:jc w:val="left"/>
        <w:rPr>
          <w:rFonts w:ascii="仿宋_GB2312" w:hAnsi="黑体" w:eastAsia="仿宋_GB2312" w:cs="仿宋_GB2312"/>
          <w:color w:val="auto"/>
          <w:kern w:val="0"/>
          <w:sz w:val="34"/>
          <w:szCs w:val="34"/>
        </w:rPr>
      </w:pPr>
      <w:r>
        <w:rPr>
          <w:rFonts w:hint="eastAsia" w:ascii="仿宋_GB2312" w:hAnsi="黑体" w:eastAsia="仿宋_GB2312" w:cs="Arial"/>
          <w:b/>
          <w:color w:val="auto"/>
          <w:spacing w:val="8"/>
          <w:sz w:val="34"/>
          <w:szCs w:val="34"/>
        </w:rPr>
        <w:t>第八十七条</w:t>
      </w:r>
      <w:r>
        <w:rPr>
          <w:rFonts w:ascii="仿宋_GB2312" w:hAnsi="黑体" w:eastAsia="仿宋_GB2312" w:cs="Arial"/>
          <w:b/>
          <w:color w:val="auto"/>
          <w:spacing w:val="8"/>
          <w:sz w:val="34"/>
          <w:szCs w:val="34"/>
        </w:rPr>
        <w:t xml:space="preserve"> </w:t>
      </w:r>
      <w:r>
        <w:rPr>
          <w:rFonts w:hint="eastAsia" w:ascii="仿宋_GB2312" w:hAnsi="黑体" w:eastAsia="仿宋_GB2312" w:cs="仿宋_GB2312"/>
          <w:color w:val="auto"/>
          <w:kern w:val="0"/>
          <w:sz w:val="34"/>
          <w:szCs w:val="34"/>
        </w:rPr>
        <w:t>承包商违反上述规定，导致环境污染的，项目部根据造成的后果，给予相应处罚，包括罚款、停工整治、勒令退场。</w:t>
      </w:r>
    </w:p>
    <w:p w14:paraId="4D71A584">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第十章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项目检查及整改规定</w:t>
      </w:r>
    </w:p>
    <w:p w14:paraId="16B1880D">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第八十八条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项目部及项目建设承包商应当建立健全安全检查的规定，开展事故隐患排查和整治工作。</w:t>
      </w:r>
    </w:p>
    <w:p w14:paraId="027655F3">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第八十九条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项目部开展的安全检查的形式包括：日常隐患排查、综合性隐患排查、专业性隐患排查、季节性隐患排查、重大活动及节假日前隐患排查、事故类比隐患排查等。</w:t>
      </w:r>
    </w:p>
    <w:p w14:paraId="538EC38F">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安全检查的频次：</w:t>
      </w:r>
    </w:p>
    <w:p w14:paraId="42D7EED6">
      <w:pPr>
        <w:spacing w:line="600" w:lineRule="exact"/>
        <w:ind w:firstLine="680" w:firstLineChars="200"/>
        <w:jc w:val="left"/>
        <w:rPr>
          <w:rFonts w:ascii="楷体" w:hAnsi="楷体" w:eastAsia="楷体" w:cs="黑体"/>
          <w:bCs/>
          <w:color w:val="auto"/>
          <w:sz w:val="34"/>
          <w:szCs w:val="34"/>
        </w:rPr>
      </w:pPr>
      <w:r>
        <w:rPr>
          <w:rFonts w:hint="eastAsia" w:ascii="楷体" w:hAnsi="楷体" w:eastAsia="楷体" w:cs="仿宋_GB2312"/>
          <w:color w:val="auto"/>
          <w:kern w:val="0"/>
          <w:sz w:val="34"/>
          <w:szCs w:val="34"/>
        </w:rPr>
        <w:t>（一）</w:t>
      </w:r>
      <w:r>
        <w:rPr>
          <w:rFonts w:hint="eastAsia" w:ascii="楷体" w:hAnsi="楷体" w:eastAsia="楷体" w:cs="黑体"/>
          <w:bCs/>
          <w:color w:val="auto"/>
          <w:sz w:val="34"/>
          <w:szCs w:val="34"/>
        </w:rPr>
        <w:t>日常隐患排查：</w:t>
      </w:r>
    </w:p>
    <w:p w14:paraId="5F413490">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1.</w:t>
      </w:r>
      <w:r>
        <w:rPr>
          <w:rFonts w:hint="eastAsia" w:ascii="仿宋_GB2312" w:hAnsi="宋体" w:eastAsia="仿宋_GB2312" w:cs="黑体"/>
          <w:bCs/>
          <w:color w:val="auto"/>
          <w:sz w:val="34"/>
          <w:szCs w:val="34"/>
        </w:rPr>
        <w:t>承包商安全管理人员、项目负责人每天对现场进行至少两次巡检（上午、下午各一次），并在票证上签到。</w:t>
      </w:r>
    </w:p>
    <w:p w14:paraId="7FA5EA7D">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2.</w:t>
      </w:r>
      <w:r>
        <w:rPr>
          <w:rFonts w:hint="eastAsia" w:ascii="仿宋_GB2312" w:hAnsi="宋体" w:eastAsia="仿宋_GB2312" w:cs="黑体"/>
          <w:bCs/>
          <w:color w:val="auto"/>
          <w:sz w:val="34"/>
          <w:szCs w:val="34"/>
        </w:rPr>
        <w:t>基建及产业项目监理每天对现场进行至少一次巡检，并在票证上签到。</w:t>
      </w:r>
    </w:p>
    <w:p w14:paraId="3BB8D0BD">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3.</w:t>
      </w:r>
      <w:r>
        <w:rPr>
          <w:rFonts w:hint="eastAsia" w:ascii="仿宋_GB2312" w:hAnsi="宋体" w:eastAsia="仿宋_GB2312" w:cs="黑体"/>
          <w:bCs/>
          <w:color w:val="auto"/>
          <w:sz w:val="34"/>
          <w:szCs w:val="34"/>
        </w:rPr>
        <w:t>项目部管理人员每天对现场进行至少一次巡检，并在票证上签到。</w:t>
      </w:r>
    </w:p>
    <w:p w14:paraId="05137F50">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4.</w:t>
      </w:r>
      <w:r>
        <w:rPr>
          <w:rFonts w:hint="eastAsia" w:ascii="仿宋_GB2312" w:hAnsi="宋体" w:eastAsia="仿宋_GB2312" w:cs="黑体"/>
          <w:bCs/>
          <w:color w:val="auto"/>
          <w:sz w:val="34"/>
          <w:szCs w:val="34"/>
        </w:rPr>
        <w:t>在风险较高的项目建设期间，项目部装置经理及设备、电气、仪表等专业经理应每天到作业现场进行检查。</w:t>
      </w:r>
    </w:p>
    <w:p w14:paraId="46443C77">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项目监理及项目部管理人员要将风险较高的项目，作为每天巡检的重要内容。</w:t>
      </w:r>
    </w:p>
    <w:p w14:paraId="5FFC24E2">
      <w:pPr>
        <w:spacing w:line="600" w:lineRule="exact"/>
        <w:ind w:firstLine="680" w:firstLineChars="200"/>
        <w:jc w:val="left"/>
        <w:rPr>
          <w:rFonts w:ascii="楷体" w:hAnsi="楷体" w:eastAsia="楷体" w:cs="黑体"/>
          <w:bCs/>
          <w:color w:val="auto"/>
          <w:sz w:val="34"/>
          <w:szCs w:val="34"/>
        </w:rPr>
      </w:pPr>
      <w:r>
        <w:rPr>
          <w:rFonts w:hint="eastAsia" w:ascii="楷体" w:hAnsi="楷体" w:eastAsia="楷体" w:cs="仿宋_GB2312"/>
          <w:color w:val="auto"/>
          <w:kern w:val="0"/>
          <w:sz w:val="34"/>
          <w:szCs w:val="34"/>
        </w:rPr>
        <w:t>（二）</w:t>
      </w:r>
      <w:r>
        <w:rPr>
          <w:rFonts w:hint="eastAsia" w:ascii="楷体" w:hAnsi="楷体" w:eastAsia="楷体" w:cs="黑体"/>
          <w:bCs/>
          <w:color w:val="auto"/>
          <w:sz w:val="34"/>
          <w:szCs w:val="34"/>
        </w:rPr>
        <w:t>综合性隐患排查：</w:t>
      </w:r>
    </w:p>
    <w:p w14:paraId="64C90466">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每月至少进行一次综合性隐患排查，由安全环保、工艺、设备、电气等专业人员组成检查组。</w:t>
      </w:r>
    </w:p>
    <w:p w14:paraId="6A17BD66">
      <w:pPr>
        <w:spacing w:line="600" w:lineRule="exact"/>
        <w:ind w:firstLine="680" w:firstLineChars="200"/>
        <w:jc w:val="left"/>
        <w:rPr>
          <w:rFonts w:ascii="楷体" w:hAnsi="楷体" w:eastAsia="楷体" w:cs="黑体"/>
          <w:bCs/>
          <w:color w:val="auto"/>
          <w:sz w:val="34"/>
          <w:szCs w:val="34"/>
        </w:rPr>
      </w:pPr>
      <w:r>
        <w:rPr>
          <w:rFonts w:hint="eastAsia" w:ascii="楷体" w:hAnsi="楷体" w:eastAsia="楷体" w:cs="仿宋_GB2312"/>
          <w:color w:val="auto"/>
          <w:kern w:val="0"/>
          <w:sz w:val="34"/>
          <w:szCs w:val="34"/>
        </w:rPr>
        <w:t>（三）</w:t>
      </w:r>
      <w:r>
        <w:rPr>
          <w:rFonts w:hint="eastAsia" w:ascii="楷体" w:hAnsi="楷体" w:eastAsia="楷体" w:cs="黑体"/>
          <w:bCs/>
          <w:color w:val="auto"/>
          <w:sz w:val="34"/>
          <w:szCs w:val="34"/>
        </w:rPr>
        <w:t>其它隐患排查：</w:t>
      </w:r>
    </w:p>
    <w:p w14:paraId="6075ACAC">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1.</w:t>
      </w:r>
      <w:r>
        <w:rPr>
          <w:rFonts w:hint="eastAsia" w:ascii="仿宋_GB2312" w:hAnsi="宋体" w:eastAsia="仿宋_GB2312" w:cs="黑体"/>
          <w:bCs/>
          <w:color w:val="auto"/>
          <w:sz w:val="34"/>
          <w:szCs w:val="34"/>
        </w:rPr>
        <w:t>根据季节性特征和专业性特征，每季度开展一次有针对性的季节性隐患排查，如春季开展电气专项检查、夏季开展“夏季四防”检查、秋季开展消防安全检查、冬季开展“冬季四防”检查等。</w:t>
      </w:r>
    </w:p>
    <w:p w14:paraId="1AAFA968">
      <w:pPr>
        <w:spacing w:line="600" w:lineRule="exact"/>
        <w:ind w:firstLine="680" w:firstLineChars="200"/>
        <w:jc w:val="left"/>
        <w:rPr>
          <w:rFonts w:ascii="仿宋_GB2312" w:eastAsia="仿宋_GB2312" w:cs="黑体"/>
          <w:bCs/>
          <w:color w:val="auto"/>
          <w:sz w:val="34"/>
          <w:szCs w:val="34"/>
        </w:rPr>
      </w:pPr>
      <w:r>
        <w:rPr>
          <w:rFonts w:ascii="仿宋_GB2312" w:hAnsi="楷体" w:eastAsia="仿宋_GB2312" w:cs="仿宋_GB2312"/>
          <w:color w:val="auto"/>
          <w:kern w:val="0"/>
          <w:sz w:val="34"/>
          <w:szCs w:val="34"/>
        </w:rPr>
        <w:t>2.</w:t>
      </w:r>
      <w:r>
        <w:rPr>
          <w:rFonts w:hint="eastAsia" w:ascii="仿宋_GB2312" w:hAnsi="宋体" w:eastAsia="仿宋_GB2312" w:cs="黑体"/>
          <w:bCs/>
          <w:color w:val="auto"/>
          <w:sz w:val="34"/>
          <w:szCs w:val="34"/>
        </w:rPr>
        <w:t>重大活动及节假日前，有针对性地开展安全检查，确保重大活动及节假日期间项目建设顺利进行。</w:t>
      </w:r>
    </w:p>
    <w:p w14:paraId="4FED0BC8">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3.</w:t>
      </w:r>
      <w:r>
        <w:rPr>
          <w:rFonts w:hint="eastAsia" w:ascii="仿宋_GB2312" w:hAnsi="宋体" w:eastAsia="仿宋_GB2312" w:cs="黑体"/>
          <w:bCs/>
          <w:color w:val="auto"/>
          <w:sz w:val="34"/>
          <w:szCs w:val="34"/>
        </w:rPr>
        <w:t>当获知国内外基建及产业项目发生典型事故时，应举一反三，及时进行事故类比隐患专项检查。</w:t>
      </w:r>
    </w:p>
    <w:p w14:paraId="502415D3">
      <w:pPr>
        <w:spacing w:line="600" w:lineRule="exact"/>
        <w:ind w:firstLine="680" w:firstLineChars="200"/>
        <w:jc w:val="left"/>
        <w:rPr>
          <w:rFonts w:ascii="仿宋_GB2312" w:eastAsia="仿宋_GB2312" w:cs="黑体"/>
          <w:bCs/>
          <w:color w:val="auto"/>
          <w:sz w:val="34"/>
          <w:szCs w:val="34"/>
        </w:rPr>
      </w:pPr>
      <w:r>
        <w:rPr>
          <w:rFonts w:ascii="仿宋_GB2312" w:hAnsi="宋体" w:eastAsia="仿宋_GB2312" w:cs="黑体"/>
          <w:bCs/>
          <w:color w:val="auto"/>
          <w:sz w:val="34"/>
          <w:szCs w:val="34"/>
        </w:rPr>
        <w:t>4.</w:t>
      </w:r>
      <w:r>
        <w:rPr>
          <w:rFonts w:hint="eastAsia" w:ascii="仿宋_GB2312" w:hAnsi="宋体" w:eastAsia="仿宋_GB2312" w:cs="黑体"/>
          <w:bCs/>
          <w:color w:val="auto"/>
          <w:sz w:val="34"/>
          <w:szCs w:val="34"/>
        </w:rPr>
        <w:t>季节性隐患排查、专业性隐患排查、重大活动及节假日前隐患排查、事故类比隐患排查，也可根据当时的实际情况，与月度综合性隐患排查同时进行。</w:t>
      </w:r>
    </w:p>
    <w:p w14:paraId="29B01E2C">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第九十一条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各种类型的安全检查，应按照国家的规定规范要求，制定相应的安全检查表。在检查过程中对照检查表逐项进行检查。</w:t>
      </w:r>
    </w:p>
    <w:p w14:paraId="573608EE">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第九十二条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事故隐患排查过程发现隐患和违章行为，应当场立即进行整改，并向上级汇报。无法当场进行整改的，采取防范措施，并下发整改通知单，限期整改。</w:t>
      </w:r>
    </w:p>
    <w:p w14:paraId="1F400A12">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第九十三条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承包商发现的隐患和违章行为，由承包商自行整改，并建立整改台帐。项目部对检查、整改和台帐进行督查。</w:t>
      </w:r>
    </w:p>
    <w:p w14:paraId="78CB3E2F">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第九十四条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项目部发现的隐患和违章行为，由项目部下发整改通知单，督促整改并进行复查；其他职能部门发现的隐患和违章行为，由相关部门下发整改通知单，督促整改并进行复查。</w:t>
      </w:r>
    </w:p>
    <w:p w14:paraId="57CE6BF2">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第九十五条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项目部对日常隐患排查所查处的情况每周进行通报，对综合性隐患排查、专业性隐患排查、季节性隐患排查、重大活动及节假日前隐患排查、事故类比隐患排查等所查处的情况，每月进行通报；并按照规定对承包商进行考核。</w:t>
      </w:r>
    </w:p>
    <w:p w14:paraId="2AEA1FAB">
      <w:pPr>
        <w:spacing w:line="600" w:lineRule="exact"/>
        <w:ind w:firstLine="715" w:firstLineChars="200"/>
        <w:jc w:val="left"/>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第九十六条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项目部和其他职能部门对排查出的事故隐患，应建立台帐并及时更新。事故隐患排查整治应形成闭环管理。</w:t>
      </w:r>
    </w:p>
    <w:p w14:paraId="642AAC0F">
      <w:pPr>
        <w:spacing w:beforeLines="100" w:afterLines="100" w:line="600" w:lineRule="exact"/>
        <w:ind w:firstLine="712" w:firstLineChars="200"/>
        <w:jc w:val="center"/>
        <w:rPr>
          <w:rFonts w:ascii="黑体" w:hAnsi="黑体" w:eastAsia="黑体" w:cs="Arial"/>
          <w:color w:val="auto"/>
          <w:spacing w:val="8"/>
          <w:sz w:val="34"/>
          <w:szCs w:val="34"/>
        </w:rPr>
      </w:pPr>
      <w:r>
        <w:rPr>
          <w:rFonts w:hint="eastAsia" w:ascii="黑体" w:hAnsi="黑体" w:eastAsia="黑体" w:cs="Arial"/>
          <w:color w:val="auto"/>
          <w:spacing w:val="8"/>
          <w:sz w:val="34"/>
          <w:szCs w:val="34"/>
        </w:rPr>
        <w:t>第十一章</w:t>
      </w:r>
      <w:r>
        <w:rPr>
          <w:rFonts w:ascii="黑体" w:hAnsi="黑体" w:eastAsia="黑体" w:cs="Arial"/>
          <w:color w:val="auto"/>
          <w:spacing w:val="8"/>
          <w:sz w:val="34"/>
          <w:szCs w:val="34"/>
        </w:rPr>
        <w:t xml:space="preserve">  </w:t>
      </w:r>
      <w:r>
        <w:rPr>
          <w:rFonts w:hint="eastAsia" w:ascii="黑体" w:hAnsi="黑体" w:eastAsia="黑体" w:cs="Arial"/>
          <w:color w:val="auto"/>
          <w:spacing w:val="8"/>
          <w:sz w:val="34"/>
          <w:szCs w:val="34"/>
        </w:rPr>
        <w:t>项目隐患和违章处罚规定</w:t>
      </w:r>
    </w:p>
    <w:p w14:paraId="68618533">
      <w:pPr>
        <w:spacing w:line="600" w:lineRule="exact"/>
        <w:ind w:firstLine="715" w:firstLineChars="200"/>
        <w:jc w:val="left"/>
        <w:rPr>
          <w:rFonts w:ascii="仿宋_GB2312" w:hAnsi="黑体" w:eastAsia="仿宋_GB2312" w:cs="Arial"/>
          <w:color w:val="auto"/>
          <w:spacing w:val="8"/>
          <w:sz w:val="34"/>
          <w:szCs w:val="34"/>
        </w:rPr>
      </w:pPr>
      <w:r>
        <w:rPr>
          <w:rFonts w:hint="eastAsia" w:ascii="仿宋_GB2312" w:hAnsi="黑体" w:eastAsia="仿宋_GB2312" w:cs="Arial"/>
          <w:b/>
          <w:color w:val="auto"/>
          <w:spacing w:val="8"/>
          <w:sz w:val="34"/>
          <w:szCs w:val="34"/>
        </w:rPr>
        <w:t>第九十七条</w:t>
      </w:r>
      <w:r>
        <w:rPr>
          <w:rFonts w:ascii="仿宋_GB2312" w:hAnsi="黑体" w:eastAsia="仿宋_GB2312" w:cs="Arial"/>
          <w:b/>
          <w:color w:val="auto"/>
          <w:spacing w:val="8"/>
          <w:sz w:val="34"/>
          <w:szCs w:val="34"/>
        </w:rPr>
        <w:t xml:space="preserve"> </w:t>
      </w:r>
      <w:r>
        <w:rPr>
          <w:rFonts w:hint="eastAsia" w:ascii="仿宋_GB2312" w:hAnsi="黑体" w:eastAsia="仿宋_GB2312" w:cs="Arial"/>
          <w:color w:val="auto"/>
          <w:spacing w:val="8"/>
          <w:sz w:val="34"/>
          <w:szCs w:val="34"/>
        </w:rPr>
        <w:t>项目部根据《项目隐患和违章处罚规定》，对承包商的隐患和违章行为进行处罚。</w:t>
      </w:r>
    </w:p>
    <w:p w14:paraId="28210B84">
      <w:pPr>
        <w:spacing w:line="600" w:lineRule="exact"/>
        <w:ind w:firstLine="715" w:firstLineChars="200"/>
        <w:rPr>
          <w:rFonts w:hint="eastAsia" w:ascii="仿宋_GB2312" w:hAnsi="宋体" w:eastAsia="仿宋_GB2312" w:cs="黑体"/>
          <w:bCs/>
          <w:color w:val="auto"/>
          <w:sz w:val="34"/>
          <w:szCs w:val="34"/>
        </w:rPr>
      </w:pPr>
      <w:r>
        <w:rPr>
          <w:rFonts w:hint="eastAsia" w:ascii="仿宋_GB2312" w:hAnsi="黑体" w:eastAsia="仿宋_GB2312" w:cs="Arial"/>
          <w:b/>
          <w:color w:val="auto"/>
          <w:spacing w:val="8"/>
          <w:sz w:val="34"/>
          <w:szCs w:val="34"/>
        </w:rPr>
        <w:t>第九十八条</w:t>
      </w:r>
      <w:r>
        <w:rPr>
          <w:rFonts w:hint="eastAsia" w:ascii="仿宋_GB2312" w:hAnsi="宋体" w:eastAsia="仿宋_GB2312" w:cs="黑体"/>
          <w:bCs/>
          <w:color w:val="auto"/>
          <w:sz w:val="34"/>
          <w:szCs w:val="34"/>
        </w:rPr>
        <w:t xml:space="preserve"> 项目部将处罚结果，以《工程建设项目承包商违章处罚单》的形式通知项目承包商。</w:t>
      </w:r>
    </w:p>
    <w:p w14:paraId="3CB6C3E6">
      <w:pPr>
        <w:spacing w:line="600" w:lineRule="exact"/>
        <w:ind w:firstLine="680" w:firstLineChars="200"/>
        <w:rPr>
          <w:rFonts w:hint="eastAsia" w:ascii="仿宋_GB2312" w:hAnsi="宋体" w:eastAsia="仿宋_GB2312" w:cs="黑体"/>
          <w:bCs/>
          <w:color w:val="auto"/>
          <w:sz w:val="34"/>
          <w:szCs w:val="34"/>
          <w:lang w:val="en-US" w:eastAsia="zh-CN"/>
        </w:rPr>
      </w:pPr>
      <w:r>
        <w:rPr>
          <w:rFonts w:hint="eastAsia" w:ascii="仿宋_GB2312" w:hAnsi="宋体" w:eastAsia="仿宋_GB2312" w:cs="黑体"/>
          <w:bCs/>
          <w:color w:val="auto"/>
          <w:sz w:val="34"/>
          <w:szCs w:val="34"/>
        </w:rPr>
        <w:t>《工程建设项目承包商违章处罚单》一式三联，</w:t>
      </w:r>
      <w:r>
        <w:rPr>
          <w:rFonts w:hint="eastAsia" w:ascii="仿宋_GB2312" w:hAnsi="宋体" w:eastAsia="仿宋_GB2312" w:cs="黑体"/>
          <w:bCs/>
          <w:color w:val="auto"/>
          <w:sz w:val="34"/>
          <w:szCs w:val="34"/>
          <w:lang w:val="en-US" w:eastAsia="zh-CN"/>
        </w:rPr>
        <w:t>第</w:t>
      </w:r>
      <w:r>
        <w:rPr>
          <w:rFonts w:hint="eastAsia" w:ascii="仿宋_GB2312" w:hAnsi="宋体" w:eastAsia="仿宋_GB2312" w:cs="黑体"/>
          <w:bCs/>
          <w:color w:val="auto"/>
          <w:sz w:val="34"/>
          <w:szCs w:val="34"/>
        </w:rPr>
        <w:t>一联交承包商；</w:t>
      </w:r>
      <w:r>
        <w:rPr>
          <w:rFonts w:hint="eastAsia" w:ascii="仿宋_GB2312" w:hAnsi="宋体" w:eastAsia="仿宋_GB2312" w:cs="黑体"/>
          <w:bCs/>
          <w:color w:val="auto"/>
          <w:sz w:val="34"/>
          <w:szCs w:val="34"/>
          <w:lang w:val="en-US" w:eastAsia="zh-CN"/>
        </w:rPr>
        <w:t>第二</w:t>
      </w:r>
      <w:r>
        <w:rPr>
          <w:rFonts w:hint="eastAsia" w:ascii="仿宋_GB2312" w:hAnsi="宋体" w:eastAsia="仿宋_GB2312" w:cs="黑体"/>
          <w:bCs/>
          <w:color w:val="auto"/>
          <w:sz w:val="34"/>
          <w:szCs w:val="34"/>
        </w:rPr>
        <w:t>联交财务部门；</w:t>
      </w:r>
      <w:r>
        <w:rPr>
          <w:rFonts w:hint="eastAsia" w:ascii="仿宋_GB2312" w:hAnsi="宋体" w:eastAsia="仿宋_GB2312" w:cs="黑体"/>
          <w:bCs/>
          <w:color w:val="auto"/>
          <w:sz w:val="34"/>
          <w:szCs w:val="34"/>
          <w:lang w:val="en-US" w:eastAsia="zh-CN"/>
        </w:rPr>
        <w:t>第三</w:t>
      </w:r>
      <w:r>
        <w:rPr>
          <w:rFonts w:hint="eastAsia" w:ascii="仿宋_GB2312" w:hAnsi="宋体" w:eastAsia="仿宋_GB2312" w:cs="黑体"/>
          <w:bCs/>
          <w:color w:val="auto"/>
          <w:sz w:val="34"/>
          <w:szCs w:val="34"/>
        </w:rPr>
        <w:t>联存根，由项目部保管。另拍照片交项目部和监理单位，存电子档备案。</w:t>
      </w:r>
    </w:p>
    <w:p w14:paraId="008831A8">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第九十九条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承包商经办人持财务部门联到财务部门缴纳罚款，财务部门开具收据后</w:t>
      </w:r>
      <w:r>
        <w:rPr>
          <w:rFonts w:ascii="仿宋_GB2312" w:hAnsi="宋体" w:eastAsia="仿宋_GB2312"/>
          <w:color w:val="auto"/>
          <w:sz w:val="34"/>
          <w:szCs w:val="34"/>
        </w:rPr>
        <w:t xml:space="preserve">, </w:t>
      </w:r>
      <w:r>
        <w:rPr>
          <w:rFonts w:hint="eastAsia" w:ascii="仿宋_GB2312" w:hAnsi="宋体" w:eastAsia="仿宋_GB2312"/>
          <w:color w:val="auto"/>
          <w:sz w:val="34"/>
          <w:szCs w:val="34"/>
        </w:rPr>
        <w:t>承包商经办人向项目部出示收据。</w:t>
      </w:r>
    </w:p>
    <w:p w14:paraId="2D78867E">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处罚细则：</w:t>
      </w:r>
    </w:p>
    <w:p w14:paraId="2229B6C5">
      <w:pPr>
        <w:spacing w:line="600" w:lineRule="exact"/>
        <w:ind w:firstLine="680" w:firstLineChars="200"/>
        <w:rPr>
          <w:rFonts w:ascii="楷体" w:hAnsi="楷体" w:eastAsia="楷体"/>
          <w:color w:val="auto"/>
          <w:sz w:val="34"/>
          <w:szCs w:val="34"/>
        </w:rPr>
      </w:pPr>
      <w:r>
        <w:rPr>
          <w:rFonts w:hint="eastAsia" w:ascii="楷体" w:hAnsi="楷体" w:eastAsia="楷体"/>
          <w:color w:val="auto"/>
          <w:sz w:val="34"/>
          <w:szCs w:val="34"/>
        </w:rPr>
        <w:t>（一）一般性违章，罚款</w:t>
      </w:r>
      <w:r>
        <w:rPr>
          <w:rFonts w:ascii="楷体" w:hAnsi="楷体" w:eastAsia="楷体"/>
          <w:color w:val="auto"/>
          <w:sz w:val="34"/>
          <w:szCs w:val="34"/>
        </w:rPr>
        <w:t>1000-2000</w:t>
      </w:r>
      <w:r>
        <w:rPr>
          <w:rFonts w:hint="eastAsia" w:ascii="楷体" w:hAnsi="楷体" w:eastAsia="楷体"/>
          <w:color w:val="auto"/>
          <w:sz w:val="34"/>
          <w:szCs w:val="34"/>
        </w:rPr>
        <w:t>元。</w:t>
      </w:r>
    </w:p>
    <w:p w14:paraId="52E71892">
      <w:pPr>
        <w:spacing w:line="600" w:lineRule="exact"/>
        <w:ind w:firstLine="680" w:firstLineChars="200"/>
        <w:rPr>
          <w:rFonts w:ascii="楷体" w:hAnsi="楷体" w:eastAsia="楷体"/>
          <w:color w:val="auto"/>
          <w:sz w:val="34"/>
          <w:szCs w:val="34"/>
        </w:rPr>
      </w:pPr>
      <w:r>
        <w:rPr>
          <w:rFonts w:ascii="仿宋_GB2312" w:hAnsi="宋体" w:eastAsia="仿宋_GB2312"/>
          <w:color w:val="auto"/>
          <w:sz w:val="34"/>
          <w:szCs w:val="34"/>
        </w:rPr>
        <w:t>1.</w:t>
      </w:r>
      <w:r>
        <w:rPr>
          <w:rFonts w:hint="eastAsia" w:ascii="仿宋_GB2312" w:hAnsi="宋体" w:eastAsia="仿宋_GB2312"/>
          <w:color w:val="auto"/>
          <w:sz w:val="34"/>
          <w:szCs w:val="34"/>
        </w:rPr>
        <w:t>在厂区范围内吸烟。</w:t>
      </w:r>
    </w:p>
    <w:p w14:paraId="32F99A82">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2.</w:t>
      </w:r>
      <w:r>
        <w:rPr>
          <w:rFonts w:hint="eastAsia" w:ascii="仿宋_GB2312" w:hAnsi="宋体" w:eastAsia="仿宋_GB2312"/>
          <w:color w:val="auto"/>
          <w:sz w:val="34"/>
          <w:szCs w:val="34"/>
        </w:rPr>
        <w:t>工作服穿戴不规范或穿戴带有索普标志的工作服、安全帽等（化建公司员工除外）。</w:t>
      </w:r>
    </w:p>
    <w:p w14:paraId="5C5E9AEF">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 xml:space="preserve">3. </w:t>
      </w:r>
      <w:r>
        <w:rPr>
          <w:rFonts w:hint="eastAsia" w:ascii="仿宋_GB2312" w:hAnsi="宋体" w:eastAsia="仿宋_GB2312"/>
          <w:color w:val="auto"/>
          <w:sz w:val="34"/>
          <w:szCs w:val="34"/>
        </w:rPr>
        <w:t>在无高空坠物，无吊装作业，无外来打击危险的平地上不戴安全帽。</w:t>
      </w:r>
    </w:p>
    <w:p w14:paraId="04411584">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4.</w:t>
      </w:r>
      <w:r>
        <w:rPr>
          <w:rFonts w:hint="eastAsia" w:ascii="仿宋_GB2312" w:hAnsi="宋体" w:eastAsia="仿宋_GB2312"/>
          <w:color w:val="auto"/>
          <w:sz w:val="34"/>
          <w:szCs w:val="34"/>
        </w:rPr>
        <w:t>携带到现场的设备、工具等未认真进行检查，存在安全隐患。</w:t>
      </w:r>
    </w:p>
    <w:p w14:paraId="50226E7A">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5.</w:t>
      </w:r>
      <w:r>
        <w:rPr>
          <w:rFonts w:hint="eastAsia" w:ascii="仿宋_GB2312" w:hAnsi="宋体" w:eastAsia="仿宋_GB2312"/>
          <w:color w:val="auto"/>
          <w:sz w:val="34"/>
          <w:szCs w:val="34"/>
        </w:rPr>
        <w:t>动火作业现场，未配备灭火器材。</w:t>
      </w:r>
    </w:p>
    <w:p w14:paraId="689CD3B4">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6.</w:t>
      </w:r>
      <w:r>
        <w:rPr>
          <w:rFonts w:hint="eastAsia" w:ascii="仿宋_GB2312" w:hAnsi="宋体" w:eastAsia="仿宋_GB2312"/>
          <w:color w:val="auto"/>
          <w:sz w:val="34"/>
          <w:szCs w:val="34"/>
        </w:rPr>
        <w:t>动火作业时，周边有可燃物，但未进行有效遮挡。</w:t>
      </w:r>
    </w:p>
    <w:p w14:paraId="6FB84F66">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7.</w:t>
      </w:r>
      <w:r>
        <w:rPr>
          <w:rFonts w:hint="eastAsia" w:ascii="仿宋_GB2312" w:hAnsi="宋体" w:eastAsia="仿宋_GB2312"/>
          <w:color w:val="auto"/>
          <w:sz w:val="34"/>
          <w:szCs w:val="34"/>
        </w:rPr>
        <w:t>吊装作业未拉警戒绳。</w:t>
      </w:r>
    </w:p>
    <w:p w14:paraId="73F66EEE">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8.</w:t>
      </w:r>
      <w:r>
        <w:rPr>
          <w:rFonts w:hint="eastAsia" w:ascii="仿宋_GB2312" w:hAnsi="宋体" w:eastAsia="仿宋_GB2312"/>
          <w:color w:val="auto"/>
          <w:sz w:val="34"/>
          <w:szCs w:val="34"/>
        </w:rPr>
        <w:t>动火作业用的气瓶不符合规范要求，或未按规定要求进行摆放的；夏季高温时段，气瓶未进行有效遮挡。</w:t>
      </w:r>
    </w:p>
    <w:p w14:paraId="4EF3A76F">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9.</w:t>
      </w:r>
      <w:r>
        <w:rPr>
          <w:rFonts w:hint="eastAsia" w:ascii="仿宋_GB2312" w:hAnsi="宋体" w:eastAsia="仿宋_GB2312"/>
          <w:color w:val="auto"/>
          <w:sz w:val="34"/>
          <w:szCs w:val="34"/>
        </w:rPr>
        <w:t>进行</w:t>
      </w:r>
      <w:r>
        <w:rPr>
          <w:rFonts w:ascii="仿宋_GB2312" w:hAnsi="宋体" w:eastAsia="仿宋_GB2312"/>
          <w:color w:val="auto"/>
          <w:sz w:val="34"/>
          <w:szCs w:val="34"/>
        </w:rPr>
        <w:t>2-3</w:t>
      </w:r>
      <w:r>
        <w:rPr>
          <w:rFonts w:hint="eastAsia" w:ascii="仿宋_GB2312" w:hAnsi="宋体" w:eastAsia="仿宋_GB2312"/>
          <w:color w:val="auto"/>
          <w:sz w:val="34"/>
          <w:szCs w:val="34"/>
        </w:rPr>
        <w:t>米高处作业，不系安全带。</w:t>
      </w:r>
    </w:p>
    <w:p w14:paraId="5C2DAD42">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10.</w:t>
      </w:r>
      <w:r>
        <w:rPr>
          <w:rFonts w:hint="eastAsia" w:ascii="仿宋_GB2312" w:hAnsi="宋体" w:eastAsia="仿宋_GB2312"/>
          <w:color w:val="auto"/>
          <w:sz w:val="34"/>
          <w:szCs w:val="34"/>
        </w:rPr>
        <w:t>临时用电箱未经公司相关部门检查；箱内检查表过期；临时用电箱未有效接地。</w:t>
      </w:r>
    </w:p>
    <w:p w14:paraId="3E034E6B">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11.</w:t>
      </w:r>
      <w:r>
        <w:rPr>
          <w:rFonts w:hint="eastAsia" w:ascii="仿宋_GB2312" w:hAnsi="宋体" w:eastAsia="仿宋_GB2312"/>
          <w:color w:val="auto"/>
          <w:sz w:val="34"/>
          <w:szCs w:val="34"/>
        </w:rPr>
        <w:t>一般危险作业（如二级动火作业、一级高处作业），现场监护人离开现场，作业未停止。</w:t>
      </w:r>
    </w:p>
    <w:p w14:paraId="3CE980C9">
      <w:pPr>
        <w:spacing w:line="600" w:lineRule="exact"/>
        <w:ind w:firstLine="680" w:firstLineChars="200"/>
        <w:rPr>
          <w:rFonts w:ascii="楷体" w:hAnsi="楷体" w:eastAsia="楷体"/>
          <w:color w:val="auto"/>
          <w:sz w:val="34"/>
          <w:szCs w:val="34"/>
        </w:rPr>
      </w:pPr>
      <w:r>
        <w:rPr>
          <w:rFonts w:hint="eastAsia" w:ascii="楷体" w:hAnsi="楷体" w:eastAsia="楷体"/>
          <w:color w:val="auto"/>
          <w:sz w:val="34"/>
          <w:szCs w:val="34"/>
        </w:rPr>
        <w:t>（二）可能造成人员受伤，甚至重伤的，</w:t>
      </w:r>
      <w:r>
        <w:rPr>
          <w:rFonts w:ascii="楷体" w:hAnsi="楷体" w:eastAsia="楷体"/>
          <w:color w:val="auto"/>
          <w:sz w:val="34"/>
          <w:szCs w:val="34"/>
        </w:rPr>
        <w:t>2000-10000</w:t>
      </w:r>
      <w:r>
        <w:rPr>
          <w:rFonts w:hint="eastAsia" w:ascii="楷体" w:hAnsi="楷体" w:eastAsia="楷体"/>
          <w:color w:val="auto"/>
          <w:sz w:val="34"/>
          <w:szCs w:val="34"/>
        </w:rPr>
        <w:t>元。</w:t>
      </w:r>
    </w:p>
    <w:p w14:paraId="4E57C733">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w:t>
      </w:r>
      <w:r>
        <w:rPr>
          <w:rFonts w:hint="eastAsia" w:ascii="仿宋_GB2312" w:hAnsi="宋体" w:eastAsia="仿宋_GB2312"/>
          <w:color w:val="auto"/>
          <w:sz w:val="34"/>
          <w:szCs w:val="34"/>
        </w:rPr>
        <w:t>人员未经安全教育合格进行施工作业。</w:t>
      </w:r>
    </w:p>
    <w:p w14:paraId="570A8665">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2.</w:t>
      </w:r>
      <w:r>
        <w:rPr>
          <w:rFonts w:hint="eastAsia" w:ascii="仿宋_GB2312" w:hAnsi="宋体" w:eastAsia="仿宋_GB2312"/>
          <w:color w:val="auto"/>
          <w:sz w:val="34"/>
          <w:szCs w:val="34"/>
        </w:rPr>
        <w:t>未按规定编制、审核、上报工程施工安全方案。</w:t>
      </w:r>
    </w:p>
    <w:p w14:paraId="68E812B1">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3.</w:t>
      </w:r>
      <w:r>
        <w:rPr>
          <w:rFonts w:hint="eastAsia" w:ascii="仿宋_GB2312" w:hAnsi="宋体" w:eastAsia="仿宋_GB2312"/>
          <w:color w:val="auto"/>
          <w:sz w:val="34"/>
          <w:szCs w:val="34"/>
        </w:rPr>
        <w:t>编制安全方案时，重要危险因素未能识别。</w:t>
      </w:r>
    </w:p>
    <w:p w14:paraId="2ADD614D">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4.</w:t>
      </w:r>
      <w:r>
        <w:rPr>
          <w:rFonts w:hint="eastAsia" w:ascii="仿宋_GB2312" w:hAnsi="宋体" w:eastAsia="仿宋_GB2312"/>
          <w:color w:val="auto"/>
          <w:sz w:val="34"/>
          <w:szCs w:val="34"/>
        </w:rPr>
        <w:t>未办危险作业证进行施工作业。</w:t>
      </w:r>
    </w:p>
    <w:p w14:paraId="3A48078F">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5.</w:t>
      </w:r>
      <w:r>
        <w:rPr>
          <w:rFonts w:hint="eastAsia" w:ascii="仿宋_GB2312" w:hAnsi="宋体" w:eastAsia="仿宋_GB2312"/>
          <w:color w:val="auto"/>
          <w:sz w:val="34"/>
          <w:szCs w:val="34"/>
        </w:rPr>
        <w:t>降低危险作业等级。</w:t>
      </w:r>
    </w:p>
    <w:p w14:paraId="1C01BE9A">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6.</w:t>
      </w:r>
      <w:r>
        <w:rPr>
          <w:rFonts w:hint="eastAsia" w:ascii="仿宋_GB2312" w:hAnsi="宋体" w:eastAsia="仿宋_GB2312"/>
          <w:color w:val="auto"/>
          <w:sz w:val="34"/>
          <w:szCs w:val="34"/>
        </w:rPr>
        <w:t>未持有效证件进行特种作业施工。</w:t>
      </w:r>
    </w:p>
    <w:p w14:paraId="3A795185">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7.</w:t>
      </w:r>
      <w:r>
        <w:rPr>
          <w:rFonts w:hint="eastAsia" w:ascii="仿宋_GB2312" w:hAnsi="宋体" w:eastAsia="仿宋_GB2312"/>
          <w:color w:val="auto"/>
          <w:sz w:val="34"/>
          <w:szCs w:val="34"/>
        </w:rPr>
        <w:t>未经岗位许可，擅自进入危险区域。</w:t>
      </w:r>
    </w:p>
    <w:p w14:paraId="1695F865">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8.</w:t>
      </w:r>
      <w:r>
        <w:rPr>
          <w:rFonts w:hint="eastAsia" w:ascii="仿宋_GB2312" w:hAnsi="宋体" w:eastAsia="仿宋_GB2312"/>
          <w:color w:val="auto"/>
          <w:sz w:val="34"/>
          <w:szCs w:val="34"/>
        </w:rPr>
        <w:t>未经岗位许可，擅自动用现场设备的开关、阀门、按钮。</w:t>
      </w:r>
    </w:p>
    <w:p w14:paraId="56F5D2D2">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9.</w:t>
      </w:r>
      <w:r>
        <w:rPr>
          <w:rFonts w:hint="eastAsia" w:ascii="仿宋_GB2312" w:hAnsi="宋体" w:eastAsia="仿宋_GB2312"/>
          <w:color w:val="auto"/>
          <w:sz w:val="34"/>
          <w:szCs w:val="34"/>
        </w:rPr>
        <w:t>动火作业和油漆防腐作业存在交叉作业，但未做有效遮挡。</w:t>
      </w:r>
    </w:p>
    <w:p w14:paraId="6ED07E00">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10.</w:t>
      </w:r>
      <w:r>
        <w:rPr>
          <w:rFonts w:hint="eastAsia" w:ascii="仿宋_GB2312" w:hAnsi="宋体" w:eastAsia="仿宋_GB2312"/>
          <w:color w:val="auto"/>
          <w:sz w:val="34"/>
          <w:szCs w:val="34"/>
        </w:rPr>
        <w:t>在有重物坠落可能场所作业，未戴安全帽。</w:t>
      </w:r>
    </w:p>
    <w:p w14:paraId="0F9F9747">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11.</w:t>
      </w:r>
      <w:r>
        <w:rPr>
          <w:rFonts w:hint="eastAsia" w:ascii="仿宋_GB2312" w:hAnsi="宋体" w:eastAsia="仿宋_GB2312"/>
          <w:color w:val="auto"/>
          <w:sz w:val="34"/>
          <w:szCs w:val="34"/>
        </w:rPr>
        <w:t>进行高处作业，未戴安全帽。</w:t>
      </w:r>
    </w:p>
    <w:p w14:paraId="225A311D">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12.</w:t>
      </w:r>
      <w:r>
        <w:rPr>
          <w:rFonts w:hint="eastAsia" w:ascii="仿宋_GB2312" w:hAnsi="宋体" w:eastAsia="仿宋_GB2312"/>
          <w:color w:val="auto"/>
          <w:sz w:val="34"/>
          <w:szCs w:val="34"/>
        </w:rPr>
        <w:t>进行</w:t>
      </w:r>
      <w:r>
        <w:rPr>
          <w:rFonts w:ascii="仿宋_GB2312" w:hAnsi="宋体" w:eastAsia="仿宋_GB2312"/>
          <w:color w:val="auto"/>
          <w:sz w:val="34"/>
          <w:szCs w:val="34"/>
        </w:rPr>
        <w:t>3-10</w:t>
      </w:r>
      <w:r>
        <w:rPr>
          <w:rFonts w:hint="eastAsia" w:ascii="仿宋_GB2312" w:hAnsi="宋体" w:eastAsia="仿宋_GB2312"/>
          <w:color w:val="auto"/>
          <w:sz w:val="34"/>
          <w:szCs w:val="34"/>
        </w:rPr>
        <w:t>米高处作业，不系安全带。</w:t>
      </w:r>
    </w:p>
    <w:p w14:paraId="6D15A2E6">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13.</w:t>
      </w:r>
      <w:r>
        <w:rPr>
          <w:rFonts w:hint="eastAsia" w:ascii="仿宋_GB2312" w:hAnsi="宋体" w:eastAsia="仿宋_GB2312"/>
          <w:color w:val="auto"/>
          <w:sz w:val="34"/>
          <w:szCs w:val="34"/>
        </w:rPr>
        <w:t>高处作业过程中，手持工具或材料进行攀爬。</w:t>
      </w:r>
    </w:p>
    <w:p w14:paraId="1AC2FCA4">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14.</w:t>
      </w:r>
      <w:r>
        <w:rPr>
          <w:rFonts w:hint="eastAsia" w:ascii="仿宋_GB2312" w:hAnsi="宋体" w:eastAsia="仿宋_GB2312"/>
          <w:color w:val="auto"/>
          <w:sz w:val="34"/>
          <w:szCs w:val="34"/>
        </w:rPr>
        <w:t>吊装过程中，吊装重物脱落。</w:t>
      </w:r>
    </w:p>
    <w:p w14:paraId="0767FD31">
      <w:pPr>
        <w:spacing w:line="600" w:lineRule="exact"/>
        <w:ind w:firstLine="680" w:firstLineChars="200"/>
        <w:rPr>
          <w:rFonts w:ascii="仿宋_GB2312" w:eastAsia="仿宋_GB2312" w:cs="仿宋_GB2312"/>
          <w:color w:val="auto"/>
          <w:sz w:val="34"/>
          <w:szCs w:val="34"/>
        </w:rPr>
      </w:pPr>
      <w:r>
        <w:rPr>
          <w:rFonts w:ascii="仿宋_GB2312" w:hAnsi="宋体" w:eastAsia="仿宋_GB2312"/>
          <w:color w:val="auto"/>
          <w:sz w:val="34"/>
          <w:szCs w:val="34"/>
        </w:rPr>
        <w:t>15.</w:t>
      </w:r>
      <w:r>
        <w:rPr>
          <w:rFonts w:hint="eastAsia" w:ascii="仿宋_GB2312" w:hAnsi="宋体" w:eastAsia="仿宋_GB2312"/>
          <w:color w:val="auto"/>
          <w:sz w:val="34"/>
          <w:szCs w:val="34"/>
        </w:rPr>
        <w:t>临时用电作业的电</w:t>
      </w:r>
      <w:r>
        <w:rPr>
          <w:rFonts w:hint="eastAsia" w:ascii="仿宋_GB2312" w:hAnsi="宋体" w:eastAsia="仿宋_GB2312" w:cs="仿宋_GB2312"/>
          <w:color w:val="auto"/>
          <w:sz w:val="34"/>
          <w:szCs w:val="34"/>
        </w:rPr>
        <w:t>缆淹没在水中或淤积的导电液体中，存在触电可能。</w:t>
      </w:r>
    </w:p>
    <w:p w14:paraId="009894A4">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16.</w:t>
      </w:r>
      <w:r>
        <w:rPr>
          <w:rFonts w:hint="eastAsia" w:ascii="仿宋_GB2312" w:hAnsi="宋体" w:eastAsia="仿宋_GB2312"/>
          <w:color w:val="auto"/>
          <w:sz w:val="34"/>
          <w:szCs w:val="34"/>
        </w:rPr>
        <w:t>存在较高危险的作业，现场监护人离开现场，作业未停止。</w:t>
      </w:r>
    </w:p>
    <w:p w14:paraId="5E3D26B0">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17.</w:t>
      </w:r>
      <w:r>
        <w:rPr>
          <w:rFonts w:hint="eastAsia" w:ascii="仿宋_GB2312" w:hAnsi="宋体" w:eastAsia="仿宋_GB2312"/>
          <w:color w:val="auto"/>
          <w:sz w:val="34"/>
          <w:szCs w:val="34"/>
        </w:rPr>
        <w:t>“四口”、“五临边”安全防护措施不到位。</w:t>
      </w:r>
    </w:p>
    <w:p w14:paraId="6F407E38">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18.</w:t>
      </w:r>
      <w:r>
        <w:rPr>
          <w:rFonts w:hint="eastAsia" w:ascii="仿宋_GB2312" w:hAnsi="宋体" w:eastAsia="仿宋_GB2312"/>
          <w:color w:val="auto"/>
          <w:sz w:val="34"/>
          <w:szCs w:val="34"/>
        </w:rPr>
        <w:t>项目承包商安全管理人员未按规定进行巡查。</w:t>
      </w:r>
    </w:p>
    <w:p w14:paraId="78608795">
      <w:pPr>
        <w:spacing w:line="600" w:lineRule="exact"/>
        <w:ind w:firstLine="680" w:firstLineChars="200"/>
        <w:rPr>
          <w:rFonts w:ascii="楷体" w:hAnsi="楷体" w:eastAsia="楷体"/>
          <w:color w:val="auto"/>
          <w:sz w:val="34"/>
          <w:szCs w:val="34"/>
        </w:rPr>
      </w:pPr>
      <w:r>
        <w:rPr>
          <w:rFonts w:hint="eastAsia" w:ascii="楷体" w:hAnsi="楷体" w:eastAsia="楷体"/>
          <w:color w:val="auto"/>
          <w:sz w:val="34"/>
          <w:szCs w:val="34"/>
        </w:rPr>
        <w:t>（三）可能造成人员重伤或死亡的，</w:t>
      </w:r>
      <w:r>
        <w:rPr>
          <w:rFonts w:ascii="楷体" w:hAnsi="楷体" w:eastAsia="楷体"/>
          <w:color w:val="auto"/>
          <w:sz w:val="34"/>
          <w:szCs w:val="34"/>
        </w:rPr>
        <w:t>10000</w:t>
      </w:r>
      <w:r>
        <w:rPr>
          <w:rFonts w:hint="eastAsia" w:ascii="楷体" w:hAnsi="楷体" w:eastAsia="楷体"/>
          <w:color w:val="auto"/>
          <w:sz w:val="34"/>
          <w:szCs w:val="34"/>
        </w:rPr>
        <w:t>元以上。</w:t>
      </w:r>
    </w:p>
    <w:p w14:paraId="702D0EF4">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1.</w:t>
      </w:r>
      <w:r>
        <w:rPr>
          <w:rFonts w:hint="eastAsia" w:ascii="仿宋_GB2312" w:hAnsi="宋体" w:eastAsia="仿宋_GB2312"/>
          <w:color w:val="auto"/>
          <w:sz w:val="34"/>
          <w:szCs w:val="34"/>
        </w:rPr>
        <w:t>重要安全措施未采取或未到位。</w:t>
      </w:r>
    </w:p>
    <w:p w14:paraId="1D3E73D9">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2.</w:t>
      </w:r>
      <w:r>
        <w:rPr>
          <w:rFonts w:hint="eastAsia" w:ascii="仿宋_GB2312" w:hAnsi="宋体" w:eastAsia="仿宋_GB2312"/>
          <w:color w:val="auto"/>
          <w:sz w:val="34"/>
          <w:szCs w:val="34"/>
        </w:rPr>
        <w:t>进行</w:t>
      </w:r>
      <w:r>
        <w:rPr>
          <w:rFonts w:ascii="仿宋_GB2312" w:hAnsi="宋体" w:eastAsia="仿宋_GB2312"/>
          <w:color w:val="auto"/>
          <w:sz w:val="34"/>
          <w:szCs w:val="34"/>
        </w:rPr>
        <w:t>10</w:t>
      </w:r>
      <w:r>
        <w:rPr>
          <w:rFonts w:hint="eastAsia" w:ascii="仿宋_GB2312" w:hAnsi="宋体" w:eastAsia="仿宋_GB2312"/>
          <w:color w:val="auto"/>
          <w:sz w:val="34"/>
          <w:szCs w:val="34"/>
        </w:rPr>
        <w:t>米以上高处作业，未戴安全帽。</w:t>
      </w:r>
    </w:p>
    <w:p w14:paraId="139B8A29">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3.</w:t>
      </w:r>
      <w:r>
        <w:rPr>
          <w:rFonts w:hint="eastAsia" w:ascii="仿宋_GB2312" w:hAnsi="宋体" w:eastAsia="仿宋_GB2312"/>
          <w:color w:val="auto"/>
          <w:sz w:val="34"/>
          <w:szCs w:val="34"/>
        </w:rPr>
        <w:t>受限空间作业，未按规定的频次要求进行氧含量分析，作业人员有窒息可能。</w:t>
      </w:r>
    </w:p>
    <w:p w14:paraId="463C333C">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4.</w:t>
      </w:r>
      <w:r>
        <w:rPr>
          <w:rFonts w:hint="eastAsia" w:ascii="仿宋_GB2312" w:hAnsi="宋体" w:eastAsia="仿宋_GB2312"/>
          <w:color w:val="auto"/>
          <w:sz w:val="34"/>
          <w:szCs w:val="34"/>
        </w:rPr>
        <w:t>受限空间作业，现场监护人离开现场，作业未停止。</w:t>
      </w:r>
    </w:p>
    <w:p w14:paraId="3CAA30F2">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5.</w:t>
      </w:r>
      <w:r>
        <w:rPr>
          <w:rFonts w:hint="eastAsia" w:ascii="仿宋_GB2312" w:hAnsi="宋体" w:eastAsia="仿宋_GB2312"/>
          <w:color w:val="auto"/>
          <w:sz w:val="34"/>
          <w:szCs w:val="34"/>
        </w:rPr>
        <w:t>吊装作业过程中，吊装重物对设备、管道、桥架造成损害，或吊臂造成高压线拉弧，导致失电。</w:t>
      </w:r>
    </w:p>
    <w:p w14:paraId="5505099B">
      <w:pPr>
        <w:spacing w:line="600" w:lineRule="exact"/>
        <w:ind w:firstLine="680" w:firstLineChars="200"/>
        <w:rPr>
          <w:rFonts w:ascii="仿宋_GB2312" w:eastAsia="仿宋_GB2312"/>
          <w:color w:val="auto"/>
          <w:sz w:val="34"/>
          <w:szCs w:val="34"/>
        </w:rPr>
      </w:pPr>
      <w:r>
        <w:rPr>
          <w:rFonts w:ascii="仿宋_GB2312" w:hAnsi="宋体" w:eastAsia="仿宋_GB2312"/>
          <w:color w:val="auto"/>
          <w:sz w:val="34"/>
          <w:szCs w:val="34"/>
        </w:rPr>
        <w:t>6.</w:t>
      </w:r>
      <w:r>
        <w:rPr>
          <w:rFonts w:hint="eastAsia" w:ascii="仿宋_GB2312" w:hAnsi="宋体" w:eastAsia="仿宋_GB2312"/>
          <w:color w:val="auto"/>
          <w:sz w:val="34"/>
          <w:szCs w:val="34"/>
        </w:rPr>
        <w:t>现场周边装置发生事故，监护人员未能及时通知作业人员撤离逃生，导致人员受到伤害。</w:t>
      </w:r>
    </w:p>
    <w:p w14:paraId="6CEC9589">
      <w:pPr>
        <w:spacing w:line="600" w:lineRule="exact"/>
        <w:ind w:firstLine="680" w:firstLineChars="200"/>
        <w:rPr>
          <w:rFonts w:ascii="楷体" w:hAnsi="楷体" w:eastAsia="楷体"/>
          <w:color w:val="auto"/>
          <w:sz w:val="34"/>
          <w:szCs w:val="34"/>
        </w:rPr>
      </w:pPr>
      <w:r>
        <w:rPr>
          <w:rFonts w:hint="eastAsia" w:ascii="楷体" w:hAnsi="楷体" w:eastAsia="楷体"/>
          <w:color w:val="auto"/>
          <w:sz w:val="34"/>
          <w:szCs w:val="34"/>
        </w:rPr>
        <w:t>（四）其它</w:t>
      </w:r>
    </w:p>
    <w:p w14:paraId="2ADD602E">
      <w:pPr>
        <w:spacing w:line="600" w:lineRule="exact"/>
        <w:ind w:firstLine="680" w:firstLineChars="200"/>
        <w:rPr>
          <w:rFonts w:ascii="仿宋_GB2312" w:hAnsi="宋体" w:eastAsia="仿宋_GB2312"/>
          <w:color w:val="auto"/>
          <w:sz w:val="34"/>
          <w:szCs w:val="34"/>
        </w:rPr>
      </w:pPr>
      <w:r>
        <w:rPr>
          <w:rFonts w:ascii="仿宋_GB2312" w:hAnsi="宋体" w:eastAsia="仿宋_GB2312"/>
          <w:color w:val="auto"/>
          <w:sz w:val="34"/>
          <w:szCs w:val="34"/>
        </w:rPr>
        <w:t>1.</w:t>
      </w:r>
      <w:r>
        <w:rPr>
          <w:rFonts w:hint="eastAsia" w:ascii="仿宋_GB2312" w:hAnsi="宋体" w:eastAsia="仿宋_GB2312"/>
          <w:color w:val="auto"/>
          <w:sz w:val="34"/>
          <w:szCs w:val="34"/>
        </w:rPr>
        <w:t>以上条款重复发生的，加倍处罚。</w:t>
      </w:r>
    </w:p>
    <w:p w14:paraId="560BE07E">
      <w:pPr>
        <w:spacing w:line="600" w:lineRule="exact"/>
        <w:ind w:firstLine="680" w:firstLineChars="200"/>
        <w:rPr>
          <w:rFonts w:ascii="仿宋_GB2312" w:hAnsi="宋体" w:eastAsia="仿宋_GB2312"/>
          <w:color w:val="auto"/>
          <w:sz w:val="34"/>
          <w:szCs w:val="34"/>
        </w:rPr>
      </w:pPr>
      <w:r>
        <w:rPr>
          <w:rFonts w:ascii="仿宋_GB2312" w:hAnsi="宋体" w:eastAsia="仿宋_GB2312"/>
          <w:color w:val="auto"/>
          <w:sz w:val="34"/>
          <w:szCs w:val="34"/>
        </w:rPr>
        <w:t>2.</w:t>
      </w:r>
      <w:r>
        <w:rPr>
          <w:rFonts w:hint="eastAsia" w:ascii="仿宋_GB2312" w:hAnsi="宋体" w:eastAsia="仿宋_GB2312"/>
          <w:color w:val="auto"/>
          <w:sz w:val="34"/>
          <w:szCs w:val="34"/>
        </w:rPr>
        <w:t>未能列举的安全事项，根据其危险程度及有可能产生的后果，参照以上条款执行。</w:t>
      </w:r>
    </w:p>
    <w:p w14:paraId="0EFF452D">
      <w:pPr>
        <w:spacing w:line="600" w:lineRule="exact"/>
        <w:ind w:firstLine="680" w:firstLineChars="200"/>
        <w:rPr>
          <w:rFonts w:ascii="仿宋_GB2312" w:hAnsi="宋体" w:eastAsia="仿宋_GB2312"/>
          <w:color w:val="auto"/>
          <w:sz w:val="34"/>
          <w:szCs w:val="34"/>
        </w:rPr>
      </w:pPr>
      <w:r>
        <w:rPr>
          <w:rFonts w:ascii="仿宋_GB2312" w:hAnsi="宋体" w:eastAsia="仿宋_GB2312"/>
          <w:color w:val="auto"/>
          <w:sz w:val="34"/>
          <w:szCs w:val="34"/>
        </w:rPr>
        <w:t>3.</w:t>
      </w:r>
      <w:r>
        <w:rPr>
          <w:rFonts w:hint="eastAsia" w:ascii="仿宋_GB2312" w:hAnsi="宋体" w:eastAsia="仿宋_GB2312"/>
          <w:color w:val="auto"/>
          <w:sz w:val="34"/>
          <w:szCs w:val="34"/>
        </w:rPr>
        <w:t>违章作业导致死亡事故发生的，风险抵押金全部扣除。同时，依据相关部门事故认定，承担相应责任。</w:t>
      </w:r>
    </w:p>
    <w:p w14:paraId="1CDC8AB2">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第一百零一条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承包商拒不执行，项目部将采取以下强制措施：</w:t>
      </w:r>
    </w:p>
    <w:p w14:paraId="093ED099">
      <w:pPr>
        <w:spacing w:line="600" w:lineRule="exact"/>
        <w:ind w:firstLine="680" w:firstLineChars="200"/>
        <w:rPr>
          <w:rFonts w:ascii="仿宋_GB2312" w:eastAsia="仿宋_GB2312"/>
          <w:color w:val="auto"/>
          <w:sz w:val="34"/>
          <w:szCs w:val="34"/>
        </w:rPr>
      </w:pPr>
      <w:r>
        <w:rPr>
          <w:rFonts w:hint="eastAsia" w:ascii="仿宋_GB2312" w:hAnsi="楷体" w:eastAsia="仿宋_GB2312" w:cs="仿宋_GB2312"/>
          <w:color w:val="auto"/>
          <w:kern w:val="0"/>
          <w:sz w:val="34"/>
          <w:szCs w:val="34"/>
        </w:rPr>
        <w:t>（一）</w:t>
      </w:r>
      <w:r>
        <w:rPr>
          <w:rFonts w:hint="eastAsia" w:ascii="仿宋_GB2312" w:hAnsi="宋体" w:eastAsia="仿宋_GB2312"/>
          <w:color w:val="auto"/>
          <w:sz w:val="34"/>
          <w:szCs w:val="34"/>
        </w:rPr>
        <w:t>所罚款项从</w:t>
      </w:r>
      <w:r>
        <w:rPr>
          <w:rFonts w:hint="eastAsia" w:ascii="仿宋_GB2312" w:hAnsi="宋体" w:eastAsia="仿宋_GB2312"/>
          <w:color w:val="auto"/>
          <w:sz w:val="34"/>
          <w:szCs w:val="34"/>
          <w:lang w:val="en-US" w:eastAsia="zh-CN"/>
        </w:rPr>
        <w:t>安全保证</w:t>
      </w:r>
      <w:r>
        <w:rPr>
          <w:rFonts w:hint="eastAsia" w:ascii="仿宋_GB2312" w:hAnsi="宋体" w:eastAsia="仿宋_GB2312"/>
          <w:color w:val="auto"/>
          <w:sz w:val="34"/>
          <w:szCs w:val="34"/>
        </w:rPr>
        <w:t>金中扣除。</w:t>
      </w:r>
    </w:p>
    <w:p w14:paraId="5A0C04A2">
      <w:pPr>
        <w:spacing w:line="600" w:lineRule="exact"/>
        <w:ind w:firstLine="680" w:firstLineChars="200"/>
        <w:rPr>
          <w:rFonts w:ascii="仿宋_GB2312" w:eastAsia="仿宋_GB2312"/>
          <w:color w:val="auto"/>
          <w:sz w:val="34"/>
          <w:szCs w:val="34"/>
        </w:rPr>
      </w:pPr>
      <w:r>
        <w:rPr>
          <w:rFonts w:hint="eastAsia" w:ascii="仿宋_GB2312" w:hAnsi="楷体" w:eastAsia="仿宋_GB2312" w:cs="仿宋_GB2312"/>
          <w:color w:val="auto"/>
          <w:kern w:val="0"/>
          <w:sz w:val="34"/>
          <w:szCs w:val="34"/>
        </w:rPr>
        <w:t>（二）</w:t>
      </w:r>
      <w:r>
        <w:rPr>
          <w:rFonts w:hint="eastAsia" w:ascii="仿宋_GB2312" w:hAnsi="宋体" w:eastAsia="仿宋_GB2312"/>
          <w:color w:val="auto"/>
          <w:sz w:val="34"/>
          <w:szCs w:val="34"/>
        </w:rPr>
        <w:t>停止现场施工，停止对施工人员安全教育。</w:t>
      </w:r>
    </w:p>
    <w:p w14:paraId="03987EC8">
      <w:pPr>
        <w:spacing w:line="600" w:lineRule="exact"/>
        <w:ind w:firstLine="680" w:firstLineChars="200"/>
        <w:rPr>
          <w:rFonts w:ascii="仿宋_GB2312" w:eastAsia="仿宋_GB2312"/>
          <w:color w:val="auto"/>
          <w:sz w:val="34"/>
          <w:szCs w:val="34"/>
        </w:rPr>
      </w:pPr>
      <w:r>
        <w:rPr>
          <w:rFonts w:hint="eastAsia" w:ascii="仿宋_GB2312" w:hAnsi="楷体" w:eastAsia="仿宋_GB2312" w:cs="仿宋_GB2312"/>
          <w:color w:val="auto"/>
          <w:kern w:val="0"/>
          <w:sz w:val="34"/>
          <w:szCs w:val="34"/>
        </w:rPr>
        <w:t>（三）</w:t>
      </w:r>
      <w:r>
        <w:rPr>
          <w:rFonts w:hint="eastAsia" w:ascii="仿宋_GB2312" w:hAnsi="宋体" w:eastAsia="仿宋_GB2312"/>
          <w:color w:val="auto"/>
          <w:sz w:val="34"/>
          <w:szCs w:val="34"/>
        </w:rPr>
        <w:t>停止拔放工程进度款。</w:t>
      </w:r>
    </w:p>
    <w:p w14:paraId="1C0775AD">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第一百零二条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承包商违章情况，与项目负责人、安全管理人员挂钩。具体为：</w:t>
      </w:r>
    </w:p>
    <w:p w14:paraId="4A530DFD">
      <w:pPr>
        <w:spacing w:line="600" w:lineRule="exact"/>
        <w:ind w:firstLine="680" w:firstLineChars="200"/>
        <w:rPr>
          <w:rFonts w:ascii="楷体" w:hAnsi="楷体" w:eastAsia="楷体"/>
          <w:color w:val="auto"/>
          <w:sz w:val="34"/>
          <w:szCs w:val="34"/>
        </w:rPr>
      </w:pPr>
      <w:r>
        <w:rPr>
          <w:rFonts w:hint="eastAsia" w:ascii="楷体" w:hAnsi="楷体" w:eastAsia="楷体" w:cs="仿宋_GB2312"/>
          <w:color w:val="auto"/>
          <w:kern w:val="0"/>
          <w:sz w:val="34"/>
          <w:szCs w:val="34"/>
        </w:rPr>
        <w:t>（一）</w:t>
      </w:r>
      <w:r>
        <w:rPr>
          <w:rFonts w:hint="eastAsia" w:ascii="楷体" w:hAnsi="楷体" w:eastAsia="楷体"/>
          <w:color w:val="auto"/>
          <w:sz w:val="34"/>
          <w:szCs w:val="34"/>
        </w:rPr>
        <w:t>施工人员在</w:t>
      </w:r>
      <w:r>
        <w:rPr>
          <w:rFonts w:ascii="楷体" w:hAnsi="楷体" w:eastAsia="楷体"/>
          <w:color w:val="auto"/>
          <w:sz w:val="34"/>
          <w:szCs w:val="34"/>
        </w:rPr>
        <w:t>20</w:t>
      </w:r>
      <w:r>
        <w:rPr>
          <w:rFonts w:hint="eastAsia" w:ascii="楷体" w:hAnsi="楷体" w:eastAsia="楷体"/>
          <w:color w:val="auto"/>
          <w:sz w:val="34"/>
          <w:szCs w:val="34"/>
        </w:rPr>
        <w:t>人以下，工程项目管理难度不大的：</w:t>
      </w:r>
    </w:p>
    <w:p w14:paraId="68045B05">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1-2</w:t>
      </w:r>
      <w:r>
        <w:rPr>
          <w:rFonts w:hint="eastAsia" w:ascii="仿宋_GB2312" w:hAnsi="宋体" w:eastAsia="仿宋_GB2312"/>
          <w:color w:val="auto"/>
          <w:sz w:val="34"/>
          <w:szCs w:val="34"/>
        </w:rPr>
        <w:t>起隐患、违章的，考核项目负责人</w:t>
      </w:r>
      <w:r>
        <w:rPr>
          <w:rFonts w:ascii="仿宋_GB2312" w:hAnsi="宋体" w:eastAsia="仿宋_GB2312"/>
          <w:color w:val="auto"/>
          <w:sz w:val="34"/>
          <w:szCs w:val="34"/>
        </w:rPr>
        <w:t>200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100</w:t>
      </w:r>
      <w:r>
        <w:rPr>
          <w:rFonts w:hint="eastAsia" w:ascii="仿宋_GB2312" w:hAnsi="宋体" w:eastAsia="仿宋_GB2312"/>
          <w:color w:val="auto"/>
          <w:sz w:val="34"/>
          <w:szCs w:val="34"/>
        </w:rPr>
        <w:t>元。</w:t>
      </w:r>
    </w:p>
    <w:p w14:paraId="4588BB49">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3-4</w:t>
      </w:r>
      <w:r>
        <w:rPr>
          <w:rFonts w:hint="eastAsia" w:ascii="仿宋_GB2312" w:hAnsi="宋体" w:eastAsia="仿宋_GB2312"/>
          <w:color w:val="auto"/>
          <w:sz w:val="34"/>
          <w:szCs w:val="34"/>
        </w:rPr>
        <w:t>起隐患、违章的，考核项目负责人</w:t>
      </w:r>
      <w:r>
        <w:rPr>
          <w:rFonts w:ascii="仿宋_GB2312" w:hAnsi="宋体" w:eastAsia="仿宋_GB2312"/>
          <w:color w:val="auto"/>
          <w:sz w:val="34"/>
          <w:szCs w:val="34"/>
        </w:rPr>
        <w:t>500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200</w:t>
      </w:r>
      <w:r>
        <w:rPr>
          <w:rFonts w:hint="eastAsia" w:ascii="仿宋_GB2312" w:hAnsi="宋体" w:eastAsia="仿宋_GB2312"/>
          <w:color w:val="auto"/>
          <w:sz w:val="34"/>
          <w:szCs w:val="34"/>
        </w:rPr>
        <w:t>元。</w:t>
      </w:r>
    </w:p>
    <w:p w14:paraId="700A6B5E">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5</w:t>
      </w:r>
      <w:r>
        <w:rPr>
          <w:rFonts w:hint="eastAsia" w:ascii="仿宋_GB2312" w:hAnsi="宋体" w:eastAsia="仿宋_GB2312"/>
          <w:color w:val="auto"/>
          <w:sz w:val="34"/>
          <w:szCs w:val="34"/>
        </w:rPr>
        <w:t>起以上隐患、违章的，考核项目负责人</w:t>
      </w:r>
      <w:r>
        <w:rPr>
          <w:rFonts w:ascii="仿宋_GB2312" w:hAnsi="宋体" w:eastAsia="仿宋_GB2312"/>
          <w:color w:val="auto"/>
          <w:sz w:val="34"/>
          <w:szCs w:val="34"/>
        </w:rPr>
        <w:t>1000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500</w:t>
      </w:r>
      <w:r>
        <w:rPr>
          <w:rFonts w:hint="eastAsia" w:ascii="仿宋_GB2312" w:hAnsi="宋体" w:eastAsia="仿宋_GB2312"/>
          <w:color w:val="auto"/>
          <w:sz w:val="34"/>
          <w:szCs w:val="34"/>
        </w:rPr>
        <w:t>元。</w:t>
      </w:r>
    </w:p>
    <w:p w14:paraId="742236CB">
      <w:pPr>
        <w:spacing w:line="600" w:lineRule="exact"/>
        <w:ind w:firstLine="680" w:firstLineChars="200"/>
        <w:rPr>
          <w:rFonts w:ascii="楷体" w:hAnsi="楷体" w:eastAsia="楷体"/>
          <w:color w:val="auto"/>
          <w:sz w:val="34"/>
          <w:szCs w:val="34"/>
        </w:rPr>
      </w:pPr>
      <w:r>
        <w:rPr>
          <w:rFonts w:hint="eastAsia" w:ascii="楷体" w:hAnsi="楷体" w:eastAsia="楷体" w:cs="仿宋_GB2312"/>
          <w:color w:val="auto"/>
          <w:kern w:val="0"/>
          <w:sz w:val="34"/>
          <w:szCs w:val="34"/>
        </w:rPr>
        <w:t>（二）</w:t>
      </w:r>
      <w:r>
        <w:rPr>
          <w:rFonts w:hint="eastAsia" w:ascii="楷体" w:hAnsi="楷体" w:eastAsia="楷体"/>
          <w:color w:val="auto"/>
          <w:sz w:val="34"/>
          <w:szCs w:val="34"/>
        </w:rPr>
        <w:t>施工人员在</w:t>
      </w:r>
      <w:r>
        <w:rPr>
          <w:rFonts w:ascii="楷体" w:hAnsi="楷体" w:eastAsia="楷体"/>
          <w:color w:val="auto"/>
          <w:sz w:val="34"/>
          <w:szCs w:val="34"/>
        </w:rPr>
        <w:t>20</w:t>
      </w:r>
      <w:r>
        <w:rPr>
          <w:rFonts w:hint="eastAsia" w:ascii="楷体" w:hAnsi="楷体" w:eastAsia="楷体"/>
          <w:color w:val="auto"/>
          <w:sz w:val="34"/>
          <w:szCs w:val="34"/>
        </w:rPr>
        <w:t>人以上，工程项目管理难度较大或很大的：</w:t>
      </w:r>
    </w:p>
    <w:p w14:paraId="781CAB1D">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1-2</w:t>
      </w:r>
      <w:r>
        <w:rPr>
          <w:rFonts w:hint="eastAsia" w:ascii="仿宋_GB2312" w:hAnsi="宋体" w:eastAsia="仿宋_GB2312"/>
          <w:color w:val="auto"/>
          <w:sz w:val="34"/>
          <w:szCs w:val="34"/>
        </w:rPr>
        <w:t>起隐患、违章的，考核项目负责人</w:t>
      </w:r>
      <w:r>
        <w:rPr>
          <w:rFonts w:ascii="仿宋_GB2312" w:hAnsi="宋体" w:eastAsia="仿宋_GB2312"/>
          <w:color w:val="auto"/>
          <w:sz w:val="34"/>
          <w:szCs w:val="34"/>
        </w:rPr>
        <w:t>100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50</w:t>
      </w:r>
      <w:r>
        <w:rPr>
          <w:rFonts w:hint="eastAsia" w:ascii="仿宋_GB2312" w:hAnsi="宋体" w:eastAsia="仿宋_GB2312"/>
          <w:color w:val="auto"/>
          <w:sz w:val="34"/>
          <w:szCs w:val="34"/>
        </w:rPr>
        <w:t>元。</w:t>
      </w:r>
    </w:p>
    <w:p w14:paraId="4612FEEA">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3-4</w:t>
      </w:r>
      <w:r>
        <w:rPr>
          <w:rFonts w:hint="eastAsia" w:ascii="仿宋_GB2312" w:hAnsi="宋体" w:eastAsia="仿宋_GB2312"/>
          <w:color w:val="auto"/>
          <w:sz w:val="34"/>
          <w:szCs w:val="34"/>
        </w:rPr>
        <w:t>起隐患、违章的，考核项目负责人</w:t>
      </w:r>
      <w:r>
        <w:rPr>
          <w:rFonts w:ascii="仿宋_GB2312" w:hAnsi="宋体" w:eastAsia="仿宋_GB2312"/>
          <w:color w:val="auto"/>
          <w:sz w:val="34"/>
          <w:szCs w:val="34"/>
        </w:rPr>
        <w:t>300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100</w:t>
      </w:r>
      <w:r>
        <w:rPr>
          <w:rFonts w:hint="eastAsia" w:ascii="仿宋_GB2312" w:hAnsi="宋体" w:eastAsia="仿宋_GB2312"/>
          <w:color w:val="auto"/>
          <w:sz w:val="34"/>
          <w:szCs w:val="34"/>
        </w:rPr>
        <w:t>元。</w:t>
      </w:r>
    </w:p>
    <w:p w14:paraId="283D750F">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5-10</w:t>
      </w:r>
      <w:r>
        <w:rPr>
          <w:rFonts w:hint="eastAsia" w:ascii="仿宋_GB2312" w:hAnsi="宋体" w:eastAsia="仿宋_GB2312"/>
          <w:color w:val="auto"/>
          <w:sz w:val="34"/>
          <w:szCs w:val="34"/>
        </w:rPr>
        <w:t>起隐患、违章的，考核项目负责人</w:t>
      </w:r>
      <w:r>
        <w:rPr>
          <w:rFonts w:ascii="仿宋_GB2312" w:hAnsi="宋体" w:eastAsia="仿宋_GB2312"/>
          <w:color w:val="auto"/>
          <w:sz w:val="34"/>
          <w:szCs w:val="34"/>
        </w:rPr>
        <w:t>800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300</w:t>
      </w:r>
      <w:r>
        <w:rPr>
          <w:rFonts w:hint="eastAsia" w:ascii="仿宋_GB2312" w:hAnsi="宋体" w:eastAsia="仿宋_GB2312"/>
          <w:color w:val="auto"/>
          <w:sz w:val="34"/>
          <w:szCs w:val="34"/>
        </w:rPr>
        <w:t>元。</w:t>
      </w:r>
    </w:p>
    <w:p w14:paraId="41BA1CE0">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每月被查处</w:t>
      </w:r>
      <w:r>
        <w:rPr>
          <w:rFonts w:ascii="仿宋_GB2312" w:hAnsi="宋体" w:eastAsia="仿宋_GB2312"/>
          <w:color w:val="auto"/>
          <w:sz w:val="34"/>
          <w:szCs w:val="34"/>
        </w:rPr>
        <w:t>10</w:t>
      </w:r>
      <w:r>
        <w:rPr>
          <w:rFonts w:hint="eastAsia" w:ascii="仿宋_GB2312" w:hAnsi="宋体" w:eastAsia="仿宋_GB2312"/>
          <w:color w:val="auto"/>
          <w:sz w:val="34"/>
          <w:szCs w:val="34"/>
        </w:rPr>
        <w:t>起以上隐患、违章的，考核项目负责人</w:t>
      </w:r>
      <w:r>
        <w:rPr>
          <w:rFonts w:ascii="仿宋_GB2312" w:hAnsi="宋体" w:eastAsia="仿宋_GB2312"/>
          <w:color w:val="auto"/>
          <w:sz w:val="34"/>
          <w:szCs w:val="34"/>
        </w:rPr>
        <w:t>1500</w:t>
      </w:r>
      <w:r>
        <w:rPr>
          <w:rFonts w:hint="eastAsia" w:ascii="仿宋_GB2312" w:hAnsi="宋体" w:eastAsia="仿宋_GB2312"/>
          <w:color w:val="auto"/>
          <w:sz w:val="34"/>
          <w:szCs w:val="34"/>
        </w:rPr>
        <w:t>元，安全管理人员</w:t>
      </w:r>
      <w:r>
        <w:rPr>
          <w:rFonts w:ascii="仿宋_GB2312" w:hAnsi="宋体" w:eastAsia="仿宋_GB2312"/>
          <w:color w:val="auto"/>
          <w:sz w:val="34"/>
          <w:szCs w:val="34"/>
        </w:rPr>
        <w:t>500</w:t>
      </w:r>
      <w:r>
        <w:rPr>
          <w:rFonts w:hint="eastAsia" w:ascii="仿宋_GB2312" w:hAnsi="宋体" w:eastAsia="仿宋_GB2312"/>
          <w:color w:val="auto"/>
          <w:sz w:val="34"/>
          <w:szCs w:val="34"/>
        </w:rPr>
        <w:t>元。</w:t>
      </w:r>
    </w:p>
    <w:p w14:paraId="188D2AB8">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第一百零三条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对承包商处罚的款项，自处罚单下发之日起</w:t>
      </w:r>
      <w:r>
        <w:rPr>
          <w:rFonts w:ascii="仿宋_GB2312" w:hAnsi="宋体" w:eastAsia="仿宋_GB2312"/>
          <w:color w:val="auto"/>
          <w:sz w:val="34"/>
          <w:szCs w:val="34"/>
        </w:rPr>
        <w:t>3</w:t>
      </w:r>
      <w:r>
        <w:rPr>
          <w:rFonts w:hint="eastAsia" w:ascii="仿宋_GB2312" w:hAnsi="宋体" w:eastAsia="仿宋_GB2312"/>
          <w:color w:val="auto"/>
          <w:sz w:val="34"/>
          <w:szCs w:val="34"/>
        </w:rPr>
        <w:t>日内，由承包商到财务部门缴纳。逾期不交的，由项目部进行通报批评，并加倍予以处罚。不服从处罚的，责令停工，其罚款从</w:t>
      </w:r>
      <w:r>
        <w:rPr>
          <w:rFonts w:hint="eastAsia" w:ascii="仿宋_GB2312" w:hAnsi="宋体" w:eastAsia="仿宋_GB2312"/>
          <w:color w:val="auto"/>
          <w:sz w:val="34"/>
          <w:szCs w:val="34"/>
          <w:lang w:val="en-US" w:eastAsia="zh-CN"/>
        </w:rPr>
        <w:t>安全保证</w:t>
      </w:r>
      <w:r>
        <w:rPr>
          <w:rFonts w:hint="eastAsia" w:ascii="仿宋_GB2312" w:hAnsi="宋体" w:eastAsia="仿宋_GB2312"/>
          <w:color w:val="auto"/>
          <w:sz w:val="34"/>
          <w:szCs w:val="34"/>
        </w:rPr>
        <w:t>金中扣除。</w:t>
      </w:r>
    </w:p>
    <w:p w14:paraId="54A33A94">
      <w:pPr>
        <w:spacing w:line="600" w:lineRule="exact"/>
        <w:ind w:firstLine="715" w:firstLineChars="200"/>
        <w:rPr>
          <w:rFonts w:hint="eastAsia" w:ascii="仿宋_GB2312" w:hAnsi="宋体" w:eastAsia="仿宋_GB2312"/>
          <w:color w:val="auto"/>
          <w:sz w:val="34"/>
          <w:szCs w:val="34"/>
        </w:rPr>
      </w:pPr>
      <w:r>
        <w:rPr>
          <w:rFonts w:hint="eastAsia" w:ascii="仿宋_GB2312" w:hAnsi="黑体" w:eastAsia="仿宋_GB2312" w:cs="Arial"/>
          <w:b/>
          <w:color w:val="auto"/>
          <w:spacing w:val="8"/>
          <w:sz w:val="34"/>
          <w:szCs w:val="34"/>
        </w:rPr>
        <w:t>第一百零四条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本规定由</w:t>
      </w:r>
      <w:r>
        <w:rPr>
          <w:rFonts w:hint="eastAsia" w:ascii="仿宋_GB2312" w:hAnsi="宋体" w:eastAsia="仿宋_GB2312" w:cs="黑体"/>
          <w:bCs/>
          <w:color w:val="auto"/>
          <w:sz w:val="34"/>
          <w:szCs w:val="34"/>
        </w:rPr>
        <w:t>项目部</w:t>
      </w:r>
      <w:r>
        <w:rPr>
          <w:rFonts w:hint="eastAsia" w:ascii="仿宋_GB2312" w:hAnsi="宋体" w:eastAsia="仿宋_GB2312"/>
          <w:color w:val="auto"/>
          <w:sz w:val="34"/>
          <w:szCs w:val="34"/>
        </w:rPr>
        <w:t>负责解释。</w:t>
      </w:r>
    </w:p>
    <w:p w14:paraId="2310D5FD">
      <w:pPr>
        <w:spacing w:line="600" w:lineRule="exact"/>
        <w:ind w:firstLine="680" w:firstLineChars="200"/>
        <w:rPr>
          <w:rFonts w:hint="eastAsia" w:ascii="仿宋_GB2312" w:hAnsi="宋体" w:eastAsia="仿宋_GB2312"/>
          <w:color w:val="auto"/>
          <w:sz w:val="34"/>
          <w:szCs w:val="34"/>
        </w:rPr>
      </w:pPr>
    </w:p>
    <w:p w14:paraId="09B1112A">
      <w:pPr>
        <w:spacing w:line="600" w:lineRule="exact"/>
        <w:ind w:firstLine="680" w:firstLineChars="200"/>
        <w:rPr>
          <w:rFonts w:hint="eastAsia" w:ascii="仿宋_GB2312" w:hAnsi="宋体" w:eastAsia="仿宋_GB2312"/>
          <w:color w:val="auto"/>
          <w:sz w:val="34"/>
          <w:szCs w:val="34"/>
        </w:rPr>
      </w:pPr>
    </w:p>
    <w:p w14:paraId="68E17AD7">
      <w:pPr>
        <w:numPr>
          <w:ilvl w:val="0"/>
          <w:numId w:val="2"/>
        </w:numPr>
        <w:spacing w:beforeLines="100" w:afterLines="100" w:line="600" w:lineRule="exact"/>
        <w:ind w:firstLine="712" w:firstLineChars="200"/>
        <w:jc w:val="center"/>
        <w:rPr>
          <w:rFonts w:hint="eastAsia" w:ascii="黑体" w:hAnsi="黑体" w:eastAsia="黑体" w:cs="Arial"/>
          <w:color w:val="auto"/>
          <w:spacing w:val="8"/>
          <w:sz w:val="34"/>
          <w:szCs w:val="34"/>
        </w:rPr>
      </w:pPr>
      <w:r>
        <w:rPr>
          <w:rFonts w:hint="eastAsia" w:ascii="黑体" w:hAnsi="黑体" w:eastAsia="黑体" w:cs="Arial"/>
          <w:color w:val="auto"/>
          <w:spacing w:val="8"/>
          <w:sz w:val="34"/>
          <w:szCs w:val="34"/>
        </w:rPr>
        <w:t>项目事故应急救援规定</w:t>
      </w:r>
    </w:p>
    <w:p w14:paraId="7D8A530B">
      <w:pPr>
        <w:spacing w:line="600" w:lineRule="exact"/>
        <w:ind w:firstLine="715" w:firstLineChars="200"/>
        <w:rPr>
          <w:rFonts w:hint="eastAsia" w:ascii="仿宋_GB2312" w:hAnsi="宋体" w:eastAsia="仿宋_GB2312" w:cs="黑体"/>
          <w:bCs/>
          <w:color w:val="auto"/>
          <w:sz w:val="34"/>
          <w:szCs w:val="34"/>
        </w:rPr>
      </w:pPr>
      <w:r>
        <w:rPr>
          <w:rFonts w:hint="eastAsia" w:ascii="仿宋_GB2312" w:hAnsi="黑体" w:eastAsia="仿宋_GB2312" w:cs="Arial"/>
          <w:b/>
          <w:color w:val="auto"/>
          <w:spacing w:val="8"/>
          <w:sz w:val="34"/>
          <w:szCs w:val="34"/>
        </w:rPr>
        <w:t>第一百零五条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施工现场管理要求：现场悬挂应急救援牌。毗邻生产、存储危化品区域须设置防火墙、悬挂报警仪等安全防护措施。</w:t>
      </w:r>
      <w:r>
        <w:rPr>
          <w:rFonts w:hint="eastAsia" w:ascii="仿宋_GB2312" w:hAnsi="宋体" w:eastAsia="仿宋_GB2312" w:cs="黑体"/>
          <w:bCs/>
          <w:color w:val="auto"/>
          <w:sz w:val="34"/>
          <w:szCs w:val="34"/>
        </w:rPr>
        <w:t>主干道、消防通道和疏散逃生通道应保持畅通。工具、材料要</w:t>
      </w:r>
      <w:r>
        <w:rPr>
          <w:rFonts w:hint="eastAsia" w:ascii="仿宋_GB2312" w:eastAsia="仿宋_GB2312"/>
          <w:color w:val="auto"/>
          <w:sz w:val="34"/>
          <w:szCs w:val="34"/>
        </w:rPr>
        <w:t>按总平面布局</w:t>
      </w:r>
      <w:r>
        <w:rPr>
          <w:rFonts w:hint="eastAsia" w:ascii="仿宋_GB2312" w:hAnsi="宋体" w:eastAsia="仿宋_GB2312" w:cs="黑体"/>
          <w:bCs/>
          <w:color w:val="auto"/>
          <w:sz w:val="34"/>
          <w:szCs w:val="34"/>
        </w:rPr>
        <w:t>图定置摆放，不得放在通道上</w:t>
      </w:r>
      <w:r>
        <w:rPr>
          <w:rFonts w:hint="eastAsia" w:ascii="仿宋_GB2312" w:eastAsia="仿宋_GB2312"/>
          <w:color w:val="auto"/>
          <w:sz w:val="34"/>
          <w:szCs w:val="34"/>
        </w:rPr>
        <w:t>。</w:t>
      </w:r>
      <w:r>
        <w:rPr>
          <w:rFonts w:hint="eastAsia" w:ascii="仿宋_GB2312" w:hAnsi="宋体" w:eastAsia="仿宋_GB2312" w:cs="黑体"/>
          <w:bCs/>
          <w:color w:val="auto"/>
          <w:sz w:val="34"/>
          <w:szCs w:val="34"/>
        </w:rPr>
        <w:t>所有车辆要停放在规定地点。未经许可，禁止占用主干道和消防通道。</w:t>
      </w:r>
    </w:p>
    <w:p w14:paraId="439C49C3">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第一百零六条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预案及演练要求：承包商必须组织所有员工学习本规定，督促员工掌握必须具备的事故应急处置、应急救援技能。承包商必须制定事故应急救援预案和演习方案，配备必要的应急救援器材，组织开展事故应急救援演练。</w:t>
      </w:r>
    </w:p>
    <w:p w14:paraId="23250120">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第一百零七条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危险介质泄漏应急管理要求：</w:t>
      </w:r>
    </w:p>
    <w:p w14:paraId="69F3B186">
      <w:pPr>
        <w:spacing w:line="600" w:lineRule="exact"/>
        <w:ind w:firstLine="680" w:firstLineChars="200"/>
        <w:rPr>
          <w:rFonts w:hint="eastAsia" w:ascii="仿宋_GB2312" w:hAnsi="宋体" w:eastAsia="仿宋_GB2312" w:cs="黑体"/>
          <w:bCs/>
          <w:color w:val="auto"/>
          <w:sz w:val="34"/>
          <w:szCs w:val="34"/>
        </w:rPr>
      </w:pPr>
      <w:r>
        <w:rPr>
          <w:rFonts w:hint="eastAsia" w:ascii="仿宋_GB2312" w:hAnsi="楷体" w:eastAsia="仿宋_GB2312" w:cs="仿宋_GB2312"/>
          <w:color w:val="auto"/>
          <w:kern w:val="0"/>
          <w:sz w:val="34"/>
          <w:szCs w:val="34"/>
        </w:rPr>
        <w:t>（一）</w:t>
      </w:r>
      <w:r>
        <w:rPr>
          <w:rFonts w:hint="eastAsia" w:ascii="仿宋_GB2312" w:hAnsi="宋体" w:eastAsia="仿宋_GB2312"/>
          <w:color w:val="auto"/>
          <w:sz w:val="34"/>
          <w:szCs w:val="34"/>
        </w:rPr>
        <w:t>当生产装置出现异常情况时，</w:t>
      </w:r>
      <w:r>
        <w:rPr>
          <w:rFonts w:hint="eastAsia" w:ascii="仿宋_GB2312" w:hAnsi="宋体" w:eastAsia="仿宋_GB2312"/>
          <w:color w:val="auto"/>
          <w:sz w:val="34"/>
          <w:szCs w:val="34"/>
          <w:lang w:val="en-US" w:eastAsia="zh-CN"/>
        </w:rPr>
        <w:t>公司调度、</w:t>
      </w:r>
      <w:r>
        <w:rPr>
          <w:rFonts w:hint="eastAsia" w:ascii="仿宋_GB2312" w:hAnsi="宋体" w:eastAsia="仿宋_GB2312"/>
          <w:color w:val="auto"/>
          <w:sz w:val="34"/>
          <w:szCs w:val="34"/>
        </w:rPr>
        <w:t>岗位的班长或主操应及时向本岗位附近的承包商通报相关情况，必要时应通知承包商施工人员及时疏散、撤离和逃生。</w:t>
      </w:r>
    </w:p>
    <w:p w14:paraId="350CE42F">
      <w:pPr>
        <w:spacing w:line="600" w:lineRule="exact"/>
        <w:ind w:firstLine="680" w:firstLineChars="200"/>
        <w:rPr>
          <w:rFonts w:ascii="仿宋_GB2312" w:eastAsia="仿宋_GB2312"/>
          <w:color w:val="auto"/>
          <w:sz w:val="34"/>
          <w:szCs w:val="34"/>
        </w:rPr>
      </w:pPr>
      <w:r>
        <w:rPr>
          <w:rFonts w:hint="eastAsia" w:ascii="仿宋_GB2312" w:hAnsi="楷体" w:eastAsia="仿宋_GB2312" w:cs="仿宋_GB2312"/>
          <w:color w:val="auto"/>
          <w:kern w:val="0"/>
          <w:sz w:val="34"/>
          <w:szCs w:val="34"/>
        </w:rPr>
        <w:t>（二）</w:t>
      </w:r>
      <w:r>
        <w:rPr>
          <w:rFonts w:hint="eastAsia" w:ascii="仿宋_GB2312" w:hAnsi="宋体" w:eastAsia="仿宋_GB2312"/>
          <w:color w:val="auto"/>
          <w:sz w:val="34"/>
          <w:szCs w:val="34"/>
        </w:rPr>
        <w:t>针对</w:t>
      </w:r>
      <w:r>
        <w:rPr>
          <w:rFonts w:ascii="仿宋_GB2312" w:hAnsi="宋体" w:eastAsia="仿宋_GB2312"/>
          <w:color w:val="auto"/>
          <w:sz w:val="34"/>
          <w:szCs w:val="34"/>
        </w:rPr>
        <w:t>CO</w:t>
      </w:r>
      <w:r>
        <w:rPr>
          <w:rFonts w:hint="eastAsia" w:ascii="仿宋_GB2312" w:hAnsi="宋体" w:eastAsia="仿宋_GB2312"/>
          <w:color w:val="auto"/>
          <w:sz w:val="34"/>
          <w:szCs w:val="34"/>
        </w:rPr>
        <w:t>泄漏，项目现场负责人及施工队长应注意观察现场情况，并做到：当</w:t>
      </w:r>
      <w:r>
        <w:rPr>
          <w:rFonts w:ascii="仿宋_GB2312" w:hAnsi="宋体" w:eastAsia="仿宋_GB2312"/>
          <w:color w:val="auto"/>
          <w:sz w:val="34"/>
          <w:szCs w:val="34"/>
        </w:rPr>
        <w:t>CO</w:t>
      </w:r>
      <w:r>
        <w:rPr>
          <w:rFonts w:hint="eastAsia" w:ascii="仿宋_GB2312" w:hAnsi="宋体" w:eastAsia="仿宋_GB2312"/>
          <w:color w:val="auto"/>
          <w:sz w:val="34"/>
          <w:szCs w:val="34"/>
        </w:rPr>
        <w:t>浓度高于</w:t>
      </w:r>
      <w:r>
        <w:rPr>
          <w:rFonts w:ascii="仿宋_GB2312" w:hAnsi="宋体" w:eastAsia="仿宋_GB2312"/>
          <w:color w:val="auto"/>
          <w:sz w:val="34"/>
          <w:szCs w:val="34"/>
        </w:rPr>
        <w:t>24ppm</w:t>
      </w:r>
      <w:r>
        <w:rPr>
          <w:rFonts w:hint="eastAsia" w:ascii="仿宋_GB2312" w:hAnsi="宋体" w:eastAsia="仿宋_GB2312"/>
          <w:color w:val="auto"/>
          <w:sz w:val="34"/>
          <w:szCs w:val="34"/>
        </w:rPr>
        <w:t>、低于</w:t>
      </w:r>
      <w:r>
        <w:rPr>
          <w:rFonts w:ascii="仿宋_GB2312" w:hAnsi="宋体" w:eastAsia="仿宋_GB2312"/>
          <w:color w:val="auto"/>
          <w:sz w:val="34"/>
          <w:szCs w:val="34"/>
        </w:rPr>
        <w:t>60ppm</w:t>
      </w:r>
      <w:r>
        <w:rPr>
          <w:rFonts w:hint="eastAsia" w:ascii="仿宋_GB2312" w:hAnsi="宋体" w:eastAsia="仿宋_GB2312"/>
          <w:color w:val="auto"/>
          <w:sz w:val="34"/>
          <w:szCs w:val="34"/>
        </w:rPr>
        <w:t>，</w:t>
      </w:r>
      <w:r>
        <w:rPr>
          <w:rFonts w:ascii="仿宋_GB2312" w:hAnsi="宋体" w:eastAsia="仿宋_GB2312"/>
          <w:color w:val="auto"/>
          <w:sz w:val="34"/>
          <w:szCs w:val="34"/>
        </w:rPr>
        <w:t>CO</w:t>
      </w:r>
      <w:r>
        <w:rPr>
          <w:rFonts w:hint="eastAsia" w:ascii="仿宋_GB2312" w:hAnsi="宋体" w:eastAsia="仿宋_GB2312"/>
          <w:color w:val="auto"/>
          <w:sz w:val="34"/>
          <w:szCs w:val="34"/>
        </w:rPr>
        <w:t>报警仪发出低报时，应打电话给附近装置的班长，了解现场有无异常；当</w:t>
      </w:r>
      <w:r>
        <w:rPr>
          <w:rFonts w:ascii="仿宋_GB2312" w:hAnsi="宋体" w:eastAsia="仿宋_GB2312"/>
          <w:color w:val="auto"/>
          <w:sz w:val="34"/>
          <w:szCs w:val="34"/>
        </w:rPr>
        <w:t>CO</w:t>
      </w:r>
      <w:r>
        <w:rPr>
          <w:rFonts w:hint="eastAsia" w:ascii="仿宋_GB2312" w:hAnsi="宋体" w:eastAsia="仿宋_GB2312"/>
          <w:color w:val="auto"/>
          <w:sz w:val="34"/>
          <w:szCs w:val="34"/>
        </w:rPr>
        <w:t>浓度高于</w:t>
      </w:r>
      <w:r>
        <w:rPr>
          <w:rFonts w:ascii="仿宋_GB2312" w:hAnsi="宋体" w:eastAsia="仿宋_GB2312"/>
          <w:color w:val="auto"/>
          <w:sz w:val="34"/>
          <w:szCs w:val="34"/>
        </w:rPr>
        <w:t>60ppm</w:t>
      </w:r>
      <w:r>
        <w:rPr>
          <w:rFonts w:hint="eastAsia" w:ascii="仿宋_GB2312" w:hAnsi="宋体" w:eastAsia="仿宋_GB2312"/>
          <w:color w:val="auto"/>
          <w:sz w:val="34"/>
          <w:szCs w:val="34"/>
        </w:rPr>
        <w:t>，</w:t>
      </w:r>
      <w:r>
        <w:rPr>
          <w:rFonts w:ascii="仿宋_GB2312" w:hAnsi="宋体" w:eastAsia="仿宋_GB2312"/>
          <w:color w:val="auto"/>
          <w:sz w:val="34"/>
          <w:szCs w:val="34"/>
        </w:rPr>
        <w:t>CO</w:t>
      </w:r>
      <w:r>
        <w:rPr>
          <w:rFonts w:hint="eastAsia" w:ascii="仿宋_GB2312" w:hAnsi="宋体" w:eastAsia="仿宋_GB2312"/>
          <w:color w:val="auto"/>
          <w:sz w:val="34"/>
          <w:szCs w:val="34"/>
        </w:rPr>
        <w:t>报警仪发出高报时，应立即联系岗位现场是否有泄漏，并要求岗位做到一旦有泄漏，应立即通知承包商；当现场</w:t>
      </w:r>
      <w:r>
        <w:rPr>
          <w:rFonts w:ascii="仿宋_GB2312" w:hAnsi="宋体" w:eastAsia="仿宋_GB2312"/>
          <w:color w:val="auto"/>
          <w:sz w:val="34"/>
          <w:szCs w:val="34"/>
        </w:rPr>
        <w:t>CO</w:t>
      </w:r>
      <w:r>
        <w:rPr>
          <w:rFonts w:hint="eastAsia" w:ascii="仿宋_GB2312" w:hAnsi="宋体" w:eastAsia="仿宋_GB2312"/>
          <w:color w:val="auto"/>
          <w:sz w:val="34"/>
          <w:szCs w:val="34"/>
        </w:rPr>
        <w:t>浓度超过</w:t>
      </w:r>
      <w:r>
        <w:rPr>
          <w:rFonts w:ascii="仿宋_GB2312" w:hAnsi="宋体" w:eastAsia="仿宋_GB2312"/>
          <w:color w:val="auto"/>
          <w:sz w:val="34"/>
          <w:szCs w:val="34"/>
        </w:rPr>
        <w:t>100ppm</w:t>
      </w:r>
      <w:r>
        <w:rPr>
          <w:rFonts w:hint="eastAsia" w:ascii="仿宋_GB2312" w:hAnsi="宋体" w:eastAsia="仿宋_GB2312"/>
          <w:color w:val="auto"/>
          <w:sz w:val="34"/>
          <w:szCs w:val="34"/>
        </w:rPr>
        <w:t>时，应立即要求施工人员停止作业，撤离现场。</w:t>
      </w:r>
    </w:p>
    <w:p w14:paraId="5EAB2A2D">
      <w:pPr>
        <w:spacing w:line="600" w:lineRule="exact"/>
        <w:ind w:firstLine="680" w:firstLineChars="200"/>
        <w:rPr>
          <w:rFonts w:ascii="仿宋_GB2312" w:eastAsia="仿宋_GB2312"/>
          <w:color w:val="auto"/>
          <w:sz w:val="34"/>
          <w:szCs w:val="34"/>
        </w:rPr>
      </w:pPr>
      <w:r>
        <w:rPr>
          <w:rFonts w:hint="eastAsia" w:ascii="仿宋_GB2312" w:hAnsi="楷体" w:eastAsia="仿宋_GB2312" w:cs="仿宋_GB2312"/>
          <w:color w:val="auto"/>
          <w:kern w:val="0"/>
          <w:sz w:val="34"/>
          <w:szCs w:val="34"/>
        </w:rPr>
        <w:t>（三）</w:t>
      </w:r>
      <w:r>
        <w:rPr>
          <w:rFonts w:hint="eastAsia" w:ascii="仿宋_GB2312" w:eastAsia="仿宋_GB2312"/>
          <w:color w:val="auto"/>
          <w:sz w:val="34"/>
          <w:szCs w:val="34"/>
        </w:rPr>
        <w:t>针对</w:t>
      </w:r>
      <w:r>
        <w:rPr>
          <w:rFonts w:hint="eastAsia" w:ascii="仿宋_GB2312" w:eastAsia="仿宋_GB2312"/>
          <w:color w:val="auto"/>
          <w:sz w:val="34"/>
          <w:szCs w:val="34"/>
          <w:lang w:val="en-US" w:eastAsia="zh-CN"/>
        </w:rPr>
        <w:t>如</w:t>
      </w:r>
      <w:r>
        <w:rPr>
          <w:rFonts w:hint="eastAsia" w:ascii="仿宋_GB2312" w:eastAsia="仿宋_GB2312"/>
          <w:color w:val="auto"/>
          <w:sz w:val="34"/>
          <w:szCs w:val="34"/>
        </w:rPr>
        <w:t>甲醇、氨、硫化氢等危险介质泄漏，</w:t>
      </w:r>
      <w:r>
        <w:rPr>
          <w:rFonts w:hint="eastAsia" w:ascii="仿宋_GB2312" w:hAnsi="宋体" w:eastAsia="仿宋_GB2312"/>
          <w:color w:val="auto"/>
          <w:sz w:val="34"/>
          <w:szCs w:val="34"/>
        </w:rPr>
        <w:t>项目现场负责人及施工队长</w:t>
      </w:r>
      <w:r>
        <w:rPr>
          <w:rFonts w:hint="eastAsia" w:ascii="仿宋_GB2312" w:eastAsia="仿宋_GB2312"/>
          <w:color w:val="auto"/>
          <w:sz w:val="34"/>
          <w:szCs w:val="34"/>
        </w:rPr>
        <w:t>要保持高度的警惕性，闻到异味后，应主动联系岗位，查明情况，如泄漏较为严重，立即要求施工人员停止作业，撤离现场。</w:t>
      </w:r>
    </w:p>
    <w:p w14:paraId="14373924">
      <w:pPr>
        <w:spacing w:line="600" w:lineRule="exact"/>
        <w:ind w:firstLine="715" w:firstLineChars="200"/>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第一百零八条</w:t>
      </w:r>
      <w:r>
        <w:rPr>
          <w:rFonts w:ascii="仿宋_GB2312" w:hAnsi="黑体" w:eastAsia="仿宋_GB2312" w:cs="Arial"/>
          <w:b/>
          <w:color w:val="auto"/>
          <w:spacing w:val="8"/>
          <w:sz w:val="34"/>
          <w:szCs w:val="34"/>
        </w:rPr>
        <w:t xml:space="preserve"> </w:t>
      </w:r>
      <w:r>
        <w:rPr>
          <w:rFonts w:hint="eastAsia" w:ascii="仿宋_GB2312" w:eastAsia="仿宋_GB2312" w:cs="黑体"/>
          <w:bCs/>
          <w:color w:val="auto"/>
          <w:sz w:val="34"/>
          <w:szCs w:val="34"/>
        </w:rPr>
        <w:t>事故应急处置要求：</w:t>
      </w:r>
    </w:p>
    <w:p w14:paraId="6272A3C5">
      <w:pPr>
        <w:spacing w:line="600" w:lineRule="exact"/>
        <w:ind w:firstLine="680" w:firstLineChars="200"/>
        <w:rPr>
          <w:rFonts w:ascii="楷体" w:hAnsi="楷体" w:eastAsia="楷体" w:cs="黑体"/>
          <w:bCs/>
          <w:color w:val="auto"/>
          <w:sz w:val="34"/>
          <w:szCs w:val="34"/>
        </w:rPr>
      </w:pPr>
      <w:bookmarkStart w:id="2" w:name="OLE_LINK4"/>
      <w:bookmarkStart w:id="3" w:name="OLE_LINK3"/>
      <w:r>
        <w:rPr>
          <w:rFonts w:hint="eastAsia" w:ascii="楷体" w:hAnsi="楷体" w:eastAsia="楷体" w:cs="仿宋_GB2312"/>
          <w:color w:val="auto"/>
          <w:kern w:val="0"/>
          <w:sz w:val="34"/>
          <w:szCs w:val="34"/>
        </w:rPr>
        <w:t>（一）</w:t>
      </w:r>
      <w:bookmarkEnd w:id="2"/>
      <w:bookmarkEnd w:id="3"/>
      <w:r>
        <w:rPr>
          <w:rFonts w:hint="eastAsia" w:ascii="楷体" w:hAnsi="楷体" w:eastAsia="楷体" w:cs="黑体"/>
          <w:bCs/>
          <w:color w:val="auto"/>
          <w:sz w:val="34"/>
          <w:szCs w:val="34"/>
        </w:rPr>
        <w:t>火灾事故</w:t>
      </w:r>
    </w:p>
    <w:p w14:paraId="278E83FD">
      <w:pPr>
        <w:spacing w:line="600" w:lineRule="exact"/>
        <w:ind w:firstLine="680" w:firstLineChars="200"/>
        <w:rPr>
          <w:rFonts w:ascii="仿宋_GB2312" w:eastAsia="仿宋_GB2312" w:cs="黑体"/>
          <w:bCs/>
          <w:color w:val="auto"/>
          <w:sz w:val="34"/>
          <w:szCs w:val="34"/>
        </w:rPr>
      </w:pPr>
      <w:r>
        <w:rPr>
          <w:rFonts w:ascii="仿宋_GB2312" w:hAnsi="宋体" w:eastAsia="仿宋_GB2312" w:cs="黑体"/>
          <w:bCs/>
          <w:color w:val="auto"/>
          <w:sz w:val="34"/>
          <w:szCs w:val="34"/>
        </w:rPr>
        <w:t>1.</w:t>
      </w:r>
      <w:r>
        <w:rPr>
          <w:rFonts w:hint="eastAsia" w:ascii="仿宋_GB2312" w:hAnsi="宋体" w:eastAsia="仿宋_GB2312" w:cs="黑体"/>
          <w:bCs/>
          <w:color w:val="auto"/>
          <w:sz w:val="34"/>
          <w:szCs w:val="34"/>
        </w:rPr>
        <w:t>发生火灾后，立即对初起火灾进行扑救。</w:t>
      </w:r>
      <w:r>
        <w:rPr>
          <w:rFonts w:hint="eastAsia" w:ascii="仿宋_GB2312" w:hAnsi="宋体" w:eastAsia="仿宋_GB2312"/>
          <w:color w:val="auto"/>
          <w:sz w:val="34"/>
          <w:szCs w:val="34"/>
          <w:lang w:val="zh-CN"/>
        </w:rPr>
        <w:t>同时向上级部门汇报。</w:t>
      </w:r>
      <w:r>
        <w:rPr>
          <w:rFonts w:hint="eastAsia" w:ascii="仿宋_GB2312" w:hAnsi="宋体" w:eastAsia="仿宋_GB2312" w:cs="黑体"/>
          <w:bCs/>
          <w:color w:val="auto"/>
          <w:sz w:val="34"/>
          <w:szCs w:val="34"/>
        </w:rPr>
        <w:t>如果发现不能扑灭初起火灾，或待到发现时火灾已经很大，难以扑灭，应立即</w:t>
      </w:r>
      <w:r>
        <w:rPr>
          <w:rFonts w:hint="eastAsia" w:ascii="仿宋_GB2312" w:hAnsi="宋体" w:eastAsia="仿宋_GB2312"/>
          <w:color w:val="auto"/>
          <w:sz w:val="34"/>
          <w:szCs w:val="34"/>
          <w:lang w:val="zh-CN"/>
        </w:rPr>
        <w:t>拨打公司</w:t>
      </w:r>
      <w:r>
        <w:rPr>
          <w:rFonts w:hint="eastAsia" w:ascii="仿宋_GB2312" w:hAnsi="宋体" w:eastAsia="仿宋_GB2312" w:cs="黑体"/>
          <w:bCs/>
          <w:color w:val="auto"/>
          <w:sz w:val="34"/>
          <w:szCs w:val="34"/>
        </w:rPr>
        <w:t>火</w:t>
      </w:r>
      <w:r>
        <w:rPr>
          <w:rFonts w:hint="eastAsia" w:ascii="仿宋_GB2312" w:hAnsi="宋体" w:eastAsia="仿宋_GB2312"/>
          <w:color w:val="auto"/>
          <w:sz w:val="34"/>
          <w:szCs w:val="34"/>
          <w:lang w:val="zh-CN"/>
        </w:rPr>
        <w:t>警电话</w:t>
      </w:r>
      <w:r>
        <w:rPr>
          <w:rFonts w:hint="eastAsia" w:ascii="仿宋_GB2312" w:hAnsi="宋体" w:eastAsia="仿宋_GB2312"/>
          <w:color w:val="auto"/>
          <w:sz w:val="34"/>
          <w:szCs w:val="34"/>
          <w:lang w:val="en-US" w:eastAsia="zh-CN"/>
        </w:rPr>
        <w:t>索普集团0511-</w:t>
      </w:r>
      <w:r>
        <w:rPr>
          <w:rFonts w:ascii="仿宋_GB2312" w:hAnsi="宋体" w:eastAsia="仿宋_GB2312"/>
          <w:color w:val="auto"/>
          <w:sz w:val="34"/>
          <w:szCs w:val="34"/>
          <w:lang w:val="zh-CN"/>
        </w:rPr>
        <w:t>88995119</w:t>
      </w:r>
      <w:r>
        <w:rPr>
          <w:rFonts w:hint="eastAsia" w:ascii="仿宋_GB2312" w:hAnsi="宋体" w:eastAsia="仿宋_GB2312"/>
          <w:color w:val="auto"/>
          <w:sz w:val="34"/>
          <w:szCs w:val="34"/>
          <w:lang w:val="en-US" w:eastAsia="zh-CN"/>
        </w:rPr>
        <w:t>/索普新材料0511-89989119，</w:t>
      </w:r>
      <w:r>
        <w:rPr>
          <w:rFonts w:hint="eastAsia" w:ascii="仿宋_GB2312" w:hAnsi="宋体" w:eastAsia="仿宋_GB2312"/>
          <w:color w:val="auto"/>
          <w:sz w:val="34"/>
          <w:szCs w:val="34"/>
          <w:lang w:val="zh-CN"/>
        </w:rPr>
        <w:t>请求救援。</w:t>
      </w:r>
    </w:p>
    <w:p w14:paraId="34A9AE13">
      <w:pPr>
        <w:spacing w:line="600" w:lineRule="exact"/>
        <w:ind w:firstLine="680" w:firstLineChars="200"/>
        <w:rPr>
          <w:rFonts w:ascii="仿宋_GB2312" w:eastAsia="仿宋_GB2312"/>
          <w:color w:val="auto"/>
          <w:sz w:val="34"/>
          <w:szCs w:val="34"/>
          <w:lang w:val="zh-CN"/>
        </w:rPr>
      </w:pPr>
      <w:r>
        <w:rPr>
          <w:rFonts w:ascii="仿宋_GB2312" w:hAnsi="宋体" w:eastAsia="仿宋_GB2312" w:cs="黑体"/>
          <w:bCs/>
          <w:color w:val="auto"/>
          <w:sz w:val="34"/>
          <w:szCs w:val="34"/>
        </w:rPr>
        <w:t>2.</w:t>
      </w:r>
      <w:r>
        <w:rPr>
          <w:rFonts w:hint="eastAsia" w:ascii="仿宋_GB2312" w:hAnsi="宋体" w:eastAsia="仿宋_GB2312" w:cs="黑体"/>
          <w:bCs/>
          <w:color w:val="auto"/>
          <w:sz w:val="34"/>
          <w:szCs w:val="34"/>
        </w:rPr>
        <w:t>火灾</w:t>
      </w:r>
      <w:r>
        <w:rPr>
          <w:rFonts w:hint="eastAsia" w:ascii="仿宋_GB2312" w:hAnsi="宋体" w:eastAsia="仿宋_GB2312"/>
          <w:color w:val="auto"/>
          <w:sz w:val="34"/>
          <w:szCs w:val="34"/>
          <w:lang w:val="zh-CN"/>
        </w:rPr>
        <w:t>事故报警要求：电话报警时，情绪要镇静，电话接通后，要讲清火灾发生的详细地点、着火的介质和火灾的严重程度等情况，以便消防部门及时派出相应的消防力量；同时还要注意消防队值班人员的发问，并把自己的姓名和电话号码告诉对方，以便消防部门及时与现场联系，并派人在路口迎接消防车。</w:t>
      </w:r>
    </w:p>
    <w:p w14:paraId="78B175D2">
      <w:pPr>
        <w:spacing w:line="600" w:lineRule="exact"/>
        <w:ind w:firstLine="680" w:firstLineChars="200"/>
        <w:rPr>
          <w:rFonts w:ascii="仿宋_GB2312" w:eastAsia="仿宋_GB2312" w:cs="黑体"/>
          <w:bCs/>
          <w:color w:val="auto"/>
          <w:sz w:val="34"/>
          <w:szCs w:val="34"/>
        </w:rPr>
      </w:pPr>
      <w:r>
        <w:rPr>
          <w:rFonts w:ascii="仿宋_GB2312" w:hAnsi="宋体" w:eastAsia="仿宋_GB2312" w:cs="黑体"/>
          <w:bCs/>
          <w:color w:val="auto"/>
          <w:sz w:val="34"/>
          <w:szCs w:val="34"/>
        </w:rPr>
        <w:t>3.</w:t>
      </w:r>
      <w:r>
        <w:rPr>
          <w:rFonts w:hint="eastAsia" w:ascii="仿宋_GB2312" w:hAnsi="宋体" w:eastAsia="仿宋_GB2312" w:cs="黑体"/>
          <w:bCs/>
          <w:color w:val="auto"/>
          <w:sz w:val="34"/>
          <w:szCs w:val="34"/>
        </w:rPr>
        <w:t>火灾扑救方法：手持灭火器，站在上风向，离着火点</w:t>
      </w:r>
      <w:r>
        <w:rPr>
          <w:rFonts w:ascii="仿宋_GB2312" w:hAnsi="宋体" w:eastAsia="仿宋_GB2312" w:cs="黑体"/>
          <w:bCs/>
          <w:color w:val="auto"/>
          <w:sz w:val="34"/>
          <w:szCs w:val="34"/>
        </w:rPr>
        <w:t>2-3</w:t>
      </w:r>
      <w:r>
        <w:rPr>
          <w:rFonts w:hint="eastAsia" w:ascii="仿宋_GB2312" w:hAnsi="宋体" w:eastAsia="仿宋_GB2312" w:cs="黑体"/>
          <w:bCs/>
          <w:color w:val="auto"/>
          <w:sz w:val="34"/>
          <w:szCs w:val="34"/>
        </w:rPr>
        <w:t>米，拔下插销，对准火源根部，按下压把，由近及远推进。</w:t>
      </w:r>
    </w:p>
    <w:p w14:paraId="155B1309">
      <w:pPr>
        <w:spacing w:line="600" w:lineRule="exact"/>
        <w:ind w:firstLine="680" w:firstLineChars="200"/>
        <w:rPr>
          <w:rFonts w:ascii="楷体" w:hAnsi="楷体" w:eastAsia="楷体" w:cs="黑体"/>
          <w:bCs/>
          <w:color w:val="auto"/>
          <w:sz w:val="34"/>
          <w:szCs w:val="34"/>
        </w:rPr>
      </w:pPr>
      <w:r>
        <w:rPr>
          <w:rFonts w:hint="eastAsia" w:ascii="楷体" w:hAnsi="楷体" w:eastAsia="楷体" w:cs="仿宋_GB2312"/>
          <w:color w:val="auto"/>
          <w:kern w:val="0"/>
          <w:sz w:val="34"/>
          <w:szCs w:val="34"/>
        </w:rPr>
        <w:t>（二）</w:t>
      </w:r>
      <w:r>
        <w:rPr>
          <w:rFonts w:hint="eastAsia" w:ascii="楷体" w:hAnsi="楷体" w:eastAsia="楷体" w:cs="黑体"/>
          <w:bCs/>
          <w:color w:val="auto"/>
          <w:sz w:val="34"/>
          <w:szCs w:val="34"/>
        </w:rPr>
        <w:t>人员受伤、窒息、中毒报警</w:t>
      </w:r>
    </w:p>
    <w:p w14:paraId="67DEF918">
      <w:pPr>
        <w:spacing w:line="600" w:lineRule="exact"/>
        <w:ind w:firstLine="680" w:firstLineChars="200"/>
        <w:rPr>
          <w:rFonts w:ascii="仿宋_GB2312" w:eastAsia="仿宋_GB2312" w:cs="黑体"/>
          <w:bCs/>
          <w:color w:val="auto"/>
          <w:sz w:val="34"/>
          <w:szCs w:val="34"/>
        </w:rPr>
      </w:pPr>
      <w:r>
        <w:rPr>
          <w:rFonts w:hint="eastAsia" w:ascii="仿宋_GB2312" w:hAnsi="宋体" w:eastAsia="仿宋_GB2312"/>
          <w:color w:val="auto"/>
          <w:sz w:val="34"/>
          <w:szCs w:val="34"/>
          <w:lang w:val="zh-CN"/>
        </w:rPr>
        <w:t>应在第一时间拨打</w:t>
      </w:r>
      <w:r>
        <w:rPr>
          <w:rFonts w:ascii="仿宋_GB2312" w:hAnsi="宋体" w:eastAsia="仿宋_GB2312"/>
          <w:color w:val="auto"/>
          <w:sz w:val="34"/>
          <w:szCs w:val="34"/>
          <w:lang w:val="zh-CN"/>
        </w:rPr>
        <w:t>120</w:t>
      </w:r>
      <w:r>
        <w:rPr>
          <w:rFonts w:hint="eastAsia" w:ascii="仿宋_GB2312" w:hAnsi="宋体" w:eastAsia="仿宋_GB2312"/>
          <w:color w:val="auto"/>
          <w:sz w:val="34"/>
          <w:szCs w:val="34"/>
          <w:lang w:val="zh-CN"/>
        </w:rPr>
        <w:t>，寻求救护。同时向上级部门汇报。报警时要讲清受伤人员情况，并派人在路口迎接救护车。</w:t>
      </w:r>
    </w:p>
    <w:p w14:paraId="58A0F72D">
      <w:pPr>
        <w:spacing w:line="600" w:lineRule="exact"/>
        <w:ind w:firstLine="715" w:firstLineChars="200"/>
        <w:rPr>
          <w:rFonts w:ascii="仿宋_GB2312" w:eastAsia="仿宋_GB2312" w:cs="黑体"/>
          <w:bCs/>
          <w:color w:val="auto"/>
          <w:sz w:val="34"/>
          <w:szCs w:val="34"/>
        </w:rPr>
      </w:pPr>
      <w:r>
        <w:rPr>
          <w:rFonts w:hint="eastAsia" w:ascii="仿宋_GB2312" w:hAnsi="黑体" w:eastAsia="仿宋_GB2312" w:cs="Arial"/>
          <w:b/>
          <w:color w:val="auto"/>
          <w:spacing w:val="8"/>
          <w:sz w:val="34"/>
          <w:szCs w:val="34"/>
        </w:rPr>
        <w:t>第一百零九条</w:t>
      </w:r>
      <w:r>
        <w:rPr>
          <w:rFonts w:ascii="仿宋_GB2312" w:hAnsi="黑体" w:eastAsia="仿宋_GB2312" w:cs="Arial"/>
          <w:b/>
          <w:color w:val="auto"/>
          <w:spacing w:val="8"/>
          <w:sz w:val="34"/>
          <w:szCs w:val="34"/>
        </w:rPr>
        <w:t xml:space="preserve"> </w:t>
      </w:r>
      <w:r>
        <w:rPr>
          <w:rFonts w:hint="eastAsia" w:ascii="仿宋_GB2312" w:hAnsi="宋体" w:eastAsia="仿宋_GB2312" w:cs="黑体"/>
          <w:bCs/>
          <w:color w:val="auto"/>
          <w:sz w:val="34"/>
          <w:szCs w:val="34"/>
        </w:rPr>
        <w:t>人员疏散、撤离要求：</w:t>
      </w:r>
    </w:p>
    <w:p w14:paraId="39030D4E">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当周边生产装置发生泄漏、火灾事故时，施工人员应立即停止作业，再关闭临时用电箱电源；关闭气瓶阀门后，迅速</w:t>
      </w:r>
      <w:r>
        <w:rPr>
          <w:rFonts w:hint="eastAsia" w:ascii="仿宋_GB2312" w:hAnsi="宋体" w:eastAsia="仿宋_GB2312"/>
          <w:color w:val="auto"/>
          <w:sz w:val="34"/>
          <w:szCs w:val="34"/>
          <w:lang w:val="en-US" w:eastAsia="zh-CN"/>
        </w:rPr>
        <w:t>辨</w:t>
      </w:r>
      <w:r>
        <w:rPr>
          <w:rFonts w:hint="eastAsia" w:ascii="仿宋_GB2312" w:hAnsi="宋体" w:eastAsia="仿宋_GB2312"/>
          <w:color w:val="auto"/>
          <w:sz w:val="34"/>
          <w:szCs w:val="34"/>
        </w:rPr>
        <w:t>明风向，向上风向撤离；若上风向有泄漏源，应绕开泄漏源后撤离。根据现场情况和风向确定</w:t>
      </w:r>
      <w:r>
        <w:rPr>
          <w:rFonts w:hint="eastAsia" w:ascii="仿宋_GB2312" w:hAnsi="宋体" w:eastAsia="仿宋_GB2312"/>
          <w:color w:val="auto"/>
          <w:sz w:val="34"/>
          <w:szCs w:val="34"/>
          <w:lang w:val="en-US" w:eastAsia="zh-CN"/>
        </w:rPr>
        <w:t>两个</w:t>
      </w:r>
      <w:r>
        <w:rPr>
          <w:rFonts w:hint="eastAsia" w:ascii="仿宋_GB2312" w:hAnsi="宋体" w:eastAsia="仿宋_GB2312"/>
          <w:color w:val="auto"/>
          <w:sz w:val="34"/>
          <w:szCs w:val="34"/>
        </w:rPr>
        <w:t>集合点。第一集合点：</w:t>
      </w:r>
      <w:r>
        <w:rPr>
          <w:rFonts w:hint="eastAsia" w:ascii="仿宋_GB2312" w:hAnsi="宋体" w:eastAsia="仿宋_GB2312"/>
          <w:color w:val="auto"/>
          <w:sz w:val="34"/>
          <w:szCs w:val="34"/>
          <w:lang w:val="en-US" w:eastAsia="zh-CN"/>
        </w:rPr>
        <w:t>×××</w:t>
      </w:r>
      <w:r>
        <w:rPr>
          <w:rFonts w:hint="eastAsia" w:ascii="仿宋_GB2312" w:hAnsi="宋体" w:eastAsia="仿宋_GB2312"/>
          <w:color w:val="auto"/>
          <w:sz w:val="34"/>
          <w:szCs w:val="34"/>
        </w:rPr>
        <w:t>；第二集合点：</w:t>
      </w:r>
      <w:r>
        <w:rPr>
          <w:rFonts w:hint="eastAsia" w:ascii="仿宋_GB2312" w:hAnsi="宋体" w:eastAsia="仿宋_GB2312"/>
          <w:color w:val="auto"/>
          <w:sz w:val="34"/>
          <w:szCs w:val="34"/>
          <w:lang w:val="en-US" w:eastAsia="zh-CN"/>
        </w:rPr>
        <w:t>×××</w:t>
      </w:r>
      <w:r>
        <w:rPr>
          <w:rFonts w:hint="eastAsia" w:ascii="仿宋_GB2312" w:hAnsi="宋体" w:eastAsia="仿宋_GB2312"/>
          <w:color w:val="auto"/>
          <w:sz w:val="34"/>
          <w:szCs w:val="34"/>
        </w:rPr>
        <w:t>。</w:t>
      </w:r>
    </w:p>
    <w:p w14:paraId="78B8738F">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施工人员到集合点集中后，项目负责人或施工队长应立即清点人数，并向项目部或总承包商汇报撤离情况。</w:t>
      </w:r>
    </w:p>
    <w:p w14:paraId="7FB68F4C">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第一百一十条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事故应急救援要求：</w:t>
      </w:r>
    </w:p>
    <w:p w14:paraId="64B6CEC3">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施救人员必须在做好个人防护后，才能进入事故现场救人。禁止盲目施救。</w:t>
      </w:r>
    </w:p>
    <w:p w14:paraId="3C2F07A8">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第一百一十一条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受伤人员救治要求：</w:t>
      </w:r>
    </w:p>
    <w:p w14:paraId="7B15014E">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eastAsia="仿宋_GB2312"/>
          <w:color w:val="auto"/>
          <w:sz w:val="34"/>
          <w:szCs w:val="34"/>
        </w:rPr>
      </w:pPr>
      <w:r>
        <w:rPr>
          <w:rFonts w:hint="eastAsia" w:ascii="楷体" w:hAnsi="楷体" w:eastAsia="楷体" w:cs="仿宋_GB2312"/>
          <w:color w:val="auto"/>
          <w:kern w:val="0"/>
          <w:sz w:val="34"/>
          <w:szCs w:val="34"/>
        </w:rPr>
        <w:t>（一）</w:t>
      </w:r>
      <w:r>
        <w:rPr>
          <w:rFonts w:hint="eastAsia" w:ascii="楷体" w:hAnsi="楷体" w:eastAsia="楷体"/>
          <w:color w:val="auto"/>
          <w:sz w:val="34"/>
          <w:szCs w:val="34"/>
        </w:rPr>
        <w:t>烧伤救治：</w:t>
      </w:r>
      <w:r>
        <w:rPr>
          <w:rFonts w:hint="eastAsia" w:ascii="仿宋_GB2312" w:hAnsi="宋体" w:eastAsia="仿宋_GB2312"/>
          <w:color w:val="auto"/>
          <w:sz w:val="34"/>
          <w:szCs w:val="34"/>
        </w:rPr>
        <w:t>当人员身上着火时，可用水将火浇灭，或尽快脱下着火的衣服，特别是化纤衣服，以免着火衣服或衣服上的热液使创面加大加深；亦可就地打滚（打滚速度不宜太快）使身上的火熄灭。切忌奔跑，因为奔跑会加快空气流动而促进燃烧。在自救、互救过程中，始终要保护好自己的双手、头面部，切勿用手扑要火焰。灭火后的棉衣或毛衣务必仔细检查，看是否有余烬未灭。烧伤后冷疗越早，效果越好，方法是：将烧伤创面用冷水淋洗或浸入冷水中，水温一般为</w:t>
      </w:r>
      <w:r>
        <w:rPr>
          <w:rFonts w:ascii="仿宋_GB2312" w:hAnsi="宋体" w:eastAsia="仿宋_GB2312"/>
          <w:color w:val="auto"/>
          <w:sz w:val="34"/>
          <w:szCs w:val="34"/>
        </w:rPr>
        <w:t>15</w:t>
      </w:r>
      <w:r>
        <w:rPr>
          <w:rFonts w:hint="eastAsia" w:ascii="仿宋_GB2312" w:hAnsi="宋体" w:eastAsia="仿宋_GB2312"/>
          <w:color w:val="auto"/>
          <w:sz w:val="34"/>
          <w:szCs w:val="34"/>
        </w:rPr>
        <w:t>－</w:t>
      </w:r>
      <w:r>
        <w:rPr>
          <w:rFonts w:ascii="仿宋_GB2312" w:hAnsi="宋体" w:eastAsia="仿宋_GB2312"/>
          <w:color w:val="auto"/>
          <w:sz w:val="34"/>
          <w:szCs w:val="34"/>
        </w:rPr>
        <w:t>20</w:t>
      </w:r>
      <w:r>
        <w:rPr>
          <w:rFonts w:hint="eastAsia" w:ascii="仿宋_GB2312" w:hAnsi="宋体" w:eastAsia="仿宋_GB2312"/>
          <w:color w:val="auto"/>
          <w:sz w:val="34"/>
          <w:szCs w:val="34"/>
        </w:rPr>
        <w:t>℃，或用冷水浸湿毛巾等敷于创面，冷疗至创面不再剧痛为止。不要弄破水泡和撕去腐皮。</w:t>
      </w:r>
    </w:p>
    <w:p w14:paraId="125118BE">
      <w:pPr>
        <w:spacing w:line="600" w:lineRule="exact"/>
        <w:ind w:firstLine="680" w:firstLineChars="200"/>
        <w:rPr>
          <w:rFonts w:ascii="仿宋_GB2312" w:eastAsia="仿宋_GB2312"/>
          <w:color w:val="auto"/>
          <w:sz w:val="34"/>
          <w:szCs w:val="34"/>
        </w:rPr>
      </w:pPr>
      <w:r>
        <w:rPr>
          <w:rFonts w:hint="eastAsia" w:ascii="楷体" w:hAnsi="楷体" w:eastAsia="楷体" w:cs="仿宋_GB2312"/>
          <w:color w:val="auto"/>
          <w:kern w:val="0"/>
          <w:sz w:val="34"/>
          <w:szCs w:val="34"/>
        </w:rPr>
        <w:t>（二）</w:t>
      </w:r>
      <w:r>
        <w:rPr>
          <w:rFonts w:hint="eastAsia" w:ascii="楷体" w:hAnsi="楷体" w:eastAsia="楷体"/>
          <w:color w:val="auto"/>
          <w:sz w:val="34"/>
          <w:szCs w:val="34"/>
        </w:rPr>
        <w:t>坠落事故：</w:t>
      </w:r>
      <w:r>
        <w:rPr>
          <w:rFonts w:hint="eastAsia" w:ascii="仿宋_GB2312" w:hAnsi="宋体" w:eastAsia="仿宋_GB2312"/>
          <w:color w:val="auto"/>
          <w:sz w:val="34"/>
          <w:szCs w:val="34"/>
        </w:rPr>
        <w:t>对伤势严重者特别是颈椎、脊椎受伤者，不要随便挪动，等医务人员到来后再进行救治。</w:t>
      </w:r>
    </w:p>
    <w:p w14:paraId="47A3FD5A">
      <w:pPr>
        <w:spacing w:line="480" w:lineRule="exact"/>
        <w:ind w:firstLine="680" w:firstLineChars="200"/>
        <w:rPr>
          <w:rFonts w:hint="eastAsia" w:ascii="楷体" w:hAnsi="楷体" w:eastAsia="楷体"/>
          <w:color w:val="auto"/>
          <w:sz w:val="34"/>
          <w:szCs w:val="34"/>
        </w:rPr>
      </w:pPr>
      <w:r>
        <w:rPr>
          <w:rFonts w:hint="eastAsia" w:ascii="楷体" w:hAnsi="楷体" w:eastAsia="楷体" w:cs="仿宋_GB2312"/>
          <w:color w:val="auto"/>
          <w:kern w:val="0"/>
          <w:sz w:val="34"/>
          <w:szCs w:val="34"/>
        </w:rPr>
        <w:t>（三）</w:t>
      </w:r>
      <w:r>
        <w:rPr>
          <w:rFonts w:hint="eastAsia" w:ascii="楷体" w:hAnsi="楷体" w:eastAsia="楷体"/>
          <w:color w:val="auto"/>
          <w:sz w:val="34"/>
          <w:szCs w:val="34"/>
        </w:rPr>
        <w:t>中毒</w:t>
      </w:r>
      <w:r>
        <w:rPr>
          <w:rFonts w:hint="eastAsia" w:ascii="楷体" w:hAnsi="楷体" w:eastAsia="楷体" w:cs="黑体"/>
          <w:bCs/>
          <w:color w:val="auto"/>
          <w:sz w:val="34"/>
          <w:szCs w:val="34"/>
        </w:rPr>
        <w:t>窒息</w:t>
      </w:r>
      <w:r>
        <w:rPr>
          <w:rFonts w:hint="eastAsia" w:ascii="楷体" w:hAnsi="楷体" w:eastAsia="楷体"/>
          <w:color w:val="auto"/>
          <w:sz w:val="34"/>
          <w:szCs w:val="34"/>
        </w:rPr>
        <w:t>救治：</w:t>
      </w:r>
    </w:p>
    <w:p w14:paraId="4329D70C">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宋体" w:eastAsia="仿宋_GB2312"/>
          <w:color w:val="auto"/>
          <w:sz w:val="34"/>
          <w:szCs w:val="34"/>
        </w:rPr>
      </w:pPr>
      <w:r>
        <w:rPr>
          <w:rFonts w:hint="eastAsia" w:ascii="仿宋_GB2312" w:hAnsi="宋体" w:eastAsia="仿宋_GB2312"/>
          <w:color w:val="auto"/>
          <w:sz w:val="34"/>
          <w:szCs w:val="34"/>
        </w:rPr>
        <w:t>将伤员抬至上风安全区，进行现场急救。有心跳呼吸者用医用吸氧器供氧；无心跳呼吸者进行心脏胸外按压，频次为80-100次/分钟，直至救护车到达。在搬移受伤者至救护车上的过程中，心脏复苏术的中断不能超过30秒。</w:t>
      </w:r>
    </w:p>
    <w:p w14:paraId="3EC610F2">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eastAsia="仿宋_GB2312"/>
          <w:color w:val="auto"/>
          <w:sz w:val="34"/>
          <w:szCs w:val="34"/>
        </w:rPr>
      </w:pPr>
      <w:r>
        <w:rPr>
          <w:rFonts w:hint="eastAsia" w:ascii="仿宋_GB2312" w:hAnsi="宋体" w:eastAsia="仿宋_GB2312"/>
          <w:color w:val="auto"/>
          <w:sz w:val="34"/>
          <w:szCs w:val="34"/>
        </w:rPr>
        <w:t>中毒窒息</w:t>
      </w:r>
      <w:r>
        <w:rPr>
          <w:rFonts w:hint="eastAsia" w:ascii="仿宋_GB2312" w:hAnsi="宋体" w:eastAsia="仿宋_GB2312"/>
          <w:color w:val="auto"/>
          <w:sz w:val="34"/>
          <w:szCs w:val="34"/>
          <w:lang w:val="en-US" w:eastAsia="zh-CN"/>
        </w:rPr>
        <w:t>症状较严重的，应立即送往具备高压氧仓等较好的医疗设施和条件的</w:t>
      </w:r>
      <w:r>
        <w:rPr>
          <w:rFonts w:hint="eastAsia" w:ascii="仿宋_GB2312" w:hAnsi="宋体" w:eastAsia="仿宋_GB2312"/>
          <w:color w:val="auto"/>
          <w:sz w:val="34"/>
          <w:szCs w:val="34"/>
        </w:rPr>
        <w:t>镇江市</w:t>
      </w:r>
      <w:r>
        <w:rPr>
          <w:rFonts w:hint="eastAsia" w:ascii="仿宋_GB2312" w:hAnsi="宋体" w:eastAsia="仿宋_GB2312"/>
          <w:color w:val="auto"/>
          <w:sz w:val="34"/>
          <w:szCs w:val="34"/>
          <w:lang w:val="en-US" w:eastAsia="zh-CN"/>
        </w:rPr>
        <w:t>第一人民医院和江苏大学附属医院（江滨医院）三甲医院，保证得到充分及时救治。</w:t>
      </w:r>
    </w:p>
    <w:p w14:paraId="3E9955B5">
      <w:pPr>
        <w:numPr>
          <w:ilvl w:val="0"/>
          <w:numId w:val="3"/>
        </w:numPr>
        <w:spacing w:line="600" w:lineRule="exact"/>
        <w:ind w:firstLine="680" w:firstLineChars="200"/>
        <w:rPr>
          <w:rFonts w:ascii="仿宋_GB2312" w:eastAsia="仿宋_GB2312"/>
          <w:color w:val="auto"/>
          <w:sz w:val="34"/>
          <w:szCs w:val="34"/>
        </w:rPr>
      </w:pPr>
      <w:r>
        <w:rPr>
          <w:rFonts w:hint="eastAsia" w:ascii="楷体" w:hAnsi="楷体" w:eastAsia="楷体"/>
          <w:color w:val="auto"/>
          <w:sz w:val="34"/>
          <w:szCs w:val="34"/>
        </w:rPr>
        <w:t>酸类灼伤救治</w:t>
      </w:r>
      <w:r>
        <w:rPr>
          <w:rFonts w:hint="eastAsia" w:ascii="仿宋_GB2312" w:hAnsi="宋体" w:eastAsia="仿宋_GB2312"/>
          <w:color w:val="auto"/>
          <w:sz w:val="34"/>
          <w:szCs w:val="34"/>
        </w:rPr>
        <w:t>：立即脱去受污染的衣物，用大量流动清水冲洗</w:t>
      </w:r>
      <w:r>
        <w:rPr>
          <w:rFonts w:ascii="仿宋_GB2312" w:hAnsi="宋体" w:eastAsia="仿宋_GB2312"/>
          <w:color w:val="auto"/>
          <w:sz w:val="34"/>
          <w:szCs w:val="34"/>
        </w:rPr>
        <w:t>15</w:t>
      </w:r>
      <w:r>
        <w:rPr>
          <w:rFonts w:hint="eastAsia" w:ascii="仿宋_GB2312" w:hAnsi="宋体" w:eastAsia="仿宋_GB2312"/>
          <w:color w:val="auto"/>
          <w:sz w:val="34"/>
          <w:szCs w:val="34"/>
        </w:rPr>
        <w:t>分钟以上，或用事故柜内中和剂中和。</w:t>
      </w:r>
    </w:p>
    <w:p w14:paraId="6378493A">
      <w:pPr>
        <w:spacing w:line="600" w:lineRule="exact"/>
        <w:ind w:firstLine="715" w:firstLineChars="200"/>
        <w:rPr>
          <w:rFonts w:ascii="仿宋_GB2312" w:eastAsia="仿宋_GB2312"/>
          <w:color w:val="auto"/>
          <w:sz w:val="34"/>
          <w:szCs w:val="34"/>
        </w:rPr>
      </w:pPr>
      <w:r>
        <w:rPr>
          <w:rFonts w:hint="eastAsia" w:ascii="仿宋_GB2312" w:hAnsi="黑体" w:eastAsia="仿宋_GB2312" w:cs="Arial"/>
          <w:b/>
          <w:color w:val="auto"/>
          <w:spacing w:val="8"/>
          <w:sz w:val="34"/>
          <w:szCs w:val="34"/>
        </w:rPr>
        <w:t>第一百一十二条</w:t>
      </w:r>
      <w:r>
        <w:rPr>
          <w:rFonts w:ascii="仿宋_GB2312" w:hAnsi="黑体" w:eastAsia="仿宋_GB2312" w:cs="Arial"/>
          <w:b/>
          <w:color w:val="auto"/>
          <w:spacing w:val="8"/>
          <w:sz w:val="34"/>
          <w:szCs w:val="34"/>
        </w:rPr>
        <w:t xml:space="preserve"> </w:t>
      </w:r>
      <w:r>
        <w:rPr>
          <w:rFonts w:hint="eastAsia" w:ascii="仿宋_GB2312" w:hAnsi="宋体" w:eastAsia="仿宋_GB2312"/>
          <w:color w:val="auto"/>
          <w:sz w:val="34"/>
          <w:szCs w:val="34"/>
        </w:rPr>
        <w:t>报警电话和医疗救护电话：</w:t>
      </w:r>
    </w:p>
    <w:p w14:paraId="65D0DE5D">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公司内部火警电话：</w:t>
      </w:r>
      <w:r>
        <w:rPr>
          <w:rFonts w:hint="eastAsia" w:ascii="仿宋_GB2312" w:hAnsi="宋体" w:eastAsia="仿宋_GB2312"/>
          <w:color w:val="auto"/>
          <w:sz w:val="34"/>
          <w:szCs w:val="34"/>
          <w:lang w:val="en-US" w:eastAsia="zh-CN"/>
        </w:rPr>
        <w:t>索普集团0511-</w:t>
      </w:r>
      <w:r>
        <w:rPr>
          <w:rFonts w:ascii="仿宋_GB2312" w:hAnsi="宋体" w:eastAsia="仿宋_GB2312"/>
          <w:color w:val="auto"/>
          <w:sz w:val="34"/>
          <w:szCs w:val="34"/>
          <w:lang w:val="zh-CN"/>
        </w:rPr>
        <w:t>88995119</w:t>
      </w:r>
      <w:r>
        <w:rPr>
          <w:rFonts w:hint="eastAsia" w:ascii="仿宋_GB2312" w:hAnsi="宋体" w:eastAsia="仿宋_GB2312"/>
          <w:color w:val="auto"/>
          <w:sz w:val="34"/>
          <w:szCs w:val="34"/>
          <w:lang w:val="en-US" w:eastAsia="zh-CN"/>
        </w:rPr>
        <w:t>/索普新材料0511-89989119</w:t>
      </w:r>
      <w:r>
        <w:rPr>
          <w:rFonts w:hint="eastAsia" w:ascii="仿宋_GB2312" w:hAnsi="宋体" w:eastAsia="仿宋_GB2312"/>
          <w:color w:val="auto"/>
          <w:sz w:val="34"/>
          <w:szCs w:val="34"/>
        </w:rPr>
        <w:t>　　</w:t>
      </w:r>
    </w:p>
    <w:p w14:paraId="4E29E054">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镇江市：</w:t>
      </w:r>
      <w:r>
        <w:rPr>
          <w:rFonts w:ascii="仿宋_GB2312" w:hAnsi="宋体" w:eastAsia="仿宋_GB2312"/>
          <w:color w:val="auto"/>
          <w:sz w:val="34"/>
          <w:szCs w:val="34"/>
        </w:rPr>
        <w:t xml:space="preserve">  </w:t>
      </w:r>
      <w:r>
        <w:rPr>
          <w:rFonts w:hint="eastAsia" w:ascii="仿宋_GB2312" w:hAnsi="宋体" w:eastAsia="仿宋_GB2312"/>
          <w:color w:val="auto"/>
          <w:sz w:val="34"/>
          <w:szCs w:val="34"/>
        </w:rPr>
        <w:t>火警电话：</w:t>
      </w:r>
      <w:r>
        <w:rPr>
          <w:rFonts w:ascii="仿宋_GB2312" w:hAnsi="宋体" w:eastAsia="仿宋_GB2312"/>
          <w:color w:val="auto"/>
          <w:sz w:val="34"/>
          <w:szCs w:val="34"/>
        </w:rPr>
        <w:t xml:space="preserve">119  </w:t>
      </w:r>
      <w:r>
        <w:rPr>
          <w:rFonts w:hint="eastAsia" w:ascii="仿宋_GB2312" w:hAnsi="宋体" w:eastAsia="仿宋_GB2312"/>
          <w:color w:val="auto"/>
          <w:sz w:val="34"/>
          <w:szCs w:val="34"/>
        </w:rPr>
        <w:t>　</w:t>
      </w:r>
    </w:p>
    <w:p w14:paraId="038D0902">
      <w:pPr>
        <w:spacing w:line="600" w:lineRule="exact"/>
        <w:ind w:firstLine="680" w:firstLineChars="200"/>
        <w:rPr>
          <w:rFonts w:ascii="仿宋_GB2312" w:eastAsia="仿宋_GB2312"/>
          <w:color w:val="auto"/>
          <w:sz w:val="34"/>
          <w:szCs w:val="34"/>
        </w:rPr>
      </w:pPr>
      <w:r>
        <w:rPr>
          <w:rFonts w:hint="eastAsia" w:ascii="仿宋_GB2312" w:hAnsi="宋体" w:eastAsia="仿宋_GB2312"/>
          <w:color w:val="auto"/>
          <w:sz w:val="34"/>
          <w:szCs w:val="34"/>
        </w:rPr>
        <w:t>医疗救护电话</w:t>
      </w:r>
      <w:r>
        <w:rPr>
          <w:rFonts w:ascii="仿宋_GB2312" w:hAnsi="宋体" w:eastAsia="仿宋_GB2312"/>
          <w:color w:val="auto"/>
          <w:sz w:val="34"/>
          <w:szCs w:val="34"/>
        </w:rPr>
        <w:t>:120</w:t>
      </w:r>
    </w:p>
    <w:p w14:paraId="404D2C8E">
      <w:pPr>
        <w:rPr>
          <w:color w:val="auto"/>
        </w:rPr>
      </w:pPr>
    </w:p>
    <w:p w14:paraId="7BAB0185">
      <w:pPr>
        <w:spacing w:line="600" w:lineRule="exact"/>
        <w:ind w:firstLine="560" w:firstLineChars="200"/>
        <w:rPr>
          <w:rFonts w:ascii="宋体"/>
          <w:color w:val="auto"/>
          <w:sz w:val="28"/>
          <w:szCs w:val="28"/>
        </w:rPr>
      </w:pPr>
    </w:p>
    <w:p w14:paraId="3E5F6FB8">
      <w:pPr>
        <w:spacing w:line="600" w:lineRule="exact"/>
        <w:ind w:firstLine="560" w:firstLineChars="200"/>
        <w:rPr>
          <w:rFonts w:ascii="宋体"/>
          <w:color w:val="auto"/>
          <w:sz w:val="28"/>
          <w:szCs w:val="28"/>
        </w:rPr>
      </w:pPr>
    </w:p>
    <w:p w14:paraId="49ACE136">
      <w:pPr>
        <w:spacing w:line="600" w:lineRule="exact"/>
        <w:ind w:firstLine="560" w:firstLineChars="200"/>
        <w:rPr>
          <w:rFonts w:ascii="宋体"/>
          <w:color w:val="auto"/>
          <w:sz w:val="28"/>
          <w:szCs w:val="28"/>
        </w:rPr>
      </w:pPr>
    </w:p>
    <w:p w14:paraId="5D9094FB">
      <w:pPr>
        <w:spacing w:line="600" w:lineRule="exact"/>
        <w:rPr>
          <w:rFonts w:ascii="仿宋_GB2312" w:hAnsi="宋体" w:eastAsia="仿宋_GB2312" w:cs="黑体"/>
          <w:b/>
          <w:bCs/>
          <w:color w:val="auto"/>
          <w:sz w:val="34"/>
          <w:szCs w:val="34"/>
        </w:rPr>
      </w:pPr>
      <w:r>
        <w:rPr>
          <w:rFonts w:hint="eastAsia" w:ascii="仿宋_GB2312" w:hAnsi="宋体" w:eastAsia="仿宋_GB2312" w:cs="黑体"/>
          <w:b/>
          <w:bCs/>
          <w:color w:val="auto"/>
          <w:sz w:val="34"/>
          <w:szCs w:val="34"/>
        </w:rPr>
        <w:t>附件</w:t>
      </w:r>
      <w:r>
        <w:rPr>
          <w:rFonts w:ascii="仿宋_GB2312" w:hAnsi="宋体" w:eastAsia="仿宋_GB2312" w:cs="黑体"/>
          <w:b/>
          <w:bCs/>
          <w:color w:val="auto"/>
          <w:sz w:val="34"/>
          <w:szCs w:val="34"/>
        </w:rPr>
        <w:t>1.</w:t>
      </w:r>
      <w:r>
        <w:rPr>
          <w:rFonts w:hint="eastAsia" w:ascii="仿宋_GB2312" w:eastAsia="仿宋_GB2312" w:cs="Times New Roman"/>
          <w:b/>
          <w:color w:val="auto"/>
          <w:sz w:val="34"/>
          <w:szCs w:val="34"/>
          <w:lang w:val="en-US" w:eastAsia="zh-CN"/>
        </w:rPr>
        <w:t>（仅供参考）</w:t>
      </w:r>
    </w:p>
    <w:p w14:paraId="5CBA6A1B">
      <w:pPr>
        <w:spacing w:afterLines="100" w:line="600" w:lineRule="exact"/>
        <w:ind w:firstLine="880" w:firstLineChars="200"/>
        <w:jc w:val="center"/>
        <w:rPr>
          <w:rFonts w:ascii="方正小标宋简体" w:eastAsia="方正小标宋简体" w:cs="黑体"/>
          <w:bCs/>
          <w:color w:val="auto"/>
          <w:sz w:val="44"/>
          <w:szCs w:val="44"/>
        </w:rPr>
      </w:pPr>
      <w:r>
        <w:rPr>
          <w:rFonts w:hint="eastAsia" w:ascii="方正小标宋简体" w:hAnsi="宋体" w:eastAsia="方正小标宋简体" w:cs="黑体"/>
          <w:bCs/>
          <w:color w:val="auto"/>
          <w:sz w:val="44"/>
          <w:szCs w:val="44"/>
        </w:rPr>
        <w:t>基建及产业项目承包商安全</w:t>
      </w:r>
      <w:r>
        <w:rPr>
          <w:rFonts w:hint="eastAsia" w:ascii="方正小标宋简体" w:hAnsi="宋体" w:eastAsia="方正小标宋简体" w:cs="黑体"/>
          <w:bCs/>
          <w:color w:val="auto"/>
          <w:sz w:val="44"/>
          <w:szCs w:val="44"/>
          <w:lang w:val="en-US" w:eastAsia="zh-CN"/>
        </w:rPr>
        <w:t>环保</w:t>
      </w:r>
      <w:r>
        <w:rPr>
          <w:rFonts w:hint="eastAsia" w:ascii="方正小标宋简体" w:hAnsi="宋体" w:eastAsia="方正小标宋简体" w:cs="黑体"/>
          <w:bCs/>
          <w:color w:val="auto"/>
          <w:sz w:val="44"/>
          <w:szCs w:val="44"/>
        </w:rPr>
        <w:t>承诺</w:t>
      </w:r>
    </w:p>
    <w:p w14:paraId="47F4E5D7">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一、安全</w:t>
      </w:r>
      <w:r>
        <w:rPr>
          <w:rFonts w:hint="eastAsia" w:ascii="仿宋_GB2312" w:hAnsi="宋体" w:eastAsia="仿宋_GB2312" w:cs="黑体"/>
          <w:bCs/>
          <w:color w:val="auto"/>
          <w:sz w:val="34"/>
          <w:szCs w:val="34"/>
          <w:lang w:val="en-US" w:eastAsia="zh-CN"/>
        </w:rPr>
        <w:t>环保</w:t>
      </w:r>
      <w:r>
        <w:rPr>
          <w:rFonts w:hint="eastAsia" w:ascii="仿宋_GB2312" w:hAnsi="宋体" w:eastAsia="仿宋_GB2312" w:cs="黑体"/>
          <w:bCs/>
          <w:color w:val="auto"/>
          <w:sz w:val="34"/>
          <w:szCs w:val="34"/>
        </w:rPr>
        <w:t>目标：工程项目建设零事故。</w:t>
      </w:r>
    </w:p>
    <w:p w14:paraId="093D3B38">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二、不安全，不施工。</w:t>
      </w:r>
    </w:p>
    <w:p w14:paraId="5E4187E4">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三、服从业主</w:t>
      </w:r>
      <w:r>
        <w:rPr>
          <w:rFonts w:hint="eastAsia" w:ascii="仿宋_GB2312" w:hAnsi="宋体" w:eastAsia="仿宋_GB2312" w:cs="黑体"/>
          <w:bCs/>
          <w:color w:val="auto"/>
          <w:sz w:val="34"/>
          <w:szCs w:val="34"/>
          <w:lang w:val="en-US" w:eastAsia="zh-CN"/>
        </w:rPr>
        <w:t>和监理</w:t>
      </w:r>
      <w:r>
        <w:rPr>
          <w:rFonts w:hint="eastAsia" w:ascii="仿宋_GB2312" w:hAnsi="宋体" w:eastAsia="仿宋_GB2312" w:cs="黑体"/>
          <w:bCs/>
          <w:color w:val="auto"/>
          <w:sz w:val="34"/>
          <w:szCs w:val="34"/>
        </w:rPr>
        <w:t>的安全监督管理。</w:t>
      </w:r>
    </w:p>
    <w:p w14:paraId="4819F685">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四、保证足够的安全投入。</w:t>
      </w:r>
      <w:r>
        <w:rPr>
          <w:rFonts w:hint="eastAsia" w:ascii="仿宋_GB2312" w:hAnsi="宋体" w:eastAsia="仿宋_GB2312"/>
          <w:color w:val="auto"/>
          <w:sz w:val="34"/>
          <w:szCs w:val="34"/>
        </w:rPr>
        <w:t>为作业安全配备相应的安全装备和物资；不将存在安全隐患的工具和设备带入现场进行作业。</w:t>
      </w:r>
    </w:p>
    <w:p w14:paraId="52E7A882">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五、不使用</w:t>
      </w:r>
      <w:r>
        <w:rPr>
          <w:rFonts w:hint="eastAsia" w:ascii="仿宋_GB2312" w:hAnsi="Tahoma" w:eastAsia="仿宋_GB2312" w:cs="Tahoma"/>
          <w:color w:val="auto"/>
          <w:sz w:val="34"/>
          <w:szCs w:val="34"/>
        </w:rPr>
        <w:t>未满十六周岁的未成年人</w:t>
      </w:r>
      <w:r>
        <w:rPr>
          <w:rFonts w:hint="eastAsia" w:ascii="仿宋_GB2312" w:hAnsi="宋体" w:eastAsia="仿宋_GB2312" w:cs="黑体"/>
          <w:bCs/>
          <w:color w:val="auto"/>
          <w:sz w:val="34"/>
          <w:szCs w:val="34"/>
        </w:rPr>
        <w:t>；不安排超龄（</w:t>
      </w:r>
      <w:r>
        <w:rPr>
          <w:rFonts w:hint="eastAsia" w:ascii="仿宋_GB2312" w:hAnsi="宋体" w:eastAsia="仿宋_GB2312" w:cs="黑体"/>
          <w:bCs/>
          <w:color w:val="auto"/>
          <w:sz w:val="34"/>
          <w:szCs w:val="34"/>
          <w:lang w:val="en-US" w:eastAsia="zh-CN"/>
        </w:rPr>
        <w:t>按照最新的延迟退休年龄规定</w:t>
      </w:r>
      <w:r>
        <w:rPr>
          <w:rFonts w:hint="eastAsia" w:ascii="仿宋_GB2312" w:hAnsi="宋体" w:eastAsia="仿宋_GB2312" w:cs="黑体"/>
          <w:bCs/>
          <w:color w:val="auto"/>
          <w:sz w:val="34"/>
          <w:szCs w:val="34"/>
        </w:rPr>
        <w:t>）施工人员入场作业；不安排女工从事禁忌劳动；施工人员不得有承包工程的职业禁忌症。</w:t>
      </w:r>
    </w:p>
    <w:p w14:paraId="00042C96">
      <w:pPr>
        <w:spacing w:line="600" w:lineRule="exact"/>
        <w:ind w:firstLine="680" w:firstLineChars="200"/>
        <w:jc w:val="left"/>
        <w:rPr>
          <w:rFonts w:ascii="仿宋_GB2312" w:eastAsia="仿宋_GB2312" w:cs="黑体"/>
          <w:bCs/>
          <w:color w:val="auto"/>
          <w:sz w:val="34"/>
          <w:szCs w:val="34"/>
        </w:rPr>
      </w:pPr>
      <w:r>
        <w:rPr>
          <w:rFonts w:hint="eastAsia" w:ascii="仿宋_GB2312" w:hAnsi="宋体" w:eastAsia="仿宋_GB2312" w:cs="黑体"/>
          <w:bCs/>
          <w:color w:val="auto"/>
          <w:sz w:val="34"/>
          <w:szCs w:val="34"/>
        </w:rPr>
        <w:t>六、加强作业安全管理，做到安全文明施工，保证基建及产业项目安全、顺利、稳定进行，确保基建及产业项目的质量和进度。</w:t>
      </w:r>
    </w:p>
    <w:p w14:paraId="476B5A9C">
      <w:pPr>
        <w:spacing w:line="600" w:lineRule="exact"/>
        <w:ind w:firstLine="680" w:firstLineChars="200"/>
        <w:jc w:val="left"/>
        <w:rPr>
          <w:rFonts w:ascii="仿宋_GB2312" w:eastAsia="仿宋_GB2312" w:cs="黑体"/>
          <w:bCs/>
          <w:color w:val="auto"/>
          <w:sz w:val="34"/>
          <w:szCs w:val="34"/>
        </w:rPr>
      </w:pPr>
    </w:p>
    <w:p w14:paraId="0114B5B1">
      <w:pPr>
        <w:spacing w:line="600" w:lineRule="exact"/>
        <w:ind w:firstLine="680" w:firstLineChars="200"/>
        <w:jc w:val="left"/>
        <w:rPr>
          <w:rFonts w:ascii="仿宋_GB2312" w:eastAsia="仿宋_GB2312" w:cs="黑体"/>
          <w:bCs/>
          <w:color w:val="auto"/>
          <w:sz w:val="34"/>
          <w:szCs w:val="34"/>
        </w:rPr>
      </w:pPr>
    </w:p>
    <w:p w14:paraId="26FDDC63">
      <w:pPr>
        <w:spacing w:line="600" w:lineRule="exact"/>
        <w:ind w:firstLine="680" w:firstLineChars="200"/>
        <w:jc w:val="left"/>
        <w:rPr>
          <w:rFonts w:ascii="仿宋_GB2312" w:eastAsia="仿宋_GB2312" w:cs="黑体"/>
          <w:bCs/>
          <w:color w:val="auto"/>
          <w:sz w:val="34"/>
          <w:szCs w:val="34"/>
        </w:rPr>
      </w:pPr>
    </w:p>
    <w:p w14:paraId="01E3680B">
      <w:pPr>
        <w:spacing w:line="600" w:lineRule="exact"/>
        <w:ind w:right="680" w:firstLine="680" w:firstLineChars="200"/>
        <w:jc w:val="center"/>
        <w:rPr>
          <w:rFonts w:ascii="仿宋_GB2312" w:eastAsia="仿宋_GB2312" w:cs="黑体"/>
          <w:bCs/>
          <w:color w:val="auto"/>
          <w:sz w:val="34"/>
          <w:szCs w:val="34"/>
        </w:rPr>
      </w:pPr>
      <w:r>
        <w:rPr>
          <w:rFonts w:ascii="仿宋_GB2312" w:hAnsi="宋体" w:eastAsia="仿宋_GB2312" w:cs="黑体"/>
          <w:bCs/>
          <w:color w:val="auto"/>
          <w:sz w:val="34"/>
          <w:szCs w:val="34"/>
        </w:rPr>
        <w:t xml:space="preserve">            </w:t>
      </w:r>
      <w:r>
        <w:rPr>
          <w:rFonts w:hint="eastAsia" w:ascii="仿宋_GB2312" w:hAnsi="宋体" w:eastAsia="仿宋_GB2312" w:cs="黑体"/>
          <w:bCs/>
          <w:color w:val="auto"/>
          <w:sz w:val="34"/>
          <w:szCs w:val="34"/>
        </w:rPr>
        <w:t>承诺单位（公章）：</w:t>
      </w:r>
    </w:p>
    <w:p w14:paraId="7FC2F1D4">
      <w:pPr>
        <w:spacing w:line="600" w:lineRule="exact"/>
        <w:ind w:right="680" w:firstLine="680" w:firstLineChars="200"/>
        <w:jc w:val="center"/>
        <w:rPr>
          <w:rFonts w:ascii="仿宋_GB2312" w:eastAsia="仿宋_GB2312" w:cs="黑体"/>
          <w:bCs/>
          <w:color w:val="auto"/>
          <w:sz w:val="34"/>
          <w:szCs w:val="34"/>
        </w:rPr>
      </w:pPr>
      <w:r>
        <w:rPr>
          <w:rFonts w:ascii="仿宋_GB2312" w:hAnsi="宋体" w:eastAsia="仿宋_GB2312" w:cs="黑体"/>
          <w:bCs/>
          <w:color w:val="auto"/>
          <w:sz w:val="34"/>
          <w:szCs w:val="34"/>
        </w:rPr>
        <w:t xml:space="preserve">                    </w:t>
      </w:r>
      <w:r>
        <w:rPr>
          <w:rFonts w:hint="eastAsia" w:ascii="仿宋_GB2312" w:hAnsi="宋体" w:eastAsia="仿宋_GB2312" w:cs="黑体"/>
          <w:bCs/>
          <w:color w:val="auto"/>
          <w:sz w:val="34"/>
          <w:szCs w:val="34"/>
        </w:rPr>
        <w:t>承诺人（法定代表人签字）：</w:t>
      </w:r>
    </w:p>
    <w:p w14:paraId="4F15BDC3">
      <w:pPr>
        <w:spacing w:line="600" w:lineRule="exact"/>
        <w:ind w:right="510" w:firstLine="680" w:firstLineChars="200"/>
        <w:jc w:val="right"/>
        <w:rPr>
          <w:rFonts w:ascii="仿宋_GB2312" w:eastAsia="仿宋_GB2312" w:cs="黑体"/>
          <w:bCs/>
          <w:color w:val="auto"/>
          <w:sz w:val="34"/>
          <w:szCs w:val="34"/>
        </w:rPr>
      </w:pPr>
      <w:r>
        <w:rPr>
          <w:rFonts w:hint="eastAsia" w:ascii="仿宋_GB2312" w:hAnsi="宋体" w:eastAsia="仿宋_GB2312" w:cs="黑体"/>
          <w:bCs/>
          <w:color w:val="auto"/>
          <w:sz w:val="34"/>
          <w:szCs w:val="34"/>
        </w:rPr>
        <w:t>承诺时间：　　年　　月　　日</w:t>
      </w:r>
    </w:p>
    <w:p w14:paraId="339FB21C">
      <w:pPr>
        <w:spacing w:line="600" w:lineRule="exact"/>
        <w:ind w:firstLine="680" w:firstLineChars="200"/>
        <w:rPr>
          <w:rFonts w:ascii="仿宋_GB2312" w:eastAsia="仿宋_GB2312"/>
          <w:color w:val="auto"/>
          <w:sz w:val="34"/>
          <w:szCs w:val="34"/>
        </w:rPr>
        <w:sectPr>
          <w:footerReference r:id="rId3" w:type="default"/>
          <w:pgSz w:w="11850" w:h="16783"/>
          <w:pgMar w:top="1797" w:right="1440" w:bottom="1797" w:left="1440" w:header="851" w:footer="992" w:gutter="0"/>
          <w:cols w:space="720" w:num="1"/>
          <w:docGrid w:type="lines" w:linePitch="312" w:charSpace="0"/>
        </w:sectPr>
      </w:pPr>
    </w:p>
    <w:p w14:paraId="1F32BC13">
      <w:pPr>
        <w:spacing w:line="600" w:lineRule="exact"/>
        <w:rPr>
          <w:rFonts w:ascii="仿宋_GB2312" w:eastAsia="仿宋_GB2312"/>
          <w:b/>
          <w:color w:val="auto"/>
          <w:sz w:val="34"/>
          <w:szCs w:val="34"/>
        </w:rPr>
      </w:pPr>
      <w:r>
        <w:rPr>
          <w:rFonts w:hint="eastAsia" w:ascii="仿宋_GB2312" w:eastAsia="仿宋_GB2312"/>
          <w:b/>
          <w:color w:val="auto"/>
          <w:sz w:val="34"/>
          <w:szCs w:val="34"/>
        </w:rPr>
        <w:t>附件</w:t>
      </w:r>
      <w:r>
        <w:rPr>
          <w:rFonts w:ascii="仿宋_GB2312" w:eastAsia="仿宋_GB2312"/>
          <w:b/>
          <w:color w:val="auto"/>
          <w:sz w:val="34"/>
          <w:szCs w:val="34"/>
        </w:rPr>
        <w:t>2.</w:t>
      </w:r>
      <w:r>
        <w:rPr>
          <w:rFonts w:hint="eastAsia" w:ascii="仿宋_GB2312" w:eastAsia="仿宋_GB2312" w:cs="Times New Roman"/>
          <w:b/>
          <w:color w:val="auto"/>
          <w:sz w:val="34"/>
          <w:szCs w:val="34"/>
          <w:lang w:val="en-US" w:eastAsia="zh-CN"/>
        </w:rPr>
        <w:t>（仅供参考）</w:t>
      </w:r>
    </w:p>
    <w:p w14:paraId="082249AF">
      <w:pPr>
        <w:spacing w:afterLines="100" w:line="600" w:lineRule="exact"/>
        <w:ind w:firstLine="880" w:firstLineChars="200"/>
        <w:jc w:val="center"/>
        <w:rPr>
          <w:rFonts w:ascii="方正小标宋简体" w:eastAsia="方正小标宋简体"/>
          <w:color w:val="auto"/>
          <w:sz w:val="44"/>
          <w:szCs w:val="44"/>
        </w:rPr>
      </w:pPr>
      <w:r>
        <w:rPr>
          <w:rFonts w:hint="eastAsia" w:ascii="方正小标宋简体" w:eastAsia="方正小标宋简体"/>
          <w:color w:val="auto"/>
          <w:sz w:val="44"/>
          <w:szCs w:val="44"/>
        </w:rPr>
        <w:t>基建及产业项目应急救援牌</w:t>
      </w:r>
    </w:p>
    <w:tbl>
      <w:tblPr>
        <w:tblStyle w:val="10"/>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1500"/>
        <w:gridCol w:w="709"/>
        <w:gridCol w:w="992"/>
        <w:gridCol w:w="1559"/>
        <w:gridCol w:w="993"/>
        <w:gridCol w:w="850"/>
        <w:gridCol w:w="1100"/>
      </w:tblGrid>
      <w:tr w14:paraId="4321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152" w:type="dxa"/>
            <w:vAlign w:val="center"/>
          </w:tcPr>
          <w:p w14:paraId="0B0E9F56">
            <w:pPr>
              <w:spacing w:line="400" w:lineRule="exact"/>
              <w:jc w:val="center"/>
              <w:rPr>
                <w:rFonts w:ascii="仿宋_GB2312" w:eastAsia="仿宋_GB2312"/>
                <w:color w:val="auto"/>
                <w:sz w:val="24"/>
              </w:rPr>
            </w:pPr>
            <w:r>
              <w:rPr>
                <w:rFonts w:hint="eastAsia" w:ascii="仿宋_GB2312" w:hAnsi="宋体" w:eastAsia="仿宋_GB2312"/>
                <w:color w:val="auto"/>
                <w:sz w:val="24"/>
              </w:rPr>
              <w:t>项目名称</w:t>
            </w:r>
          </w:p>
        </w:tc>
        <w:tc>
          <w:tcPr>
            <w:tcW w:w="3201" w:type="dxa"/>
            <w:gridSpan w:val="3"/>
            <w:vAlign w:val="center"/>
          </w:tcPr>
          <w:p w14:paraId="6AE0B115">
            <w:pPr>
              <w:spacing w:line="400" w:lineRule="exact"/>
              <w:ind w:firstLine="480" w:firstLineChars="200"/>
              <w:jc w:val="center"/>
              <w:rPr>
                <w:rFonts w:ascii="仿宋_GB2312" w:eastAsia="仿宋_GB2312"/>
                <w:color w:val="auto"/>
                <w:sz w:val="24"/>
              </w:rPr>
            </w:pPr>
          </w:p>
        </w:tc>
        <w:tc>
          <w:tcPr>
            <w:tcW w:w="1559" w:type="dxa"/>
            <w:vAlign w:val="center"/>
          </w:tcPr>
          <w:p w14:paraId="5A0804C0">
            <w:pPr>
              <w:spacing w:line="400" w:lineRule="exact"/>
              <w:jc w:val="center"/>
              <w:rPr>
                <w:rFonts w:ascii="仿宋_GB2312" w:eastAsia="仿宋_GB2312"/>
                <w:color w:val="auto"/>
                <w:sz w:val="24"/>
              </w:rPr>
            </w:pPr>
            <w:r>
              <w:rPr>
                <w:rFonts w:hint="eastAsia" w:ascii="仿宋_GB2312" w:hAnsi="宋体" w:eastAsia="仿宋_GB2312"/>
                <w:color w:val="auto"/>
                <w:sz w:val="24"/>
              </w:rPr>
              <w:t>承包商</w:t>
            </w:r>
          </w:p>
        </w:tc>
        <w:tc>
          <w:tcPr>
            <w:tcW w:w="2943" w:type="dxa"/>
            <w:gridSpan w:val="3"/>
            <w:vAlign w:val="center"/>
          </w:tcPr>
          <w:p w14:paraId="6034A02A">
            <w:pPr>
              <w:spacing w:line="400" w:lineRule="exact"/>
              <w:ind w:firstLine="480" w:firstLineChars="200"/>
              <w:jc w:val="center"/>
              <w:rPr>
                <w:rFonts w:ascii="仿宋_GB2312" w:eastAsia="仿宋_GB2312"/>
                <w:color w:val="auto"/>
                <w:sz w:val="24"/>
              </w:rPr>
            </w:pPr>
          </w:p>
        </w:tc>
      </w:tr>
      <w:tr w14:paraId="2B76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152" w:type="dxa"/>
            <w:vAlign w:val="center"/>
          </w:tcPr>
          <w:p w14:paraId="53FF6D88">
            <w:pPr>
              <w:spacing w:line="400" w:lineRule="exact"/>
              <w:jc w:val="center"/>
              <w:rPr>
                <w:rFonts w:ascii="仿宋_GB2312" w:eastAsia="仿宋_GB2312"/>
                <w:color w:val="auto"/>
                <w:sz w:val="24"/>
              </w:rPr>
            </w:pPr>
            <w:r>
              <w:rPr>
                <w:rFonts w:hint="eastAsia" w:ascii="仿宋_GB2312" w:hAnsi="宋体" w:eastAsia="仿宋_GB2312"/>
                <w:color w:val="auto"/>
                <w:sz w:val="24"/>
              </w:rPr>
              <w:t>应急救援责任人</w:t>
            </w:r>
          </w:p>
        </w:tc>
        <w:tc>
          <w:tcPr>
            <w:tcW w:w="1500" w:type="dxa"/>
            <w:vAlign w:val="center"/>
          </w:tcPr>
          <w:p w14:paraId="5BC80235">
            <w:pPr>
              <w:spacing w:line="400" w:lineRule="exact"/>
              <w:ind w:firstLine="480" w:firstLineChars="200"/>
              <w:jc w:val="center"/>
              <w:rPr>
                <w:rFonts w:ascii="仿宋_GB2312" w:eastAsia="仿宋_GB2312"/>
                <w:color w:val="auto"/>
                <w:sz w:val="24"/>
              </w:rPr>
            </w:pPr>
          </w:p>
        </w:tc>
        <w:tc>
          <w:tcPr>
            <w:tcW w:w="709" w:type="dxa"/>
            <w:vAlign w:val="center"/>
          </w:tcPr>
          <w:p w14:paraId="638E1809">
            <w:pPr>
              <w:spacing w:line="400" w:lineRule="exact"/>
              <w:jc w:val="center"/>
              <w:rPr>
                <w:rFonts w:ascii="仿宋_GB2312" w:eastAsia="仿宋_GB2312"/>
                <w:color w:val="auto"/>
                <w:sz w:val="24"/>
              </w:rPr>
            </w:pPr>
            <w:r>
              <w:rPr>
                <w:rFonts w:hint="eastAsia" w:ascii="仿宋_GB2312" w:hAnsi="宋体" w:eastAsia="仿宋_GB2312"/>
                <w:color w:val="auto"/>
                <w:sz w:val="24"/>
              </w:rPr>
              <w:t>电话</w:t>
            </w:r>
          </w:p>
        </w:tc>
        <w:tc>
          <w:tcPr>
            <w:tcW w:w="992" w:type="dxa"/>
            <w:vAlign w:val="center"/>
          </w:tcPr>
          <w:p w14:paraId="599ECBFE">
            <w:pPr>
              <w:spacing w:line="400" w:lineRule="exact"/>
              <w:ind w:firstLine="480" w:firstLineChars="200"/>
              <w:jc w:val="center"/>
              <w:rPr>
                <w:rFonts w:ascii="仿宋_GB2312" w:eastAsia="仿宋_GB2312"/>
                <w:color w:val="auto"/>
                <w:sz w:val="24"/>
              </w:rPr>
            </w:pPr>
          </w:p>
        </w:tc>
        <w:tc>
          <w:tcPr>
            <w:tcW w:w="1559" w:type="dxa"/>
            <w:vAlign w:val="center"/>
          </w:tcPr>
          <w:p w14:paraId="081AF670">
            <w:pPr>
              <w:spacing w:line="400" w:lineRule="exact"/>
              <w:jc w:val="center"/>
              <w:rPr>
                <w:rFonts w:ascii="仿宋_GB2312" w:eastAsia="仿宋_GB2312"/>
                <w:color w:val="auto"/>
                <w:sz w:val="24"/>
              </w:rPr>
            </w:pPr>
            <w:r>
              <w:rPr>
                <w:rFonts w:hint="eastAsia" w:ascii="仿宋_GB2312" w:hAnsi="宋体" w:eastAsia="仿宋_GB2312"/>
                <w:color w:val="auto"/>
                <w:sz w:val="24"/>
              </w:rPr>
              <w:t>岗位联系人</w:t>
            </w:r>
          </w:p>
        </w:tc>
        <w:tc>
          <w:tcPr>
            <w:tcW w:w="993" w:type="dxa"/>
            <w:vAlign w:val="center"/>
          </w:tcPr>
          <w:p w14:paraId="71CBF991">
            <w:pPr>
              <w:spacing w:line="400" w:lineRule="exact"/>
              <w:ind w:firstLine="480" w:firstLineChars="200"/>
              <w:jc w:val="center"/>
              <w:rPr>
                <w:rFonts w:ascii="仿宋_GB2312" w:eastAsia="仿宋_GB2312"/>
                <w:color w:val="auto"/>
                <w:sz w:val="24"/>
              </w:rPr>
            </w:pPr>
          </w:p>
        </w:tc>
        <w:tc>
          <w:tcPr>
            <w:tcW w:w="850" w:type="dxa"/>
            <w:vAlign w:val="center"/>
          </w:tcPr>
          <w:p w14:paraId="48E8201E">
            <w:pPr>
              <w:spacing w:line="400" w:lineRule="exact"/>
              <w:jc w:val="center"/>
              <w:rPr>
                <w:rFonts w:ascii="仿宋_GB2312" w:eastAsia="仿宋_GB2312"/>
                <w:color w:val="auto"/>
                <w:sz w:val="24"/>
              </w:rPr>
            </w:pPr>
            <w:r>
              <w:rPr>
                <w:rFonts w:hint="eastAsia" w:ascii="仿宋_GB2312" w:hAnsi="宋体" w:eastAsia="仿宋_GB2312"/>
                <w:color w:val="auto"/>
                <w:sz w:val="24"/>
              </w:rPr>
              <w:t>电话</w:t>
            </w:r>
          </w:p>
        </w:tc>
        <w:tc>
          <w:tcPr>
            <w:tcW w:w="1100" w:type="dxa"/>
            <w:vAlign w:val="center"/>
          </w:tcPr>
          <w:p w14:paraId="7810339A">
            <w:pPr>
              <w:spacing w:line="400" w:lineRule="exact"/>
              <w:ind w:firstLine="480" w:firstLineChars="200"/>
              <w:jc w:val="center"/>
              <w:rPr>
                <w:rFonts w:ascii="仿宋_GB2312" w:eastAsia="仿宋_GB2312"/>
                <w:color w:val="auto"/>
                <w:sz w:val="24"/>
              </w:rPr>
            </w:pPr>
          </w:p>
        </w:tc>
      </w:tr>
      <w:tr w14:paraId="75F5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152" w:type="dxa"/>
            <w:vAlign w:val="center"/>
          </w:tcPr>
          <w:p w14:paraId="2A8C29BE">
            <w:pPr>
              <w:spacing w:line="400" w:lineRule="exact"/>
              <w:jc w:val="center"/>
              <w:rPr>
                <w:rFonts w:hint="eastAsia" w:ascii="仿宋_GB2312" w:hAnsi="宋体" w:eastAsia="仿宋_GB2312"/>
                <w:color w:val="auto"/>
                <w:sz w:val="24"/>
              </w:rPr>
            </w:pPr>
            <w:r>
              <w:rPr>
                <w:rFonts w:hint="eastAsia" w:ascii="仿宋_GB2312" w:hAnsi="宋体" w:eastAsia="仿宋_GB2312"/>
                <w:color w:val="auto"/>
                <w:sz w:val="24"/>
              </w:rPr>
              <w:t>周边装置的</w:t>
            </w:r>
          </w:p>
          <w:p w14:paraId="60887D7E">
            <w:pPr>
              <w:spacing w:line="400" w:lineRule="exact"/>
              <w:jc w:val="center"/>
              <w:rPr>
                <w:rFonts w:ascii="仿宋_GB2312" w:eastAsia="仿宋_GB2312"/>
                <w:color w:val="auto"/>
                <w:sz w:val="24"/>
              </w:rPr>
            </w:pPr>
            <w:r>
              <w:rPr>
                <w:rFonts w:hint="eastAsia" w:ascii="仿宋_GB2312" w:hAnsi="宋体" w:eastAsia="仿宋_GB2312"/>
                <w:color w:val="auto"/>
                <w:sz w:val="24"/>
              </w:rPr>
              <w:t>危险介质</w:t>
            </w:r>
            <w:r>
              <w:rPr>
                <w:rFonts w:hint="eastAsia" w:ascii="仿宋_GB2312" w:hAnsi="宋体" w:eastAsia="仿宋_GB2312"/>
                <w:color w:val="auto"/>
                <w:sz w:val="24"/>
                <w:lang w:val="en-US" w:eastAsia="zh-CN"/>
              </w:rPr>
              <w:t>及</w:t>
            </w:r>
            <w:r>
              <w:rPr>
                <w:rFonts w:hint="eastAsia" w:ascii="仿宋_GB2312" w:hAnsi="宋体" w:eastAsia="仿宋_GB2312"/>
                <w:color w:val="auto"/>
                <w:sz w:val="24"/>
              </w:rPr>
              <w:t>特性</w:t>
            </w:r>
          </w:p>
        </w:tc>
        <w:tc>
          <w:tcPr>
            <w:tcW w:w="7703" w:type="dxa"/>
            <w:gridSpan w:val="7"/>
            <w:vAlign w:val="center"/>
          </w:tcPr>
          <w:p w14:paraId="17C04DB2">
            <w:pPr>
              <w:spacing w:line="400" w:lineRule="exact"/>
              <w:ind w:firstLine="480" w:firstLineChars="200"/>
              <w:jc w:val="center"/>
              <w:rPr>
                <w:rFonts w:ascii="仿宋_GB2312" w:eastAsia="仿宋_GB2312"/>
                <w:color w:val="auto"/>
                <w:sz w:val="24"/>
              </w:rPr>
            </w:pPr>
          </w:p>
        </w:tc>
      </w:tr>
      <w:tr w14:paraId="55EB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152" w:type="dxa"/>
            <w:vAlign w:val="center"/>
          </w:tcPr>
          <w:p w14:paraId="4D20532F">
            <w:pPr>
              <w:spacing w:line="400" w:lineRule="exact"/>
              <w:jc w:val="center"/>
              <w:rPr>
                <w:rFonts w:hint="eastAsia" w:ascii="仿宋_GB2312" w:hAnsi="宋体" w:eastAsia="仿宋_GB2312"/>
                <w:color w:val="auto"/>
                <w:sz w:val="24"/>
              </w:rPr>
            </w:pPr>
            <w:r>
              <w:rPr>
                <w:rFonts w:hint="eastAsia" w:ascii="仿宋_GB2312" w:hAnsi="宋体" w:eastAsia="仿宋_GB2312"/>
                <w:color w:val="auto"/>
                <w:sz w:val="24"/>
              </w:rPr>
              <w:t>防范措施和</w:t>
            </w:r>
          </w:p>
          <w:p w14:paraId="66A839C2">
            <w:pPr>
              <w:spacing w:line="400" w:lineRule="exact"/>
              <w:jc w:val="center"/>
              <w:rPr>
                <w:rFonts w:ascii="仿宋_GB2312" w:eastAsia="仿宋_GB2312"/>
                <w:color w:val="auto"/>
                <w:sz w:val="24"/>
              </w:rPr>
            </w:pPr>
            <w:r>
              <w:rPr>
                <w:rFonts w:hint="eastAsia" w:ascii="仿宋_GB2312" w:hAnsi="宋体" w:eastAsia="仿宋_GB2312"/>
                <w:color w:val="auto"/>
                <w:sz w:val="24"/>
              </w:rPr>
              <w:t>防护器材</w:t>
            </w:r>
          </w:p>
        </w:tc>
        <w:tc>
          <w:tcPr>
            <w:tcW w:w="7703" w:type="dxa"/>
            <w:gridSpan w:val="7"/>
            <w:vAlign w:val="center"/>
          </w:tcPr>
          <w:p w14:paraId="06F7BFE1">
            <w:pPr>
              <w:spacing w:line="400" w:lineRule="exact"/>
              <w:ind w:firstLine="480" w:firstLineChars="200"/>
              <w:jc w:val="center"/>
              <w:rPr>
                <w:rFonts w:ascii="仿宋_GB2312" w:eastAsia="仿宋_GB2312"/>
                <w:color w:val="auto"/>
                <w:sz w:val="24"/>
              </w:rPr>
            </w:pPr>
          </w:p>
        </w:tc>
      </w:tr>
      <w:tr w14:paraId="63DE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152" w:type="dxa"/>
            <w:vAlign w:val="center"/>
          </w:tcPr>
          <w:p w14:paraId="6F520B28">
            <w:pPr>
              <w:spacing w:line="400" w:lineRule="exact"/>
              <w:jc w:val="center"/>
              <w:rPr>
                <w:rFonts w:ascii="仿宋_GB2312" w:eastAsia="仿宋_GB2312"/>
                <w:color w:val="auto"/>
                <w:sz w:val="24"/>
              </w:rPr>
            </w:pPr>
            <w:r>
              <w:rPr>
                <w:rFonts w:hint="eastAsia" w:ascii="仿宋_GB2312" w:hAnsi="宋体" w:eastAsia="仿宋_GB2312"/>
                <w:color w:val="auto"/>
                <w:sz w:val="24"/>
              </w:rPr>
              <w:t>风向旗位置</w:t>
            </w:r>
          </w:p>
        </w:tc>
        <w:tc>
          <w:tcPr>
            <w:tcW w:w="7703" w:type="dxa"/>
            <w:gridSpan w:val="7"/>
            <w:vAlign w:val="center"/>
          </w:tcPr>
          <w:p w14:paraId="33B29778">
            <w:pPr>
              <w:spacing w:line="400" w:lineRule="exact"/>
              <w:ind w:firstLine="480" w:firstLineChars="200"/>
              <w:jc w:val="center"/>
              <w:rPr>
                <w:rFonts w:ascii="仿宋_GB2312" w:eastAsia="仿宋_GB2312"/>
                <w:color w:val="auto"/>
                <w:sz w:val="24"/>
              </w:rPr>
            </w:pPr>
          </w:p>
        </w:tc>
      </w:tr>
      <w:tr w14:paraId="2CC73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jc w:val="center"/>
        </w:trPr>
        <w:tc>
          <w:tcPr>
            <w:tcW w:w="2152" w:type="dxa"/>
            <w:vAlign w:val="center"/>
          </w:tcPr>
          <w:p w14:paraId="0CF67433">
            <w:pPr>
              <w:spacing w:line="400" w:lineRule="exact"/>
              <w:jc w:val="center"/>
              <w:rPr>
                <w:rFonts w:hint="eastAsia" w:ascii="仿宋_GB2312" w:hAnsi="宋体" w:eastAsia="仿宋_GB2312"/>
                <w:color w:val="auto"/>
                <w:sz w:val="24"/>
              </w:rPr>
            </w:pPr>
            <w:r>
              <w:rPr>
                <w:rFonts w:hint="eastAsia" w:ascii="仿宋_GB2312" w:hAnsi="宋体" w:eastAsia="仿宋_GB2312"/>
                <w:color w:val="auto"/>
                <w:sz w:val="24"/>
              </w:rPr>
              <w:t>密切关注</w:t>
            </w:r>
          </w:p>
          <w:p w14:paraId="57E6D006">
            <w:pPr>
              <w:spacing w:line="400" w:lineRule="exact"/>
              <w:jc w:val="center"/>
              <w:rPr>
                <w:rFonts w:ascii="仿宋_GB2312" w:eastAsia="仿宋_GB2312"/>
                <w:color w:val="auto"/>
                <w:sz w:val="24"/>
              </w:rPr>
            </w:pPr>
            <w:r>
              <w:rPr>
                <w:rFonts w:hint="eastAsia" w:ascii="仿宋_GB2312" w:hAnsi="宋体" w:eastAsia="仿宋_GB2312"/>
                <w:color w:val="auto"/>
                <w:sz w:val="24"/>
              </w:rPr>
              <w:t>要求</w:t>
            </w:r>
          </w:p>
        </w:tc>
        <w:tc>
          <w:tcPr>
            <w:tcW w:w="7703" w:type="dxa"/>
            <w:gridSpan w:val="7"/>
            <w:vAlign w:val="center"/>
          </w:tcPr>
          <w:p w14:paraId="3D6D48CE">
            <w:pPr>
              <w:spacing w:line="360" w:lineRule="exact"/>
              <w:rPr>
                <w:rFonts w:ascii="仿宋_GB2312" w:eastAsia="仿宋_GB2312"/>
                <w:color w:val="auto"/>
                <w:sz w:val="24"/>
              </w:rPr>
            </w:pPr>
            <w:r>
              <w:rPr>
                <w:rFonts w:hint="eastAsia" w:ascii="仿宋_GB2312" w:hAnsi="宋体" w:eastAsia="仿宋_GB2312"/>
                <w:color w:val="auto"/>
                <w:sz w:val="24"/>
              </w:rPr>
              <w:t>应急救援责任人（现场项目负责人）或施工队长应做到：</w:t>
            </w:r>
          </w:p>
          <w:p w14:paraId="0C3E81EE">
            <w:pPr>
              <w:spacing w:line="360" w:lineRule="exact"/>
              <w:rPr>
                <w:rFonts w:ascii="仿宋_GB2312" w:eastAsia="仿宋_GB2312"/>
                <w:color w:val="auto"/>
                <w:sz w:val="24"/>
              </w:rPr>
            </w:pPr>
            <w:r>
              <w:rPr>
                <w:rFonts w:ascii="仿宋_GB2312" w:hAnsi="宋体" w:eastAsia="仿宋_GB2312"/>
                <w:color w:val="auto"/>
                <w:sz w:val="24"/>
              </w:rPr>
              <w:t>1</w:t>
            </w:r>
            <w:r>
              <w:rPr>
                <w:rFonts w:hint="eastAsia" w:ascii="仿宋_GB2312" w:hAnsi="宋体" w:eastAsia="仿宋_GB2312"/>
                <w:color w:val="auto"/>
                <w:sz w:val="24"/>
              </w:rPr>
              <w:t>、当</w:t>
            </w:r>
            <w:r>
              <w:rPr>
                <w:rFonts w:ascii="仿宋_GB2312" w:hAnsi="宋体" w:eastAsia="仿宋_GB2312"/>
                <w:color w:val="auto"/>
                <w:sz w:val="24"/>
              </w:rPr>
              <w:t>CO</w:t>
            </w:r>
            <w:r>
              <w:rPr>
                <w:rFonts w:hint="eastAsia" w:ascii="仿宋_GB2312" w:hAnsi="宋体" w:eastAsia="仿宋_GB2312"/>
                <w:color w:val="auto"/>
                <w:sz w:val="24"/>
              </w:rPr>
              <w:t>报警仪发出低报（</w:t>
            </w:r>
            <w:r>
              <w:rPr>
                <w:rFonts w:ascii="仿宋_GB2312" w:hAnsi="宋体" w:eastAsia="仿宋_GB2312"/>
                <w:color w:val="auto"/>
                <w:sz w:val="24"/>
              </w:rPr>
              <w:t>CO</w:t>
            </w:r>
            <w:r>
              <w:rPr>
                <w:rFonts w:hint="eastAsia" w:ascii="仿宋_GB2312" w:hAnsi="宋体" w:eastAsia="仿宋_GB2312"/>
                <w:color w:val="auto"/>
                <w:sz w:val="24"/>
              </w:rPr>
              <w:t>浓度高于</w:t>
            </w:r>
            <w:r>
              <w:rPr>
                <w:rFonts w:ascii="仿宋_GB2312" w:hAnsi="宋体" w:eastAsia="仿宋_GB2312"/>
                <w:color w:val="auto"/>
                <w:sz w:val="24"/>
              </w:rPr>
              <w:t>24ppm</w:t>
            </w:r>
            <w:r>
              <w:rPr>
                <w:rFonts w:hint="eastAsia" w:ascii="仿宋_GB2312" w:hAnsi="宋体" w:eastAsia="仿宋_GB2312"/>
                <w:color w:val="auto"/>
                <w:sz w:val="24"/>
              </w:rPr>
              <w:t>，低于</w:t>
            </w:r>
            <w:r>
              <w:rPr>
                <w:rFonts w:ascii="仿宋_GB2312" w:hAnsi="宋体" w:eastAsia="仿宋_GB2312"/>
                <w:color w:val="auto"/>
                <w:sz w:val="24"/>
              </w:rPr>
              <w:t>60ppm</w:t>
            </w:r>
            <w:r>
              <w:rPr>
                <w:rFonts w:hint="eastAsia" w:ascii="仿宋_GB2312" w:hAnsi="宋体" w:eastAsia="仿宋_GB2312"/>
                <w:color w:val="auto"/>
                <w:sz w:val="24"/>
              </w:rPr>
              <w:t>）时，应打电话给附近装置的班长，了解现场有无异常；</w:t>
            </w:r>
          </w:p>
          <w:p w14:paraId="7476F18D">
            <w:pPr>
              <w:spacing w:line="360" w:lineRule="exact"/>
              <w:rPr>
                <w:rFonts w:ascii="仿宋_GB2312" w:eastAsia="仿宋_GB2312"/>
                <w:color w:val="auto"/>
                <w:sz w:val="24"/>
              </w:rPr>
            </w:pPr>
            <w:r>
              <w:rPr>
                <w:rFonts w:ascii="仿宋_GB2312" w:hAnsi="宋体" w:eastAsia="仿宋_GB2312"/>
                <w:color w:val="auto"/>
                <w:sz w:val="24"/>
              </w:rPr>
              <w:t>2</w:t>
            </w:r>
            <w:r>
              <w:rPr>
                <w:rFonts w:hint="eastAsia" w:ascii="仿宋_GB2312" w:hAnsi="宋体" w:eastAsia="仿宋_GB2312"/>
                <w:color w:val="auto"/>
                <w:sz w:val="24"/>
              </w:rPr>
              <w:t>、当</w:t>
            </w:r>
            <w:r>
              <w:rPr>
                <w:rFonts w:ascii="仿宋_GB2312" w:hAnsi="宋体" w:eastAsia="仿宋_GB2312"/>
                <w:color w:val="auto"/>
                <w:sz w:val="24"/>
              </w:rPr>
              <w:t>CO</w:t>
            </w:r>
            <w:r>
              <w:rPr>
                <w:rFonts w:hint="eastAsia" w:ascii="仿宋_GB2312" w:hAnsi="宋体" w:eastAsia="仿宋_GB2312"/>
                <w:color w:val="auto"/>
                <w:sz w:val="24"/>
              </w:rPr>
              <w:t>报警仪发出高报（</w:t>
            </w:r>
            <w:r>
              <w:rPr>
                <w:rFonts w:ascii="仿宋_GB2312" w:hAnsi="宋体" w:eastAsia="仿宋_GB2312"/>
                <w:color w:val="auto"/>
                <w:sz w:val="24"/>
              </w:rPr>
              <w:t>CO</w:t>
            </w:r>
            <w:r>
              <w:rPr>
                <w:rFonts w:hint="eastAsia" w:ascii="仿宋_GB2312" w:hAnsi="宋体" w:eastAsia="仿宋_GB2312"/>
                <w:color w:val="auto"/>
                <w:sz w:val="24"/>
              </w:rPr>
              <w:t>浓度高于</w:t>
            </w:r>
            <w:r>
              <w:rPr>
                <w:rFonts w:ascii="仿宋_GB2312" w:hAnsi="宋体" w:eastAsia="仿宋_GB2312"/>
                <w:color w:val="auto"/>
                <w:sz w:val="24"/>
              </w:rPr>
              <w:t>60ppm</w:t>
            </w:r>
            <w:r>
              <w:rPr>
                <w:rFonts w:hint="eastAsia" w:ascii="仿宋_GB2312" w:hAnsi="宋体" w:eastAsia="仿宋_GB2312"/>
                <w:color w:val="auto"/>
                <w:sz w:val="24"/>
              </w:rPr>
              <w:t>）时，应立即联系岗位现场是否有泄漏，并要求岗位做到一旦有泄漏，应立即通知承包商；</w:t>
            </w:r>
          </w:p>
          <w:p w14:paraId="22E38CB0">
            <w:pPr>
              <w:spacing w:line="360" w:lineRule="exact"/>
              <w:rPr>
                <w:rFonts w:ascii="仿宋_GB2312" w:eastAsia="仿宋_GB2312"/>
                <w:color w:val="auto"/>
                <w:sz w:val="24"/>
              </w:rPr>
            </w:pPr>
            <w:r>
              <w:rPr>
                <w:rFonts w:ascii="仿宋_GB2312" w:hAnsi="宋体" w:eastAsia="仿宋_GB2312"/>
                <w:color w:val="auto"/>
                <w:sz w:val="24"/>
              </w:rPr>
              <w:t>3</w:t>
            </w:r>
            <w:r>
              <w:rPr>
                <w:rFonts w:hint="eastAsia" w:ascii="仿宋_GB2312" w:hAnsi="宋体" w:eastAsia="仿宋_GB2312"/>
                <w:color w:val="auto"/>
                <w:sz w:val="24"/>
              </w:rPr>
              <w:t>、当现场</w:t>
            </w:r>
            <w:r>
              <w:rPr>
                <w:rFonts w:ascii="仿宋_GB2312" w:hAnsi="宋体" w:eastAsia="仿宋_GB2312"/>
                <w:color w:val="auto"/>
                <w:sz w:val="24"/>
              </w:rPr>
              <w:t>CO</w:t>
            </w:r>
            <w:r>
              <w:rPr>
                <w:rFonts w:hint="eastAsia" w:ascii="仿宋_GB2312" w:hAnsi="宋体" w:eastAsia="仿宋_GB2312"/>
                <w:color w:val="auto"/>
                <w:sz w:val="24"/>
              </w:rPr>
              <w:t>浓度超过</w:t>
            </w:r>
            <w:r>
              <w:rPr>
                <w:rFonts w:ascii="仿宋_GB2312" w:hAnsi="宋体" w:eastAsia="仿宋_GB2312"/>
                <w:color w:val="auto"/>
                <w:sz w:val="24"/>
              </w:rPr>
              <w:t>100ppm</w:t>
            </w:r>
            <w:r>
              <w:rPr>
                <w:rFonts w:hint="eastAsia" w:ascii="仿宋_GB2312" w:hAnsi="宋体" w:eastAsia="仿宋_GB2312"/>
                <w:color w:val="auto"/>
                <w:sz w:val="24"/>
              </w:rPr>
              <w:t>时，应立即要求施工人员停止作业，撤离现场。</w:t>
            </w:r>
          </w:p>
          <w:p w14:paraId="790EEBE7">
            <w:pPr>
              <w:spacing w:line="360" w:lineRule="exact"/>
              <w:rPr>
                <w:rFonts w:ascii="仿宋_GB2312" w:eastAsia="仿宋_GB2312"/>
                <w:color w:val="auto"/>
                <w:sz w:val="24"/>
              </w:rPr>
            </w:pPr>
            <w:r>
              <w:rPr>
                <w:rFonts w:ascii="仿宋_GB2312" w:hAnsi="宋体" w:eastAsia="仿宋_GB2312"/>
                <w:color w:val="auto"/>
                <w:sz w:val="24"/>
              </w:rPr>
              <w:t>4</w:t>
            </w:r>
            <w:r>
              <w:rPr>
                <w:rFonts w:hint="eastAsia" w:ascii="仿宋_GB2312" w:hAnsi="宋体" w:eastAsia="仿宋_GB2312"/>
                <w:color w:val="auto"/>
                <w:sz w:val="24"/>
              </w:rPr>
              <w:t>、当现场出现甲醇、氨、硫化氢等危险介质泄漏，应立即要求施工人员停止作业，撤离现场。</w:t>
            </w:r>
          </w:p>
        </w:tc>
      </w:tr>
      <w:tr w14:paraId="49151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2152" w:type="dxa"/>
            <w:vAlign w:val="center"/>
          </w:tcPr>
          <w:p w14:paraId="6DF5E006">
            <w:pPr>
              <w:spacing w:line="400" w:lineRule="exact"/>
              <w:jc w:val="center"/>
              <w:rPr>
                <w:rFonts w:ascii="仿宋_GB2312" w:eastAsia="仿宋_GB2312"/>
                <w:color w:val="auto"/>
                <w:sz w:val="24"/>
              </w:rPr>
            </w:pPr>
            <w:r>
              <w:rPr>
                <w:rFonts w:hint="eastAsia" w:ascii="仿宋_GB2312" w:hAnsi="宋体" w:eastAsia="仿宋_GB2312"/>
                <w:color w:val="auto"/>
                <w:sz w:val="24"/>
              </w:rPr>
              <w:t>撤离疏散</w:t>
            </w:r>
          </w:p>
          <w:p w14:paraId="79BF4796">
            <w:pPr>
              <w:spacing w:line="400" w:lineRule="exact"/>
              <w:jc w:val="center"/>
              <w:rPr>
                <w:rFonts w:ascii="仿宋_GB2312" w:eastAsia="仿宋_GB2312"/>
                <w:color w:val="auto"/>
                <w:sz w:val="24"/>
              </w:rPr>
            </w:pPr>
            <w:r>
              <w:rPr>
                <w:rFonts w:hint="eastAsia" w:ascii="仿宋_GB2312" w:hAnsi="宋体" w:eastAsia="仿宋_GB2312"/>
                <w:color w:val="auto"/>
                <w:sz w:val="24"/>
              </w:rPr>
              <w:t>逃生要点</w:t>
            </w:r>
          </w:p>
        </w:tc>
        <w:tc>
          <w:tcPr>
            <w:tcW w:w="7703" w:type="dxa"/>
            <w:gridSpan w:val="7"/>
          </w:tcPr>
          <w:p w14:paraId="01994A95">
            <w:pPr>
              <w:spacing w:line="360" w:lineRule="exact"/>
              <w:rPr>
                <w:rFonts w:ascii="仿宋_GB2312" w:eastAsia="仿宋_GB2312"/>
                <w:color w:val="auto"/>
                <w:sz w:val="24"/>
              </w:rPr>
            </w:pPr>
            <w:r>
              <w:rPr>
                <w:rFonts w:ascii="仿宋_GB2312" w:hAnsi="宋体" w:eastAsia="仿宋_GB2312"/>
                <w:color w:val="auto"/>
                <w:sz w:val="24"/>
              </w:rPr>
              <w:t>1</w:t>
            </w:r>
            <w:r>
              <w:rPr>
                <w:rFonts w:hint="eastAsia" w:ascii="仿宋_GB2312" w:hAnsi="宋体" w:eastAsia="仿宋_GB2312"/>
                <w:color w:val="auto"/>
                <w:sz w:val="24"/>
              </w:rPr>
              <w:t>、发生火灾事故时，应积极扑灭初起火灾，并拨打火警电话</w:t>
            </w:r>
            <w:r>
              <w:rPr>
                <w:rFonts w:ascii="仿宋_GB2312" w:hAnsi="宋体" w:eastAsia="仿宋_GB2312"/>
                <w:color w:val="auto"/>
                <w:sz w:val="24"/>
              </w:rPr>
              <w:t>88995119</w:t>
            </w:r>
            <w:r>
              <w:rPr>
                <w:rFonts w:hint="eastAsia" w:ascii="仿宋_GB2312" w:hAnsi="宋体" w:eastAsia="仿宋_GB2312"/>
                <w:color w:val="auto"/>
                <w:sz w:val="24"/>
              </w:rPr>
              <w:t>报警。</w:t>
            </w:r>
          </w:p>
          <w:p w14:paraId="13BD89AC">
            <w:pPr>
              <w:spacing w:line="360" w:lineRule="exact"/>
              <w:rPr>
                <w:rFonts w:ascii="仿宋_GB2312" w:eastAsia="仿宋_GB2312"/>
                <w:color w:val="auto"/>
                <w:sz w:val="24"/>
              </w:rPr>
            </w:pPr>
            <w:r>
              <w:rPr>
                <w:rFonts w:ascii="仿宋_GB2312" w:hAnsi="宋体" w:eastAsia="仿宋_GB2312"/>
                <w:color w:val="auto"/>
                <w:sz w:val="24"/>
              </w:rPr>
              <w:t>2</w:t>
            </w:r>
            <w:r>
              <w:rPr>
                <w:rFonts w:hint="eastAsia" w:ascii="仿宋_GB2312" w:hAnsi="宋体" w:eastAsia="仿宋_GB2312"/>
                <w:color w:val="auto"/>
                <w:sz w:val="24"/>
              </w:rPr>
              <w:t>、周边生产装置发生泄漏、火灾、爆炸事故时，施工人员应尽可能在（</w:t>
            </w:r>
            <w:r>
              <w:rPr>
                <w:rFonts w:ascii="仿宋_GB2312" w:hAnsi="宋体" w:eastAsia="仿宋_GB2312"/>
                <w:color w:val="auto"/>
                <w:sz w:val="24"/>
              </w:rPr>
              <w:t>1</w:t>
            </w:r>
            <w:r>
              <w:rPr>
                <w:rFonts w:hint="eastAsia" w:ascii="仿宋_GB2312" w:hAnsi="宋体" w:eastAsia="仿宋_GB2312"/>
                <w:color w:val="auto"/>
                <w:sz w:val="24"/>
              </w:rPr>
              <w:t>）关闭临时用电箱电源；（</w:t>
            </w:r>
            <w:r>
              <w:rPr>
                <w:rFonts w:ascii="仿宋_GB2312" w:hAnsi="宋体" w:eastAsia="仿宋_GB2312"/>
                <w:color w:val="auto"/>
                <w:sz w:val="24"/>
              </w:rPr>
              <w:t>2</w:t>
            </w:r>
            <w:r>
              <w:rPr>
                <w:rFonts w:hint="eastAsia" w:ascii="仿宋_GB2312" w:hAnsi="宋体" w:eastAsia="仿宋_GB2312"/>
                <w:color w:val="auto"/>
                <w:sz w:val="24"/>
              </w:rPr>
              <w:t>）关闭气瓶阀门后，通过观察风向旗辩明风向，绕过事故点向上风向疏散、撤离和逃生。</w:t>
            </w:r>
          </w:p>
        </w:tc>
      </w:tr>
      <w:tr w14:paraId="71498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2152" w:type="dxa"/>
            <w:vAlign w:val="center"/>
          </w:tcPr>
          <w:p w14:paraId="04E8C9D7">
            <w:pPr>
              <w:spacing w:line="400" w:lineRule="exact"/>
              <w:ind w:firstLine="480" w:firstLineChars="200"/>
              <w:rPr>
                <w:rFonts w:ascii="仿宋_GB2312" w:eastAsia="仿宋_GB2312"/>
                <w:color w:val="auto"/>
                <w:sz w:val="24"/>
              </w:rPr>
            </w:pPr>
            <w:r>
              <w:rPr>
                <w:rFonts w:hint="eastAsia" w:ascii="仿宋_GB2312" w:hAnsi="宋体" w:eastAsia="仿宋_GB2312"/>
                <w:color w:val="auto"/>
                <w:sz w:val="24"/>
              </w:rPr>
              <w:t>集合点</w:t>
            </w:r>
          </w:p>
        </w:tc>
        <w:tc>
          <w:tcPr>
            <w:tcW w:w="7703" w:type="dxa"/>
            <w:gridSpan w:val="7"/>
            <w:vAlign w:val="center"/>
          </w:tcPr>
          <w:p w14:paraId="374654A3">
            <w:pPr>
              <w:spacing w:line="360" w:lineRule="exact"/>
              <w:rPr>
                <w:rFonts w:ascii="仿宋_GB2312" w:eastAsia="仿宋_GB2312"/>
                <w:color w:val="auto"/>
                <w:sz w:val="24"/>
              </w:rPr>
            </w:pPr>
            <w:r>
              <w:rPr>
                <w:rFonts w:hint="eastAsia" w:ascii="仿宋_GB2312" w:hAnsi="宋体" w:eastAsia="仿宋_GB2312"/>
                <w:color w:val="auto"/>
                <w:sz w:val="24"/>
              </w:rPr>
              <w:t>第一集合点：甲醇分厂大门　第二集合点：醋酸</w:t>
            </w:r>
            <w:r>
              <w:rPr>
                <w:rFonts w:hint="eastAsia" w:ascii="仿宋_GB2312" w:hAnsi="宋体" w:eastAsia="仿宋_GB2312"/>
                <w:color w:val="auto"/>
                <w:sz w:val="24"/>
                <w:lang w:val="en-US" w:eastAsia="zh-CN"/>
              </w:rPr>
              <w:t>1</w:t>
            </w:r>
            <w:r>
              <w:rPr>
                <w:rFonts w:ascii="仿宋_GB2312" w:hAnsi="宋体" w:eastAsia="仿宋_GB2312"/>
                <w:color w:val="auto"/>
                <w:sz w:val="24"/>
              </w:rPr>
              <w:t>#</w:t>
            </w:r>
            <w:r>
              <w:rPr>
                <w:rFonts w:hint="eastAsia" w:ascii="仿宋_GB2312" w:hAnsi="宋体" w:eastAsia="仿宋_GB2312"/>
                <w:color w:val="auto"/>
                <w:sz w:val="24"/>
              </w:rPr>
              <w:t>门。（可以根据现场情况确定）</w:t>
            </w:r>
          </w:p>
        </w:tc>
      </w:tr>
      <w:tr w14:paraId="0EB28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4" w:hRule="atLeast"/>
          <w:jc w:val="center"/>
        </w:trPr>
        <w:tc>
          <w:tcPr>
            <w:tcW w:w="2152" w:type="dxa"/>
            <w:vAlign w:val="center"/>
          </w:tcPr>
          <w:p w14:paraId="5784AF88">
            <w:pPr>
              <w:spacing w:line="400" w:lineRule="exact"/>
              <w:jc w:val="center"/>
              <w:rPr>
                <w:rFonts w:hint="eastAsia" w:ascii="仿宋_GB2312" w:hAnsi="宋体" w:eastAsia="仿宋_GB2312"/>
                <w:color w:val="auto"/>
                <w:sz w:val="24"/>
              </w:rPr>
            </w:pPr>
            <w:r>
              <w:rPr>
                <w:rFonts w:hint="eastAsia" w:ascii="仿宋_GB2312" w:hAnsi="宋体" w:eastAsia="仿宋_GB2312"/>
                <w:color w:val="auto"/>
                <w:sz w:val="24"/>
              </w:rPr>
              <w:t>疏散通道和</w:t>
            </w:r>
          </w:p>
          <w:p w14:paraId="032957CD">
            <w:pPr>
              <w:spacing w:line="400" w:lineRule="exact"/>
              <w:ind w:firstLine="480" w:firstLineChars="200"/>
              <w:rPr>
                <w:rFonts w:hint="eastAsia" w:ascii="仿宋_GB2312" w:hAnsi="宋体" w:eastAsia="仿宋_GB2312"/>
                <w:color w:val="auto"/>
                <w:sz w:val="24"/>
              </w:rPr>
            </w:pPr>
            <w:r>
              <w:rPr>
                <w:rFonts w:hint="eastAsia" w:ascii="仿宋_GB2312" w:hAnsi="宋体" w:eastAsia="仿宋_GB2312"/>
                <w:color w:val="auto"/>
                <w:sz w:val="24"/>
              </w:rPr>
              <w:t>示意图</w:t>
            </w:r>
          </w:p>
        </w:tc>
        <w:tc>
          <w:tcPr>
            <w:tcW w:w="7703" w:type="dxa"/>
            <w:gridSpan w:val="7"/>
            <w:vAlign w:val="center"/>
          </w:tcPr>
          <w:p w14:paraId="7746DD23">
            <w:pPr>
              <w:spacing w:line="360" w:lineRule="exact"/>
              <w:rPr>
                <w:rFonts w:hint="eastAsia" w:ascii="仿宋_GB2312" w:hAnsi="宋体" w:eastAsia="仿宋_GB2312"/>
                <w:color w:val="auto"/>
                <w:sz w:val="24"/>
              </w:rPr>
            </w:pPr>
          </w:p>
        </w:tc>
      </w:tr>
    </w:tbl>
    <w:p w14:paraId="6298E4F7">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eastAsia="仿宋_GB2312"/>
          <w:color w:val="auto"/>
          <w:sz w:val="28"/>
          <w:szCs w:val="28"/>
        </w:rPr>
      </w:pPr>
    </w:p>
    <w:sectPr>
      <w:pgSz w:w="11850" w:h="16783"/>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3B2A1">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41A03279">
                <w:pPr>
                  <w:snapToGrid w:val="0"/>
                  <w:rPr>
                    <w:sz w:val="18"/>
                  </w:rPr>
                </w:pPr>
                <w:r>
                  <w:fldChar w:fldCharType="begin"/>
                </w:r>
                <w:r>
                  <w:instrText xml:space="preserve"> PAGE  \* MERGEFORMAT </w:instrText>
                </w:r>
                <w:r>
                  <w:fldChar w:fldCharType="separate"/>
                </w:r>
                <w:r>
                  <w:rPr>
                    <w:sz w:val="18"/>
                  </w:rPr>
                  <w:t>55</w:t>
                </w:r>
                <w:r>
                  <w:rPr>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17B500"/>
    <w:multiLevelType w:val="singleLevel"/>
    <w:tmpl w:val="9717B500"/>
    <w:lvl w:ilvl="0" w:tentative="0">
      <w:start w:val="1"/>
      <w:numFmt w:val="chineseCounting"/>
      <w:suff w:val="nothing"/>
      <w:lvlText w:val="（%1）"/>
      <w:lvlJc w:val="left"/>
      <w:rPr>
        <w:rFonts w:hint="eastAsia"/>
      </w:rPr>
    </w:lvl>
  </w:abstractNum>
  <w:abstractNum w:abstractNumId="1">
    <w:nsid w:val="A706FF1C"/>
    <w:multiLevelType w:val="singleLevel"/>
    <w:tmpl w:val="A706FF1C"/>
    <w:lvl w:ilvl="0" w:tentative="0">
      <w:start w:val="12"/>
      <w:numFmt w:val="chineseCounting"/>
      <w:suff w:val="space"/>
      <w:lvlText w:val="第%1章"/>
      <w:lvlJc w:val="left"/>
      <w:rPr>
        <w:rFonts w:hint="eastAsia"/>
      </w:rPr>
    </w:lvl>
  </w:abstractNum>
  <w:abstractNum w:abstractNumId="2">
    <w:nsid w:val="D02EB1A0"/>
    <w:multiLevelType w:val="singleLevel"/>
    <w:tmpl w:val="D02EB1A0"/>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liYTlkNmE1MjFmNjkxNTcyZjFlOTNjZTc1ZTgyYjMifQ=="/>
  </w:docVars>
  <w:rsids>
    <w:rsidRoot w:val="3C66055E"/>
    <w:rsid w:val="00000AEE"/>
    <w:rsid w:val="000031B3"/>
    <w:rsid w:val="00007CB0"/>
    <w:rsid w:val="00012EA2"/>
    <w:rsid w:val="000141E3"/>
    <w:rsid w:val="000178CF"/>
    <w:rsid w:val="00035351"/>
    <w:rsid w:val="000354FD"/>
    <w:rsid w:val="00041F89"/>
    <w:rsid w:val="00043EF0"/>
    <w:rsid w:val="000454E5"/>
    <w:rsid w:val="000465DC"/>
    <w:rsid w:val="00046742"/>
    <w:rsid w:val="00051745"/>
    <w:rsid w:val="0005450C"/>
    <w:rsid w:val="000547D4"/>
    <w:rsid w:val="00055B3A"/>
    <w:rsid w:val="00055EC6"/>
    <w:rsid w:val="00056455"/>
    <w:rsid w:val="00060C88"/>
    <w:rsid w:val="000618D0"/>
    <w:rsid w:val="00062A84"/>
    <w:rsid w:val="00065E83"/>
    <w:rsid w:val="000674DD"/>
    <w:rsid w:val="000706A2"/>
    <w:rsid w:val="00075C01"/>
    <w:rsid w:val="00076BC4"/>
    <w:rsid w:val="00076D31"/>
    <w:rsid w:val="000774B6"/>
    <w:rsid w:val="000803C0"/>
    <w:rsid w:val="000803E3"/>
    <w:rsid w:val="0008052F"/>
    <w:rsid w:val="000818F3"/>
    <w:rsid w:val="000829DD"/>
    <w:rsid w:val="00082F2F"/>
    <w:rsid w:val="000835F2"/>
    <w:rsid w:val="000836FD"/>
    <w:rsid w:val="000916F6"/>
    <w:rsid w:val="00091C35"/>
    <w:rsid w:val="00091C5A"/>
    <w:rsid w:val="0009253D"/>
    <w:rsid w:val="000937FB"/>
    <w:rsid w:val="00096E37"/>
    <w:rsid w:val="000A4558"/>
    <w:rsid w:val="000A4A05"/>
    <w:rsid w:val="000A757E"/>
    <w:rsid w:val="000A7BEA"/>
    <w:rsid w:val="000A7C45"/>
    <w:rsid w:val="000B3801"/>
    <w:rsid w:val="000B3C69"/>
    <w:rsid w:val="000B40EB"/>
    <w:rsid w:val="000B7A63"/>
    <w:rsid w:val="000C0562"/>
    <w:rsid w:val="000C1FBF"/>
    <w:rsid w:val="000D302E"/>
    <w:rsid w:val="000D302F"/>
    <w:rsid w:val="000E016C"/>
    <w:rsid w:val="000E08D6"/>
    <w:rsid w:val="000E100B"/>
    <w:rsid w:val="000E169B"/>
    <w:rsid w:val="000E1E33"/>
    <w:rsid w:val="000E2296"/>
    <w:rsid w:val="000E59B6"/>
    <w:rsid w:val="000E5C84"/>
    <w:rsid w:val="000E5DE0"/>
    <w:rsid w:val="000E5FBB"/>
    <w:rsid w:val="000E6BB5"/>
    <w:rsid w:val="000E7637"/>
    <w:rsid w:val="000F1ED8"/>
    <w:rsid w:val="000F292D"/>
    <w:rsid w:val="000F353F"/>
    <w:rsid w:val="000F37DC"/>
    <w:rsid w:val="000F3940"/>
    <w:rsid w:val="000F7076"/>
    <w:rsid w:val="000F7379"/>
    <w:rsid w:val="00100FF4"/>
    <w:rsid w:val="00101817"/>
    <w:rsid w:val="001018A0"/>
    <w:rsid w:val="0010214A"/>
    <w:rsid w:val="001023B5"/>
    <w:rsid w:val="00103B50"/>
    <w:rsid w:val="00103BEA"/>
    <w:rsid w:val="00105652"/>
    <w:rsid w:val="0010642E"/>
    <w:rsid w:val="0010719C"/>
    <w:rsid w:val="00113D4F"/>
    <w:rsid w:val="0011493D"/>
    <w:rsid w:val="00115A1F"/>
    <w:rsid w:val="00117AA5"/>
    <w:rsid w:val="00121428"/>
    <w:rsid w:val="0012587A"/>
    <w:rsid w:val="00125ACC"/>
    <w:rsid w:val="00136B58"/>
    <w:rsid w:val="00141A7B"/>
    <w:rsid w:val="00141D56"/>
    <w:rsid w:val="00145921"/>
    <w:rsid w:val="00146B14"/>
    <w:rsid w:val="0015063C"/>
    <w:rsid w:val="001507F0"/>
    <w:rsid w:val="00150AEC"/>
    <w:rsid w:val="00152333"/>
    <w:rsid w:val="00153DFE"/>
    <w:rsid w:val="00157253"/>
    <w:rsid w:val="00157C9F"/>
    <w:rsid w:val="0016157B"/>
    <w:rsid w:val="00162569"/>
    <w:rsid w:val="001669BC"/>
    <w:rsid w:val="0017069B"/>
    <w:rsid w:val="00170973"/>
    <w:rsid w:val="00172137"/>
    <w:rsid w:val="0017448A"/>
    <w:rsid w:val="0017557B"/>
    <w:rsid w:val="00175E93"/>
    <w:rsid w:val="001762FF"/>
    <w:rsid w:val="00185A49"/>
    <w:rsid w:val="00186E56"/>
    <w:rsid w:val="00187238"/>
    <w:rsid w:val="0019196A"/>
    <w:rsid w:val="00191B9D"/>
    <w:rsid w:val="00191EE3"/>
    <w:rsid w:val="001951F2"/>
    <w:rsid w:val="001A0C0F"/>
    <w:rsid w:val="001A4DC6"/>
    <w:rsid w:val="001A532E"/>
    <w:rsid w:val="001A62D3"/>
    <w:rsid w:val="001B0AD1"/>
    <w:rsid w:val="001B0EDB"/>
    <w:rsid w:val="001B189F"/>
    <w:rsid w:val="001B50CF"/>
    <w:rsid w:val="001B7AF6"/>
    <w:rsid w:val="001C11C6"/>
    <w:rsid w:val="001C1D55"/>
    <w:rsid w:val="001C2531"/>
    <w:rsid w:val="001C4A78"/>
    <w:rsid w:val="001C5434"/>
    <w:rsid w:val="001C5617"/>
    <w:rsid w:val="001D09EA"/>
    <w:rsid w:val="001D50AC"/>
    <w:rsid w:val="001D523C"/>
    <w:rsid w:val="001D5D7C"/>
    <w:rsid w:val="001D62A6"/>
    <w:rsid w:val="001D6887"/>
    <w:rsid w:val="001E000A"/>
    <w:rsid w:val="001E15FD"/>
    <w:rsid w:val="001E47CC"/>
    <w:rsid w:val="001E4895"/>
    <w:rsid w:val="001E6BCD"/>
    <w:rsid w:val="001E6F8D"/>
    <w:rsid w:val="001F1809"/>
    <w:rsid w:val="001F4610"/>
    <w:rsid w:val="001F5321"/>
    <w:rsid w:val="001F6093"/>
    <w:rsid w:val="001F65E4"/>
    <w:rsid w:val="00201C39"/>
    <w:rsid w:val="00205376"/>
    <w:rsid w:val="002057A2"/>
    <w:rsid w:val="00206322"/>
    <w:rsid w:val="00211E38"/>
    <w:rsid w:val="00212A64"/>
    <w:rsid w:val="00213182"/>
    <w:rsid w:val="0021488A"/>
    <w:rsid w:val="00215237"/>
    <w:rsid w:val="0021553D"/>
    <w:rsid w:val="00216F51"/>
    <w:rsid w:val="00222F9D"/>
    <w:rsid w:val="00223100"/>
    <w:rsid w:val="0022384B"/>
    <w:rsid w:val="00223FC3"/>
    <w:rsid w:val="002248B7"/>
    <w:rsid w:val="002306B9"/>
    <w:rsid w:val="00230CB8"/>
    <w:rsid w:val="0023231D"/>
    <w:rsid w:val="00232DC1"/>
    <w:rsid w:val="002334CF"/>
    <w:rsid w:val="0023400D"/>
    <w:rsid w:val="002370D8"/>
    <w:rsid w:val="00237E23"/>
    <w:rsid w:val="0024030B"/>
    <w:rsid w:val="002404AC"/>
    <w:rsid w:val="002418D6"/>
    <w:rsid w:val="002425BF"/>
    <w:rsid w:val="00244EF3"/>
    <w:rsid w:val="002455D0"/>
    <w:rsid w:val="002469C6"/>
    <w:rsid w:val="0024788E"/>
    <w:rsid w:val="00250DA4"/>
    <w:rsid w:val="00255C81"/>
    <w:rsid w:val="00256CF8"/>
    <w:rsid w:val="002614A9"/>
    <w:rsid w:val="002631B1"/>
    <w:rsid w:val="002633ED"/>
    <w:rsid w:val="0026519A"/>
    <w:rsid w:val="00265E6E"/>
    <w:rsid w:val="0026626D"/>
    <w:rsid w:val="0027149D"/>
    <w:rsid w:val="00274A4A"/>
    <w:rsid w:val="002768BC"/>
    <w:rsid w:val="00276C28"/>
    <w:rsid w:val="00281102"/>
    <w:rsid w:val="00281574"/>
    <w:rsid w:val="0028242F"/>
    <w:rsid w:val="00282E2B"/>
    <w:rsid w:val="00283682"/>
    <w:rsid w:val="00283878"/>
    <w:rsid w:val="002856A3"/>
    <w:rsid w:val="0028764D"/>
    <w:rsid w:val="00287F29"/>
    <w:rsid w:val="00290236"/>
    <w:rsid w:val="00290A16"/>
    <w:rsid w:val="002913A4"/>
    <w:rsid w:val="002913E2"/>
    <w:rsid w:val="00291BD8"/>
    <w:rsid w:val="00293A2C"/>
    <w:rsid w:val="00294BB1"/>
    <w:rsid w:val="00296003"/>
    <w:rsid w:val="002A3CD6"/>
    <w:rsid w:val="002A4E62"/>
    <w:rsid w:val="002A4E80"/>
    <w:rsid w:val="002A64DC"/>
    <w:rsid w:val="002A6FFA"/>
    <w:rsid w:val="002B3761"/>
    <w:rsid w:val="002B3C1F"/>
    <w:rsid w:val="002B40B1"/>
    <w:rsid w:val="002B6464"/>
    <w:rsid w:val="002B65B7"/>
    <w:rsid w:val="002C1F99"/>
    <w:rsid w:val="002C402D"/>
    <w:rsid w:val="002C5253"/>
    <w:rsid w:val="002C5BF5"/>
    <w:rsid w:val="002D5365"/>
    <w:rsid w:val="002D6524"/>
    <w:rsid w:val="002E3340"/>
    <w:rsid w:val="002E35CC"/>
    <w:rsid w:val="002E3BE6"/>
    <w:rsid w:val="002E4763"/>
    <w:rsid w:val="002E4B9B"/>
    <w:rsid w:val="002E549B"/>
    <w:rsid w:val="002E6FCD"/>
    <w:rsid w:val="002E70A9"/>
    <w:rsid w:val="002F0E30"/>
    <w:rsid w:val="002F27EE"/>
    <w:rsid w:val="002F57F0"/>
    <w:rsid w:val="002F5852"/>
    <w:rsid w:val="002F5CEC"/>
    <w:rsid w:val="002F5F49"/>
    <w:rsid w:val="002F6596"/>
    <w:rsid w:val="002F6686"/>
    <w:rsid w:val="002F68E2"/>
    <w:rsid w:val="002F6DF2"/>
    <w:rsid w:val="002F7911"/>
    <w:rsid w:val="002F7F8D"/>
    <w:rsid w:val="003020A3"/>
    <w:rsid w:val="0030454A"/>
    <w:rsid w:val="0030499E"/>
    <w:rsid w:val="00312EA8"/>
    <w:rsid w:val="003145C3"/>
    <w:rsid w:val="00316495"/>
    <w:rsid w:val="0031649E"/>
    <w:rsid w:val="00317C07"/>
    <w:rsid w:val="003213CE"/>
    <w:rsid w:val="00322900"/>
    <w:rsid w:val="0032329F"/>
    <w:rsid w:val="00323864"/>
    <w:rsid w:val="00324EC6"/>
    <w:rsid w:val="00325613"/>
    <w:rsid w:val="00326DE2"/>
    <w:rsid w:val="00327193"/>
    <w:rsid w:val="00331AA4"/>
    <w:rsid w:val="00333104"/>
    <w:rsid w:val="00333A0D"/>
    <w:rsid w:val="00334E1E"/>
    <w:rsid w:val="0033675A"/>
    <w:rsid w:val="003374BB"/>
    <w:rsid w:val="00343AD3"/>
    <w:rsid w:val="003476F6"/>
    <w:rsid w:val="003502FE"/>
    <w:rsid w:val="00355856"/>
    <w:rsid w:val="0036141C"/>
    <w:rsid w:val="0036334B"/>
    <w:rsid w:val="00364F20"/>
    <w:rsid w:val="00365437"/>
    <w:rsid w:val="003675E5"/>
    <w:rsid w:val="003679D5"/>
    <w:rsid w:val="00367C8F"/>
    <w:rsid w:val="00370512"/>
    <w:rsid w:val="003707C6"/>
    <w:rsid w:val="003755B0"/>
    <w:rsid w:val="00380D09"/>
    <w:rsid w:val="003823FB"/>
    <w:rsid w:val="003826D7"/>
    <w:rsid w:val="00383DCA"/>
    <w:rsid w:val="003857C9"/>
    <w:rsid w:val="0038701F"/>
    <w:rsid w:val="00391CCC"/>
    <w:rsid w:val="00392DB1"/>
    <w:rsid w:val="00394223"/>
    <w:rsid w:val="0039476E"/>
    <w:rsid w:val="003948EA"/>
    <w:rsid w:val="00394D16"/>
    <w:rsid w:val="0039568C"/>
    <w:rsid w:val="003962E2"/>
    <w:rsid w:val="003A0675"/>
    <w:rsid w:val="003A0C8E"/>
    <w:rsid w:val="003A0E8B"/>
    <w:rsid w:val="003A2B86"/>
    <w:rsid w:val="003A2D5A"/>
    <w:rsid w:val="003A5E37"/>
    <w:rsid w:val="003A67B6"/>
    <w:rsid w:val="003A681B"/>
    <w:rsid w:val="003A6B85"/>
    <w:rsid w:val="003A7F16"/>
    <w:rsid w:val="003B07EC"/>
    <w:rsid w:val="003B28C1"/>
    <w:rsid w:val="003B3ADB"/>
    <w:rsid w:val="003B3D52"/>
    <w:rsid w:val="003C1DCB"/>
    <w:rsid w:val="003C30D1"/>
    <w:rsid w:val="003D0D9C"/>
    <w:rsid w:val="003D1299"/>
    <w:rsid w:val="003D12E9"/>
    <w:rsid w:val="003D1A55"/>
    <w:rsid w:val="003D1DA4"/>
    <w:rsid w:val="003D446C"/>
    <w:rsid w:val="003D491D"/>
    <w:rsid w:val="003D6831"/>
    <w:rsid w:val="003E135B"/>
    <w:rsid w:val="003E466F"/>
    <w:rsid w:val="003E5400"/>
    <w:rsid w:val="003F2231"/>
    <w:rsid w:val="003F5A9D"/>
    <w:rsid w:val="003F62C6"/>
    <w:rsid w:val="00400111"/>
    <w:rsid w:val="00402E8E"/>
    <w:rsid w:val="004030FD"/>
    <w:rsid w:val="00404434"/>
    <w:rsid w:val="00406F7E"/>
    <w:rsid w:val="00410C45"/>
    <w:rsid w:val="00416D6A"/>
    <w:rsid w:val="00420DE8"/>
    <w:rsid w:val="00421B50"/>
    <w:rsid w:val="00422F4F"/>
    <w:rsid w:val="00422FCC"/>
    <w:rsid w:val="00425E84"/>
    <w:rsid w:val="00426E05"/>
    <w:rsid w:val="004276DA"/>
    <w:rsid w:val="0043066C"/>
    <w:rsid w:val="004313B4"/>
    <w:rsid w:val="00433266"/>
    <w:rsid w:val="0043456D"/>
    <w:rsid w:val="004365FD"/>
    <w:rsid w:val="004377C9"/>
    <w:rsid w:val="00440C4A"/>
    <w:rsid w:val="00440FA9"/>
    <w:rsid w:val="00443DC3"/>
    <w:rsid w:val="00444A8D"/>
    <w:rsid w:val="00445A42"/>
    <w:rsid w:val="00446B45"/>
    <w:rsid w:val="00446E4B"/>
    <w:rsid w:val="00447EA8"/>
    <w:rsid w:val="0045066B"/>
    <w:rsid w:val="004515A2"/>
    <w:rsid w:val="00452859"/>
    <w:rsid w:val="00452E3F"/>
    <w:rsid w:val="0045565B"/>
    <w:rsid w:val="00457B98"/>
    <w:rsid w:val="00457F8D"/>
    <w:rsid w:val="00461840"/>
    <w:rsid w:val="00462F5C"/>
    <w:rsid w:val="0046368E"/>
    <w:rsid w:val="004636D7"/>
    <w:rsid w:val="004646E8"/>
    <w:rsid w:val="00464EB5"/>
    <w:rsid w:val="0047065C"/>
    <w:rsid w:val="00470A6E"/>
    <w:rsid w:val="004753B3"/>
    <w:rsid w:val="00477FF2"/>
    <w:rsid w:val="0048038B"/>
    <w:rsid w:val="0048064F"/>
    <w:rsid w:val="004809A3"/>
    <w:rsid w:val="00480C42"/>
    <w:rsid w:val="00481677"/>
    <w:rsid w:val="004827AC"/>
    <w:rsid w:val="00482CEA"/>
    <w:rsid w:val="0048791B"/>
    <w:rsid w:val="004904CF"/>
    <w:rsid w:val="00490647"/>
    <w:rsid w:val="00492667"/>
    <w:rsid w:val="004948A2"/>
    <w:rsid w:val="00495A6D"/>
    <w:rsid w:val="00497092"/>
    <w:rsid w:val="004975A8"/>
    <w:rsid w:val="004A1247"/>
    <w:rsid w:val="004A1255"/>
    <w:rsid w:val="004A23ED"/>
    <w:rsid w:val="004A3DFE"/>
    <w:rsid w:val="004B1694"/>
    <w:rsid w:val="004B2E3B"/>
    <w:rsid w:val="004B50FE"/>
    <w:rsid w:val="004B728E"/>
    <w:rsid w:val="004C0A09"/>
    <w:rsid w:val="004C265D"/>
    <w:rsid w:val="004C37F9"/>
    <w:rsid w:val="004C4109"/>
    <w:rsid w:val="004C458E"/>
    <w:rsid w:val="004C5C62"/>
    <w:rsid w:val="004C6ADD"/>
    <w:rsid w:val="004D0BAB"/>
    <w:rsid w:val="004D25B2"/>
    <w:rsid w:val="004D5797"/>
    <w:rsid w:val="004E002F"/>
    <w:rsid w:val="004E205D"/>
    <w:rsid w:val="004E2561"/>
    <w:rsid w:val="004E3233"/>
    <w:rsid w:val="004E3A23"/>
    <w:rsid w:val="004E4297"/>
    <w:rsid w:val="004F09ED"/>
    <w:rsid w:val="004F1A67"/>
    <w:rsid w:val="004F28A2"/>
    <w:rsid w:val="004F3108"/>
    <w:rsid w:val="004F4036"/>
    <w:rsid w:val="004F4CF1"/>
    <w:rsid w:val="004F6965"/>
    <w:rsid w:val="004F72CF"/>
    <w:rsid w:val="004F75AD"/>
    <w:rsid w:val="004F7EDC"/>
    <w:rsid w:val="005036F8"/>
    <w:rsid w:val="00504DC9"/>
    <w:rsid w:val="005112D2"/>
    <w:rsid w:val="00511B57"/>
    <w:rsid w:val="00512D21"/>
    <w:rsid w:val="005152AD"/>
    <w:rsid w:val="0051598F"/>
    <w:rsid w:val="00517AED"/>
    <w:rsid w:val="00517B3F"/>
    <w:rsid w:val="005210E6"/>
    <w:rsid w:val="00522477"/>
    <w:rsid w:val="00522538"/>
    <w:rsid w:val="005231CB"/>
    <w:rsid w:val="0052368A"/>
    <w:rsid w:val="00525F60"/>
    <w:rsid w:val="00526783"/>
    <w:rsid w:val="0053013D"/>
    <w:rsid w:val="00532003"/>
    <w:rsid w:val="00533915"/>
    <w:rsid w:val="0053472C"/>
    <w:rsid w:val="005362F3"/>
    <w:rsid w:val="0053695D"/>
    <w:rsid w:val="005371ED"/>
    <w:rsid w:val="0054034E"/>
    <w:rsid w:val="00540AD7"/>
    <w:rsid w:val="00541051"/>
    <w:rsid w:val="0054195C"/>
    <w:rsid w:val="005427BF"/>
    <w:rsid w:val="005427C6"/>
    <w:rsid w:val="00542BBD"/>
    <w:rsid w:val="00544D05"/>
    <w:rsid w:val="00545BED"/>
    <w:rsid w:val="005463EF"/>
    <w:rsid w:val="00547325"/>
    <w:rsid w:val="0054780C"/>
    <w:rsid w:val="00551E92"/>
    <w:rsid w:val="005523E5"/>
    <w:rsid w:val="00552AA4"/>
    <w:rsid w:val="005549B4"/>
    <w:rsid w:val="005557DB"/>
    <w:rsid w:val="0055609D"/>
    <w:rsid w:val="00557193"/>
    <w:rsid w:val="005577CC"/>
    <w:rsid w:val="00560592"/>
    <w:rsid w:val="00561C00"/>
    <w:rsid w:val="00562056"/>
    <w:rsid w:val="00562255"/>
    <w:rsid w:val="005626C4"/>
    <w:rsid w:val="00562713"/>
    <w:rsid w:val="00562C9B"/>
    <w:rsid w:val="00563986"/>
    <w:rsid w:val="00563F6B"/>
    <w:rsid w:val="00567C41"/>
    <w:rsid w:val="00567F46"/>
    <w:rsid w:val="005706B1"/>
    <w:rsid w:val="0057274D"/>
    <w:rsid w:val="00572E48"/>
    <w:rsid w:val="0057779A"/>
    <w:rsid w:val="005817F6"/>
    <w:rsid w:val="00581E7A"/>
    <w:rsid w:val="00582A2A"/>
    <w:rsid w:val="005831CC"/>
    <w:rsid w:val="0058333E"/>
    <w:rsid w:val="00584DC6"/>
    <w:rsid w:val="00586314"/>
    <w:rsid w:val="00586713"/>
    <w:rsid w:val="0058794F"/>
    <w:rsid w:val="00592B40"/>
    <w:rsid w:val="00593104"/>
    <w:rsid w:val="00594247"/>
    <w:rsid w:val="005944DA"/>
    <w:rsid w:val="005969DB"/>
    <w:rsid w:val="005A0F65"/>
    <w:rsid w:val="005A67FB"/>
    <w:rsid w:val="005B1955"/>
    <w:rsid w:val="005B3905"/>
    <w:rsid w:val="005B5DB3"/>
    <w:rsid w:val="005B63C8"/>
    <w:rsid w:val="005B79BE"/>
    <w:rsid w:val="005B7DD2"/>
    <w:rsid w:val="005C0C0F"/>
    <w:rsid w:val="005C3946"/>
    <w:rsid w:val="005C6D11"/>
    <w:rsid w:val="005C7830"/>
    <w:rsid w:val="005D34EA"/>
    <w:rsid w:val="005D4261"/>
    <w:rsid w:val="005D5C0B"/>
    <w:rsid w:val="005D6720"/>
    <w:rsid w:val="005D682E"/>
    <w:rsid w:val="005E1C65"/>
    <w:rsid w:val="005E2D3E"/>
    <w:rsid w:val="005E32C3"/>
    <w:rsid w:val="005E39E1"/>
    <w:rsid w:val="005F045E"/>
    <w:rsid w:val="005F1CE1"/>
    <w:rsid w:val="005F1EA4"/>
    <w:rsid w:val="005F20AD"/>
    <w:rsid w:val="005F256A"/>
    <w:rsid w:val="005F2B0B"/>
    <w:rsid w:val="005F3994"/>
    <w:rsid w:val="005F3A85"/>
    <w:rsid w:val="005F4904"/>
    <w:rsid w:val="005F64C5"/>
    <w:rsid w:val="00600C23"/>
    <w:rsid w:val="00602071"/>
    <w:rsid w:val="00602344"/>
    <w:rsid w:val="00602C84"/>
    <w:rsid w:val="006033CA"/>
    <w:rsid w:val="00610CCF"/>
    <w:rsid w:val="00612164"/>
    <w:rsid w:val="00612E92"/>
    <w:rsid w:val="00621284"/>
    <w:rsid w:val="00621B18"/>
    <w:rsid w:val="00624E96"/>
    <w:rsid w:val="00626CB5"/>
    <w:rsid w:val="00627146"/>
    <w:rsid w:val="00627AA0"/>
    <w:rsid w:val="00627CE4"/>
    <w:rsid w:val="00632091"/>
    <w:rsid w:val="006323D7"/>
    <w:rsid w:val="006347A1"/>
    <w:rsid w:val="00634FF0"/>
    <w:rsid w:val="0064011A"/>
    <w:rsid w:val="00641E8E"/>
    <w:rsid w:val="00642AEF"/>
    <w:rsid w:val="00643022"/>
    <w:rsid w:val="00646151"/>
    <w:rsid w:val="00646661"/>
    <w:rsid w:val="00647769"/>
    <w:rsid w:val="00647FF1"/>
    <w:rsid w:val="00650686"/>
    <w:rsid w:val="00650DA1"/>
    <w:rsid w:val="00651B4A"/>
    <w:rsid w:val="00652A94"/>
    <w:rsid w:val="00652C8B"/>
    <w:rsid w:val="006530A0"/>
    <w:rsid w:val="00653654"/>
    <w:rsid w:val="00653A0B"/>
    <w:rsid w:val="00654ECC"/>
    <w:rsid w:val="00655751"/>
    <w:rsid w:val="0066063C"/>
    <w:rsid w:val="00663B86"/>
    <w:rsid w:val="00665BD0"/>
    <w:rsid w:val="006705AF"/>
    <w:rsid w:val="0067278E"/>
    <w:rsid w:val="0067295C"/>
    <w:rsid w:val="00676E40"/>
    <w:rsid w:val="0067736B"/>
    <w:rsid w:val="006775A1"/>
    <w:rsid w:val="00680F6B"/>
    <w:rsid w:val="0068160E"/>
    <w:rsid w:val="00684EBA"/>
    <w:rsid w:val="00687EB8"/>
    <w:rsid w:val="0069029C"/>
    <w:rsid w:val="0069046C"/>
    <w:rsid w:val="00694394"/>
    <w:rsid w:val="00694676"/>
    <w:rsid w:val="00695E9B"/>
    <w:rsid w:val="006A1CFE"/>
    <w:rsid w:val="006A3528"/>
    <w:rsid w:val="006A36CD"/>
    <w:rsid w:val="006A462C"/>
    <w:rsid w:val="006B27E0"/>
    <w:rsid w:val="006B33AC"/>
    <w:rsid w:val="006B5228"/>
    <w:rsid w:val="006B575C"/>
    <w:rsid w:val="006B6DE7"/>
    <w:rsid w:val="006B7CBE"/>
    <w:rsid w:val="006C0636"/>
    <w:rsid w:val="006C4099"/>
    <w:rsid w:val="006C582E"/>
    <w:rsid w:val="006C59E4"/>
    <w:rsid w:val="006C7AAF"/>
    <w:rsid w:val="006D1DF6"/>
    <w:rsid w:val="006D4459"/>
    <w:rsid w:val="006D45BA"/>
    <w:rsid w:val="006D4743"/>
    <w:rsid w:val="006D57B9"/>
    <w:rsid w:val="006D6B53"/>
    <w:rsid w:val="006E30A3"/>
    <w:rsid w:val="006E42E2"/>
    <w:rsid w:val="006E45EC"/>
    <w:rsid w:val="006E5D5A"/>
    <w:rsid w:val="006F02DA"/>
    <w:rsid w:val="006F47DB"/>
    <w:rsid w:val="006F551B"/>
    <w:rsid w:val="006F73BF"/>
    <w:rsid w:val="006F7E23"/>
    <w:rsid w:val="0070035F"/>
    <w:rsid w:val="00702A40"/>
    <w:rsid w:val="00704868"/>
    <w:rsid w:val="00704E19"/>
    <w:rsid w:val="00707CF0"/>
    <w:rsid w:val="00707EEB"/>
    <w:rsid w:val="00711C24"/>
    <w:rsid w:val="00712EB5"/>
    <w:rsid w:val="007167AE"/>
    <w:rsid w:val="00716EC6"/>
    <w:rsid w:val="00716FE7"/>
    <w:rsid w:val="00717962"/>
    <w:rsid w:val="00720846"/>
    <w:rsid w:val="007225CB"/>
    <w:rsid w:val="00722E7F"/>
    <w:rsid w:val="00722FC3"/>
    <w:rsid w:val="00724D8D"/>
    <w:rsid w:val="00726F70"/>
    <w:rsid w:val="00730E01"/>
    <w:rsid w:val="00731140"/>
    <w:rsid w:val="007322C3"/>
    <w:rsid w:val="00734808"/>
    <w:rsid w:val="00735ADB"/>
    <w:rsid w:val="00736044"/>
    <w:rsid w:val="00736C02"/>
    <w:rsid w:val="007404C3"/>
    <w:rsid w:val="00742A87"/>
    <w:rsid w:val="0074597C"/>
    <w:rsid w:val="00747DD1"/>
    <w:rsid w:val="00750A46"/>
    <w:rsid w:val="00750A8B"/>
    <w:rsid w:val="00751ABB"/>
    <w:rsid w:val="00751C77"/>
    <w:rsid w:val="00755D18"/>
    <w:rsid w:val="00762462"/>
    <w:rsid w:val="00763905"/>
    <w:rsid w:val="00763AA4"/>
    <w:rsid w:val="007642A1"/>
    <w:rsid w:val="007714D0"/>
    <w:rsid w:val="007742B9"/>
    <w:rsid w:val="007803D1"/>
    <w:rsid w:val="007819CD"/>
    <w:rsid w:val="00782858"/>
    <w:rsid w:val="007854A4"/>
    <w:rsid w:val="00785663"/>
    <w:rsid w:val="0078643C"/>
    <w:rsid w:val="007911AD"/>
    <w:rsid w:val="007919A5"/>
    <w:rsid w:val="007931AB"/>
    <w:rsid w:val="00794147"/>
    <w:rsid w:val="00794849"/>
    <w:rsid w:val="007956FE"/>
    <w:rsid w:val="00795BF3"/>
    <w:rsid w:val="007A1FC9"/>
    <w:rsid w:val="007A2413"/>
    <w:rsid w:val="007A2ACF"/>
    <w:rsid w:val="007A2C20"/>
    <w:rsid w:val="007A355E"/>
    <w:rsid w:val="007A37A4"/>
    <w:rsid w:val="007A3C1A"/>
    <w:rsid w:val="007A4C02"/>
    <w:rsid w:val="007A608B"/>
    <w:rsid w:val="007B1589"/>
    <w:rsid w:val="007B3694"/>
    <w:rsid w:val="007B4B06"/>
    <w:rsid w:val="007B5FFF"/>
    <w:rsid w:val="007C1B2C"/>
    <w:rsid w:val="007C2FDA"/>
    <w:rsid w:val="007C5853"/>
    <w:rsid w:val="007D12FE"/>
    <w:rsid w:val="007D1632"/>
    <w:rsid w:val="007D1F82"/>
    <w:rsid w:val="007D2131"/>
    <w:rsid w:val="007D5B23"/>
    <w:rsid w:val="007D6425"/>
    <w:rsid w:val="007D6E29"/>
    <w:rsid w:val="007E0136"/>
    <w:rsid w:val="007E07EB"/>
    <w:rsid w:val="007E23DB"/>
    <w:rsid w:val="007E4B61"/>
    <w:rsid w:val="007E6892"/>
    <w:rsid w:val="007E6A27"/>
    <w:rsid w:val="007E7336"/>
    <w:rsid w:val="007F04CF"/>
    <w:rsid w:val="007F149B"/>
    <w:rsid w:val="007F24F7"/>
    <w:rsid w:val="007F34C8"/>
    <w:rsid w:val="007F4C93"/>
    <w:rsid w:val="007F4EA1"/>
    <w:rsid w:val="007F5FB8"/>
    <w:rsid w:val="00804A9A"/>
    <w:rsid w:val="0080564F"/>
    <w:rsid w:val="0081005B"/>
    <w:rsid w:val="00810CC7"/>
    <w:rsid w:val="008122FB"/>
    <w:rsid w:val="00812790"/>
    <w:rsid w:val="0081634A"/>
    <w:rsid w:val="008175C9"/>
    <w:rsid w:val="008212D8"/>
    <w:rsid w:val="008238A2"/>
    <w:rsid w:val="008246DD"/>
    <w:rsid w:val="0082602F"/>
    <w:rsid w:val="0083512E"/>
    <w:rsid w:val="00836224"/>
    <w:rsid w:val="00836B9B"/>
    <w:rsid w:val="00840CF4"/>
    <w:rsid w:val="00841319"/>
    <w:rsid w:val="00841EA8"/>
    <w:rsid w:val="00842DE0"/>
    <w:rsid w:val="008450C5"/>
    <w:rsid w:val="008453BE"/>
    <w:rsid w:val="00847280"/>
    <w:rsid w:val="00847996"/>
    <w:rsid w:val="00850A55"/>
    <w:rsid w:val="008524B8"/>
    <w:rsid w:val="008524BB"/>
    <w:rsid w:val="008545FF"/>
    <w:rsid w:val="00854688"/>
    <w:rsid w:val="00855FE2"/>
    <w:rsid w:val="00856E12"/>
    <w:rsid w:val="0085792A"/>
    <w:rsid w:val="00857F3B"/>
    <w:rsid w:val="00860E40"/>
    <w:rsid w:val="00862A59"/>
    <w:rsid w:val="008644F7"/>
    <w:rsid w:val="008652C9"/>
    <w:rsid w:val="00865536"/>
    <w:rsid w:val="008658C9"/>
    <w:rsid w:val="0086691E"/>
    <w:rsid w:val="008670C2"/>
    <w:rsid w:val="0086758B"/>
    <w:rsid w:val="00871554"/>
    <w:rsid w:val="008720AD"/>
    <w:rsid w:val="0087350D"/>
    <w:rsid w:val="0087353F"/>
    <w:rsid w:val="0087487B"/>
    <w:rsid w:val="0087725A"/>
    <w:rsid w:val="00881FFB"/>
    <w:rsid w:val="008830E4"/>
    <w:rsid w:val="008842D9"/>
    <w:rsid w:val="00885C4F"/>
    <w:rsid w:val="00886505"/>
    <w:rsid w:val="00887D5C"/>
    <w:rsid w:val="0089086B"/>
    <w:rsid w:val="00893DFE"/>
    <w:rsid w:val="00895F5B"/>
    <w:rsid w:val="00896AE1"/>
    <w:rsid w:val="008A1943"/>
    <w:rsid w:val="008A34AE"/>
    <w:rsid w:val="008A4557"/>
    <w:rsid w:val="008A4B5B"/>
    <w:rsid w:val="008A5269"/>
    <w:rsid w:val="008A5B44"/>
    <w:rsid w:val="008A662B"/>
    <w:rsid w:val="008A731F"/>
    <w:rsid w:val="008A7387"/>
    <w:rsid w:val="008B0AF5"/>
    <w:rsid w:val="008B2CAD"/>
    <w:rsid w:val="008B5E44"/>
    <w:rsid w:val="008B7100"/>
    <w:rsid w:val="008B7DB5"/>
    <w:rsid w:val="008C00ED"/>
    <w:rsid w:val="008C02DF"/>
    <w:rsid w:val="008C0BB9"/>
    <w:rsid w:val="008C113E"/>
    <w:rsid w:val="008C17FE"/>
    <w:rsid w:val="008C1DE2"/>
    <w:rsid w:val="008C413D"/>
    <w:rsid w:val="008C6199"/>
    <w:rsid w:val="008C6492"/>
    <w:rsid w:val="008C6EDE"/>
    <w:rsid w:val="008D02AC"/>
    <w:rsid w:val="008D05B4"/>
    <w:rsid w:val="008D0E18"/>
    <w:rsid w:val="008D14D0"/>
    <w:rsid w:val="008D284D"/>
    <w:rsid w:val="008D2BD9"/>
    <w:rsid w:val="008D319D"/>
    <w:rsid w:val="008D44C6"/>
    <w:rsid w:val="008E0289"/>
    <w:rsid w:val="008E1A02"/>
    <w:rsid w:val="008E2779"/>
    <w:rsid w:val="008E54D1"/>
    <w:rsid w:val="008E56A0"/>
    <w:rsid w:val="008E5733"/>
    <w:rsid w:val="008E60C9"/>
    <w:rsid w:val="008F112D"/>
    <w:rsid w:val="008F22AA"/>
    <w:rsid w:val="008F5DAC"/>
    <w:rsid w:val="008F5DDF"/>
    <w:rsid w:val="008F73D5"/>
    <w:rsid w:val="008F7AA1"/>
    <w:rsid w:val="0090156E"/>
    <w:rsid w:val="0090223B"/>
    <w:rsid w:val="00903DA4"/>
    <w:rsid w:val="00904A35"/>
    <w:rsid w:val="0090534D"/>
    <w:rsid w:val="009061B2"/>
    <w:rsid w:val="00906807"/>
    <w:rsid w:val="0091105C"/>
    <w:rsid w:val="00911368"/>
    <w:rsid w:val="00911747"/>
    <w:rsid w:val="00911889"/>
    <w:rsid w:val="00911BE1"/>
    <w:rsid w:val="0091269F"/>
    <w:rsid w:val="009136BC"/>
    <w:rsid w:val="009137C6"/>
    <w:rsid w:val="00916EE5"/>
    <w:rsid w:val="009171BE"/>
    <w:rsid w:val="00921911"/>
    <w:rsid w:val="00921B9F"/>
    <w:rsid w:val="009224AC"/>
    <w:rsid w:val="009229D5"/>
    <w:rsid w:val="009236A8"/>
    <w:rsid w:val="0092410F"/>
    <w:rsid w:val="009245EB"/>
    <w:rsid w:val="0092528D"/>
    <w:rsid w:val="00925D0F"/>
    <w:rsid w:val="00926A6C"/>
    <w:rsid w:val="00927254"/>
    <w:rsid w:val="00927A45"/>
    <w:rsid w:val="00931893"/>
    <w:rsid w:val="009322DE"/>
    <w:rsid w:val="00937283"/>
    <w:rsid w:val="00937463"/>
    <w:rsid w:val="00937D38"/>
    <w:rsid w:val="00941AE9"/>
    <w:rsid w:val="009431F2"/>
    <w:rsid w:val="00946038"/>
    <w:rsid w:val="009474F5"/>
    <w:rsid w:val="00950B64"/>
    <w:rsid w:val="00950FA7"/>
    <w:rsid w:val="0095163E"/>
    <w:rsid w:val="00952109"/>
    <w:rsid w:val="009569B6"/>
    <w:rsid w:val="00956F10"/>
    <w:rsid w:val="0096110A"/>
    <w:rsid w:val="0096194F"/>
    <w:rsid w:val="00973329"/>
    <w:rsid w:val="0097427F"/>
    <w:rsid w:val="00975731"/>
    <w:rsid w:val="0097588C"/>
    <w:rsid w:val="0098054E"/>
    <w:rsid w:val="00980B27"/>
    <w:rsid w:val="00981087"/>
    <w:rsid w:val="0098194F"/>
    <w:rsid w:val="00982973"/>
    <w:rsid w:val="009841F3"/>
    <w:rsid w:val="00984469"/>
    <w:rsid w:val="00984BBA"/>
    <w:rsid w:val="0098555B"/>
    <w:rsid w:val="00991A31"/>
    <w:rsid w:val="00995379"/>
    <w:rsid w:val="009969B4"/>
    <w:rsid w:val="00996EBC"/>
    <w:rsid w:val="00997372"/>
    <w:rsid w:val="009A18D1"/>
    <w:rsid w:val="009A2DCC"/>
    <w:rsid w:val="009A3334"/>
    <w:rsid w:val="009A3F19"/>
    <w:rsid w:val="009A420E"/>
    <w:rsid w:val="009A4AAC"/>
    <w:rsid w:val="009A507D"/>
    <w:rsid w:val="009A569C"/>
    <w:rsid w:val="009B08D0"/>
    <w:rsid w:val="009B199C"/>
    <w:rsid w:val="009B24B7"/>
    <w:rsid w:val="009B330F"/>
    <w:rsid w:val="009B5050"/>
    <w:rsid w:val="009B651E"/>
    <w:rsid w:val="009B679F"/>
    <w:rsid w:val="009C1BC5"/>
    <w:rsid w:val="009C3073"/>
    <w:rsid w:val="009C3FD0"/>
    <w:rsid w:val="009C44DB"/>
    <w:rsid w:val="009C4E98"/>
    <w:rsid w:val="009C530F"/>
    <w:rsid w:val="009C5AB0"/>
    <w:rsid w:val="009C5D65"/>
    <w:rsid w:val="009C65EA"/>
    <w:rsid w:val="009C7D07"/>
    <w:rsid w:val="009D20DF"/>
    <w:rsid w:val="009D26DE"/>
    <w:rsid w:val="009D2E3F"/>
    <w:rsid w:val="009D5249"/>
    <w:rsid w:val="009D64C7"/>
    <w:rsid w:val="009D69EB"/>
    <w:rsid w:val="009D73E5"/>
    <w:rsid w:val="009E0FD7"/>
    <w:rsid w:val="009E112C"/>
    <w:rsid w:val="009E2369"/>
    <w:rsid w:val="009E67F6"/>
    <w:rsid w:val="009E6EDE"/>
    <w:rsid w:val="009F2A52"/>
    <w:rsid w:val="009F31CE"/>
    <w:rsid w:val="009F3279"/>
    <w:rsid w:val="009F3B7F"/>
    <w:rsid w:val="009F5508"/>
    <w:rsid w:val="009F55A9"/>
    <w:rsid w:val="009F6555"/>
    <w:rsid w:val="009F7A1B"/>
    <w:rsid w:val="00A0027F"/>
    <w:rsid w:val="00A02380"/>
    <w:rsid w:val="00A03F56"/>
    <w:rsid w:val="00A04017"/>
    <w:rsid w:val="00A04800"/>
    <w:rsid w:val="00A0531F"/>
    <w:rsid w:val="00A06CD3"/>
    <w:rsid w:val="00A13267"/>
    <w:rsid w:val="00A144CE"/>
    <w:rsid w:val="00A1613B"/>
    <w:rsid w:val="00A1634B"/>
    <w:rsid w:val="00A164F8"/>
    <w:rsid w:val="00A165D8"/>
    <w:rsid w:val="00A1667A"/>
    <w:rsid w:val="00A16E48"/>
    <w:rsid w:val="00A174A8"/>
    <w:rsid w:val="00A175E7"/>
    <w:rsid w:val="00A231B3"/>
    <w:rsid w:val="00A23EFF"/>
    <w:rsid w:val="00A25DD2"/>
    <w:rsid w:val="00A27EA4"/>
    <w:rsid w:val="00A31312"/>
    <w:rsid w:val="00A33C3D"/>
    <w:rsid w:val="00A34BD9"/>
    <w:rsid w:val="00A379FE"/>
    <w:rsid w:val="00A40D0A"/>
    <w:rsid w:val="00A414C4"/>
    <w:rsid w:val="00A4574A"/>
    <w:rsid w:val="00A47049"/>
    <w:rsid w:val="00A5167D"/>
    <w:rsid w:val="00A51950"/>
    <w:rsid w:val="00A51EEA"/>
    <w:rsid w:val="00A55475"/>
    <w:rsid w:val="00A555C4"/>
    <w:rsid w:val="00A56405"/>
    <w:rsid w:val="00A56C1E"/>
    <w:rsid w:val="00A656DC"/>
    <w:rsid w:val="00A65C03"/>
    <w:rsid w:val="00A6730C"/>
    <w:rsid w:val="00A70248"/>
    <w:rsid w:val="00A71A7F"/>
    <w:rsid w:val="00A73C06"/>
    <w:rsid w:val="00A805DC"/>
    <w:rsid w:val="00A82786"/>
    <w:rsid w:val="00A828FA"/>
    <w:rsid w:val="00A8349B"/>
    <w:rsid w:val="00A83AC4"/>
    <w:rsid w:val="00A842FC"/>
    <w:rsid w:val="00A856C6"/>
    <w:rsid w:val="00A8724B"/>
    <w:rsid w:val="00A90AB0"/>
    <w:rsid w:val="00A924B7"/>
    <w:rsid w:val="00A933DB"/>
    <w:rsid w:val="00A94D38"/>
    <w:rsid w:val="00AA0ED6"/>
    <w:rsid w:val="00AA10D8"/>
    <w:rsid w:val="00AA1E39"/>
    <w:rsid w:val="00AA20E3"/>
    <w:rsid w:val="00AA2294"/>
    <w:rsid w:val="00AA3215"/>
    <w:rsid w:val="00AA5D8A"/>
    <w:rsid w:val="00AA78FC"/>
    <w:rsid w:val="00AB02A0"/>
    <w:rsid w:val="00AB0540"/>
    <w:rsid w:val="00AB0E1D"/>
    <w:rsid w:val="00AB41DE"/>
    <w:rsid w:val="00AB42EA"/>
    <w:rsid w:val="00AB51B0"/>
    <w:rsid w:val="00AB6DF6"/>
    <w:rsid w:val="00AB70B8"/>
    <w:rsid w:val="00AC0F76"/>
    <w:rsid w:val="00AC4885"/>
    <w:rsid w:val="00AC4A14"/>
    <w:rsid w:val="00AC57BD"/>
    <w:rsid w:val="00AC69E1"/>
    <w:rsid w:val="00AC7031"/>
    <w:rsid w:val="00AC7A43"/>
    <w:rsid w:val="00AD0040"/>
    <w:rsid w:val="00AD0444"/>
    <w:rsid w:val="00AD2E91"/>
    <w:rsid w:val="00AD4508"/>
    <w:rsid w:val="00AE161B"/>
    <w:rsid w:val="00AE20A1"/>
    <w:rsid w:val="00AE27B5"/>
    <w:rsid w:val="00AE4D80"/>
    <w:rsid w:val="00AE64AD"/>
    <w:rsid w:val="00AF0E4F"/>
    <w:rsid w:val="00AF1CD3"/>
    <w:rsid w:val="00AF211B"/>
    <w:rsid w:val="00AF2E66"/>
    <w:rsid w:val="00AF4D1C"/>
    <w:rsid w:val="00AF667B"/>
    <w:rsid w:val="00AF73A9"/>
    <w:rsid w:val="00B01CE4"/>
    <w:rsid w:val="00B02222"/>
    <w:rsid w:val="00B04F51"/>
    <w:rsid w:val="00B056E3"/>
    <w:rsid w:val="00B070DD"/>
    <w:rsid w:val="00B1081D"/>
    <w:rsid w:val="00B166B0"/>
    <w:rsid w:val="00B169FC"/>
    <w:rsid w:val="00B20CEF"/>
    <w:rsid w:val="00B22BCC"/>
    <w:rsid w:val="00B236D9"/>
    <w:rsid w:val="00B2692D"/>
    <w:rsid w:val="00B3014D"/>
    <w:rsid w:val="00B302E4"/>
    <w:rsid w:val="00B3098F"/>
    <w:rsid w:val="00B33C00"/>
    <w:rsid w:val="00B35BDE"/>
    <w:rsid w:val="00B378D6"/>
    <w:rsid w:val="00B424BA"/>
    <w:rsid w:val="00B42A08"/>
    <w:rsid w:val="00B45468"/>
    <w:rsid w:val="00B4707C"/>
    <w:rsid w:val="00B47EBB"/>
    <w:rsid w:val="00B502B0"/>
    <w:rsid w:val="00B50576"/>
    <w:rsid w:val="00B5236F"/>
    <w:rsid w:val="00B54BA1"/>
    <w:rsid w:val="00B56BD4"/>
    <w:rsid w:val="00B578BB"/>
    <w:rsid w:val="00B57B8E"/>
    <w:rsid w:val="00B613B9"/>
    <w:rsid w:val="00B61AC6"/>
    <w:rsid w:val="00B61F26"/>
    <w:rsid w:val="00B62A31"/>
    <w:rsid w:val="00B651E8"/>
    <w:rsid w:val="00B657AB"/>
    <w:rsid w:val="00B70AFE"/>
    <w:rsid w:val="00B720C7"/>
    <w:rsid w:val="00B72965"/>
    <w:rsid w:val="00B806CC"/>
    <w:rsid w:val="00B8258E"/>
    <w:rsid w:val="00B84091"/>
    <w:rsid w:val="00B86B99"/>
    <w:rsid w:val="00B86FF3"/>
    <w:rsid w:val="00B901E4"/>
    <w:rsid w:val="00B90705"/>
    <w:rsid w:val="00B9122D"/>
    <w:rsid w:val="00B92FE5"/>
    <w:rsid w:val="00B9304E"/>
    <w:rsid w:val="00B9312A"/>
    <w:rsid w:val="00B9590C"/>
    <w:rsid w:val="00B96A03"/>
    <w:rsid w:val="00B96B4B"/>
    <w:rsid w:val="00B97756"/>
    <w:rsid w:val="00B978F4"/>
    <w:rsid w:val="00BA26DF"/>
    <w:rsid w:val="00BA27BE"/>
    <w:rsid w:val="00BA6B9C"/>
    <w:rsid w:val="00BA759B"/>
    <w:rsid w:val="00BB25D8"/>
    <w:rsid w:val="00BB2911"/>
    <w:rsid w:val="00BB334D"/>
    <w:rsid w:val="00BB41F8"/>
    <w:rsid w:val="00BB4CE9"/>
    <w:rsid w:val="00BB4CED"/>
    <w:rsid w:val="00BB6D73"/>
    <w:rsid w:val="00BB7737"/>
    <w:rsid w:val="00BC1B1D"/>
    <w:rsid w:val="00BC1DF2"/>
    <w:rsid w:val="00BC78CC"/>
    <w:rsid w:val="00BD2E81"/>
    <w:rsid w:val="00BD41DA"/>
    <w:rsid w:val="00BD6C8A"/>
    <w:rsid w:val="00BD70D7"/>
    <w:rsid w:val="00BD7A0F"/>
    <w:rsid w:val="00BD7E5B"/>
    <w:rsid w:val="00BD7ECA"/>
    <w:rsid w:val="00BE11B9"/>
    <w:rsid w:val="00BE17C6"/>
    <w:rsid w:val="00BE256E"/>
    <w:rsid w:val="00BE52FF"/>
    <w:rsid w:val="00BE59A8"/>
    <w:rsid w:val="00BE6150"/>
    <w:rsid w:val="00BE66EE"/>
    <w:rsid w:val="00BE71DC"/>
    <w:rsid w:val="00BE7E7C"/>
    <w:rsid w:val="00BF0E8F"/>
    <w:rsid w:val="00BF249D"/>
    <w:rsid w:val="00BF4F24"/>
    <w:rsid w:val="00BF5C8D"/>
    <w:rsid w:val="00BF676E"/>
    <w:rsid w:val="00BF683C"/>
    <w:rsid w:val="00BF6C02"/>
    <w:rsid w:val="00BF78D8"/>
    <w:rsid w:val="00C0126D"/>
    <w:rsid w:val="00C022ED"/>
    <w:rsid w:val="00C041CA"/>
    <w:rsid w:val="00C046F8"/>
    <w:rsid w:val="00C048F2"/>
    <w:rsid w:val="00C05CAA"/>
    <w:rsid w:val="00C0701A"/>
    <w:rsid w:val="00C117F0"/>
    <w:rsid w:val="00C11B52"/>
    <w:rsid w:val="00C12154"/>
    <w:rsid w:val="00C125E4"/>
    <w:rsid w:val="00C14015"/>
    <w:rsid w:val="00C15600"/>
    <w:rsid w:val="00C15901"/>
    <w:rsid w:val="00C16BC5"/>
    <w:rsid w:val="00C203D1"/>
    <w:rsid w:val="00C21282"/>
    <w:rsid w:val="00C21E14"/>
    <w:rsid w:val="00C258D8"/>
    <w:rsid w:val="00C303E1"/>
    <w:rsid w:val="00C307FF"/>
    <w:rsid w:val="00C3473E"/>
    <w:rsid w:val="00C41A09"/>
    <w:rsid w:val="00C4222E"/>
    <w:rsid w:val="00C42593"/>
    <w:rsid w:val="00C42969"/>
    <w:rsid w:val="00C42C44"/>
    <w:rsid w:val="00C435EA"/>
    <w:rsid w:val="00C44CFC"/>
    <w:rsid w:val="00C45C69"/>
    <w:rsid w:val="00C5235F"/>
    <w:rsid w:val="00C525AE"/>
    <w:rsid w:val="00C53DB0"/>
    <w:rsid w:val="00C546D8"/>
    <w:rsid w:val="00C55636"/>
    <w:rsid w:val="00C6183E"/>
    <w:rsid w:val="00C65CB4"/>
    <w:rsid w:val="00C705DE"/>
    <w:rsid w:val="00C71CD2"/>
    <w:rsid w:val="00C72C43"/>
    <w:rsid w:val="00C73C71"/>
    <w:rsid w:val="00C73F6F"/>
    <w:rsid w:val="00C74475"/>
    <w:rsid w:val="00C7546F"/>
    <w:rsid w:val="00C754A1"/>
    <w:rsid w:val="00C75581"/>
    <w:rsid w:val="00C75B10"/>
    <w:rsid w:val="00C75BEC"/>
    <w:rsid w:val="00C8138E"/>
    <w:rsid w:val="00C825DB"/>
    <w:rsid w:val="00C85663"/>
    <w:rsid w:val="00C94644"/>
    <w:rsid w:val="00C9596F"/>
    <w:rsid w:val="00C95B83"/>
    <w:rsid w:val="00C9733B"/>
    <w:rsid w:val="00C97853"/>
    <w:rsid w:val="00CA0287"/>
    <w:rsid w:val="00CA1D61"/>
    <w:rsid w:val="00CA4958"/>
    <w:rsid w:val="00CA548E"/>
    <w:rsid w:val="00CA6F41"/>
    <w:rsid w:val="00CA7E65"/>
    <w:rsid w:val="00CB062A"/>
    <w:rsid w:val="00CB0A1F"/>
    <w:rsid w:val="00CB15E2"/>
    <w:rsid w:val="00CB4066"/>
    <w:rsid w:val="00CB4B1D"/>
    <w:rsid w:val="00CB60D0"/>
    <w:rsid w:val="00CC1128"/>
    <w:rsid w:val="00CC39D7"/>
    <w:rsid w:val="00CC5995"/>
    <w:rsid w:val="00CC64B9"/>
    <w:rsid w:val="00CD06C9"/>
    <w:rsid w:val="00CD209A"/>
    <w:rsid w:val="00CD5849"/>
    <w:rsid w:val="00CD7D0B"/>
    <w:rsid w:val="00CE1E43"/>
    <w:rsid w:val="00CE2ADA"/>
    <w:rsid w:val="00CE3FB5"/>
    <w:rsid w:val="00CE44F0"/>
    <w:rsid w:val="00CE6102"/>
    <w:rsid w:val="00CE6865"/>
    <w:rsid w:val="00CE70CD"/>
    <w:rsid w:val="00CF384C"/>
    <w:rsid w:val="00CF7AFB"/>
    <w:rsid w:val="00D0105D"/>
    <w:rsid w:val="00D02092"/>
    <w:rsid w:val="00D0211C"/>
    <w:rsid w:val="00D04D6A"/>
    <w:rsid w:val="00D060C1"/>
    <w:rsid w:val="00D061CB"/>
    <w:rsid w:val="00D06532"/>
    <w:rsid w:val="00D07280"/>
    <w:rsid w:val="00D101E7"/>
    <w:rsid w:val="00D10ED7"/>
    <w:rsid w:val="00D11A25"/>
    <w:rsid w:val="00D11B3F"/>
    <w:rsid w:val="00D14C73"/>
    <w:rsid w:val="00D15F23"/>
    <w:rsid w:val="00D168A4"/>
    <w:rsid w:val="00D23C2E"/>
    <w:rsid w:val="00D24D32"/>
    <w:rsid w:val="00D24EFF"/>
    <w:rsid w:val="00D30505"/>
    <w:rsid w:val="00D30596"/>
    <w:rsid w:val="00D33F6A"/>
    <w:rsid w:val="00D341EB"/>
    <w:rsid w:val="00D373E5"/>
    <w:rsid w:val="00D37F18"/>
    <w:rsid w:val="00D40D4A"/>
    <w:rsid w:val="00D4102E"/>
    <w:rsid w:val="00D4133B"/>
    <w:rsid w:val="00D43623"/>
    <w:rsid w:val="00D458E2"/>
    <w:rsid w:val="00D54B68"/>
    <w:rsid w:val="00D55928"/>
    <w:rsid w:val="00D55FF9"/>
    <w:rsid w:val="00D60FDF"/>
    <w:rsid w:val="00D623CA"/>
    <w:rsid w:val="00D624DA"/>
    <w:rsid w:val="00D625DC"/>
    <w:rsid w:val="00D63279"/>
    <w:rsid w:val="00D64A2E"/>
    <w:rsid w:val="00D658E0"/>
    <w:rsid w:val="00D65901"/>
    <w:rsid w:val="00D675E6"/>
    <w:rsid w:val="00D67A7D"/>
    <w:rsid w:val="00D70219"/>
    <w:rsid w:val="00D71154"/>
    <w:rsid w:val="00D72B56"/>
    <w:rsid w:val="00D73332"/>
    <w:rsid w:val="00D7383D"/>
    <w:rsid w:val="00D74143"/>
    <w:rsid w:val="00D74E84"/>
    <w:rsid w:val="00D90AC7"/>
    <w:rsid w:val="00D94EE0"/>
    <w:rsid w:val="00D9556D"/>
    <w:rsid w:val="00D9649C"/>
    <w:rsid w:val="00DA15F2"/>
    <w:rsid w:val="00DA47BA"/>
    <w:rsid w:val="00DA4A57"/>
    <w:rsid w:val="00DA5171"/>
    <w:rsid w:val="00DA5222"/>
    <w:rsid w:val="00DA62E1"/>
    <w:rsid w:val="00DA7290"/>
    <w:rsid w:val="00DA752F"/>
    <w:rsid w:val="00DA762D"/>
    <w:rsid w:val="00DB1B3C"/>
    <w:rsid w:val="00DB1E1E"/>
    <w:rsid w:val="00DB4869"/>
    <w:rsid w:val="00DB588B"/>
    <w:rsid w:val="00DB6654"/>
    <w:rsid w:val="00DC004B"/>
    <w:rsid w:val="00DC1B08"/>
    <w:rsid w:val="00DC1F3B"/>
    <w:rsid w:val="00DC1FF7"/>
    <w:rsid w:val="00DC28E8"/>
    <w:rsid w:val="00DC3A7A"/>
    <w:rsid w:val="00DC40FE"/>
    <w:rsid w:val="00DC4C99"/>
    <w:rsid w:val="00DC4D1C"/>
    <w:rsid w:val="00DC5170"/>
    <w:rsid w:val="00DC7226"/>
    <w:rsid w:val="00DD0B2F"/>
    <w:rsid w:val="00DD0FDB"/>
    <w:rsid w:val="00DD1135"/>
    <w:rsid w:val="00DD2F55"/>
    <w:rsid w:val="00DD300F"/>
    <w:rsid w:val="00DD3DD7"/>
    <w:rsid w:val="00DD5201"/>
    <w:rsid w:val="00DD5D3D"/>
    <w:rsid w:val="00DD6558"/>
    <w:rsid w:val="00DE0747"/>
    <w:rsid w:val="00DE0D25"/>
    <w:rsid w:val="00DE19C3"/>
    <w:rsid w:val="00DE26B0"/>
    <w:rsid w:val="00DE44D5"/>
    <w:rsid w:val="00DE7A61"/>
    <w:rsid w:val="00DE7AD9"/>
    <w:rsid w:val="00DF4B2A"/>
    <w:rsid w:val="00E0038F"/>
    <w:rsid w:val="00E021A6"/>
    <w:rsid w:val="00E03D9D"/>
    <w:rsid w:val="00E1009C"/>
    <w:rsid w:val="00E1350E"/>
    <w:rsid w:val="00E14515"/>
    <w:rsid w:val="00E15ACD"/>
    <w:rsid w:val="00E17FAD"/>
    <w:rsid w:val="00E2087A"/>
    <w:rsid w:val="00E22189"/>
    <w:rsid w:val="00E23E34"/>
    <w:rsid w:val="00E2629D"/>
    <w:rsid w:val="00E26402"/>
    <w:rsid w:val="00E26858"/>
    <w:rsid w:val="00E26BA4"/>
    <w:rsid w:val="00E31DEF"/>
    <w:rsid w:val="00E33BDB"/>
    <w:rsid w:val="00E3660D"/>
    <w:rsid w:val="00E4030D"/>
    <w:rsid w:val="00E429D5"/>
    <w:rsid w:val="00E4448A"/>
    <w:rsid w:val="00E44656"/>
    <w:rsid w:val="00E4722A"/>
    <w:rsid w:val="00E52D12"/>
    <w:rsid w:val="00E559DA"/>
    <w:rsid w:val="00E55E03"/>
    <w:rsid w:val="00E55FF1"/>
    <w:rsid w:val="00E574B2"/>
    <w:rsid w:val="00E57AF9"/>
    <w:rsid w:val="00E61396"/>
    <w:rsid w:val="00E66297"/>
    <w:rsid w:val="00E67C12"/>
    <w:rsid w:val="00E714DA"/>
    <w:rsid w:val="00E71EB4"/>
    <w:rsid w:val="00E737C7"/>
    <w:rsid w:val="00E75448"/>
    <w:rsid w:val="00E76235"/>
    <w:rsid w:val="00E8085B"/>
    <w:rsid w:val="00E83C98"/>
    <w:rsid w:val="00E84C8F"/>
    <w:rsid w:val="00E87E5C"/>
    <w:rsid w:val="00E87F35"/>
    <w:rsid w:val="00E92AC5"/>
    <w:rsid w:val="00E94A92"/>
    <w:rsid w:val="00E94E56"/>
    <w:rsid w:val="00E951B4"/>
    <w:rsid w:val="00E96627"/>
    <w:rsid w:val="00EA0730"/>
    <w:rsid w:val="00EA12A8"/>
    <w:rsid w:val="00EA51F9"/>
    <w:rsid w:val="00EA5340"/>
    <w:rsid w:val="00EA53C7"/>
    <w:rsid w:val="00EA7477"/>
    <w:rsid w:val="00EB1B87"/>
    <w:rsid w:val="00EB2797"/>
    <w:rsid w:val="00EB4893"/>
    <w:rsid w:val="00EB4BEB"/>
    <w:rsid w:val="00EB4DAA"/>
    <w:rsid w:val="00EB78EC"/>
    <w:rsid w:val="00EC353F"/>
    <w:rsid w:val="00EC48A5"/>
    <w:rsid w:val="00EC6D52"/>
    <w:rsid w:val="00EC7C24"/>
    <w:rsid w:val="00ED3194"/>
    <w:rsid w:val="00ED4EC2"/>
    <w:rsid w:val="00ED66EA"/>
    <w:rsid w:val="00EE5909"/>
    <w:rsid w:val="00EE7ABD"/>
    <w:rsid w:val="00EF3466"/>
    <w:rsid w:val="00EF743F"/>
    <w:rsid w:val="00F009B0"/>
    <w:rsid w:val="00F00A75"/>
    <w:rsid w:val="00F00D08"/>
    <w:rsid w:val="00F0136F"/>
    <w:rsid w:val="00F01B59"/>
    <w:rsid w:val="00F052BA"/>
    <w:rsid w:val="00F069C6"/>
    <w:rsid w:val="00F06AF2"/>
    <w:rsid w:val="00F07A21"/>
    <w:rsid w:val="00F20280"/>
    <w:rsid w:val="00F20423"/>
    <w:rsid w:val="00F22BE5"/>
    <w:rsid w:val="00F22DE4"/>
    <w:rsid w:val="00F23305"/>
    <w:rsid w:val="00F24E4B"/>
    <w:rsid w:val="00F26F46"/>
    <w:rsid w:val="00F3309C"/>
    <w:rsid w:val="00F33B05"/>
    <w:rsid w:val="00F40AD1"/>
    <w:rsid w:val="00F47F9D"/>
    <w:rsid w:val="00F50F9B"/>
    <w:rsid w:val="00F5203D"/>
    <w:rsid w:val="00F54F73"/>
    <w:rsid w:val="00F55B3F"/>
    <w:rsid w:val="00F5611E"/>
    <w:rsid w:val="00F56681"/>
    <w:rsid w:val="00F569F5"/>
    <w:rsid w:val="00F57436"/>
    <w:rsid w:val="00F61642"/>
    <w:rsid w:val="00F61BE9"/>
    <w:rsid w:val="00F61C36"/>
    <w:rsid w:val="00F637B9"/>
    <w:rsid w:val="00F6426E"/>
    <w:rsid w:val="00F66193"/>
    <w:rsid w:val="00F66632"/>
    <w:rsid w:val="00F7261E"/>
    <w:rsid w:val="00F74139"/>
    <w:rsid w:val="00F749E7"/>
    <w:rsid w:val="00F75939"/>
    <w:rsid w:val="00F75C67"/>
    <w:rsid w:val="00F75CE5"/>
    <w:rsid w:val="00F76C05"/>
    <w:rsid w:val="00F77AC8"/>
    <w:rsid w:val="00F77F66"/>
    <w:rsid w:val="00F8367F"/>
    <w:rsid w:val="00F85567"/>
    <w:rsid w:val="00F9310E"/>
    <w:rsid w:val="00F937E6"/>
    <w:rsid w:val="00F972AC"/>
    <w:rsid w:val="00F973D1"/>
    <w:rsid w:val="00F97ABC"/>
    <w:rsid w:val="00FA0DEA"/>
    <w:rsid w:val="00FA100A"/>
    <w:rsid w:val="00FA18E0"/>
    <w:rsid w:val="00FA512C"/>
    <w:rsid w:val="00FA77E9"/>
    <w:rsid w:val="00FB0ECD"/>
    <w:rsid w:val="00FB20F8"/>
    <w:rsid w:val="00FB2651"/>
    <w:rsid w:val="00FB3764"/>
    <w:rsid w:val="00FB3DB5"/>
    <w:rsid w:val="00FC1686"/>
    <w:rsid w:val="00FC1957"/>
    <w:rsid w:val="00FC2EA4"/>
    <w:rsid w:val="00FC36E0"/>
    <w:rsid w:val="00FC5546"/>
    <w:rsid w:val="00FC5B29"/>
    <w:rsid w:val="00FD13A2"/>
    <w:rsid w:val="00FD16AE"/>
    <w:rsid w:val="00FD2C6A"/>
    <w:rsid w:val="00FD3195"/>
    <w:rsid w:val="00FD4009"/>
    <w:rsid w:val="00FD4057"/>
    <w:rsid w:val="00FD4DAF"/>
    <w:rsid w:val="00FD5D75"/>
    <w:rsid w:val="00FD6FBE"/>
    <w:rsid w:val="00FD71DC"/>
    <w:rsid w:val="00FD78C1"/>
    <w:rsid w:val="00FD7C8C"/>
    <w:rsid w:val="00FE03CF"/>
    <w:rsid w:val="00FE4BC4"/>
    <w:rsid w:val="00FE64C7"/>
    <w:rsid w:val="00FE6F5A"/>
    <w:rsid w:val="00FE77B7"/>
    <w:rsid w:val="00FE7810"/>
    <w:rsid w:val="00FF111E"/>
    <w:rsid w:val="00FF1590"/>
    <w:rsid w:val="00FF3C8B"/>
    <w:rsid w:val="00FF41BF"/>
    <w:rsid w:val="00FF4FB4"/>
    <w:rsid w:val="00FF513D"/>
    <w:rsid w:val="00FF59D3"/>
    <w:rsid w:val="019006EF"/>
    <w:rsid w:val="019F5D40"/>
    <w:rsid w:val="02A03C7D"/>
    <w:rsid w:val="045556B5"/>
    <w:rsid w:val="05517745"/>
    <w:rsid w:val="06BF5C83"/>
    <w:rsid w:val="073A3BB4"/>
    <w:rsid w:val="086925A3"/>
    <w:rsid w:val="0CD659BE"/>
    <w:rsid w:val="0DC11903"/>
    <w:rsid w:val="0FE028D6"/>
    <w:rsid w:val="10D7678D"/>
    <w:rsid w:val="18491BE4"/>
    <w:rsid w:val="18863205"/>
    <w:rsid w:val="19231AC2"/>
    <w:rsid w:val="19521A6D"/>
    <w:rsid w:val="1A3C6188"/>
    <w:rsid w:val="1A8D204B"/>
    <w:rsid w:val="1CF4347D"/>
    <w:rsid w:val="1DFE7A9C"/>
    <w:rsid w:val="1F363231"/>
    <w:rsid w:val="22675047"/>
    <w:rsid w:val="234A03BA"/>
    <w:rsid w:val="275C4042"/>
    <w:rsid w:val="27AD2FD0"/>
    <w:rsid w:val="28A35B9E"/>
    <w:rsid w:val="28B10D2A"/>
    <w:rsid w:val="2A566E5C"/>
    <w:rsid w:val="2CFF241A"/>
    <w:rsid w:val="31152BCF"/>
    <w:rsid w:val="33197C75"/>
    <w:rsid w:val="347540AE"/>
    <w:rsid w:val="35F62D83"/>
    <w:rsid w:val="361B5E25"/>
    <w:rsid w:val="37A17B66"/>
    <w:rsid w:val="38A03BE5"/>
    <w:rsid w:val="3B1D67CE"/>
    <w:rsid w:val="3B5E4549"/>
    <w:rsid w:val="3BE91295"/>
    <w:rsid w:val="3C5663D6"/>
    <w:rsid w:val="3C66055E"/>
    <w:rsid w:val="3E02538F"/>
    <w:rsid w:val="3EA71B0B"/>
    <w:rsid w:val="3F793AD5"/>
    <w:rsid w:val="3FDE0788"/>
    <w:rsid w:val="42314EEF"/>
    <w:rsid w:val="43D31DF2"/>
    <w:rsid w:val="45DA64F1"/>
    <w:rsid w:val="48537F29"/>
    <w:rsid w:val="48601FBD"/>
    <w:rsid w:val="48AD5A9D"/>
    <w:rsid w:val="4B084F1A"/>
    <w:rsid w:val="4C5D25D9"/>
    <w:rsid w:val="4CE07555"/>
    <w:rsid w:val="4E856C2C"/>
    <w:rsid w:val="4F075A01"/>
    <w:rsid w:val="4F2A23AE"/>
    <w:rsid w:val="50B87C51"/>
    <w:rsid w:val="541E64D8"/>
    <w:rsid w:val="59F815AB"/>
    <w:rsid w:val="5A2D4E75"/>
    <w:rsid w:val="5E8C5A84"/>
    <w:rsid w:val="5F724B4A"/>
    <w:rsid w:val="60FE14FA"/>
    <w:rsid w:val="61636CA0"/>
    <w:rsid w:val="61B8685D"/>
    <w:rsid w:val="61CF3571"/>
    <w:rsid w:val="623235A1"/>
    <w:rsid w:val="629C71D4"/>
    <w:rsid w:val="62BF5F31"/>
    <w:rsid w:val="638A0801"/>
    <w:rsid w:val="65F25117"/>
    <w:rsid w:val="67950A0D"/>
    <w:rsid w:val="69BA15C9"/>
    <w:rsid w:val="6AF21BDC"/>
    <w:rsid w:val="6B66610A"/>
    <w:rsid w:val="6B691BD5"/>
    <w:rsid w:val="6BF055A6"/>
    <w:rsid w:val="707453EC"/>
    <w:rsid w:val="735171F5"/>
    <w:rsid w:val="74216DA0"/>
    <w:rsid w:val="74DA01CA"/>
    <w:rsid w:val="77BD36EC"/>
    <w:rsid w:val="781533DC"/>
    <w:rsid w:val="7AD64AF6"/>
    <w:rsid w:val="7DF70D6C"/>
    <w:rsid w:val="7E2F0F76"/>
    <w:rsid w:val="7EA73D82"/>
    <w:rsid w:val="7EEF25A7"/>
    <w:rsid w:val="7FB90CC8"/>
    <w:rsid w:val="7FF514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nhideWhenUsed="0" w:uiPriority="99" w:semiHidden="0" w:name="heading 8"/>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4"/>
    <w:qFormat/>
    <w:locked/>
    <w:uiPriority w:val="99"/>
    <w:pPr>
      <w:keepNext/>
      <w:keepLines/>
      <w:spacing w:before="260" w:after="260" w:line="416" w:lineRule="auto"/>
      <w:outlineLvl w:val="1"/>
    </w:pPr>
    <w:rPr>
      <w:rFonts w:ascii="Arial" w:hAnsi="Arial" w:eastAsia="黑体"/>
      <w:b/>
      <w:bCs/>
      <w:sz w:val="32"/>
      <w:szCs w:val="32"/>
    </w:rPr>
  </w:style>
  <w:style w:type="paragraph" w:styleId="4">
    <w:name w:val="heading 8"/>
    <w:basedOn w:val="1"/>
    <w:next w:val="1"/>
    <w:link w:val="15"/>
    <w:qFormat/>
    <w:uiPriority w:val="99"/>
    <w:pPr>
      <w:keepNext/>
      <w:jc w:val="center"/>
      <w:outlineLvl w:val="7"/>
    </w:pPr>
    <w:rPr>
      <w:rFonts w:ascii="Times New Roman" w:hAnsi="Times New Roman"/>
      <w:b/>
      <w:bCs/>
      <w:color w:val="0000FF"/>
      <w:sz w:val="36"/>
      <w:szCs w:val="36"/>
    </w:rPr>
  </w:style>
  <w:style w:type="character" w:default="1" w:styleId="12">
    <w:name w:val="Default Paragraph Font"/>
    <w:semiHidden/>
    <w:qFormat/>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qFormat/>
    <w:locked/>
    <w:uiPriority w:val="99"/>
    <w:pPr>
      <w:jc w:val="left"/>
    </w:pPr>
  </w:style>
  <w:style w:type="paragraph" w:styleId="6">
    <w:name w:val="Balloon Text"/>
    <w:basedOn w:val="1"/>
    <w:link w:val="21"/>
    <w:semiHidden/>
    <w:qFormat/>
    <w:locked/>
    <w:uiPriority w:val="99"/>
    <w:rPr>
      <w:sz w:val="18"/>
      <w:szCs w:val="18"/>
    </w:rPr>
  </w:style>
  <w:style w:type="paragraph" w:styleId="7">
    <w:name w:val="footer"/>
    <w:basedOn w:val="1"/>
    <w:link w:val="16"/>
    <w:qFormat/>
    <w:uiPriority w:val="99"/>
    <w:pPr>
      <w:tabs>
        <w:tab w:val="center" w:pos="4153"/>
        <w:tab w:val="right" w:pos="8306"/>
      </w:tabs>
      <w:snapToGrid w:val="0"/>
      <w:jc w:val="left"/>
    </w:pPr>
    <w:rPr>
      <w:sz w:val="18"/>
    </w:rPr>
  </w:style>
  <w:style w:type="paragraph" w:styleId="8">
    <w:name w:val="header"/>
    <w:basedOn w:val="1"/>
    <w:link w:val="1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link w:val="1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11">
    <w:name w:val="Table Grid"/>
    <w:basedOn w:val="10"/>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Heading 1 Char"/>
    <w:basedOn w:val="12"/>
    <w:link w:val="2"/>
    <w:qFormat/>
    <w:locked/>
    <w:uiPriority w:val="99"/>
    <w:rPr>
      <w:rFonts w:cs="Times New Roman"/>
      <w:b/>
      <w:bCs/>
      <w:kern w:val="44"/>
      <w:sz w:val="44"/>
      <w:szCs w:val="44"/>
    </w:rPr>
  </w:style>
  <w:style w:type="character" w:customStyle="1" w:styleId="14">
    <w:name w:val="Heading 2 Char"/>
    <w:basedOn w:val="12"/>
    <w:link w:val="3"/>
    <w:semiHidden/>
    <w:qFormat/>
    <w:locked/>
    <w:uiPriority w:val="99"/>
    <w:rPr>
      <w:rFonts w:ascii="Cambria" w:hAnsi="Cambria" w:eastAsia="宋体" w:cs="Times New Roman"/>
      <w:b/>
      <w:bCs/>
      <w:sz w:val="32"/>
      <w:szCs w:val="32"/>
    </w:rPr>
  </w:style>
  <w:style w:type="character" w:customStyle="1" w:styleId="15">
    <w:name w:val="Heading 8 Char"/>
    <w:basedOn w:val="12"/>
    <w:link w:val="4"/>
    <w:qFormat/>
    <w:locked/>
    <w:uiPriority w:val="99"/>
    <w:rPr>
      <w:rFonts w:eastAsia="宋体" w:cs="Times New Roman"/>
      <w:b/>
      <w:bCs/>
      <w:color w:val="0000FF"/>
      <w:kern w:val="2"/>
      <w:sz w:val="36"/>
      <w:szCs w:val="36"/>
      <w:lang w:val="en-US" w:eastAsia="zh-CN" w:bidi="ar-SA"/>
    </w:rPr>
  </w:style>
  <w:style w:type="character" w:customStyle="1" w:styleId="16">
    <w:name w:val="Footer Char"/>
    <w:basedOn w:val="12"/>
    <w:link w:val="7"/>
    <w:semiHidden/>
    <w:qFormat/>
    <w:locked/>
    <w:uiPriority w:val="99"/>
    <w:rPr>
      <w:rFonts w:cs="Times New Roman"/>
      <w:sz w:val="18"/>
      <w:szCs w:val="18"/>
    </w:rPr>
  </w:style>
  <w:style w:type="character" w:customStyle="1" w:styleId="17">
    <w:name w:val="Header Char"/>
    <w:basedOn w:val="12"/>
    <w:link w:val="8"/>
    <w:semiHidden/>
    <w:qFormat/>
    <w:locked/>
    <w:uiPriority w:val="99"/>
    <w:rPr>
      <w:rFonts w:cs="Times New Roman"/>
      <w:sz w:val="18"/>
      <w:szCs w:val="18"/>
    </w:rPr>
  </w:style>
  <w:style w:type="character" w:customStyle="1" w:styleId="18">
    <w:name w:val="HTML Preformatted Char"/>
    <w:basedOn w:val="12"/>
    <w:link w:val="9"/>
    <w:qFormat/>
    <w:locked/>
    <w:uiPriority w:val="99"/>
    <w:rPr>
      <w:rFonts w:ascii="宋体" w:eastAsia="宋体" w:cs="宋体"/>
      <w:sz w:val="24"/>
      <w:szCs w:val="24"/>
    </w:rPr>
  </w:style>
  <w:style w:type="character" w:customStyle="1" w:styleId="19">
    <w:name w:val="apple-converted-space"/>
    <w:basedOn w:val="12"/>
    <w:qFormat/>
    <w:uiPriority w:val="99"/>
    <w:rPr>
      <w:rFonts w:cs="Times New Roman"/>
    </w:rPr>
  </w:style>
  <w:style w:type="character" w:customStyle="1" w:styleId="20">
    <w:name w:val="Comment Text Char"/>
    <w:basedOn w:val="12"/>
    <w:link w:val="5"/>
    <w:semiHidden/>
    <w:qFormat/>
    <w:locked/>
    <w:uiPriority w:val="99"/>
    <w:rPr>
      <w:rFonts w:cs="Times New Roman"/>
      <w:sz w:val="24"/>
      <w:szCs w:val="24"/>
    </w:rPr>
  </w:style>
  <w:style w:type="character" w:customStyle="1" w:styleId="21">
    <w:name w:val="Balloon Text Char"/>
    <w:basedOn w:val="12"/>
    <w:link w:val="6"/>
    <w:semiHidden/>
    <w:qFormat/>
    <w:locked/>
    <w:uiPriority w:val="99"/>
    <w:rPr>
      <w:rFonts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60</Pages>
  <Words>24311</Words>
  <Characters>24817</Characters>
  <Lines>0</Lines>
  <Paragraphs>0</Paragraphs>
  <TotalTime>9</TotalTime>
  <ScaleCrop>false</ScaleCrop>
  <LinksUpToDate>false</LinksUpToDate>
  <CharactersWithSpaces>25015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2019-07-11T06:44:00Z</dcterms:created>
  <dc:creator>Administrator</dc:creator>
  <cp:lastModifiedBy>吴昌兵</cp:lastModifiedBy>
  <cp:lastPrinted>2020-08-24T01:12:00Z</cp:lastPrinted>
  <dcterms:modified xsi:type="dcterms:W3CDTF">2025-04-05T18:25:34Z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B2D1A7770E20485798F347AFA0CFEB3F</vt:lpwstr>
  </property>
  <property fmtid="{D5CDD505-2E9C-101B-9397-08002B2CF9AE}" pid="4" name="KSOTemplateDocerSaveRecord">
    <vt:lpwstr>eyJoZGlkIjoiMGMzZjAyMDE4YTk2YWMyN2MyMjQ2ODUyNDhmMjJiYmUiLCJ1c2VySWQiOiIzMDM5MjQ2NDUifQ==</vt:lpwstr>
  </property>
</Properties>
</file>