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FF0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1"/>
          <w:sz w:val="44"/>
          <w:szCs w:val="44"/>
        </w:rPr>
      </w:pPr>
      <w:r>
        <w:rPr>
          <w:rFonts w:hint="eastAsia" w:ascii="方正小标宋简体" w:hAnsi="方正小标宋简体" w:eastAsia="方正小标宋简体" w:cs="方正小标宋简体"/>
          <w:bCs/>
          <w:color w:val="auto"/>
          <w:kern w:val="1"/>
          <w:sz w:val="44"/>
          <w:szCs w:val="44"/>
        </w:rPr>
        <w:t>江苏索普</w:t>
      </w:r>
      <w:r>
        <w:rPr>
          <w:rFonts w:hint="eastAsia" w:ascii="方正小标宋简体" w:hAnsi="方正小标宋简体" w:eastAsia="方正小标宋简体" w:cs="方正小标宋简体"/>
          <w:bCs/>
          <w:color w:val="auto"/>
          <w:kern w:val="1"/>
          <w:sz w:val="44"/>
          <w:szCs w:val="44"/>
          <w:lang w:val="en-US" w:eastAsia="zh-CN"/>
        </w:rPr>
        <w:t>赛瑞装备制造</w:t>
      </w:r>
      <w:r>
        <w:rPr>
          <w:rFonts w:hint="eastAsia" w:ascii="方正小标宋简体" w:hAnsi="方正小标宋简体" w:eastAsia="方正小标宋简体" w:cs="方正小标宋简体"/>
          <w:bCs/>
          <w:color w:val="auto"/>
          <w:kern w:val="1"/>
          <w:sz w:val="44"/>
          <w:szCs w:val="44"/>
        </w:rPr>
        <w:t>有限公司</w:t>
      </w:r>
      <w:r>
        <w:rPr>
          <w:rFonts w:hint="eastAsia" w:ascii="方正小标宋简体" w:hAnsi="方正小标宋简体" w:eastAsia="方正小标宋简体" w:cs="方正小标宋简体"/>
          <w:bCs/>
          <w:color w:val="auto"/>
          <w:kern w:val="1"/>
          <w:sz w:val="44"/>
          <w:szCs w:val="44"/>
          <w:lang w:eastAsia="zh-CN"/>
        </w:rPr>
        <w:t>采购</w:t>
      </w:r>
      <w:r>
        <w:rPr>
          <w:rFonts w:hint="eastAsia" w:ascii="方正小标宋简体" w:hAnsi="方正小标宋简体" w:eastAsia="方正小标宋简体" w:cs="方正小标宋简体"/>
          <w:bCs/>
          <w:color w:val="auto"/>
          <w:kern w:val="1"/>
          <w:sz w:val="44"/>
          <w:szCs w:val="44"/>
        </w:rPr>
        <w:t>文件</w:t>
      </w:r>
    </w:p>
    <w:p w14:paraId="31452798">
      <w:pPr>
        <w:adjustRightInd w:val="0"/>
        <w:snapToGrid w:val="0"/>
        <w:spacing w:line="360" w:lineRule="auto"/>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14:paraId="63CE97E9">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30"/>
          <w:szCs w:val="30"/>
        </w:rPr>
        <w:t>我公司现需采购</w:t>
      </w:r>
      <w:r>
        <w:rPr>
          <w:rFonts w:hint="eastAsia" w:ascii="仿宋_GB2312" w:hAnsi="仿宋_GB2312" w:eastAsia="仿宋_GB2312" w:cs="仿宋_GB2312"/>
          <w:bCs/>
          <w:color w:val="auto"/>
          <w:sz w:val="30"/>
          <w:szCs w:val="30"/>
          <w:u w:val="single"/>
          <w:lang w:val="en-US" w:eastAsia="zh-CN"/>
        </w:rPr>
        <w:t xml:space="preserve"> </w:t>
      </w:r>
      <w:r>
        <w:rPr>
          <w:rFonts w:hint="eastAsia" w:hAnsi="宋体"/>
          <w:b/>
          <w:sz w:val="36"/>
          <w:u w:val="single"/>
          <w:lang w:val="en-US" w:eastAsia="zh-CN"/>
        </w:rPr>
        <w:t>电瓶车维修服务（长约）</w:t>
      </w:r>
      <w:r>
        <w:rPr>
          <w:rFonts w:hint="eastAsia" w:ascii="仿宋_GB2312" w:hAnsi="仿宋_GB2312" w:eastAsia="仿宋_GB2312" w:cs="仿宋_GB2312"/>
          <w:bCs/>
          <w:color w:val="auto"/>
          <w:sz w:val="30"/>
          <w:szCs w:val="30"/>
          <w:u w:val="single"/>
          <w:lang w:val="en-US" w:eastAsia="zh-CN"/>
        </w:rPr>
        <w:t xml:space="preserve"> </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zh-CN"/>
        </w:rPr>
        <w:t>采用自主公开采购的方式选定供应商，</w:t>
      </w:r>
      <w:r>
        <w:rPr>
          <w:rFonts w:hint="eastAsia" w:ascii="仿宋_GB2312" w:hAnsi="仿宋_GB2312" w:eastAsia="仿宋_GB2312" w:cs="仿宋_GB2312"/>
          <w:bCs/>
          <w:color w:val="auto"/>
          <w:sz w:val="30"/>
          <w:szCs w:val="30"/>
        </w:rPr>
        <w:t>特邀请贵单位参与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00E4B136">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
          <w:color w:val="auto"/>
          <w:sz w:val="30"/>
          <w:szCs w:val="30"/>
        </w:rPr>
        <w:t>一、</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概况：</w:t>
      </w:r>
    </w:p>
    <w:p w14:paraId="66BB90AC">
      <w:pPr>
        <w:adjustRightInd w:val="0"/>
        <w:snapToGrid w:val="0"/>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sz w:val="30"/>
          <w:szCs w:val="30"/>
          <w:lang w:val="en-US" w:eastAsia="zh-CN"/>
        </w:rPr>
        <w:t>项目</w:t>
      </w:r>
      <w:r>
        <w:rPr>
          <w:rFonts w:hint="eastAsia" w:ascii="仿宋_GB2312" w:hAnsi="仿宋_GB2312" w:eastAsia="仿宋_GB2312" w:cs="仿宋_GB2312"/>
          <w:bCs/>
          <w:color w:val="auto"/>
          <w:sz w:val="30"/>
          <w:szCs w:val="30"/>
        </w:rPr>
        <w:t>名称：</w:t>
      </w:r>
      <w:r>
        <w:rPr>
          <w:rFonts w:hint="eastAsia" w:hAnsi="宋体"/>
          <w:b/>
          <w:sz w:val="36"/>
          <w:u w:val="single"/>
          <w:lang w:val="en-US" w:eastAsia="zh-CN"/>
        </w:rPr>
        <w:t>电瓶车维修服务（长约）</w:t>
      </w:r>
      <w:r>
        <w:rPr>
          <w:rFonts w:hint="eastAsia" w:ascii="仿宋_GB2312" w:hAnsi="仿宋_GB2312" w:eastAsia="仿宋_GB2312" w:cs="仿宋_GB2312"/>
          <w:bCs/>
          <w:color w:val="auto"/>
          <w:sz w:val="30"/>
          <w:szCs w:val="30"/>
        </w:rPr>
        <w:t>；</w:t>
      </w:r>
    </w:p>
    <w:p w14:paraId="282D0630">
      <w:pPr>
        <w:adjustRightInd w:val="0"/>
        <w:snapToGrid w:val="0"/>
        <w:spacing w:line="360" w:lineRule="auto"/>
        <w:ind w:firstLine="579" w:firstLineChars="193"/>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kern w:val="0"/>
          <w:sz w:val="30"/>
          <w:szCs w:val="30"/>
          <w:u w:val="none"/>
          <w:lang w:val="en-US" w:eastAsia="zh-CN"/>
        </w:rPr>
        <w:t>履约期限：</w:t>
      </w:r>
      <w:r>
        <w:rPr>
          <w:rFonts w:hint="eastAsia" w:ascii="仿宋_GB2312" w:hAnsi="仿宋_GB2312" w:eastAsia="仿宋_GB2312" w:cs="仿宋_GB2312"/>
          <w:bCs/>
          <w:color w:val="auto"/>
          <w:sz w:val="30"/>
          <w:szCs w:val="30"/>
          <w:u w:val="single"/>
          <w:lang w:val="en-US" w:eastAsia="zh-CN"/>
        </w:rPr>
        <w:t>合同期限从</w:t>
      </w:r>
      <w:r>
        <w:rPr>
          <w:rFonts w:hint="eastAsia" w:ascii="仿宋_GB2312" w:hAnsi="仿宋_GB2312" w:eastAsia="仿宋_GB2312" w:cs="仿宋_GB2312"/>
          <w:bCs/>
          <w:color w:val="auto"/>
          <w:kern w:val="0"/>
          <w:sz w:val="30"/>
          <w:szCs w:val="30"/>
          <w:u w:val="single"/>
        </w:rPr>
        <w:t>202</w:t>
      </w:r>
      <w:r>
        <w:rPr>
          <w:rFonts w:hint="eastAsia" w:ascii="仿宋_GB2312" w:hAnsi="仿宋_GB2312" w:eastAsia="仿宋_GB2312" w:cs="仿宋_GB2312"/>
          <w:bCs/>
          <w:color w:val="auto"/>
          <w:kern w:val="0"/>
          <w:sz w:val="30"/>
          <w:szCs w:val="30"/>
          <w:u w:val="single"/>
          <w:lang w:val="en-US" w:eastAsia="zh-CN"/>
        </w:rPr>
        <w:t>5</w:t>
      </w:r>
      <w:r>
        <w:rPr>
          <w:rFonts w:hint="eastAsia" w:ascii="仿宋_GB2312" w:hAnsi="仿宋_GB2312" w:eastAsia="仿宋_GB2312" w:cs="仿宋_GB2312"/>
          <w:bCs/>
          <w:color w:val="auto"/>
          <w:kern w:val="0"/>
          <w:sz w:val="30"/>
          <w:szCs w:val="30"/>
          <w:u w:val="single"/>
        </w:rPr>
        <w:t>年</w:t>
      </w:r>
      <w:r>
        <w:rPr>
          <w:rFonts w:hint="eastAsia" w:ascii="仿宋_GB2312" w:hAnsi="仿宋_GB2312" w:eastAsia="仿宋_GB2312" w:cs="仿宋_GB2312"/>
          <w:bCs/>
          <w:color w:val="auto"/>
          <w:kern w:val="0"/>
          <w:sz w:val="30"/>
          <w:szCs w:val="30"/>
          <w:u w:val="single"/>
          <w:lang w:val="en-US" w:eastAsia="zh-CN"/>
        </w:rPr>
        <w:t>8</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5日</w:t>
      </w:r>
      <w:r>
        <w:rPr>
          <w:rFonts w:hint="eastAsia" w:ascii="仿宋_GB2312" w:hAnsi="仿宋_GB2312" w:eastAsia="仿宋_GB2312" w:cs="仿宋_GB2312"/>
          <w:bCs/>
          <w:color w:val="auto"/>
          <w:kern w:val="0"/>
          <w:sz w:val="30"/>
          <w:szCs w:val="30"/>
          <w:u w:val="single"/>
        </w:rPr>
        <w:t>-</w:t>
      </w:r>
      <w:r>
        <w:rPr>
          <w:rFonts w:hint="eastAsia" w:ascii="仿宋_GB2312" w:hAnsi="仿宋_GB2312" w:eastAsia="仿宋_GB2312" w:cs="仿宋_GB2312"/>
          <w:bCs/>
          <w:color w:val="auto"/>
          <w:kern w:val="0"/>
          <w:sz w:val="30"/>
          <w:szCs w:val="30"/>
          <w:u w:val="single"/>
          <w:lang w:val="en-US" w:eastAsia="zh-CN"/>
        </w:rPr>
        <w:t>2026年8</w:t>
      </w:r>
      <w:r>
        <w:rPr>
          <w:rFonts w:hint="eastAsia" w:ascii="仿宋_GB2312" w:hAnsi="仿宋_GB2312" w:eastAsia="仿宋_GB2312" w:cs="仿宋_GB2312"/>
          <w:bCs/>
          <w:color w:val="auto"/>
          <w:kern w:val="0"/>
          <w:sz w:val="30"/>
          <w:szCs w:val="30"/>
          <w:u w:val="single"/>
        </w:rPr>
        <w:t>月</w:t>
      </w:r>
      <w:r>
        <w:rPr>
          <w:rFonts w:hint="eastAsia" w:ascii="仿宋_GB2312" w:hAnsi="仿宋_GB2312" w:eastAsia="仿宋_GB2312" w:cs="仿宋_GB2312"/>
          <w:bCs/>
          <w:color w:val="auto"/>
          <w:kern w:val="0"/>
          <w:sz w:val="30"/>
          <w:szCs w:val="30"/>
          <w:u w:val="single"/>
          <w:lang w:val="en-US" w:eastAsia="zh-CN"/>
        </w:rPr>
        <w:t>4日</w:t>
      </w:r>
      <w:r>
        <w:rPr>
          <w:rFonts w:hint="eastAsia" w:ascii="仿宋_GB2312" w:hAnsi="仿宋_GB2312" w:eastAsia="仿宋_GB2312" w:cs="仿宋_GB2312"/>
          <w:bCs/>
          <w:color w:val="auto"/>
          <w:sz w:val="30"/>
          <w:szCs w:val="30"/>
          <w:u w:val="single"/>
        </w:rPr>
        <w:t>；</w:t>
      </w:r>
    </w:p>
    <w:p w14:paraId="7034C5D3">
      <w:pPr>
        <w:adjustRightInd w:val="0"/>
        <w:snapToGrid w:val="0"/>
        <w:spacing w:line="360" w:lineRule="auto"/>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截止时间202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8</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4</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14</w:t>
      </w:r>
      <w:r>
        <w:rPr>
          <w:rFonts w:hint="eastAsia" w:ascii="仿宋_GB2312" w:hAnsi="仿宋_GB2312" w:eastAsia="仿宋_GB2312" w:cs="仿宋_GB2312"/>
          <w:bCs/>
          <w:color w:val="auto"/>
          <w:sz w:val="30"/>
          <w:szCs w:val="30"/>
        </w:rPr>
        <w:t>时（北京时间）；</w:t>
      </w:r>
    </w:p>
    <w:p w14:paraId="0DAF6129">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报价评审时间</w:t>
      </w:r>
      <w:r>
        <w:rPr>
          <w:rFonts w:hint="eastAsia" w:ascii="仿宋_GB2312" w:hAnsi="仿宋_GB2312" w:eastAsia="仿宋_GB2312" w:cs="仿宋_GB2312"/>
          <w:bCs/>
          <w:color w:val="auto"/>
          <w:sz w:val="30"/>
          <w:szCs w:val="30"/>
        </w:rPr>
        <w:t>202</w:t>
      </w: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u w:val="single"/>
          <w:lang w:val="en-US" w:eastAsia="zh-CN"/>
        </w:rPr>
        <w:t>8</w:t>
      </w:r>
      <w:r>
        <w:rPr>
          <w:rFonts w:hint="eastAsia" w:ascii="仿宋_GB2312" w:hAnsi="仿宋_GB2312" w:eastAsia="仿宋_GB2312" w:cs="仿宋_GB2312"/>
          <w:bCs/>
          <w:color w:val="auto"/>
          <w:sz w:val="30"/>
          <w:szCs w:val="30"/>
        </w:rPr>
        <w:t>月</w:t>
      </w:r>
      <w:r>
        <w:rPr>
          <w:rFonts w:hint="eastAsia" w:ascii="仿宋_GB2312" w:hAnsi="仿宋_GB2312" w:eastAsia="仿宋_GB2312" w:cs="仿宋_GB2312"/>
          <w:bCs/>
          <w:color w:val="auto"/>
          <w:sz w:val="30"/>
          <w:szCs w:val="30"/>
          <w:u w:val="single"/>
          <w:lang w:val="en-US" w:eastAsia="zh-CN"/>
        </w:rPr>
        <w:t>4</w:t>
      </w:r>
      <w:r>
        <w:rPr>
          <w:rFonts w:hint="eastAsia" w:ascii="仿宋_GB2312" w:hAnsi="仿宋_GB2312" w:eastAsia="仿宋_GB2312" w:cs="仿宋_GB2312"/>
          <w:bCs/>
          <w:color w:val="auto"/>
          <w:sz w:val="30"/>
          <w:szCs w:val="30"/>
        </w:rPr>
        <w:t>日</w:t>
      </w:r>
      <w:r>
        <w:rPr>
          <w:rFonts w:hint="eastAsia" w:ascii="仿宋_GB2312" w:hAnsi="仿宋_GB2312" w:eastAsia="仿宋_GB2312" w:cs="仿宋_GB2312"/>
          <w:bCs/>
          <w:color w:val="auto"/>
          <w:sz w:val="30"/>
          <w:szCs w:val="30"/>
          <w:u w:val="single"/>
          <w:lang w:val="en-US" w:eastAsia="zh-CN"/>
        </w:rPr>
        <w:t>14</w:t>
      </w:r>
      <w:r>
        <w:rPr>
          <w:rFonts w:hint="eastAsia" w:ascii="仿宋_GB2312" w:hAnsi="仿宋_GB2312" w:eastAsia="仿宋_GB2312" w:cs="仿宋_GB2312"/>
          <w:bCs/>
          <w:color w:val="auto"/>
          <w:sz w:val="30"/>
          <w:szCs w:val="30"/>
        </w:rPr>
        <w:t>时（北京时间）</w:t>
      </w:r>
      <w:r>
        <w:rPr>
          <w:rFonts w:hint="eastAsia" w:ascii="仿宋_GB2312" w:hAnsi="仿宋_GB2312" w:eastAsia="仿宋_GB2312" w:cs="仿宋_GB2312"/>
          <w:bCs/>
          <w:color w:val="auto"/>
          <w:kern w:val="1"/>
          <w:sz w:val="30"/>
          <w:szCs w:val="30"/>
        </w:rPr>
        <w:t>；</w:t>
      </w:r>
    </w:p>
    <w:p w14:paraId="409BAFDA">
      <w:pPr>
        <w:adjustRightInd w:val="0"/>
        <w:snapToGrid w:val="0"/>
        <w:spacing w:line="360" w:lineRule="auto"/>
        <w:ind w:firstLine="600" w:firstLineChars="200"/>
        <w:jc w:val="left"/>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报价评审地点</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江苏索普（集团）有限公司公共采购中心</w:t>
      </w:r>
      <w:r>
        <w:rPr>
          <w:rFonts w:hint="eastAsia" w:ascii="仿宋_GB2312" w:hAnsi="仿宋_GB2312" w:eastAsia="仿宋_GB2312" w:cs="仿宋_GB2312"/>
          <w:bCs/>
          <w:color w:val="auto"/>
          <w:kern w:val="1"/>
          <w:sz w:val="30"/>
          <w:szCs w:val="30"/>
        </w:rPr>
        <w:t>；</w:t>
      </w:r>
    </w:p>
    <w:p w14:paraId="12282BEA">
      <w:pPr>
        <w:adjustRightInd w:val="0"/>
        <w:snapToGrid w:val="0"/>
        <w:spacing w:line="360" w:lineRule="auto"/>
        <w:ind w:firstLine="602"/>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w:t>
      </w:r>
      <w:r>
        <w:rPr>
          <w:rFonts w:hint="eastAsia" w:ascii="仿宋_GB2312" w:hAnsi="仿宋_GB2312" w:eastAsia="仿宋_GB2312" w:cs="仿宋_GB2312"/>
          <w:b/>
          <w:color w:val="auto"/>
          <w:sz w:val="30"/>
          <w:szCs w:val="30"/>
          <w:lang w:eastAsia="zh-CN"/>
        </w:rPr>
        <w:t>采购</w:t>
      </w:r>
      <w:r>
        <w:rPr>
          <w:rFonts w:hint="eastAsia" w:ascii="仿宋_GB2312" w:hAnsi="仿宋_GB2312" w:eastAsia="仿宋_GB2312" w:cs="仿宋_GB2312"/>
          <w:b/>
          <w:color w:val="auto"/>
          <w:sz w:val="30"/>
          <w:szCs w:val="30"/>
        </w:rPr>
        <w:t>内容</w:t>
      </w:r>
      <w:r>
        <w:rPr>
          <w:rFonts w:hint="eastAsia" w:ascii="仿宋_GB2312" w:hAnsi="仿宋_GB2312" w:eastAsia="仿宋_GB2312" w:cs="仿宋_GB2312"/>
          <w:b/>
          <w:color w:val="auto"/>
          <w:sz w:val="30"/>
          <w:szCs w:val="30"/>
          <w:lang w:eastAsia="zh-CN"/>
        </w:rPr>
        <w:t>及要求</w:t>
      </w:r>
      <w:r>
        <w:rPr>
          <w:rFonts w:hint="eastAsia" w:ascii="仿宋_GB2312" w:hAnsi="仿宋_GB2312" w:eastAsia="仿宋_GB2312" w:cs="仿宋_GB2312"/>
          <w:b/>
          <w:color w:val="auto"/>
          <w:sz w:val="30"/>
          <w:szCs w:val="30"/>
        </w:rPr>
        <w:t>：</w:t>
      </w:r>
    </w:p>
    <w:p w14:paraId="45DB9B36">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kern w:val="1"/>
          <w:sz w:val="30"/>
          <w:szCs w:val="30"/>
        </w:rPr>
        <w:t>（一）</w:t>
      </w:r>
      <w:r>
        <w:rPr>
          <w:rFonts w:hint="eastAsia" w:ascii="仿宋_GB2312" w:hAnsi="仿宋_GB2312" w:eastAsia="仿宋_GB2312" w:cs="仿宋_GB2312"/>
          <w:bCs/>
          <w:kern w:val="1"/>
          <w:sz w:val="30"/>
          <w:szCs w:val="30"/>
          <w:lang w:val="en-US" w:eastAsia="zh-CN"/>
        </w:rPr>
        <w:t>采购</w:t>
      </w:r>
      <w:r>
        <w:rPr>
          <w:rFonts w:hint="eastAsia" w:ascii="仿宋_GB2312" w:hAnsi="仿宋_GB2312" w:eastAsia="仿宋_GB2312" w:cs="仿宋_GB2312"/>
          <w:bCs/>
          <w:kern w:val="1"/>
          <w:sz w:val="30"/>
          <w:szCs w:val="30"/>
        </w:rPr>
        <w:t>项目基本情况</w:t>
      </w:r>
      <w:r>
        <w:rPr>
          <w:rFonts w:hint="eastAsia" w:ascii="仿宋_GB2312" w:hAnsi="仿宋_GB2312" w:eastAsia="仿宋_GB2312" w:cs="仿宋_GB2312"/>
          <w:bCs/>
          <w:kern w:val="1"/>
          <w:sz w:val="30"/>
          <w:szCs w:val="30"/>
          <w:lang w:eastAsia="zh-CN"/>
        </w:rPr>
        <w:t>及</w:t>
      </w:r>
      <w:r>
        <w:rPr>
          <w:rFonts w:hint="eastAsia" w:ascii="仿宋_GB2312" w:hAnsi="仿宋_GB2312" w:eastAsia="仿宋_GB2312" w:cs="仿宋_GB2312"/>
          <w:bCs/>
          <w:sz w:val="30"/>
          <w:szCs w:val="30"/>
        </w:rPr>
        <w:t>技术要求：</w:t>
      </w:r>
      <w:r>
        <w:rPr>
          <w:rFonts w:hint="eastAsia" w:ascii="仿宋_GB2312" w:hAnsi="仿宋_GB2312" w:eastAsia="仿宋_GB2312" w:cs="仿宋_GB2312"/>
          <w:bCs/>
          <w:kern w:val="1"/>
          <w:sz w:val="30"/>
          <w:szCs w:val="30"/>
        </w:rPr>
        <w:t xml:space="preserve">  </w:t>
      </w:r>
    </w:p>
    <w:p w14:paraId="5777EB23">
      <w:pPr>
        <w:keepNext w:val="0"/>
        <w:keepLines w:val="0"/>
        <w:pageBreakBefore w:val="0"/>
        <w:widowControl/>
        <w:kinsoku/>
        <w:overflowPunct/>
        <w:topLinePunct w:val="0"/>
        <w:autoSpaceDE/>
        <w:autoSpaceDN/>
        <w:bidi w:val="0"/>
        <w:adjustRightInd w:val="0"/>
        <w:snapToGrid w:val="0"/>
        <w:spacing w:line="360" w:lineRule="auto"/>
        <w:ind w:right="0" w:rightChars="0" w:firstLine="602"/>
        <w:textAlignment w:val="auto"/>
        <w:outlineLvl w:val="9"/>
        <w:rPr>
          <w:rFonts w:hint="eastAsia" w:ascii="仿宋_GB2312" w:hAnsi="仿宋_GB2312" w:eastAsia="仿宋_GB2312" w:cs="仿宋_GB2312"/>
          <w:bCs/>
          <w:kern w:val="1"/>
          <w:sz w:val="30"/>
          <w:szCs w:val="30"/>
        </w:rPr>
      </w:pPr>
      <w:r>
        <w:rPr>
          <w:rFonts w:hint="eastAsia" w:ascii="仿宋_GB2312" w:hAnsi="仿宋_GB2312" w:eastAsia="仿宋_GB2312" w:cs="仿宋_GB2312"/>
          <w:bCs/>
          <w:color w:val="auto"/>
          <w:kern w:val="0"/>
          <w:sz w:val="30"/>
          <w:szCs w:val="30"/>
          <w:u w:val="none"/>
          <w:lang w:val="en-US" w:eastAsia="zh-CN"/>
        </w:rPr>
        <w:t>1、需维修服务的两轮三轮电瓶车数量共计15辆，规格型号详见附件1《索普赛瑞电瓶车维修服务统计表》，各报价单位请按附件2《分项报价单》格式进行报价。</w:t>
      </w:r>
      <w:r>
        <w:rPr>
          <w:rFonts w:hint="eastAsia" w:ascii="仿宋_GB2312" w:hAnsi="仿宋_GB2312" w:eastAsia="仿宋_GB2312" w:cs="仿宋_GB2312"/>
          <w:bCs/>
          <w:kern w:val="1"/>
          <w:sz w:val="30"/>
          <w:szCs w:val="30"/>
        </w:rPr>
        <w:t xml:space="preserve"> </w:t>
      </w:r>
    </w:p>
    <w:p w14:paraId="488B6BAB">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2、维修保养范围：</w:t>
      </w:r>
    </w:p>
    <w:p w14:paraId="54FFD0A9">
      <w:pPr>
        <w:adjustRightInd w:val="0"/>
        <w:snapToGrid w:val="0"/>
        <w:spacing w:line="360" w:lineRule="auto"/>
        <w:ind w:firstLine="600" w:firstLineChars="200"/>
        <w:jc w:val="left"/>
        <w:outlineLvl w:val="9"/>
        <w:rPr>
          <w:rFonts w:hint="default"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（1）设备维修：对采购方提出的</w:t>
      </w:r>
      <w:r>
        <w:rPr>
          <w:rFonts w:hint="eastAsia" w:ascii="仿宋_GB2312" w:hAnsi="仿宋_GB2312" w:eastAsia="仿宋_GB2312" w:cs="仿宋_GB2312"/>
          <w:bCs/>
          <w:color w:val="auto"/>
          <w:kern w:val="0"/>
          <w:sz w:val="30"/>
          <w:szCs w:val="30"/>
          <w:u w:val="none"/>
          <w:lang w:val="en-US" w:eastAsia="zh-CN"/>
        </w:rPr>
        <w:t>电瓶车</w:t>
      </w:r>
      <w:r>
        <w:rPr>
          <w:rFonts w:hint="eastAsia" w:ascii="仿宋_GB2312" w:hAnsi="仿宋_GB2312" w:eastAsia="仿宋_GB2312" w:cs="仿宋_GB2312"/>
          <w:bCs/>
          <w:color w:val="auto"/>
          <w:kern w:val="0"/>
          <w:sz w:val="30"/>
          <w:szCs w:val="30"/>
          <w:lang w:val="en-US" w:eastAsia="zh-CN"/>
        </w:rPr>
        <w:t>故障做出维修处理，保证设备在采购方要求的时间内完成修理工作；在维修中如需更换配件的需使用原厂配件进行更换，所更换的配件质保3个月。</w:t>
      </w:r>
    </w:p>
    <w:p w14:paraId="29A72D30">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u w:val="none"/>
          <w:lang w:val="en-US" w:eastAsia="zh-CN"/>
        </w:rPr>
      </w:pPr>
      <w:r>
        <w:rPr>
          <w:rFonts w:hint="eastAsia" w:ascii="仿宋_GB2312" w:hAnsi="仿宋_GB2312" w:eastAsia="仿宋_GB2312" w:cs="仿宋_GB2312"/>
          <w:bCs/>
          <w:color w:val="auto"/>
          <w:kern w:val="0"/>
          <w:sz w:val="30"/>
          <w:szCs w:val="30"/>
          <w:lang w:val="en-US" w:eastAsia="zh-CN"/>
        </w:rPr>
        <w:t>3、报价中包含维修过程中的人工费、配件费、机械费、相关辅材等及增值税所有费用，报价人需按报价格式逐项填报，实际按部门出具书面说明为结算依据。</w:t>
      </w:r>
    </w:p>
    <w:p w14:paraId="48A39A13">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sz w:val="30"/>
          <w:szCs w:val="30"/>
        </w:rPr>
        <w:t>（二）</w:t>
      </w:r>
      <w:r>
        <w:rPr>
          <w:rFonts w:hint="eastAsia" w:ascii="仿宋_GB2312" w:hAnsi="仿宋_GB2312" w:eastAsia="仿宋_GB2312" w:cs="仿宋_GB2312"/>
          <w:bCs/>
          <w:color w:val="auto"/>
          <w:sz w:val="30"/>
          <w:szCs w:val="30"/>
          <w:lang w:eastAsia="zh-CN"/>
        </w:rPr>
        <w:t>采购</w:t>
      </w:r>
      <w:r>
        <w:rPr>
          <w:rFonts w:hint="eastAsia" w:ascii="仿宋_GB2312" w:hAnsi="仿宋_GB2312" w:eastAsia="仿宋_GB2312" w:cs="仿宋_GB2312"/>
          <w:bCs/>
          <w:color w:val="auto"/>
          <w:kern w:val="0"/>
          <w:sz w:val="30"/>
          <w:szCs w:val="30"/>
          <w:lang w:val="en-US" w:eastAsia="zh-CN"/>
        </w:rPr>
        <w:t>要求：</w:t>
      </w:r>
    </w:p>
    <w:p w14:paraId="7023B297">
      <w:pPr>
        <w:adjustRightInd w:val="0"/>
        <w:snapToGrid w:val="0"/>
        <w:spacing w:line="360" w:lineRule="auto"/>
        <w:ind w:firstLine="600" w:firstLineChars="200"/>
        <w:jc w:val="left"/>
        <w:outlineLvl w:val="9"/>
        <w:rPr>
          <w:rFonts w:hint="eastAsia" w:ascii="仿宋_GB2312" w:hAnsi="仿宋_GB2312" w:eastAsia="仿宋_GB2312" w:cs="仿宋_GB2312"/>
          <w:bCs/>
          <w:color w:val="auto"/>
          <w:kern w:val="1"/>
          <w:sz w:val="30"/>
          <w:szCs w:val="30"/>
          <w:u w:val="none"/>
        </w:rPr>
      </w:pPr>
      <w:r>
        <w:rPr>
          <w:rFonts w:hint="eastAsia" w:ascii="仿宋_GB2312" w:hAnsi="仿宋_GB2312" w:eastAsia="仿宋_GB2312" w:cs="仿宋_GB2312"/>
          <w:bCs/>
          <w:color w:val="auto"/>
          <w:kern w:val="0"/>
          <w:sz w:val="30"/>
          <w:szCs w:val="30"/>
          <w:lang w:val="en-US" w:eastAsia="zh-CN"/>
        </w:rPr>
        <w:t xml:space="preserve">1、签订合同前需根据维修保养的实际情况，结合采购文件中技术文件中的要求，制定实际维修方案，经双方确认后实施。     </w:t>
      </w:r>
      <w:r>
        <w:rPr>
          <w:rFonts w:hint="eastAsia" w:ascii="仿宋_GB2312" w:hAnsi="仿宋_GB2312" w:eastAsia="仿宋_GB2312" w:cs="仿宋_GB2312"/>
          <w:bCs/>
          <w:color w:val="auto"/>
          <w:kern w:val="1"/>
          <w:sz w:val="30"/>
          <w:szCs w:val="30"/>
          <w:u w:val="none"/>
          <w:lang w:val="en-US" w:eastAsia="zh-CN"/>
        </w:rPr>
        <w:t xml:space="preserve">                   </w:t>
      </w:r>
    </w:p>
    <w:p w14:paraId="5F402E6E">
      <w:pPr>
        <w:adjustRightInd w:val="0"/>
        <w:snapToGrid w:val="0"/>
        <w:spacing w:line="360" w:lineRule="auto"/>
        <w:ind w:left="617" w:leftChars="284" w:hanging="21" w:hangingChars="7"/>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w:t>
      </w:r>
      <w:r>
        <w:rPr>
          <w:rFonts w:hint="eastAsia" w:ascii="仿宋_GB2312" w:hAnsi="仿宋_GB2312" w:eastAsia="仿宋_GB2312" w:cs="仿宋_GB2312"/>
          <w:b/>
          <w:color w:val="auto"/>
          <w:sz w:val="30"/>
          <w:szCs w:val="30"/>
          <w:lang w:eastAsia="zh-CN"/>
        </w:rPr>
        <w:t>报价</w:t>
      </w:r>
      <w:r>
        <w:rPr>
          <w:rFonts w:hint="eastAsia" w:ascii="仿宋_GB2312" w:hAnsi="仿宋_GB2312" w:eastAsia="仿宋_GB2312" w:cs="仿宋_GB2312"/>
          <w:b/>
          <w:color w:val="auto"/>
          <w:sz w:val="30"/>
          <w:szCs w:val="30"/>
        </w:rPr>
        <w:t>人资质与要求：</w:t>
      </w:r>
    </w:p>
    <w:p w14:paraId="590C17C6">
      <w:pPr>
        <w:pStyle w:val="5"/>
        <w:keepNext w:val="0"/>
        <w:keepLines w:val="0"/>
        <w:pageBreakBefore w:val="0"/>
        <w:widowControl w:val="0"/>
        <w:kinsoku/>
        <w:overflowPunct/>
        <w:topLinePunct w:val="0"/>
        <w:autoSpaceDE/>
        <w:autoSpaceDN/>
        <w:bidi w:val="0"/>
        <w:adjustRightInd w:val="0"/>
        <w:snapToGrid w:val="0"/>
        <w:spacing w:after="0"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color w:val="auto"/>
          <w:sz w:val="30"/>
          <w:szCs w:val="30"/>
          <w:lang w:val="en-US" w:eastAsia="zh-CN"/>
        </w:rPr>
        <w:t xml:space="preserve">    </w:t>
      </w:r>
      <w:r>
        <w:rPr>
          <w:rFonts w:hint="eastAsia" w:ascii="仿宋_GB2312" w:hAnsi="仿宋_GB2312" w:eastAsia="仿宋_GB2312" w:cs="仿宋_GB2312"/>
          <w:bCs/>
          <w:color w:val="auto"/>
          <w:sz w:val="30"/>
          <w:szCs w:val="30"/>
        </w:rPr>
        <w:t>（一）</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人必须具备中华人民共和国境内生产或经营应具备的合法资质</w:t>
      </w:r>
      <w:r>
        <w:rPr>
          <w:rFonts w:hint="eastAsia" w:ascii="仿宋_GB2312" w:hAnsi="仿宋_GB2312" w:eastAsia="仿宋_GB2312" w:cs="仿宋_GB2312"/>
          <w:bCs/>
          <w:color w:val="auto"/>
          <w:sz w:val="30"/>
          <w:szCs w:val="30"/>
          <w:lang w:eastAsia="zh-CN"/>
        </w:rPr>
        <w:t>；</w:t>
      </w:r>
    </w:p>
    <w:p w14:paraId="494FFE5B">
      <w:pPr>
        <w:keepNext w:val="0"/>
        <w:keepLines w:val="0"/>
        <w:pageBreakBefore w:val="0"/>
        <w:widowControl w:val="0"/>
        <w:kinsoku/>
        <w:overflowPunct/>
        <w:topLinePunct w:val="0"/>
        <w:autoSpaceDE/>
        <w:autoSpaceDN/>
        <w:bidi w:val="0"/>
        <w:adjustRightInd w:val="0"/>
        <w:snapToGrid w:val="0"/>
        <w:spacing w:line="360" w:lineRule="auto"/>
        <w:ind w:right="0" w:rightChars="0" w:firstLine="579" w:firstLineChars="193"/>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sz w:val="30"/>
          <w:szCs w:val="30"/>
        </w:rPr>
        <w:t>不接受被列入失信被执行人、重大违法案件当事人</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w:t>
      </w:r>
    </w:p>
    <w:p w14:paraId="6EAA6EF1">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w:t>
      </w:r>
      <w:r>
        <w:rPr>
          <w:rFonts w:hint="eastAsia" w:ascii="仿宋_GB2312" w:hAnsi="仿宋_GB2312" w:eastAsia="仿宋_GB2312" w:cs="仿宋_GB2312"/>
          <w:bCs/>
          <w:color w:val="auto"/>
          <w:sz w:val="30"/>
          <w:szCs w:val="30"/>
        </w:rPr>
        <w:t>具备良好的售后服务能力，要求电话联系后</w:t>
      </w:r>
      <w:r>
        <w:rPr>
          <w:rFonts w:hint="eastAsia" w:ascii="仿宋_GB2312" w:hAnsi="仿宋_GB2312" w:eastAsia="仿宋_GB2312" w:cs="仿宋_GB2312"/>
          <w:bCs/>
          <w:color w:val="auto"/>
          <w:sz w:val="30"/>
          <w:szCs w:val="30"/>
          <w:u w:val="single"/>
          <w:lang w:val="en-US" w:eastAsia="zh-CN"/>
        </w:rPr>
        <w:t>24</w:t>
      </w:r>
      <w:r>
        <w:rPr>
          <w:rFonts w:hint="eastAsia" w:ascii="仿宋_GB2312" w:hAnsi="仿宋_GB2312" w:eastAsia="仿宋_GB2312" w:cs="仿宋_GB2312"/>
          <w:bCs/>
          <w:color w:val="auto"/>
          <w:sz w:val="30"/>
          <w:szCs w:val="30"/>
        </w:rPr>
        <w:t>小时内必须给予回复，明确解决方案；</w:t>
      </w:r>
    </w:p>
    <w:p w14:paraId="2C5A3891">
      <w:pPr>
        <w:keepNext w:val="0"/>
        <w:keepLines w:val="0"/>
        <w:pageBreakBefore w:val="0"/>
        <w:widowControl w:val="0"/>
        <w:kinsoku/>
        <w:overflowPunct/>
        <w:topLinePunct w:val="0"/>
        <w:autoSpaceDE/>
        <w:autoSpaceDN/>
        <w:bidi w:val="0"/>
        <w:adjustRightInd w:val="0"/>
        <w:snapToGrid w:val="0"/>
        <w:spacing w:line="360" w:lineRule="auto"/>
        <w:ind w:right="0" w:rightChars="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 xml:space="preserve"> </w:t>
      </w:r>
      <w:r>
        <w:rPr>
          <w:rFonts w:hint="eastAsia" w:ascii="仿宋_GB2312" w:hAnsi="仿宋_GB2312" w:eastAsia="仿宋_GB2312" w:cs="仿宋_GB2312"/>
          <w:bCs/>
          <w:color w:val="auto"/>
          <w:sz w:val="30"/>
          <w:szCs w:val="30"/>
        </w:rPr>
        <w:t xml:space="preserve">  （</w:t>
      </w:r>
      <w:r>
        <w:rPr>
          <w:rFonts w:hint="eastAsia" w:ascii="仿宋_GB2312" w:hAnsi="仿宋_GB2312" w:eastAsia="仿宋_GB2312" w:cs="仿宋_GB2312"/>
          <w:bCs/>
          <w:color w:val="auto"/>
          <w:sz w:val="30"/>
          <w:szCs w:val="30"/>
          <w:lang w:val="en-US" w:eastAsia="zh-CN"/>
        </w:rPr>
        <w:t>四</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报价</w:t>
      </w:r>
      <w:r>
        <w:rPr>
          <w:rFonts w:hint="eastAsia" w:ascii="仿宋_GB2312" w:hAnsi="仿宋_GB2312" w:eastAsia="仿宋_GB2312" w:cs="仿宋_GB2312"/>
          <w:bCs/>
          <w:color w:val="auto"/>
          <w:sz w:val="30"/>
          <w:szCs w:val="30"/>
        </w:rPr>
        <w:t>人所供产品引起的知识产权方面的纠纷，由</w:t>
      </w:r>
      <w:r>
        <w:rPr>
          <w:rFonts w:hint="eastAsia" w:ascii="仿宋_GB2312" w:hAnsi="仿宋_GB2312" w:eastAsia="仿宋_GB2312" w:cs="仿宋_GB2312"/>
          <w:bCs/>
          <w:color w:val="auto"/>
          <w:sz w:val="30"/>
          <w:szCs w:val="30"/>
          <w:lang w:val="en-US" w:eastAsia="zh-CN"/>
        </w:rPr>
        <w:t>报价人</w:t>
      </w:r>
      <w:r>
        <w:rPr>
          <w:rFonts w:hint="eastAsia" w:ascii="仿宋_GB2312" w:hAnsi="仿宋_GB2312" w:eastAsia="仿宋_GB2312" w:cs="仿宋_GB2312"/>
          <w:bCs/>
          <w:color w:val="auto"/>
          <w:sz w:val="30"/>
          <w:szCs w:val="30"/>
        </w:rPr>
        <w:t>承担一切后果，</w:t>
      </w:r>
      <w:r>
        <w:rPr>
          <w:rFonts w:hint="eastAsia" w:ascii="仿宋_GB2312" w:hAnsi="仿宋_GB2312" w:eastAsia="仿宋_GB2312" w:cs="仿宋_GB2312"/>
          <w:bCs/>
          <w:color w:val="auto"/>
          <w:sz w:val="30"/>
          <w:szCs w:val="30"/>
          <w:lang w:val="en-US" w:eastAsia="zh-CN"/>
        </w:rPr>
        <w:t>采购</w:t>
      </w:r>
      <w:r>
        <w:rPr>
          <w:rFonts w:hint="eastAsia" w:ascii="仿宋_GB2312" w:hAnsi="仿宋_GB2312" w:eastAsia="仿宋_GB2312" w:cs="仿宋_GB2312"/>
          <w:bCs/>
          <w:color w:val="auto"/>
          <w:sz w:val="30"/>
          <w:szCs w:val="30"/>
        </w:rPr>
        <w:t>人不承担任何责任；</w:t>
      </w:r>
    </w:p>
    <w:p w14:paraId="4AFC80F3">
      <w:pPr>
        <w:pStyle w:val="6"/>
        <w:spacing w:line="360" w:lineRule="auto"/>
        <w:outlineLvl w:val="9"/>
        <w:rPr>
          <w:rFonts w:hint="eastAsia" w:ascii="仿宋_GB2312" w:hAnsi="仿宋_GB2312" w:eastAsia="仿宋_GB2312" w:cs="仿宋_GB2312"/>
          <w:bCs/>
          <w:color w:val="auto"/>
          <w:kern w:val="0"/>
          <w:sz w:val="30"/>
          <w:szCs w:val="30"/>
          <w:lang w:val="en-US" w:eastAsia="zh-CN" w:bidi="ar-SA"/>
        </w:rPr>
      </w:pPr>
      <w:r>
        <w:rPr>
          <w:rFonts w:hint="eastAsia" w:ascii="仿宋_GB2312" w:hAnsi="仿宋_GB2312" w:eastAsia="仿宋_GB2312" w:cs="仿宋_GB2312"/>
          <w:bCs/>
          <w:color w:val="auto"/>
          <w:sz w:val="30"/>
          <w:szCs w:val="30"/>
          <w:lang w:val="en-US" w:eastAsia="zh-CN"/>
        </w:rPr>
        <w:t xml:space="preserve">    （五）</w:t>
      </w:r>
      <w:r>
        <w:rPr>
          <w:rFonts w:hint="eastAsia" w:ascii="仿宋_GB2312" w:hAnsi="仿宋_GB2312" w:eastAsia="仿宋_GB2312" w:cs="仿宋_GB2312"/>
          <w:bCs/>
          <w:color w:val="auto"/>
          <w:kern w:val="0"/>
          <w:sz w:val="30"/>
          <w:szCs w:val="30"/>
          <w:lang w:val="en-US" w:eastAsia="zh-CN" w:bidi="ar-SA"/>
        </w:rPr>
        <w:t>不接受被列入索普集团供应商负面清单中的单位报价；</w:t>
      </w:r>
    </w:p>
    <w:p w14:paraId="59A22DC9">
      <w:pPr>
        <w:pStyle w:val="5"/>
        <w:spacing w:line="360" w:lineRule="auto"/>
        <w:rPr>
          <w:rFonts w:hint="eastAsia" w:ascii="仿宋_GB2312" w:hAnsi="仿宋_GB2312" w:eastAsia="仿宋_GB2312" w:cs="仿宋_GB2312"/>
          <w:b/>
          <w:color w:val="auto"/>
          <w:kern w:val="2"/>
          <w:sz w:val="30"/>
          <w:szCs w:val="30"/>
          <w:lang w:eastAsia="zh-CN"/>
        </w:rPr>
      </w:pPr>
      <w:r>
        <w:rPr>
          <w:rFonts w:hint="eastAsia" w:ascii="仿宋_GB2312" w:hAnsi="仿宋_GB2312" w:eastAsia="仿宋_GB2312" w:cs="仿宋_GB2312"/>
          <w:bCs/>
          <w:color w:val="auto"/>
          <w:sz w:val="30"/>
          <w:szCs w:val="30"/>
          <w:u w:val="none"/>
          <w:lang w:val="en-US" w:eastAsia="zh-CN"/>
        </w:rPr>
        <w:t xml:space="preserve">    </w:t>
      </w:r>
      <w:r>
        <w:rPr>
          <w:rFonts w:hint="eastAsia" w:ascii="仿宋_GB2312" w:hAnsi="仿宋_GB2312" w:eastAsia="仿宋_GB2312" w:cs="仿宋_GB2312"/>
          <w:b/>
          <w:color w:val="auto"/>
          <w:kern w:val="2"/>
          <w:sz w:val="30"/>
          <w:szCs w:val="30"/>
        </w:rPr>
        <w:t>四、</w:t>
      </w:r>
      <w:r>
        <w:rPr>
          <w:rFonts w:hint="eastAsia" w:ascii="仿宋_GB2312" w:hAnsi="仿宋_GB2312" w:eastAsia="仿宋_GB2312" w:cs="仿宋_GB2312"/>
          <w:b/>
          <w:color w:val="auto"/>
          <w:kern w:val="2"/>
          <w:sz w:val="30"/>
          <w:szCs w:val="30"/>
          <w:lang w:eastAsia="zh-CN"/>
        </w:rPr>
        <w:t>报价：</w:t>
      </w:r>
    </w:p>
    <w:p w14:paraId="393C0081">
      <w:pPr>
        <w:adjustRightInd w:val="0"/>
        <w:snapToGrid w:val="0"/>
        <w:spacing w:line="360" w:lineRule="auto"/>
        <w:ind w:firstLine="600" w:firstLineChars="200"/>
        <w:jc w:val="left"/>
        <w:outlineLvl w:val="9"/>
        <w:rPr>
          <w:rFonts w:hint="eastAsia" w:ascii="仿宋_GB2312" w:hAnsi="仿宋_GB2312" w:eastAsia="仿宋_GB2312" w:cs="仿宋_GB2312"/>
          <w:bCs/>
          <w:color w:val="FF0000"/>
          <w:sz w:val="30"/>
          <w:szCs w:val="30"/>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FF0000"/>
          <w:sz w:val="30"/>
          <w:szCs w:val="30"/>
        </w:rPr>
        <w:t>报价方式：在满足</w:t>
      </w:r>
      <w:r>
        <w:rPr>
          <w:rFonts w:hint="eastAsia" w:ascii="仿宋_GB2312" w:hAnsi="仿宋_GB2312" w:eastAsia="仿宋_GB2312" w:cs="仿宋_GB2312"/>
          <w:bCs/>
          <w:color w:val="FF0000"/>
          <w:sz w:val="30"/>
          <w:szCs w:val="30"/>
          <w:lang w:eastAsia="zh-CN"/>
        </w:rPr>
        <w:t>采购</w:t>
      </w:r>
      <w:r>
        <w:rPr>
          <w:rFonts w:hint="eastAsia" w:ascii="仿宋_GB2312" w:hAnsi="仿宋_GB2312" w:eastAsia="仿宋_GB2312" w:cs="仿宋_GB2312"/>
          <w:bCs/>
          <w:color w:val="FF0000"/>
          <w:sz w:val="30"/>
          <w:szCs w:val="30"/>
        </w:rPr>
        <w:t>人使用要求前提下，</w:t>
      </w:r>
      <w:r>
        <w:rPr>
          <w:rFonts w:hint="eastAsia" w:ascii="仿宋_GB2312" w:hAnsi="仿宋_GB2312" w:eastAsia="仿宋_GB2312" w:cs="仿宋_GB2312"/>
          <w:bCs/>
          <w:color w:val="FF0000"/>
          <w:sz w:val="30"/>
          <w:szCs w:val="30"/>
          <w:lang w:val="en-US" w:eastAsia="zh-CN"/>
        </w:rPr>
        <w:t>报价人根据附件2《分项报价单》分别报出维修配件的单价和总价，</w:t>
      </w:r>
      <w:r>
        <w:rPr>
          <w:rFonts w:hint="eastAsia" w:ascii="仿宋_GB2312" w:hAnsi="仿宋_GB2312" w:eastAsia="仿宋_GB2312" w:cs="仿宋_GB2312"/>
          <w:bCs/>
          <w:color w:val="FF0000"/>
          <w:sz w:val="30"/>
          <w:szCs w:val="30"/>
        </w:rPr>
        <w:t>如国家税率调整，按合同含税价格/（1+合同约定税率）*（1+国家规定的新税率）调整合同价格开具发票；</w:t>
      </w:r>
    </w:p>
    <w:p w14:paraId="48BD5013">
      <w:pPr>
        <w:adjustRightInd w:val="0"/>
        <w:snapToGrid w:val="0"/>
        <w:spacing w:line="360" w:lineRule="auto"/>
        <w:ind w:firstLine="1200" w:firstLineChars="400"/>
        <w:jc w:val="left"/>
        <w:outlineLvl w:val="9"/>
        <w:rPr>
          <w:rFonts w:hint="default" w:ascii="仿宋_GB2312" w:hAnsi="仿宋_GB2312" w:eastAsia="仿宋_GB2312" w:cs="仿宋_GB2312"/>
          <w:bCs/>
          <w:color w:val="FF0000"/>
          <w:sz w:val="30"/>
          <w:szCs w:val="30"/>
          <w:lang w:val="en-US" w:eastAsia="zh-CN"/>
        </w:rPr>
      </w:pPr>
      <w:r>
        <w:rPr>
          <w:rFonts w:hint="eastAsia" w:ascii="仿宋_GB2312" w:hAnsi="仿宋_GB2312" w:eastAsia="仿宋_GB2312" w:cs="仿宋_GB2312"/>
          <w:bCs/>
          <w:color w:val="FF0000"/>
          <w:sz w:val="30"/>
          <w:szCs w:val="30"/>
          <w:lang w:val="en-US" w:eastAsia="zh-CN"/>
        </w:rPr>
        <w:t>2.报价要求：不可有缺项报价，每项报价金额必须在市场价合理范围内，若出现恶意报价视为无效报价。</w:t>
      </w:r>
    </w:p>
    <w:p w14:paraId="7FC30FB9">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（二）付款方式：维修结束验收合格，增值税专用发票到后，30</w:t>
      </w:r>
      <w:r>
        <w:rPr>
          <w:rFonts w:hint="eastAsia" w:ascii="仿宋_GB2312" w:hAnsi="仿宋_GB2312" w:eastAsia="仿宋_GB2312" w:cs="仿宋_GB2312"/>
          <w:bCs/>
          <w:color w:val="auto"/>
          <w:kern w:val="1"/>
          <w:sz w:val="30"/>
          <w:szCs w:val="30"/>
          <w:lang w:val="en-US" w:eastAsia="zh-CN"/>
        </w:rPr>
        <w:t>天</w:t>
      </w:r>
      <w:r>
        <w:rPr>
          <w:rFonts w:hint="eastAsia" w:ascii="仿宋_GB2312" w:hAnsi="仿宋_GB2312" w:eastAsia="仿宋_GB2312" w:cs="仿宋_GB2312"/>
          <w:bCs/>
          <w:color w:val="auto"/>
          <w:kern w:val="1"/>
          <w:sz w:val="30"/>
          <w:szCs w:val="30"/>
        </w:rPr>
        <w:t>内付款。付款方式为</w:t>
      </w:r>
      <w:r>
        <w:rPr>
          <w:rFonts w:hint="eastAsia" w:ascii="仿宋_GB2312" w:hAnsi="仿宋_GB2312" w:eastAsia="仿宋_GB2312" w:cs="仿宋_GB2312"/>
          <w:bCs/>
          <w:color w:val="auto"/>
          <w:kern w:val="1"/>
          <w:sz w:val="30"/>
          <w:szCs w:val="30"/>
          <w:lang w:val="en-US" w:eastAsia="zh-CN"/>
        </w:rPr>
        <w:t>现汇</w:t>
      </w:r>
      <w:r>
        <w:rPr>
          <w:rFonts w:hint="eastAsia" w:ascii="仿宋_GB2312" w:hAnsi="仿宋_GB2312" w:eastAsia="仿宋_GB2312" w:cs="仿宋_GB2312"/>
          <w:bCs/>
          <w:color w:val="auto"/>
          <w:kern w:val="1"/>
          <w:sz w:val="30"/>
          <w:szCs w:val="30"/>
        </w:rPr>
        <w:t>。如报价人不接受采购人提出的付款方式，可在线下报价书中明确能够接受的付款方</w:t>
      </w:r>
      <w:bookmarkStart w:id="1" w:name="_GoBack"/>
      <w:bookmarkEnd w:id="1"/>
      <w:r>
        <w:rPr>
          <w:rFonts w:hint="eastAsia" w:ascii="仿宋_GB2312" w:hAnsi="仿宋_GB2312" w:eastAsia="仿宋_GB2312" w:cs="仿宋_GB2312"/>
          <w:bCs/>
          <w:color w:val="auto"/>
          <w:kern w:val="1"/>
          <w:sz w:val="30"/>
          <w:szCs w:val="30"/>
        </w:rPr>
        <w:t>式及付款时间，评审时作为参考。报价为含税价，税率3%，如有不同请注明。</w:t>
      </w:r>
    </w:p>
    <w:p w14:paraId="52179E73">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（三）本项目</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可通过线下方式进行：</w:t>
      </w:r>
    </w:p>
    <w:p w14:paraId="1917E3A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kern w:val="1"/>
          <w:sz w:val="30"/>
          <w:szCs w:val="30"/>
          <w:lang w:val="en-US" w:eastAsia="zh-CN"/>
        </w:rPr>
        <w:t>1</w:t>
      </w:r>
      <w:r>
        <w:rPr>
          <w:rFonts w:hint="eastAsia" w:ascii="仿宋_GB2312" w:hAnsi="仿宋_GB2312" w:eastAsia="仿宋_GB2312" w:cs="仿宋_GB2312"/>
          <w:bCs/>
          <w:color w:val="auto"/>
          <w:kern w:val="1"/>
          <w:sz w:val="30"/>
          <w:szCs w:val="30"/>
        </w:rPr>
        <w:t>、采用线下</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应</w:t>
      </w:r>
      <w:r>
        <w:rPr>
          <w:rFonts w:hint="eastAsia" w:ascii="仿宋_GB2312" w:hAnsi="仿宋_GB2312" w:eastAsia="仿宋_GB2312" w:cs="仿宋_GB2312"/>
          <w:bCs/>
          <w:color w:val="auto"/>
          <w:sz w:val="30"/>
          <w:szCs w:val="30"/>
        </w:rPr>
        <w:t>将报价书及相关资料以</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袋形式送达，</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袋外包装必须用“封条”密封，封条“格式自定”，另需加盖公章、法人章，填写密封日期；在</w:t>
      </w:r>
      <w:r>
        <w:rPr>
          <w:rFonts w:hint="eastAsia" w:ascii="仿宋_GB2312" w:hAnsi="仿宋_GB2312" w:eastAsia="仿宋_GB2312" w:cs="仿宋_GB2312"/>
          <w:bCs/>
          <w:color w:val="auto"/>
          <w:sz w:val="30"/>
          <w:szCs w:val="30"/>
          <w:lang w:val="en-US" w:eastAsia="zh-CN"/>
        </w:rPr>
        <w:t>文件</w:t>
      </w:r>
      <w:r>
        <w:rPr>
          <w:rFonts w:hint="eastAsia" w:ascii="仿宋_GB2312" w:hAnsi="仿宋_GB2312" w:eastAsia="仿宋_GB2312" w:cs="仿宋_GB2312"/>
          <w:bCs/>
          <w:color w:val="auto"/>
          <w:sz w:val="30"/>
          <w:szCs w:val="30"/>
        </w:rPr>
        <w:t>袋封面上需注明“</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项目名称，</w:t>
      </w:r>
      <w:r>
        <w:rPr>
          <w:rFonts w:hint="eastAsia" w:ascii="仿宋_GB2312" w:hAnsi="仿宋_GB2312" w:eastAsia="仿宋_GB2312" w:cs="仿宋_GB2312"/>
          <w:bCs/>
          <w:color w:val="auto"/>
          <w:sz w:val="30"/>
          <w:szCs w:val="30"/>
          <w:lang w:eastAsia="zh-CN"/>
        </w:rPr>
        <w:t>报价</w:t>
      </w:r>
      <w:r>
        <w:rPr>
          <w:rFonts w:hint="eastAsia" w:ascii="仿宋_GB2312" w:hAnsi="仿宋_GB2312" w:eastAsia="仿宋_GB2312" w:cs="仿宋_GB2312"/>
          <w:bCs/>
          <w:color w:val="auto"/>
          <w:sz w:val="30"/>
          <w:szCs w:val="30"/>
        </w:rPr>
        <w:t>方名称、地址、联系人、联系电话”等；</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文件还应包括正本</w:t>
      </w:r>
      <w:r>
        <w:rPr>
          <w:rFonts w:hint="eastAsia" w:ascii="仿宋_GB2312" w:hAnsi="仿宋_GB2312" w:eastAsia="仿宋_GB2312" w:cs="仿宋_GB2312"/>
          <w:color w:val="auto"/>
          <w:kern w:val="1"/>
          <w:sz w:val="30"/>
          <w:szCs w:val="30"/>
          <w:u w:val="single"/>
        </w:rPr>
        <w:t xml:space="preserve">   1  </w:t>
      </w:r>
      <w:r>
        <w:rPr>
          <w:rFonts w:hint="eastAsia" w:ascii="仿宋_GB2312" w:hAnsi="仿宋_GB2312" w:eastAsia="仿宋_GB2312" w:cs="仿宋_GB2312"/>
          <w:color w:val="auto"/>
          <w:kern w:val="1"/>
          <w:sz w:val="30"/>
          <w:szCs w:val="30"/>
        </w:rPr>
        <w:t>份，并要求在</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截止日之前送达，逾期将作为</w:t>
      </w:r>
      <w:r>
        <w:rPr>
          <w:rFonts w:hint="eastAsia" w:ascii="仿宋_GB2312" w:hAnsi="仿宋_GB2312" w:eastAsia="仿宋_GB2312" w:cs="仿宋_GB2312"/>
          <w:color w:val="auto"/>
          <w:kern w:val="1"/>
          <w:sz w:val="30"/>
          <w:szCs w:val="30"/>
          <w:lang w:val="en-US" w:eastAsia="zh-CN"/>
        </w:rPr>
        <w:t>无效报价处</w:t>
      </w:r>
      <w:r>
        <w:rPr>
          <w:rFonts w:hint="eastAsia" w:ascii="仿宋_GB2312" w:hAnsi="仿宋_GB2312" w:eastAsia="仿宋_GB2312" w:cs="仿宋_GB2312"/>
          <w:color w:val="auto"/>
          <w:kern w:val="1"/>
          <w:sz w:val="30"/>
          <w:szCs w:val="30"/>
        </w:rPr>
        <w:t>理。</w:t>
      </w:r>
    </w:p>
    <w:p w14:paraId="2324A9B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（四）与本</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有关的一切往来通讯请密封寄：</w:t>
      </w:r>
    </w:p>
    <w:p w14:paraId="7261BE35">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公司：江苏索普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3DBCC70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w:t>
      </w:r>
    </w:p>
    <w:p w14:paraId="701BB8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邮编：212006</w:t>
      </w:r>
    </w:p>
    <w:p w14:paraId="4B25D6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联系人：</w:t>
      </w:r>
      <w:r>
        <w:rPr>
          <w:rFonts w:hint="eastAsia" w:ascii="仿宋_GB2312" w:hAnsi="仿宋_GB2312" w:eastAsia="仿宋_GB2312" w:cs="仿宋_GB2312"/>
          <w:bCs/>
          <w:color w:val="auto"/>
          <w:kern w:val="1"/>
          <w:sz w:val="30"/>
          <w:szCs w:val="30"/>
          <w:lang w:val="en-US" w:eastAsia="zh-CN"/>
        </w:rPr>
        <w:t>耿爱江</w:t>
      </w:r>
    </w:p>
    <w:p w14:paraId="2F78C98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600" w:firstLineChars="2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联系电话：</w:t>
      </w:r>
      <w:r>
        <w:rPr>
          <w:rFonts w:hint="eastAsia" w:ascii="仿宋_GB2312" w:hAnsi="仿宋_GB2312" w:eastAsia="仿宋_GB2312" w:cs="仿宋_GB2312"/>
          <w:bCs/>
          <w:color w:val="auto"/>
          <w:kern w:val="1"/>
          <w:sz w:val="30"/>
          <w:szCs w:val="30"/>
          <w:lang w:val="en-US" w:eastAsia="zh-CN"/>
        </w:rPr>
        <w:t>18752975881</w:t>
      </w:r>
    </w:p>
    <w:p w14:paraId="0F1125B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（五）凡对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文件条款有疑义的，请在</w:t>
      </w:r>
      <w:r>
        <w:rPr>
          <w:rFonts w:hint="eastAsia" w:ascii="仿宋_GB2312" w:hAnsi="仿宋_GB2312" w:eastAsia="仿宋_GB2312" w:cs="仿宋_GB2312"/>
          <w:bCs/>
          <w:color w:val="auto"/>
          <w:kern w:val="1"/>
          <w:sz w:val="30"/>
          <w:szCs w:val="30"/>
          <w:lang w:val="en-US" w:eastAsia="zh-CN"/>
        </w:rPr>
        <w:t>评审</w:t>
      </w:r>
      <w:r>
        <w:rPr>
          <w:rFonts w:hint="eastAsia" w:ascii="仿宋_GB2312" w:hAnsi="仿宋_GB2312" w:eastAsia="仿宋_GB2312" w:cs="仿宋_GB2312"/>
          <w:bCs/>
          <w:color w:val="auto"/>
          <w:kern w:val="1"/>
          <w:sz w:val="30"/>
          <w:szCs w:val="30"/>
        </w:rPr>
        <w:t>前按以下方式联系：</w:t>
      </w:r>
    </w:p>
    <w:p w14:paraId="6F124F29">
      <w:pPr>
        <w:pStyle w:val="33"/>
        <w:keepNext w:val="0"/>
        <w:keepLines w:val="0"/>
        <w:pageBreakBefore w:val="0"/>
        <w:widowControl w:val="0"/>
        <w:tabs>
          <w:tab w:val="left" w:pos="180"/>
        </w:tabs>
        <w:kinsoku/>
        <w:wordWrap w:val="0"/>
        <w:overflowPunct/>
        <w:topLinePunct w:val="0"/>
        <w:autoSpaceDE/>
        <w:autoSpaceDN/>
        <w:bidi w:val="0"/>
        <w:adjustRightInd w:val="0"/>
        <w:snapToGrid w:val="0"/>
        <w:spacing w:line="360" w:lineRule="auto"/>
        <w:ind w:right="0" w:rightChars="0" w:firstLine="600"/>
        <w:jc w:val="left"/>
        <w:textAlignment w:val="auto"/>
        <w:outlineLvl w:val="9"/>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联系单位：江苏索普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w:t>
      </w:r>
      <w:r>
        <w:rPr>
          <w:rFonts w:hint="eastAsia" w:ascii="仿宋_GB2312" w:hAnsi="仿宋_GB2312" w:eastAsia="仿宋_GB2312" w:cs="仿宋_GB2312"/>
          <w:bCs/>
          <w:color w:val="auto"/>
          <w:kern w:val="1"/>
          <w:sz w:val="30"/>
          <w:szCs w:val="30"/>
          <w:lang w:val="en-US" w:eastAsia="zh-CN"/>
        </w:rPr>
        <w:t>设备保障部</w:t>
      </w:r>
    </w:p>
    <w:p w14:paraId="527B8DA2">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地址：江苏省镇江市京口区求索路</w:t>
      </w:r>
      <w:r>
        <w:rPr>
          <w:rFonts w:hint="eastAsia" w:ascii="仿宋_GB2312" w:hAnsi="仿宋_GB2312" w:eastAsia="仿宋_GB2312" w:cs="仿宋_GB2312"/>
          <w:bCs/>
          <w:color w:val="auto"/>
          <w:kern w:val="1"/>
          <w:sz w:val="30"/>
          <w:szCs w:val="30"/>
          <w:lang w:val="en-US" w:eastAsia="zh-CN"/>
        </w:rPr>
        <w:t>18</w:t>
      </w:r>
      <w:r>
        <w:rPr>
          <w:rFonts w:hint="eastAsia" w:ascii="仿宋_GB2312" w:hAnsi="仿宋_GB2312" w:eastAsia="仿宋_GB2312" w:cs="仿宋_GB2312"/>
          <w:bCs/>
          <w:color w:val="auto"/>
          <w:kern w:val="1"/>
          <w:sz w:val="30"/>
          <w:szCs w:val="30"/>
        </w:rPr>
        <w:t>号，邮编：212006</w:t>
      </w:r>
    </w:p>
    <w:p w14:paraId="14BECD69">
      <w:pPr>
        <w:adjustRightInd w:val="0"/>
        <w:snapToGrid w:val="0"/>
        <w:spacing w:line="360" w:lineRule="auto"/>
        <w:ind w:firstLine="600" w:firstLineChars="200"/>
        <w:jc w:val="left"/>
        <w:rPr>
          <w:rFonts w:hint="default"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采购业务负责人</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周淑刚</w:t>
      </w:r>
      <w:r>
        <w:rPr>
          <w:rFonts w:hint="eastAsia" w:ascii="仿宋_GB2312" w:hAnsi="仿宋_GB2312" w:eastAsia="仿宋_GB2312" w:cs="仿宋_GB2312"/>
          <w:bCs/>
          <w:color w:val="auto"/>
          <w:kern w:val="1"/>
          <w:sz w:val="30"/>
          <w:szCs w:val="30"/>
        </w:rPr>
        <w:t xml:space="preserve">  电话：</w:t>
      </w:r>
      <w:r>
        <w:rPr>
          <w:rFonts w:hint="eastAsia" w:ascii="仿宋_GB2312" w:hAnsi="仿宋_GB2312" w:eastAsia="仿宋_GB2312" w:cs="仿宋_GB2312"/>
          <w:bCs/>
          <w:color w:val="auto"/>
          <w:kern w:val="1"/>
          <w:sz w:val="30"/>
          <w:szCs w:val="30"/>
          <w:lang w:val="en-US" w:eastAsia="zh-CN"/>
        </w:rPr>
        <w:t>17768779637</w:t>
      </w:r>
    </w:p>
    <w:p w14:paraId="28B8BDFE">
      <w:pPr>
        <w:adjustRightInd w:val="0"/>
        <w:snapToGrid w:val="0"/>
        <w:spacing w:line="360" w:lineRule="auto"/>
        <w:ind w:firstLine="602" w:firstLineChars="200"/>
        <w:jc w:val="left"/>
        <w:rPr>
          <w:rFonts w:hint="eastAsia" w:ascii="仿宋_GB2312" w:hAnsi="仿宋_GB2312" w:eastAsia="仿宋_GB2312" w:cs="仿宋_GB2312"/>
          <w:b/>
          <w:color w:val="auto"/>
          <w:kern w:val="1"/>
          <w:sz w:val="30"/>
          <w:szCs w:val="30"/>
          <w:lang w:eastAsia="zh-CN"/>
        </w:rPr>
      </w:pPr>
      <w:r>
        <w:rPr>
          <w:rFonts w:hint="eastAsia" w:ascii="仿宋_GB2312" w:hAnsi="仿宋_GB2312" w:eastAsia="仿宋_GB2312" w:cs="仿宋_GB2312"/>
          <w:b/>
          <w:color w:val="auto"/>
          <w:kern w:val="1"/>
          <w:sz w:val="30"/>
          <w:szCs w:val="30"/>
        </w:rPr>
        <w:t>五、</w:t>
      </w:r>
      <w:r>
        <w:rPr>
          <w:rFonts w:hint="eastAsia" w:ascii="仿宋" w:hAnsi="仿宋" w:eastAsia="仿宋" w:cs="仿宋"/>
          <w:b/>
          <w:color w:val="auto"/>
          <w:kern w:val="1"/>
          <w:sz w:val="34"/>
          <w:szCs w:val="34"/>
          <w:highlight w:val="none"/>
          <w:lang w:val="en-US" w:eastAsia="zh-CN"/>
        </w:rPr>
        <w:t>报价评审</w:t>
      </w:r>
      <w:r>
        <w:rPr>
          <w:rFonts w:hint="eastAsia" w:ascii="仿宋" w:hAnsi="仿宋" w:eastAsia="仿宋" w:cs="仿宋"/>
          <w:b/>
          <w:color w:val="auto"/>
          <w:kern w:val="1"/>
          <w:sz w:val="34"/>
          <w:szCs w:val="34"/>
          <w:highlight w:val="none"/>
        </w:rPr>
        <w:t>及</w:t>
      </w:r>
      <w:r>
        <w:rPr>
          <w:rFonts w:hint="eastAsia" w:ascii="仿宋" w:hAnsi="仿宋" w:eastAsia="仿宋" w:cs="仿宋"/>
          <w:b/>
          <w:color w:val="auto"/>
          <w:kern w:val="1"/>
          <w:sz w:val="34"/>
          <w:szCs w:val="34"/>
          <w:highlight w:val="none"/>
          <w:lang w:val="en-US" w:eastAsia="zh-CN"/>
        </w:rPr>
        <w:t>无效报价</w:t>
      </w:r>
      <w:r>
        <w:rPr>
          <w:rFonts w:hint="eastAsia" w:ascii="仿宋_GB2312" w:hAnsi="仿宋_GB2312" w:eastAsia="仿宋_GB2312" w:cs="仿宋_GB2312"/>
          <w:b/>
          <w:color w:val="auto"/>
          <w:kern w:val="1"/>
          <w:sz w:val="30"/>
          <w:szCs w:val="30"/>
          <w:lang w:eastAsia="zh-CN"/>
        </w:rPr>
        <w:t>：</w:t>
      </w:r>
    </w:p>
    <w:p w14:paraId="354A085F">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（一）</w:t>
      </w:r>
      <w:r>
        <w:rPr>
          <w:rFonts w:hint="eastAsia" w:ascii="仿宋_GB2312" w:hAnsi="仿宋_GB2312" w:eastAsia="仿宋_GB2312" w:cs="仿宋_GB2312"/>
          <w:bCs/>
          <w:color w:val="auto"/>
          <w:kern w:val="1"/>
          <w:sz w:val="30"/>
          <w:szCs w:val="30"/>
          <w:lang w:val="en-US" w:eastAsia="zh-CN"/>
        </w:rPr>
        <w:t>报价评审</w:t>
      </w:r>
    </w:p>
    <w:p w14:paraId="07C8FD38">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本项目由</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人组织</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负责</w:t>
      </w:r>
      <w:r>
        <w:rPr>
          <w:rFonts w:hint="eastAsia" w:ascii="仿宋_GB2312" w:hAnsi="仿宋_GB2312" w:eastAsia="仿宋_GB2312" w:cs="仿宋_GB2312"/>
          <w:bCs/>
          <w:color w:val="auto"/>
          <w:kern w:val="1"/>
          <w:sz w:val="30"/>
          <w:szCs w:val="30"/>
          <w:lang w:val="en-US" w:eastAsia="zh-CN"/>
        </w:rPr>
        <w:t>报价评审</w:t>
      </w:r>
      <w:r>
        <w:rPr>
          <w:rFonts w:hint="eastAsia" w:ascii="仿宋_GB2312" w:hAnsi="仿宋_GB2312" w:eastAsia="仿宋_GB2312" w:cs="仿宋_GB2312"/>
          <w:bCs/>
          <w:color w:val="auto"/>
          <w:kern w:val="1"/>
          <w:sz w:val="30"/>
          <w:szCs w:val="30"/>
        </w:rPr>
        <w:t>工作，确定最终</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p>
    <w:p w14:paraId="6526EE65">
      <w:pPr>
        <w:keepNext w:val="0"/>
        <w:keepLines w:val="0"/>
        <w:pageBreakBefore w:val="0"/>
        <w:widowControl w:val="0"/>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
          <w:bCs w:val="0"/>
          <w:color w:val="auto"/>
          <w:kern w:val="1"/>
          <w:sz w:val="30"/>
          <w:szCs w:val="30"/>
        </w:rPr>
        <w:t>1、</w:t>
      </w:r>
      <w:r>
        <w:rPr>
          <w:rFonts w:hint="eastAsia" w:ascii="仿宋_GB2312" w:hAnsi="仿宋_GB2312" w:eastAsia="仿宋_GB2312" w:cs="仿宋_GB2312"/>
          <w:bCs/>
          <w:color w:val="FF0000"/>
          <w:kern w:val="1"/>
          <w:sz w:val="30"/>
          <w:szCs w:val="30"/>
        </w:rPr>
        <w:t>在能够满足</w:t>
      </w:r>
      <w:r>
        <w:rPr>
          <w:rFonts w:hint="eastAsia" w:ascii="仿宋_GB2312" w:hAnsi="仿宋_GB2312" w:eastAsia="仿宋_GB2312" w:cs="仿宋_GB2312"/>
          <w:bCs/>
          <w:color w:val="FF0000"/>
          <w:kern w:val="1"/>
          <w:sz w:val="30"/>
          <w:szCs w:val="30"/>
          <w:lang w:val="en-US" w:eastAsia="zh-CN"/>
        </w:rPr>
        <w:t>采购</w:t>
      </w:r>
      <w:r>
        <w:rPr>
          <w:rFonts w:hint="eastAsia" w:ascii="仿宋_GB2312" w:hAnsi="仿宋_GB2312" w:eastAsia="仿宋_GB2312" w:cs="仿宋_GB2312"/>
          <w:bCs/>
          <w:color w:val="FF0000"/>
          <w:kern w:val="1"/>
          <w:sz w:val="30"/>
          <w:szCs w:val="30"/>
        </w:rPr>
        <w:t>人技术要求的</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人中选择</w:t>
      </w:r>
      <w:r>
        <w:rPr>
          <w:rFonts w:hint="eastAsia" w:ascii="仿宋_GB2312" w:hAnsi="仿宋_GB2312" w:eastAsia="仿宋_GB2312" w:cs="仿宋_GB2312"/>
          <w:bCs/>
          <w:color w:val="FF0000"/>
          <w:kern w:val="1"/>
          <w:sz w:val="30"/>
          <w:szCs w:val="30"/>
          <w:lang w:val="en-US" w:eastAsia="zh-CN"/>
        </w:rPr>
        <w:t>总价</w:t>
      </w:r>
      <w:r>
        <w:rPr>
          <w:rFonts w:hint="eastAsia" w:ascii="仿宋_GB2312" w:hAnsi="仿宋_GB2312" w:eastAsia="仿宋_GB2312" w:cs="仿宋_GB2312"/>
          <w:bCs/>
          <w:color w:val="FF0000"/>
          <w:kern w:val="1"/>
          <w:sz w:val="30"/>
          <w:szCs w:val="30"/>
        </w:rPr>
        <w:t>最低的一家</w:t>
      </w:r>
      <w:r>
        <w:rPr>
          <w:rFonts w:hint="eastAsia" w:ascii="仿宋_GB2312" w:hAnsi="仿宋_GB2312" w:eastAsia="仿宋_GB2312" w:cs="仿宋_GB2312"/>
          <w:bCs/>
          <w:color w:val="FF0000"/>
          <w:kern w:val="1"/>
          <w:sz w:val="30"/>
          <w:szCs w:val="30"/>
          <w:lang w:val="en-US" w:eastAsia="zh-CN"/>
        </w:rPr>
        <w:t>报价</w:t>
      </w:r>
      <w:r>
        <w:rPr>
          <w:rFonts w:hint="eastAsia" w:ascii="仿宋_GB2312" w:hAnsi="仿宋_GB2312" w:eastAsia="仿宋_GB2312" w:cs="仿宋_GB2312"/>
          <w:bCs/>
          <w:color w:val="FF0000"/>
          <w:kern w:val="1"/>
          <w:sz w:val="30"/>
          <w:szCs w:val="30"/>
        </w:rPr>
        <w:t>人作为</w:t>
      </w:r>
      <w:r>
        <w:rPr>
          <w:rFonts w:hint="eastAsia" w:ascii="仿宋_GB2312" w:hAnsi="仿宋_GB2312" w:eastAsia="仿宋_GB2312" w:cs="仿宋_GB2312"/>
          <w:bCs/>
          <w:color w:val="FF0000"/>
          <w:kern w:val="1"/>
          <w:sz w:val="30"/>
          <w:szCs w:val="30"/>
          <w:lang w:val="en-US" w:eastAsia="zh-CN"/>
        </w:rPr>
        <w:t>成交</w:t>
      </w:r>
      <w:r>
        <w:rPr>
          <w:rFonts w:hint="eastAsia" w:ascii="仿宋_GB2312" w:hAnsi="仿宋_GB2312" w:eastAsia="仿宋_GB2312" w:cs="仿宋_GB2312"/>
          <w:bCs/>
          <w:color w:val="FF0000"/>
          <w:kern w:val="1"/>
          <w:sz w:val="30"/>
          <w:szCs w:val="30"/>
        </w:rPr>
        <w:t>候选人。</w:t>
      </w:r>
    </w:p>
    <w:p w14:paraId="5FE5FF4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2、请各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人保持通讯畅通，便于</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color w:val="auto"/>
          <w:kern w:val="1"/>
          <w:sz w:val="30"/>
          <w:szCs w:val="30"/>
        </w:rPr>
        <w:t>在</w:t>
      </w:r>
      <w:r>
        <w:rPr>
          <w:rFonts w:hint="eastAsia" w:ascii="仿宋_GB2312" w:hAnsi="仿宋_GB2312" w:eastAsia="仿宋_GB2312" w:cs="仿宋_GB2312"/>
          <w:color w:val="auto"/>
          <w:kern w:val="1"/>
          <w:sz w:val="30"/>
          <w:szCs w:val="30"/>
          <w:lang w:val="en-US" w:eastAsia="zh-CN"/>
        </w:rPr>
        <w:t>评审</w:t>
      </w:r>
      <w:r>
        <w:rPr>
          <w:rFonts w:hint="eastAsia" w:ascii="仿宋_GB2312" w:hAnsi="仿宋_GB2312" w:eastAsia="仿宋_GB2312" w:cs="仿宋_GB2312"/>
          <w:color w:val="auto"/>
          <w:kern w:val="1"/>
          <w:sz w:val="30"/>
          <w:szCs w:val="30"/>
        </w:rPr>
        <w:t>现场电话联系</w:t>
      </w:r>
      <w:r>
        <w:rPr>
          <w:rFonts w:hint="eastAsia" w:ascii="仿宋_GB2312" w:hAnsi="仿宋_GB2312" w:eastAsia="仿宋_GB2312" w:cs="仿宋_GB2312"/>
          <w:bCs/>
          <w:color w:val="auto"/>
          <w:kern w:val="1"/>
          <w:sz w:val="30"/>
          <w:szCs w:val="30"/>
        </w:rPr>
        <w:t>。</w:t>
      </w:r>
    </w:p>
    <w:p w14:paraId="3705994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不得泄露各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 xml:space="preserve">人的报价。                                    </w:t>
      </w:r>
    </w:p>
    <w:p w14:paraId="7937DA7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无效报价</w:t>
      </w:r>
    </w:p>
    <w:p w14:paraId="0D158AF6">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lang w:val="en-US" w:eastAsia="zh-CN"/>
        </w:rPr>
      </w:pPr>
      <w:r>
        <w:rPr>
          <w:rFonts w:hint="eastAsia" w:ascii="仿宋_GB2312" w:hAnsi="仿宋_GB2312" w:eastAsia="仿宋_GB2312" w:cs="仿宋_GB2312"/>
          <w:bCs/>
          <w:color w:val="auto"/>
          <w:kern w:val="1"/>
          <w:sz w:val="30"/>
          <w:szCs w:val="30"/>
          <w:lang w:val="en-US" w:eastAsia="zh-CN"/>
        </w:rPr>
        <w:t>1、采购人如发现采购过程中有串通等扰乱采购人经营秩序的恶劣情况，经评审委员会（</w:t>
      </w:r>
      <w:r>
        <w:rPr>
          <w:rFonts w:hint="eastAsia" w:ascii="仿宋_GB2312" w:hAnsi="仿宋_GB2312" w:eastAsia="仿宋_GB2312" w:cs="仿宋_GB2312"/>
          <w:bCs/>
          <w:color w:val="auto"/>
          <w:kern w:val="1"/>
          <w:sz w:val="30"/>
          <w:szCs w:val="30"/>
          <w:lang w:eastAsia="zh-CN"/>
        </w:rPr>
        <w:t>小组</w:t>
      </w:r>
      <w:r>
        <w:rPr>
          <w:rFonts w:hint="eastAsia" w:ascii="仿宋_GB2312" w:hAnsi="仿宋_GB2312" w:eastAsia="仿宋_GB2312" w:cs="仿宋_GB2312"/>
          <w:bCs/>
          <w:color w:val="auto"/>
          <w:kern w:val="1"/>
          <w:sz w:val="30"/>
          <w:szCs w:val="30"/>
          <w:lang w:val="en-US" w:eastAsia="zh-CN"/>
        </w:rPr>
        <w:t>）评定作无效报价处理，并将相关报价单位列入供应商负面清单，一年内不再接受参与报价工作。</w:t>
      </w:r>
    </w:p>
    <w:p w14:paraId="7C9E571C">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lang w:val="en-US" w:eastAsia="zh-CN"/>
        </w:rPr>
        <w:t>2、</w:t>
      </w:r>
      <w:r>
        <w:rPr>
          <w:rFonts w:hint="eastAsia" w:ascii="仿宋_GB2312" w:hAnsi="仿宋_GB2312" w:eastAsia="仿宋_GB2312" w:cs="仿宋_GB2312"/>
          <w:bCs/>
          <w:color w:val="auto"/>
          <w:kern w:val="1"/>
          <w:sz w:val="30"/>
          <w:szCs w:val="30"/>
        </w:rPr>
        <w:t>凡</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人不具备生产经营资质的，或</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文件填写不完整、报价有空项的，或不符合技术要求条款的，或者存在其他不符合</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人有关要求的问题，经</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评审委员会（</w:t>
      </w:r>
      <w:r>
        <w:rPr>
          <w:rFonts w:hint="eastAsia" w:ascii="仿宋_GB2312" w:hAnsi="仿宋_GB2312" w:eastAsia="仿宋_GB2312" w:cs="仿宋_GB2312"/>
          <w:bCs/>
          <w:color w:val="auto"/>
          <w:kern w:val="1"/>
          <w:sz w:val="30"/>
          <w:szCs w:val="30"/>
        </w:rPr>
        <w:t>小组</w:t>
      </w:r>
      <w:r>
        <w:rPr>
          <w:rFonts w:hint="eastAsia" w:ascii="仿宋_GB2312" w:hAnsi="仿宋_GB2312" w:eastAsia="仿宋_GB2312" w:cs="仿宋_GB2312"/>
          <w:bCs/>
          <w:color w:val="auto"/>
          <w:kern w:val="1"/>
          <w:sz w:val="30"/>
          <w:szCs w:val="30"/>
          <w:lang w:val="en-US" w:eastAsia="zh-CN"/>
        </w:rPr>
        <w:t>）</w:t>
      </w:r>
      <w:r>
        <w:rPr>
          <w:rFonts w:hint="eastAsia" w:ascii="仿宋_GB2312" w:hAnsi="仿宋_GB2312" w:eastAsia="仿宋_GB2312" w:cs="仿宋_GB2312"/>
          <w:bCs/>
          <w:color w:val="auto"/>
          <w:kern w:val="1"/>
          <w:sz w:val="30"/>
          <w:szCs w:val="30"/>
        </w:rPr>
        <w:t>评定，可作</w:t>
      </w:r>
      <w:r>
        <w:rPr>
          <w:rFonts w:hint="eastAsia" w:ascii="仿宋_GB2312" w:hAnsi="仿宋_GB2312" w:eastAsia="仿宋_GB2312" w:cs="仿宋_GB2312"/>
          <w:bCs/>
          <w:color w:val="auto"/>
          <w:kern w:val="1"/>
          <w:sz w:val="30"/>
          <w:szCs w:val="30"/>
          <w:lang w:val="en-US" w:eastAsia="zh-CN"/>
        </w:rPr>
        <w:t>无效报价</w:t>
      </w:r>
      <w:r>
        <w:rPr>
          <w:rFonts w:hint="eastAsia" w:ascii="仿宋_GB2312" w:hAnsi="仿宋_GB2312" w:eastAsia="仿宋_GB2312" w:cs="仿宋_GB2312"/>
          <w:bCs/>
          <w:color w:val="auto"/>
          <w:kern w:val="1"/>
          <w:sz w:val="30"/>
          <w:szCs w:val="30"/>
        </w:rPr>
        <w:t>处理。</w:t>
      </w:r>
    </w:p>
    <w:p w14:paraId="71FEAF9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FF0000"/>
          <w:kern w:val="1"/>
          <w:sz w:val="30"/>
          <w:szCs w:val="30"/>
        </w:rPr>
      </w:pP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人应</w:t>
      </w:r>
      <w:r>
        <w:rPr>
          <w:rFonts w:hint="eastAsia" w:ascii="仿宋_GB2312" w:hAnsi="仿宋_GB2312" w:eastAsia="仿宋_GB2312" w:cs="仿宋_GB2312"/>
          <w:bCs/>
          <w:color w:val="FF0000"/>
          <w:kern w:val="1"/>
          <w:sz w:val="30"/>
          <w:szCs w:val="30"/>
          <w:lang w:eastAsia="zh-CN"/>
        </w:rPr>
        <w:t>如实</w:t>
      </w:r>
      <w:r>
        <w:rPr>
          <w:rFonts w:hint="eastAsia" w:ascii="仿宋_GB2312" w:hAnsi="仿宋_GB2312" w:eastAsia="仿宋_GB2312" w:cs="仿宋_GB2312"/>
          <w:bCs/>
          <w:color w:val="FF0000"/>
          <w:kern w:val="1"/>
          <w:sz w:val="30"/>
          <w:szCs w:val="30"/>
        </w:rPr>
        <w:t>提供</w:t>
      </w:r>
      <w:r>
        <w:rPr>
          <w:rFonts w:hint="eastAsia" w:ascii="仿宋_GB2312" w:hAnsi="仿宋_GB2312" w:eastAsia="仿宋_GB2312" w:cs="仿宋_GB2312"/>
          <w:bCs/>
          <w:color w:val="FF0000"/>
          <w:kern w:val="1"/>
          <w:sz w:val="30"/>
          <w:szCs w:val="30"/>
          <w:lang w:eastAsia="zh-CN"/>
        </w:rPr>
        <w:t>符合市场规律和自身成本的合理报价</w:t>
      </w:r>
      <w:r>
        <w:rPr>
          <w:rFonts w:hint="eastAsia" w:ascii="仿宋_GB2312" w:hAnsi="仿宋_GB2312" w:eastAsia="仿宋_GB2312" w:cs="仿宋_GB2312"/>
          <w:bCs/>
          <w:color w:val="FF0000"/>
          <w:kern w:val="1"/>
          <w:sz w:val="30"/>
          <w:szCs w:val="30"/>
        </w:rPr>
        <w:t>。如果</w:t>
      </w:r>
      <w:r>
        <w:rPr>
          <w:rFonts w:hint="eastAsia" w:ascii="仿宋_GB2312" w:hAnsi="仿宋_GB2312" w:eastAsia="仿宋_GB2312" w:cs="仿宋_GB2312"/>
          <w:bCs/>
          <w:color w:val="FF0000"/>
          <w:kern w:val="1"/>
          <w:sz w:val="30"/>
          <w:szCs w:val="30"/>
          <w:lang w:eastAsia="zh-CN"/>
        </w:rPr>
        <w:t>报价</w:t>
      </w:r>
      <w:r>
        <w:rPr>
          <w:rFonts w:hint="eastAsia" w:ascii="仿宋_GB2312" w:hAnsi="仿宋_GB2312" w:eastAsia="仿宋_GB2312" w:cs="仿宋_GB2312"/>
          <w:bCs/>
          <w:color w:val="FF0000"/>
          <w:kern w:val="1"/>
          <w:sz w:val="30"/>
          <w:szCs w:val="30"/>
        </w:rPr>
        <w:t>人的报价与市场价格明显偏离</w:t>
      </w:r>
      <w:r>
        <w:rPr>
          <w:rFonts w:hint="eastAsia" w:ascii="仿宋_GB2312" w:hAnsi="仿宋_GB2312" w:eastAsia="仿宋_GB2312" w:cs="仿宋_GB2312"/>
          <w:bCs/>
          <w:color w:val="FF0000"/>
          <w:kern w:val="1"/>
          <w:sz w:val="30"/>
          <w:szCs w:val="30"/>
          <w:lang w:eastAsia="zh-CN"/>
        </w:rPr>
        <w:t>并因此影响了采购活动的公正合理性，损害了采购人的正当利益，经采购人</w:t>
      </w:r>
      <w:r>
        <w:rPr>
          <w:rFonts w:hint="eastAsia" w:ascii="仿宋_GB2312" w:hAnsi="仿宋_GB2312" w:eastAsia="仿宋_GB2312" w:cs="仿宋_GB2312"/>
          <w:bCs/>
          <w:color w:val="FF0000"/>
          <w:kern w:val="1"/>
          <w:sz w:val="30"/>
          <w:szCs w:val="30"/>
          <w:lang w:val="en-US" w:eastAsia="zh-CN"/>
        </w:rPr>
        <w:t>评审委员会（</w:t>
      </w:r>
      <w:r>
        <w:rPr>
          <w:rFonts w:hint="eastAsia" w:ascii="仿宋_GB2312" w:hAnsi="仿宋_GB2312" w:eastAsia="仿宋_GB2312" w:cs="仿宋_GB2312"/>
          <w:bCs/>
          <w:color w:val="FF0000"/>
          <w:kern w:val="1"/>
          <w:sz w:val="30"/>
          <w:szCs w:val="30"/>
          <w:lang w:eastAsia="zh-CN"/>
        </w:rPr>
        <w:t>小组</w:t>
      </w:r>
      <w:r>
        <w:rPr>
          <w:rFonts w:hint="eastAsia" w:ascii="仿宋_GB2312" w:hAnsi="仿宋_GB2312" w:eastAsia="仿宋_GB2312" w:cs="仿宋_GB2312"/>
          <w:bCs/>
          <w:color w:val="FF0000"/>
          <w:kern w:val="1"/>
          <w:sz w:val="30"/>
          <w:szCs w:val="30"/>
          <w:lang w:val="en-US" w:eastAsia="zh-CN"/>
        </w:rPr>
        <w:t>）</w:t>
      </w:r>
      <w:r>
        <w:rPr>
          <w:rFonts w:hint="eastAsia" w:ascii="仿宋_GB2312" w:hAnsi="仿宋_GB2312" w:eastAsia="仿宋_GB2312" w:cs="仿宋_GB2312"/>
          <w:bCs/>
          <w:color w:val="FF0000"/>
          <w:kern w:val="1"/>
          <w:sz w:val="30"/>
          <w:szCs w:val="30"/>
          <w:lang w:eastAsia="zh-CN"/>
        </w:rPr>
        <w:t>评定，可作</w:t>
      </w:r>
      <w:r>
        <w:rPr>
          <w:rFonts w:hint="eastAsia" w:ascii="仿宋_GB2312" w:hAnsi="仿宋_GB2312" w:eastAsia="仿宋_GB2312" w:cs="仿宋_GB2312"/>
          <w:bCs/>
          <w:color w:val="FF0000"/>
          <w:kern w:val="1"/>
          <w:sz w:val="30"/>
          <w:szCs w:val="30"/>
          <w:lang w:val="en-US" w:eastAsia="zh-CN"/>
        </w:rPr>
        <w:t>无效报价</w:t>
      </w:r>
      <w:r>
        <w:rPr>
          <w:rFonts w:hint="eastAsia" w:ascii="仿宋_GB2312" w:hAnsi="仿宋_GB2312" w:eastAsia="仿宋_GB2312" w:cs="仿宋_GB2312"/>
          <w:bCs/>
          <w:color w:val="FF0000"/>
          <w:kern w:val="1"/>
          <w:sz w:val="30"/>
          <w:szCs w:val="30"/>
          <w:lang w:eastAsia="zh-CN"/>
        </w:rPr>
        <w:t>处理</w:t>
      </w:r>
      <w:r>
        <w:rPr>
          <w:rFonts w:hint="eastAsia" w:ascii="仿宋_GB2312" w:hAnsi="仿宋_GB2312" w:eastAsia="仿宋_GB2312" w:cs="仿宋_GB2312"/>
          <w:bCs/>
          <w:color w:val="FF0000"/>
          <w:kern w:val="1"/>
          <w:sz w:val="30"/>
          <w:szCs w:val="30"/>
        </w:rPr>
        <w:t>。</w:t>
      </w:r>
    </w:p>
    <w:p w14:paraId="0E070F9B">
      <w:pPr>
        <w:keepNext w:val="0"/>
        <w:keepLines w:val="0"/>
        <w:pageBreakBefore w:val="0"/>
        <w:widowControl w:val="0"/>
        <w:numPr>
          <w:ilvl w:val="0"/>
          <w:numId w:val="1"/>
        </w:numPr>
        <w:kinsoku/>
        <w:overflowPunct/>
        <w:topLinePunct w:val="0"/>
        <w:autoSpaceDE/>
        <w:autoSpaceDN/>
        <w:bidi w:val="0"/>
        <w:adjustRightInd w:val="0"/>
        <w:snapToGrid w:val="0"/>
        <w:spacing w:line="360" w:lineRule="auto"/>
        <w:ind w:right="0" w:rightChars="0" w:firstLine="602" w:firstLineChars="200"/>
        <w:jc w:val="left"/>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kern w:val="1"/>
          <w:sz w:val="30"/>
          <w:szCs w:val="30"/>
        </w:rPr>
        <w:t>其他注意事项：</w:t>
      </w:r>
      <w:r>
        <w:rPr>
          <w:rFonts w:hint="eastAsia" w:ascii="仿宋_GB2312" w:hAnsi="仿宋_GB2312" w:eastAsia="仿宋_GB2312" w:cs="仿宋_GB2312"/>
          <w:color w:val="auto"/>
          <w:sz w:val="30"/>
          <w:szCs w:val="30"/>
        </w:rPr>
        <w:t>　　</w:t>
      </w:r>
    </w:p>
    <w:p w14:paraId="29242CC9">
      <w:pPr>
        <w:tabs>
          <w:tab w:val="left" w:pos="7178"/>
        </w:tabs>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lang w:eastAsia="zh-CN"/>
        </w:rPr>
      </w:pPr>
      <w:r>
        <w:rPr>
          <w:rFonts w:hint="eastAsia" w:ascii="仿宋_GB2312" w:hAnsi="仿宋_GB2312" w:eastAsia="仿宋_GB2312" w:cs="仿宋_GB2312"/>
          <w:bCs/>
          <w:color w:val="auto"/>
          <w:kern w:val="1"/>
          <w:sz w:val="30"/>
          <w:szCs w:val="30"/>
        </w:rPr>
        <w:t>（一）违约责任：</w:t>
      </w:r>
      <w:r>
        <w:rPr>
          <w:rFonts w:hint="eastAsia" w:ascii="仿宋_GB2312" w:hAnsi="仿宋_GB2312" w:eastAsia="仿宋_GB2312" w:cs="仿宋_GB2312"/>
          <w:bCs/>
          <w:color w:val="auto"/>
          <w:kern w:val="1"/>
          <w:sz w:val="30"/>
          <w:szCs w:val="30"/>
          <w:lang w:eastAsia="zh-CN"/>
        </w:rPr>
        <w:tab/>
      </w:r>
    </w:p>
    <w:p w14:paraId="71428105">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人没有按照规定的时间提供服务，</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须</w:t>
      </w:r>
      <w:r>
        <w:rPr>
          <w:rFonts w:hint="eastAsia" w:ascii="仿宋_GB2312" w:hAnsi="仿宋_GB2312" w:eastAsia="仿宋_GB2312" w:cs="仿宋_GB2312"/>
          <w:bCs/>
          <w:color w:val="auto"/>
          <w:kern w:val="1"/>
          <w:sz w:val="30"/>
          <w:szCs w:val="30"/>
        </w:rPr>
        <w:t>支付违约金，违约金从</w:t>
      </w:r>
      <w:r>
        <w:rPr>
          <w:rFonts w:hint="eastAsia" w:ascii="仿宋_GB2312" w:hAnsi="仿宋_GB2312" w:eastAsia="仿宋_GB2312" w:cs="仿宋_GB2312"/>
          <w:bCs/>
          <w:color w:val="auto"/>
          <w:kern w:val="1"/>
          <w:sz w:val="30"/>
          <w:szCs w:val="30"/>
          <w:lang w:val="en-US" w:eastAsia="zh-CN"/>
        </w:rPr>
        <w:t>服务款项</w:t>
      </w:r>
      <w:r>
        <w:rPr>
          <w:rFonts w:hint="eastAsia" w:ascii="仿宋_GB2312" w:hAnsi="仿宋_GB2312" w:eastAsia="仿宋_GB2312" w:cs="仿宋_GB2312"/>
          <w:bCs/>
          <w:color w:val="auto"/>
          <w:kern w:val="1"/>
          <w:sz w:val="30"/>
          <w:szCs w:val="30"/>
        </w:rPr>
        <w:t>中扣除，未提供服务的违约金逾期每日按合同总金额的1%计收。未提供服务超过</w:t>
      </w:r>
      <w:r>
        <w:rPr>
          <w:rFonts w:hint="eastAsia" w:ascii="仿宋_GB2312" w:hAnsi="仿宋_GB2312" w:eastAsia="仿宋_GB2312" w:cs="仿宋_GB2312"/>
          <w:bCs/>
          <w:color w:val="auto"/>
          <w:kern w:val="1"/>
          <w:sz w:val="30"/>
          <w:szCs w:val="30"/>
          <w:lang w:val="en-US" w:eastAsia="zh-CN"/>
        </w:rPr>
        <w:t>7</w:t>
      </w:r>
      <w:r>
        <w:rPr>
          <w:rFonts w:hint="eastAsia" w:ascii="仿宋_GB2312" w:hAnsi="仿宋_GB2312" w:eastAsia="仿宋_GB2312" w:cs="仿宋_GB2312"/>
          <w:bCs/>
          <w:color w:val="auto"/>
          <w:kern w:val="1"/>
          <w:sz w:val="30"/>
          <w:szCs w:val="30"/>
        </w:rPr>
        <w:t>日，</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人有权解除合同,</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lang w:eastAsia="zh-CN"/>
        </w:rPr>
        <w:t>人</w:t>
      </w:r>
      <w:r>
        <w:rPr>
          <w:rFonts w:hint="eastAsia" w:ascii="仿宋_GB2312" w:hAnsi="仿宋_GB2312" w:eastAsia="仿宋_GB2312" w:cs="仿宋_GB2312"/>
          <w:bCs/>
          <w:color w:val="auto"/>
          <w:kern w:val="1"/>
          <w:sz w:val="30"/>
          <w:szCs w:val="30"/>
          <w:lang w:val="en-US" w:eastAsia="zh-CN"/>
        </w:rPr>
        <w:t>有权</w:t>
      </w:r>
      <w:r>
        <w:rPr>
          <w:rFonts w:hint="eastAsia" w:ascii="仿宋_GB2312" w:hAnsi="仿宋_GB2312" w:eastAsia="仿宋_GB2312" w:cs="仿宋_GB2312"/>
          <w:bCs/>
          <w:color w:val="auto"/>
          <w:kern w:val="1"/>
          <w:sz w:val="30"/>
          <w:szCs w:val="30"/>
          <w:lang w:eastAsia="zh-CN"/>
        </w:rPr>
        <w:t>要求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于</w:t>
      </w:r>
      <w:r>
        <w:rPr>
          <w:rFonts w:hint="eastAsia" w:ascii="仿宋_GB2312" w:hAnsi="仿宋_GB2312" w:eastAsia="仿宋_GB2312" w:cs="仿宋_GB2312"/>
          <w:bCs/>
          <w:color w:val="auto"/>
          <w:kern w:val="1"/>
          <w:sz w:val="30"/>
          <w:szCs w:val="30"/>
        </w:rPr>
        <w:t>五个工作日内返还</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并按合同总额</w:t>
      </w:r>
      <w:r>
        <w:rPr>
          <w:rFonts w:hint="eastAsia" w:ascii="仿宋_GB2312" w:hAnsi="仿宋_GB2312" w:eastAsia="仿宋_GB2312" w:cs="仿宋_GB2312"/>
          <w:bCs/>
          <w:color w:val="auto"/>
          <w:kern w:val="1"/>
          <w:sz w:val="30"/>
          <w:szCs w:val="30"/>
          <w:lang w:eastAsia="zh-CN"/>
        </w:rPr>
        <w:t>的</w:t>
      </w:r>
      <w:r>
        <w:rPr>
          <w:rFonts w:hint="eastAsia" w:ascii="仿宋_GB2312" w:hAnsi="仿宋_GB2312" w:eastAsia="仿宋_GB2312" w:cs="仿宋_GB2312"/>
          <w:bCs/>
          <w:color w:val="auto"/>
          <w:kern w:val="1"/>
          <w:sz w:val="30"/>
          <w:szCs w:val="30"/>
        </w:rPr>
        <w:t>20%</w:t>
      </w:r>
      <w:r>
        <w:rPr>
          <w:rFonts w:hint="eastAsia" w:ascii="仿宋_GB2312" w:hAnsi="仿宋_GB2312" w:eastAsia="仿宋_GB2312" w:cs="仿宋_GB2312"/>
          <w:bCs/>
          <w:color w:val="auto"/>
          <w:kern w:val="1"/>
          <w:sz w:val="30"/>
          <w:szCs w:val="30"/>
          <w:lang w:eastAsia="zh-CN"/>
        </w:rPr>
        <w:t>承担</w:t>
      </w:r>
      <w:r>
        <w:rPr>
          <w:rFonts w:hint="eastAsia" w:ascii="仿宋_GB2312" w:hAnsi="仿宋_GB2312" w:eastAsia="仿宋_GB2312" w:cs="仿宋_GB2312"/>
          <w:bCs/>
          <w:color w:val="auto"/>
          <w:kern w:val="1"/>
          <w:sz w:val="30"/>
          <w:szCs w:val="30"/>
        </w:rPr>
        <w:t>违约责任。</w:t>
      </w:r>
    </w:p>
    <w:p w14:paraId="69177E17">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维修保养</w:t>
      </w:r>
      <w:r>
        <w:rPr>
          <w:rFonts w:hint="eastAsia" w:ascii="仿宋_GB2312" w:hAnsi="仿宋_GB2312" w:eastAsia="仿宋_GB2312" w:cs="仿宋_GB2312"/>
          <w:bCs/>
          <w:color w:val="auto"/>
          <w:kern w:val="1"/>
          <w:sz w:val="30"/>
          <w:szCs w:val="30"/>
          <w:lang w:eastAsia="zh-CN"/>
        </w:rPr>
        <w:t>项目完成后</w:t>
      </w:r>
      <w:r>
        <w:rPr>
          <w:rFonts w:hint="eastAsia" w:ascii="仿宋_GB2312" w:hAnsi="仿宋_GB2312" w:eastAsia="仿宋_GB2312" w:cs="仿宋_GB2312"/>
          <w:bCs/>
          <w:color w:val="auto"/>
          <w:kern w:val="1"/>
          <w:sz w:val="30"/>
          <w:szCs w:val="30"/>
        </w:rPr>
        <w:t>，经</w:t>
      </w:r>
      <w:r>
        <w:rPr>
          <w:rFonts w:hint="eastAsia" w:ascii="仿宋_GB2312" w:hAnsi="仿宋_GB2312" w:eastAsia="仿宋_GB2312" w:cs="仿宋_GB2312"/>
          <w:bCs/>
          <w:color w:val="auto"/>
          <w:kern w:val="1"/>
          <w:sz w:val="30"/>
          <w:szCs w:val="30"/>
          <w:lang w:eastAsia="zh-CN"/>
        </w:rPr>
        <w:t>验收</w:t>
      </w:r>
      <w:r>
        <w:rPr>
          <w:rFonts w:hint="eastAsia" w:ascii="仿宋_GB2312" w:hAnsi="仿宋_GB2312" w:eastAsia="仿宋_GB2312" w:cs="仿宋_GB2312"/>
          <w:bCs/>
          <w:color w:val="auto"/>
          <w:kern w:val="1"/>
          <w:sz w:val="30"/>
          <w:szCs w:val="30"/>
        </w:rPr>
        <w:t>不合格的，</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人可选择以下处理方式：</w:t>
      </w:r>
    </w:p>
    <w:p w14:paraId="7F3AE412">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（1）</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所产生的费用由</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人承担。经</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人同意</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val="en-US" w:eastAsia="zh-CN"/>
        </w:rPr>
        <w:t>重新维修保养</w:t>
      </w:r>
      <w:r>
        <w:rPr>
          <w:rFonts w:hint="eastAsia" w:ascii="仿宋_GB2312" w:hAnsi="仿宋_GB2312" w:eastAsia="仿宋_GB2312" w:cs="仿宋_GB2312"/>
          <w:bCs/>
          <w:color w:val="auto"/>
          <w:kern w:val="1"/>
          <w:sz w:val="30"/>
          <w:szCs w:val="30"/>
        </w:rPr>
        <w:t>的，需在</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人第一次验收不合格之日起</w:t>
      </w:r>
      <w:r>
        <w:rPr>
          <w:rFonts w:hint="eastAsia" w:ascii="仿宋_GB2312" w:hAnsi="仿宋_GB2312" w:eastAsia="仿宋_GB2312" w:cs="仿宋_GB2312"/>
          <w:bCs/>
          <w:color w:val="auto"/>
          <w:kern w:val="1"/>
          <w:sz w:val="30"/>
          <w:szCs w:val="30"/>
          <w:lang w:eastAsia="zh-CN"/>
        </w:rPr>
        <w:t>在相应的合同</w:t>
      </w:r>
      <w:r>
        <w:rPr>
          <w:rFonts w:hint="eastAsia" w:ascii="仿宋_GB2312" w:hAnsi="仿宋_GB2312" w:eastAsia="仿宋_GB2312" w:cs="仿宋_GB2312"/>
          <w:bCs/>
          <w:color w:val="auto"/>
          <w:kern w:val="1"/>
          <w:sz w:val="30"/>
          <w:szCs w:val="30"/>
          <w:lang w:val="en-US" w:eastAsia="zh-CN"/>
        </w:rPr>
        <w:t>服务</w:t>
      </w:r>
      <w:r>
        <w:rPr>
          <w:rFonts w:hint="eastAsia" w:ascii="仿宋_GB2312" w:hAnsi="仿宋_GB2312" w:eastAsia="仿宋_GB2312" w:cs="仿宋_GB2312"/>
          <w:bCs/>
          <w:color w:val="auto"/>
          <w:kern w:val="1"/>
          <w:sz w:val="30"/>
          <w:szCs w:val="30"/>
          <w:lang w:eastAsia="zh-CN"/>
        </w:rPr>
        <w:t>期</w:t>
      </w:r>
      <w:r>
        <w:rPr>
          <w:rFonts w:hint="eastAsia" w:ascii="仿宋_GB2312" w:hAnsi="仿宋_GB2312" w:eastAsia="仿宋_GB2312" w:cs="仿宋_GB2312"/>
          <w:bCs/>
          <w:color w:val="auto"/>
          <w:kern w:val="1"/>
          <w:sz w:val="30"/>
          <w:szCs w:val="30"/>
        </w:rPr>
        <w:t>内</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，逾期</w:t>
      </w:r>
      <w:r>
        <w:rPr>
          <w:rFonts w:hint="eastAsia" w:ascii="仿宋_GB2312" w:hAnsi="仿宋_GB2312" w:eastAsia="仿宋_GB2312" w:cs="仿宋_GB2312"/>
          <w:bCs/>
          <w:color w:val="auto"/>
          <w:kern w:val="1"/>
          <w:sz w:val="30"/>
          <w:szCs w:val="30"/>
          <w:lang w:val="en-US" w:eastAsia="zh-CN"/>
        </w:rPr>
        <w:t>提供服务</w:t>
      </w:r>
      <w:r>
        <w:rPr>
          <w:rFonts w:hint="eastAsia" w:ascii="仿宋_GB2312" w:hAnsi="仿宋_GB2312" w:eastAsia="仿宋_GB2312" w:cs="仿宋_GB2312"/>
          <w:bCs/>
          <w:color w:val="auto"/>
          <w:kern w:val="1"/>
          <w:sz w:val="30"/>
          <w:szCs w:val="30"/>
        </w:rPr>
        <w:t>的，违约责任参照第1款执行。</w:t>
      </w:r>
    </w:p>
    <w:p w14:paraId="4D845618">
      <w:pPr>
        <w:adjustRightInd w:val="0"/>
        <w:snapToGrid w:val="0"/>
        <w:spacing w:line="360" w:lineRule="auto"/>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（2）</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人选择解除合同的，</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人需在检验不合格之日起五个工作日内返还买受人合同</w:t>
      </w:r>
      <w:r>
        <w:rPr>
          <w:rFonts w:hint="eastAsia" w:ascii="仿宋_GB2312" w:hAnsi="仿宋_GB2312" w:eastAsia="仿宋_GB2312" w:cs="仿宋_GB2312"/>
          <w:bCs/>
          <w:color w:val="auto"/>
          <w:kern w:val="1"/>
          <w:sz w:val="30"/>
          <w:szCs w:val="30"/>
          <w:lang w:val="en-US" w:eastAsia="zh-CN"/>
        </w:rPr>
        <w:t>相关款项</w:t>
      </w:r>
      <w:r>
        <w:rPr>
          <w:rFonts w:hint="eastAsia" w:ascii="仿宋_GB2312" w:hAnsi="仿宋_GB2312" w:eastAsia="仿宋_GB2312" w:cs="仿宋_GB2312"/>
          <w:bCs/>
          <w:color w:val="auto"/>
          <w:kern w:val="1"/>
          <w:sz w:val="30"/>
          <w:szCs w:val="30"/>
        </w:rPr>
        <w:t>，并赔偿合同总</w:t>
      </w:r>
      <w:r>
        <w:rPr>
          <w:rFonts w:hint="eastAsia" w:ascii="仿宋_GB2312" w:hAnsi="仿宋_GB2312" w:eastAsia="仿宋_GB2312" w:cs="仿宋_GB2312"/>
          <w:bCs/>
          <w:color w:val="auto"/>
          <w:kern w:val="1"/>
          <w:sz w:val="30"/>
          <w:szCs w:val="30"/>
          <w:lang w:val="en-US" w:eastAsia="zh-CN"/>
        </w:rPr>
        <w:t>额</w:t>
      </w:r>
      <w:r>
        <w:rPr>
          <w:rFonts w:hint="eastAsia" w:ascii="仿宋_GB2312" w:hAnsi="仿宋_GB2312" w:eastAsia="仿宋_GB2312" w:cs="仿宋_GB2312"/>
          <w:bCs/>
          <w:color w:val="auto"/>
          <w:kern w:val="1"/>
          <w:sz w:val="30"/>
          <w:szCs w:val="30"/>
        </w:rPr>
        <w:t>的20%违约金给</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人。</w:t>
      </w:r>
    </w:p>
    <w:p w14:paraId="3E52AAEB">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二</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以后应严格按照</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约定与</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方</w:t>
      </w:r>
      <w:r>
        <w:rPr>
          <w:rFonts w:hint="eastAsia" w:ascii="仿宋_GB2312" w:hAnsi="仿宋_GB2312" w:eastAsia="仿宋_GB2312" w:cs="仿宋_GB2312"/>
          <w:bCs/>
          <w:color w:val="auto"/>
          <w:kern w:val="1"/>
          <w:sz w:val="30"/>
          <w:szCs w:val="30"/>
          <w:lang w:eastAsia="zh-CN"/>
        </w:rPr>
        <w:t>签订</w:t>
      </w:r>
      <w:r>
        <w:rPr>
          <w:rFonts w:hint="eastAsia" w:ascii="仿宋_GB2312" w:hAnsi="仿宋_GB2312" w:eastAsia="仿宋_GB2312" w:cs="仿宋_GB2312"/>
          <w:bCs/>
          <w:color w:val="auto"/>
          <w:kern w:val="1"/>
          <w:sz w:val="30"/>
          <w:szCs w:val="30"/>
        </w:rPr>
        <w:t>供需合同，并按合同约定做好服务工作。对</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人所有违背</w:t>
      </w:r>
      <w:r>
        <w:rPr>
          <w:rFonts w:hint="eastAsia" w:ascii="仿宋_GB2312" w:hAnsi="仿宋_GB2312" w:eastAsia="仿宋_GB2312" w:cs="仿宋_GB2312"/>
          <w:bCs/>
          <w:color w:val="auto"/>
          <w:kern w:val="1"/>
          <w:sz w:val="30"/>
          <w:szCs w:val="30"/>
          <w:lang w:val="en-US" w:eastAsia="zh-CN"/>
        </w:rPr>
        <w:t>采购文件</w:t>
      </w:r>
      <w:r>
        <w:rPr>
          <w:rFonts w:hint="eastAsia" w:ascii="仿宋_GB2312" w:hAnsi="仿宋_GB2312" w:eastAsia="仿宋_GB2312" w:cs="仿宋_GB2312"/>
          <w:bCs/>
          <w:color w:val="auto"/>
          <w:kern w:val="1"/>
          <w:sz w:val="30"/>
          <w:szCs w:val="30"/>
        </w:rPr>
        <w:t>及合同约定的行为，</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人均可持续保留与</w:t>
      </w:r>
      <w:r>
        <w:rPr>
          <w:rFonts w:hint="eastAsia" w:ascii="仿宋_GB2312" w:hAnsi="仿宋_GB2312" w:eastAsia="仿宋_GB2312" w:cs="仿宋_GB2312"/>
          <w:bCs/>
          <w:color w:val="auto"/>
          <w:kern w:val="1"/>
          <w:sz w:val="30"/>
          <w:szCs w:val="30"/>
          <w:lang w:eastAsia="zh-CN"/>
        </w:rPr>
        <w:t>中选</w:t>
      </w:r>
      <w:r>
        <w:rPr>
          <w:rFonts w:hint="eastAsia" w:ascii="仿宋_GB2312" w:hAnsi="仿宋_GB2312" w:eastAsia="仿宋_GB2312" w:cs="仿宋_GB2312"/>
          <w:bCs/>
          <w:color w:val="auto"/>
          <w:kern w:val="1"/>
          <w:sz w:val="30"/>
          <w:szCs w:val="30"/>
        </w:rPr>
        <w:t>方中止合作的一切权利。　</w:t>
      </w:r>
    </w:p>
    <w:p w14:paraId="4C525CAD">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三</w:t>
      </w:r>
      <w:r>
        <w:rPr>
          <w:rFonts w:hint="eastAsia" w:ascii="仿宋_GB2312" w:hAnsi="仿宋_GB2312" w:eastAsia="仿宋_GB2312" w:cs="仿宋_GB2312"/>
          <w:bCs/>
          <w:color w:val="auto"/>
          <w:kern w:val="1"/>
          <w:sz w:val="30"/>
          <w:szCs w:val="30"/>
        </w:rPr>
        <w:t>）如</w:t>
      </w:r>
      <w:r>
        <w:rPr>
          <w:rFonts w:hint="eastAsia" w:ascii="仿宋_GB2312" w:hAnsi="仿宋_GB2312" w:eastAsia="仿宋_GB2312" w:cs="仿宋_GB2312"/>
          <w:bCs/>
          <w:color w:val="auto"/>
          <w:kern w:val="1"/>
          <w:sz w:val="30"/>
          <w:szCs w:val="30"/>
          <w:lang w:val="en-US" w:eastAsia="zh-CN"/>
        </w:rPr>
        <w:t>中选</w:t>
      </w:r>
      <w:r>
        <w:rPr>
          <w:rFonts w:hint="eastAsia" w:ascii="仿宋_GB2312" w:hAnsi="仿宋_GB2312" w:eastAsia="仿宋_GB2312" w:cs="仿宋_GB2312"/>
          <w:bCs/>
          <w:color w:val="auto"/>
          <w:kern w:val="1"/>
          <w:sz w:val="30"/>
          <w:szCs w:val="30"/>
        </w:rPr>
        <w:t>人不能正常履约，对</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人生产经营活动造成影响的，根据</w:t>
      </w:r>
      <w:r>
        <w:rPr>
          <w:rFonts w:hint="eastAsia" w:ascii="仿宋_GB2312" w:hAnsi="仿宋_GB2312" w:eastAsia="仿宋_GB2312" w:cs="仿宋_GB2312"/>
          <w:bCs/>
          <w:color w:val="auto"/>
          <w:kern w:val="1"/>
          <w:sz w:val="30"/>
          <w:szCs w:val="30"/>
          <w:lang w:val="en-US" w:eastAsia="zh-CN"/>
        </w:rPr>
        <w:t>《索普赛瑞供应商负面清单管理规定(2023年修订版)》</w:t>
      </w:r>
      <w:r>
        <w:rPr>
          <w:rFonts w:hint="eastAsia" w:ascii="仿宋_GB2312" w:hAnsi="仿宋_GB2312" w:eastAsia="仿宋_GB2312" w:cs="仿宋_GB2312"/>
          <w:bCs/>
          <w:color w:val="auto"/>
          <w:kern w:val="1"/>
          <w:sz w:val="30"/>
          <w:szCs w:val="30"/>
        </w:rPr>
        <w:t>（详见附件</w:t>
      </w:r>
      <w:r>
        <w:rPr>
          <w:rFonts w:hint="eastAsia" w:ascii="仿宋_GB2312" w:hAnsi="仿宋_GB2312" w:eastAsia="仿宋_GB2312" w:cs="仿宋_GB2312"/>
          <w:bCs/>
          <w:color w:val="auto"/>
          <w:kern w:val="1"/>
          <w:sz w:val="30"/>
          <w:szCs w:val="30"/>
          <w:lang w:val="en-US" w:eastAsia="zh-CN"/>
        </w:rPr>
        <w:t>3</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w:t>
      </w:r>
      <w:r>
        <w:rPr>
          <w:rFonts w:hint="eastAsia" w:ascii="仿宋_GB2312" w:hAnsi="仿宋_GB2312" w:eastAsia="仿宋_GB2312" w:cs="仿宋_GB2312"/>
          <w:bCs/>
          <w:color w:val="auto"/>
          <w:kern w:val="1"/>
          <w:sz w:val="30"/>
          <w:szCs w:val="30"/>
          <w:lang w:eastAsia="zh-CN"/>
        </w:rPr>
        <w:t>有权</w:t>
      </w:r>
      <w:r>
        <w:rPr>
          <w:rFonts w:hint="eastAsia" w:ascii="仿宋_GB2312" w:hAnsi="仿宋_GB2312" w:eastAsia="仿宋_GB2312" w:cs="仿宋_GB2312"/>
          <w:bCs/>
          <w:color w:val="auto"/>
          <w:kern w:val="1"/>
          <w:sz w:val="30"/>
          <w:szCs w:val="30"/>
        </w:rPr>
        <w:t>对违反</w:t>
      </w:r>
      <w:r>
        <w:rPr>
          <w:rFonts w:hint="eastAsia" w:ascii="仿宋_GB2312" w:hAnsi="仿宋_GB2312" w:eastAsia="仿宋_GB2312" w:cs="仿宋_GB2312"/>
          <w:bCs/>
          <w:color w:val="auto"/>
          <w:kern w:val="1"/>
          <w:sz w:val="30"/>
          <w:szCs w:val="30"/>
          <w:lang w:eastAsia="zh-CN"/>
        </w:rPr>
        <w:t>规定</w:t>
      </w:r>
      <w:r>
        <w:rPr>
          <w:rFonts w:hint="eastAsia" w:ascii="仿宋_GB2312" w:hAnsi="仿宋_GB2312" w:eastAsia="仿宋_GB2312" w:cs="仿宋_GB2312"/>
          <w:bCs/>
          <w:color w:val="auto"/>
          <w:kern w:val="1"/>
          <w:sz w:val="30"/>
          <w:szCs w:val="30"/>
        </w:rPr>
        <w:t>的</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人进行考核扣分</w:t>
      </w:r>
      <w:r>
        <w:rPr>
          <w:rFonts w:hint="eastAsia" w:ascii="仿宋_GB2312" w:hAnsi="仿宋_GB2312" w:eastAsia="仿宋_GB2312" w:cs="仿宋_GB2312"/>
          <w:bCs/>
          <w:color w:val="auto"/>
          <w:kern w:val="1"/>
          <w:sz w:val="30"/>
          <w:szCs w:val="30"/>
          <w:lang w:eastAsia="zh-CN"/>
        </w:rPr>
        <w:t>，对</w:t>
      </w:r>
      <w:r>
        <w:rPr>
          <w:rFonts w:hint="eastAsia" w:ascii="仿宋_GB2312" w:hAnsi="仿宋_GB2312" w:eastAsia="仿宋_GB2312" w:cs="仿宋_GB2312"/>
          <w:bCs/>
          <w:color w:val="auto"/>
          <w:kern w:val="1"/>
          <w:sz w:val="30"/>
          <w:szCs w:val="30"/>
        </w:rPr>
        <w:t>列入负面清单</w:t>
      </w:r>
      <w:r>
        <w:rPr>
          <w:rFonts w:hint="eastAsia" w:ascii="仿宋_GB2312" w:hAnsi="仿宋_GB2312" w:eastAsia="仿宋_GB2312" w:cs="仿宋_GB2312"/>
          <w:bCs/>
          <w:color w:val="auto"/>
          <w:kern w:val="1"/>
          <w:sz w:val="30"/>
          <w:szCs w:val="30"/>
          <w:lang w:eastAsia="zh-CN"/>
        </w:rPr>
        <w:t>的供应商</w:t>
      </w:r>
      <w:r>
        <w:rPr>
          <w:rFonts w:hint="eastAsia" w:ascii="仿宋_GB2312" w:hAnsi="仿宋_GB2312" w:eastAsia="仿宋_GB2312" w:cs="仿宋_GB2312"/>
          <w:bCs/>
          <w:color w:val="auto"/>
          <w:kern w:val="1"/>
          <w:sz w:val="30"/>
          <w:szCs w:val="30"/>
        </w:rPr>
        <w:t>，索普集团</w:t>
      </w:r>
      <w:r>
        <w:rPr>
          <w:rFonts w:hint="eastAsia" w:ascii="仿宋_GB2312" w:hAnsi="仿宋_GB2312" w:eastAsia="仿宋_GB2312" w:cs="仿宋_GB2312"/>
          <w:bCs/>
          <w:color w:val="auto"/>
          <w:kern w:val="1"/>
          <w:sz w:val="30"/>
          <w:szCs w:val="30"/>
          <w:lang w:eastAsia="zh-CN"/>
        </w:rPr>
        <w:t>本部</w:t>
      </w:r>
      <w:r>
        <w:rPr>
          <w:rFonts w:hint="eastAsia" w:ascii="仿宋_GB2312" w:hAnsi="仿宋_GB2312" w:eastAsia="仿宋_GB2312" w:cs="仿宋_GB2312"/>
          <w:bCs/>
          <w:color w:val="auto"/>
          <w:kern w:val="1"/>
          <w:sz w:val="30"/>
          <w:szCs w:val="30"/>
        </w:rPr>
        <w:t>及</w:t>
      </w:r>
      <w:r>
        <w:rPr>
          <w:rFonts w:hint="eastAsia" w:ascii="仿宋_GB2312" w:hAnsi="仿宋_GB2312" w:eastAsia="仿宋_GB2312" w:cs="仿宋_GB2312"/>
          <w:bCs/>
          <w:color w:val="auto"/>
          <w:kern w:val="1"/>
          <w:sz w:val="30"/>
          <w:szCs w:val="30"/>
          <w:lang w:eastAsia="zh-CN"/>
        </w:rPr>
        <w:t>各</w:t>
      </w:r>
      <w:r>
        <w:rPr>
          <w:rFonts w:hint="eastAsia" w:ascii="仿宋_GB2312" w:hAnsi="仿宋_GB2312" w:eastAsia="仿宋_GB2312" w:cs="仿宋_GB2312"/>
          <w:bCs/>
          <w:color w:val="auto"/>
          <w:kern w:val="1"/>
          <w:sz w:val="30"/>
          <w:szCs w:val="30"/>
        </w:rPr>
        <w:t>分子公司将不接受其</w:t>
      </w:r>
      <w:r>
        <w:rPr>
          <w:rFonts w:hint="eastAsia" w:ascii="仿宋_GB2312" w:hAnsi="仿宋_GB2312" w:eastAsia="仿宋_GB2312" w:cs="仿宋_GB2312"/>
          <w:bCs/>
          <w:color w:val="auto"/>
          <w:kern w:val="1"/>
          <w:sz w:val="30"/>
          <w:szCs w:val="30"/>
          <w:lang w:eastAsia="zh-CN"/>
        </w:rPr>
        <w:t>报价，产生</w:t>
      </w:r>
      <w:r>
        <w:rPr>
          <w:rFonts w:hint="eastAsia" w:ascii="仿宋_GB2312" w:hAnsi="仿宋_GB2312" w:eastAsia="仿宋_GB2312" w:cs="仿宋_GB2312"/>
          <w:bCs/>
          <w:color w:val="auto"/>
          <w:kern w:val="1"/>
          <w:sz w:val="30"/>
          <w:szCs w:val="30"/>
        </w:rPr>
        <w:t>严重影响的，</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人将依法追究</w:t>
      </w:r>
      <w:r>
        <w:rPr>
          <w:rFonts w:hint="eastAsia" w:ascii="仿宋_GB2312" w:hAnsi="仿宋_GB2312" w:eastAsia="仿宋_GB2312" w:cs="仿宋_GB2312"/>
          <w:bCs/>
          <w:color w:val="auto"/>
          <w:kern w:val="1"/>
          <w:sz w:val="30"/>
          <w:szCs w:val="30"/>
          <w:lang w:eastAsia="zh-CN"/>
        </w:rPr>
        <w:t>报价人</w:t>
      </w:r>
      <w:r>
        <w:rPr>
          <w:rFonts w:hint="eastAsia" w:ascii="仿宋_GB2312" w:hAnsi="仿宋_GB2312" w:eastAsia="仿宋_GB2312" w:cs="仿宋_GB2312"/>
          <w:bCs/>
          <w:color w:val="auto"/>
          <w:kern w:val="1"/>
          <w:sz w:val="30"/>
          <w:szCs w:val="30"/>
        </w:rPr>
        <w:t>法律责任。索普集团供应商负面清单的公示地址为：www.sopo.com.cn。</w:t>
      </w:r>
    </w:p>
    <w:p w14:paraId="4473EA87">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四</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人应详细阅读本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书，参与</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即视为对本</w:t>
      </w:r>
      <w:r>
        <w:rPr>
          <w:rFonts w:hint="eastAsia" w:ascii="仿宋_GB2312" w:hAnsi="仿宋_GB2312" w:eastAsia="仿宋_GB2312" w:cs="仿宋_GB2312"/>
          <w:bCs/>
          <w:color w:val="auto"/>
          <w:kern w:val="1"/>
          <w:sz w:val="30"/>
          <w:szCs w:val="30"/>
          <w:lang w:eastAsia="zh-CN"/>
        </w:rPr>
        <w:t>采购</w:t>
      </w:r>
      <w:r>
        <w:rPr>
          <w:rFonts w:hint="eastAsia" w:ascii="仿宋_GB2312" w:hAnsi="仿宋_GB2312" w:eastAsia="仿宋_GB2312" w:cs="仿宋_GB2312"/>
          <w:bCs/>
          <w:color w:val="auto"/>
          <w:kern w:val="1"/>
          <w:sz w:val="30"/>
          <w:szCs w:val="30"/>
        </w:rPr>
        <w:t>书所列之条款均表示接受。</w:t>
      </w:r>
    </w:p>
    <w:p w14:paraId="33F21273">
      <w:pPr>
        <w:keepNext w:val="0"/>
        <w:keepLines w:val="0"/>
        <w:pageBreakBefore w:val="0"/>
        <w:widowControl w:val="0"/>
        <w:kinsoku/>
        <w:overflowPunct/>
        <w:topLinePunct w:val="0"/>
        <w:autoSpaceDE/>
        <w:autoSpaceDN/>
        <w:bidi w:val="0"/>
        <w:adjustRightInd w:val="0"/>
        <w:snapToGrid w:val="0"/>
        <w:spacing w:line="360" w:lineRule="auto"/>
        <w:ind w:right="0" w:rightChars="0" w:firstLine="600" w:firstLineChars="200"/>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bCs/>
          <w:color w:val="auto"/>
          <w:kern w:val="1"/>
          <w:sz w:val="30"/>
          <w:szCs w:val="30"/>
          <w:lang w:val="en-US" w:eastAsia="zh-CN"/>
        </w:rPr>
        <w:t>五</w:t>
      </w:r>
      <w:r>
        <w:rPr>
          <w:rFonts w:hint="eastAsia" w:ascii="仿宋_GB2312" w:hAnsi="仿宋_GB2312" w:eastAsia="仿宋_GB2312" w:cs="仿宋_GB2312"/>
          <w:bCs/>
          <w:color w:val="auto"/>
          <w:kern w:val="1"/>
          <w:sz w:val="30"/>
          <w:szCs w:val="30"/>
        </w:rPr>
        <w:t>）本次</w:t>
      </w:r>
      <w:r>
        <w:rPr>
          <w:rFonts w:hint="eastAsia" w:ascii="仿宋_GB2312" w:hAnsi="仿宋_GB2312" w:eastAsia="仿宋_GB2312" w:cs="仿宋_GB2312"/>
          <w:bCs/>
          <w:color w:val="auto"/>
          <w:kern w:val="1"/>
          <w:sz w:val="30"/>
          <w:szCs w:val="30"/>
          <w:lang w:val="en-US" w:eastAsia="zh-CN"/>
        </w:rPr>
        <w:t>采购</w:t>
      </w:r>
      <w:r>
        <w:rPr>
          <w:rFonts w:hint="eastAsia" w:ascii="仿宋_GB2312" w:hAnsi="仿宋_GB2312" w:eastAsia="仿宋_GB2312" w:cs="仿宋_GB2312"/>
          <w:bCs/>
          <w:color w:val="auto"/>
          <w:kern w:val="1"/>
          <w:sz w:val="30"/>
          <w:szCs w:val="30"/>
        </w:rPr>
        <w:t>解释权归江苏索普</w:t>
      </w:r>
      <w:r>
        <w:rPr>
          <w:rFonts w:hint="eastAsia" w:ascii="仿宋_GB2312" w:hAnsi="仿宋_GB2312" w:eastAsia="仿宋_GB2312" w:cs="仿宋_GB2312"/>
          <w:bCs/>
          <w:color w:val="auto"/>
          <w:kern w:val="1"/>
          <w:sz w:val="30"/>
          <w:szCs w:val="30"/>
          <w:lang w:val="en-US" w:eastAsia="zh-CN"/>
        </w:rPr>
        <w:t>赛瑞装备制造</w:t>
      </w:r>
      <w:r>
        <w:rPr>
          <w:rFonts w:hint="eastAsia" w:ascii="仿宋_GB2312" w:hAnsi="仿宋_GB2312" w:eastAsia="仿宋_GB2312" w:cs="仿宋_GB2312"/>
          <w:bCs/>
          <w:color w:val="auto"/>
          <w:kern w:val="1"/>
          <w:sz w:val="30"/>
          <w:szCs w:val="30"/>
        </w:rPr>
        <w:t>有限公司所有</w:t>
      </w:r>
      <w:r>
        <w:rPr>
          <w:rFonts w:hint="eastAsia" w:ascii="仿宋_GB2312" w:hAnsi="仿宋_GB2312" w:eastAsia="仿宋_GB2312" w:cs="仿宋_GB2312"/>
          <w:bCs/>
          <w:color w:val="auto"/>
          <w:kern w:val="2"/>
          <w:sz w:val="30"/>
          <w:szCs w:val="30"/>
        </w:rPr>
        <w:t>。</w:t>
      </w:r>
    </w:p>
    <w:p w14:paraId="27AF81FE">
      <w:pPr>
        <w:keepNext w:val="0"/>
        <w:keepLines w:val="0"/>
        <w:pageBreakBefore w:val="0"/>
        <w:widowControl w:val="0"/>
        <w:kinsoku/>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 xml:space="preserve">    </w:t>
      </w:r>
      <w:r>
        <w:rPr>
          <w:rFonts w:hint="eastAsia" w:ascii="仿宋_GB2312" w:hAnsi="仿宋_GB2312" w:eastAsia="仿宋_GB2312" w:cs="仿宋_GB2312"/>
          <w:bCs/>
          <w:color w:val="auto"/>
          <w:w w:val="80"/>
          <w:kern w:val="1"/>
          <w:sz w:val="30"/>
          <w:szCs w:val="30"/>
        </w:rPr>
        <w:t>（</w:t>
      </w:r>
      <w:r>
        <w:rPr>
          <w:rFonts w:hint="eastAsia" w:ascii="仿宋_GB2312" w:hAnsi="仿宋_GB2312" w:eastAsia="仿宋_GB2312" w:cs="仿宋_GB2312"/>
          <w:bCs/>
          <w:color w:val="auto"/>
          <w:w w:val="80"/>
          <w:kern w:val="1"/>
          <w:sz w:val="30"/>
          <w:szCs w:val="30"/>
          <w:lang w:val="en-US" w:eastAsia="zh-CN"/>
        </w:rPr>
        <w:t>六</w:t>
      </w:r>
      <w:r>
        <w:rPr>
          <w:rFonts w:hint="eastAsia" w:ascii="仿宋_GB2312" w:hAnsi="仿宋_GB2312" w:eastAsia="仿宋_GB2312" w:cs="仿宋_GB2312"/>
          <w:bCs/>
          <w:color w:val="auto"/>
          <w:w w:val="80"/>
          <w:kern w:val="1"/>
          <w:sz w:val="30"/>
          <w:szCs w:val="30"/>
        </w:rPr>
        <w:t>）本次</w:t>
      </w:r>
      <w:r>
        <w:rPr>
          <w:rFonts w:hint="eastAsia" w:ascii="仿宋_GB2312" w:hAnsi="仿宋_GB2312" w:eastAsia="仿宋_GB2312" w:cs="仿宋_GB2312"/>
          <w:bCs/>
          <w:color w:val="auto"/>
          <w:w w:val="80"/>
          <w:kern w:val="1"/>
          <w:sz w:val="30"/>
          <w:szCs w:val="30"/>
          <w:lang w:eastAsia="zh-CN"/>
        </w:rPr>
        <w:t>采购中选</w:t>
      </w:r>
      <w:r>
        <w:rPr>
          <w:rFonts w:hint="eastAsia" w:ascii="仿宋_GB2312" w:hAnsi="仿宋_GB2312" w:eastAsia="仿宋_GB2312" w:cs="仿宋_GB2312"/>
          <w:bCs/>
          <w:color w:val="auto"/>
          <w:w w:val="80"/>
          <w:kern w:val="1"/>
          <w:sz w:val="30"/>
          <w:szCs w:val="30"/>
        </w:rPr>
        <w:t>信息公示网</w:t>
      </w:r>
      <w:r>
        <w:rPr>
          <w:rFonts w:hint="eastAsia" w:ascii="仿宋_GB2312" w:hAnsi="仿宋_GB2312" w:eastAsia="仿宋_GB2312" w:cs="仿宋_GB2312"/>
          <w:bCs/>
          <w:color w:val="auto"/>
          <w:w w:val="80"/>
          <w:kern w:val="1"/>
          <w:sz w:val="30"/>
          <w:szCs w:val="30"/>
          <w:lang w:eastAsia="zh-CN"/>
        </w:rPr>
        <w:t>址</w:t>
      </w:r>
      <w:r>
        <w:rPr>
          <w:rFonts w:hint="eastAsia" w:ascii="仿宋_GB2312" w:hAnsi="仿宋_GB2312" w:eastAsia="仿宋_GB2312" w:cs="仿宋_GB2312"/>
          <w:bCs/>
          <w:color w:val="auto"/>
          <w:w w:val="80"/>
          <w:kern w:val="1"/>
          <w:sz w:val="30"/>
          <w:szCs w:val="30"/>
          <w:u w:val="none"/>
        </w:rPr>
        <w:fldChar w:fldCharType="begin"/>
      </w:r>
      <w:r>
        <w:rPr>
          <w:rFonts w:hint="eastAsia" w:ascii="仿宋_GB2312" w:hAnsi="仿宋_GB2312" w:eastAsia="仿宋_GB2312" w:cs="仿宋_GB2312"/>
          <w:bCs/>
          <w:color w:val="auto"/>
          <w:w w:val="80"/>
          <w:kern w:val="1"/>
          <w:sz w:val="30"/>
          <w:szCs w:val="30"/>
          <w:u w:val="none"/>
        </w:rPr>
        <w:instrText xml:space="preserve"> HYPERLINK "http://www.sopo.com.cn/list/91-93.html。" </w:instrText>
      </w:r>
      <w:r>
        <w:rPr>
          <w:rFonts w:hint="eastAsia" w:ascii="仿宋_GB2312" w:hAnsi="仿宋_GB2312" w:eastAsia="仿宋_GB2312" w:cs="仿宋_GB2312"/>
          <w:bCs/>
          <w:color w:val="auto"/>
          <w:w w:val="80"/>
          <w:kern w:val="1"/>
          <w:sz w:val="30"/>
          <w:szCs w:val="30"/>
          <w:u w:val="none"/>
        </w:rPr>
        <w:fldChar w:fldCharType="separate"/>
      </w:r>
      <w:r>
        <w:rPr>
          <w:rStyle w:val="17"/>
          <w:rFonts w:hint="eastAsia" w:ascii="仿宋_GB2312" w:hAnsi="仿宋_GB2312" w:eastAsia="仿宋_GB2312" w:cs="仿宋_GB2312"/>
          <w:bCs/>
          <w:color w:val="auto"/>
          <w:w w:val="80"/>
          <w:kern w:val="1"/>
          <w:sz w:val="30"/>
          <w:szCs w:val="30"/>
          <w:u w:val="none"/>
        </w:rPr>
        <w:t>http://www.sopo.com.cn/list/91-93.html</w:t>
      </w:r>
      <w:r>
        <w:rPr>
          <w:rStyle w:val="17"/>
          <w:rFonts w:hint="eastAsia" w:ascii="仿宋_GB2312" w:hAnsi="仿宋_GB2312" w:eastAsia="仿宋_GB2312" w:cs="仿宋_GB2312"/>
          <w:bCs/>
          <w:color w:val="auto"/>
          <w:w w:val="80"/>
          <w:kern w:val="1"/>
          <w:sz w:val="30"/>
          <w:szCs w:val="30"/>
          <w:u w:val="none"/>
          <w:lang w:eastAsia="zh-CN"/>
        </w:rPr>
        <w:t>。</w:t>
      </w:r>
      <w:r>
        <w:rPr>
          <w:rFonts w:hint="eastAsia" w:ascii="仿宋_GB2312" w:hAnsi="仿宋_GB2312" w:eastAsia="仿宋_GB2312" w:cs="仿宋_GB2312"/>
          <w:bCs/>
          <w:color w:val="auto"/>
          <w:w w:val="80"/>
          <w:kern w:val="1"/>
          <w:sz w:val="30"/>
          <w:szCs w:val="30"/>
          <w:u w:val="none"/>
        </w:rPr>
        <w:fldChar w:fldCharType="end"/>
      </w:r>
    </w:p>
    <w:p w14:paraId="75ABD9AD">
      <w:pPr>
        <w:pStyle w:val="5"/>
        <w:spacing w:line="360" w:lineRule="auto"/>
        <w:rPr>
          <w:rFonts w:hint="eastAsia" w:ascii="仿宋_GB2312" w:hAnsi="仿宋_GB2312" w:eastAsia="仿宋_GB2312" w:cs="仿宋_GB2312"/>
          <w:color w:val="auto"/>
          <w:sz w:val="30"/>
          <w:szCs w:val="30"/>
        </w:rPr>
      </w:pPr>
    </w:p>
    <w:p w14:paraId="0443A17A">
      <w:pPr>
        <w:pStyle w:val="3"/>
        <w:pageBreakBefore/>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报价函</w:t>
      </w:r>
    </w:p>
    <w:p w14:paraId="6075E15E">
      <w:pPr>
        <w:keepNext w:val="0"/>
        <w:keepLines w:val="0"/>
        <w:pageBreakBefore w:val="0"/>
        <w:widowControl w:val="0"/>
        <w:tabs>
          <w:tab w:val="left" w:pos="180"/>
        </w:tabs>
        <w:kinsoku/>
        <w:wordWrap w:val="0"/>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江苏索普</w:t>
      </w:r>
      <w:r>
        <w:rPr>
          <w:rFonts w:hint="eastAsia" w:ascii="仿宋_GB2312" w:hAnsi="仿宋_GB2312" w:eastAsia="仿宋_GB2312" w:cs="仿宋_GB2312"/>
          <w:kern w:val="1"/>
          <w:sz w:val="30"/>
          <w:szCs w:val="30"/>
          <w:lang w:val="en-US" w:eastAsia="zh-CN"/>
        </w:rPr>
        <w:t>赛瑞装备制造</w:t>
      </w:r>
      <w:r>
        <w:rPr>
          <w:rFonts w:hint="eastAsia" w:ascii="仿宋_GB2312" w:hAnsi="仿宋_GB2312" w:eastAsia="仿宋_GB2312" w:cs="仿宋_GB2312"/>
          <w:kern w:val="1"/>
          <w:sz w:val="30"/>
          <w:szCs w:val="30"/>
        </w:rPr>
        <w:t>有限公司：</w:t>
      </w:r>
    </w:p>
    <w:p w14:paraId="0DF8395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w:t>
      </w:r>
      <w:r>
        <w:rPr>
          <w:rFonts w:hint="eastAsia" w:ascii="仿宋_GB2312" w:hAnsi="仿宋_GB2312" w:eastAsia="仿宋_GB2312" w:cs="仿宋_GB2312"/>
          <w:color w:val="auto"/>
          <w:kern w:val="1"/>
          <w:sz w:val="30"/>
          <w:szCs w:val="30"/>
          <w:u w:val="single"/>
          <w:lang w:eastAsia="zh-CN"/>
        </w:rPr>
        <w:t>报价</w:t>
      </w:r>
      <w:r>
        <w:rPr>
          <w:rFonts w:hint="eastAsia" w:ascii="仿宋_GB2312" w:hAnsi="仿宋_GB2312" w:eastAsia="仿宋_GB2312" w:cs="仿宋_GB2312"/>
          <w:color w:val="auto"/>
          <w:kern w:val="1"/>
          <w:sz w:val="30"/>
          <w:szCs w:val="30"/>
          <w:u w:val="single"/>
        </w:rPr>
        <w:t>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有关活动，并对该项目进行</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w:t>
      </w:r>
    </w:p>
    <w:p w14:paraId="45AA0C47">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
          <w:color w:val="auto"/>
          <w:kern w:val="1"/>
          <w:sz w:val="30"/>
          <w:szCs w:val="30"/>
        </w:rPr>
      </w:pPr>
      <w:r>
        <w:rPr>
          <w:rFonts w:hint="eastAsia" w:ascii="仿宋_GB2312" w:hAnsi="仿宋_GB2312" w:eastAsia="仿宋_GB2312" w:cs="仿宋_GB2312"/>
          <w:color w:val="auto"/>
          <w:kern w:val="1"/>
          <w:sz w:val="30"/>
          <w:szCs w:val="30"/>
        </w:rPr>
        <w:t>1、</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项目的总</w:t>
      </w:r>
      <w:r>
        <w:rPr>
          <w:rFonts w:hint="eastAsia" w:ascii="仿宋_GB2312" w:hAnsi="仿宋_GB2312" w:eastAsia="仿宋_GB2312" w:cs="仿宋_GB2312"/>
          <w:color w:val="auto"/>
          <w:kern w:val="1"/>
          <w:sz w:val="30"/>
          <w:szCs w:val="30"/>
          <w:lang w:eastAsia="zh-CN"/>
        </w:rPr>
        <w:t>报价</w:t>
      </w:r>
      <w:r>
        <w:rPr>
          <w:rFonts w:hint="eastAsia" w:ascii="仿宋_GB2312" w:hAnsi="仿宋_GB2312" w:eastAsia="仿宋_GB2312" w:cs="仿宋_GB2312"/>
          <w:color w:val="auto"/>
          <w:kern w:val="1"/>
          <w:sz w:val="30"/>
          <w:szCs w:val="30"/>
        </w:rPr>
        <w:t>价（含税）为</w:t>
      </w:r>
      <w:r>
        <w:rPr>
          <w:rFonts w:hint="eastAsia" w:ascii="仿宋_GB2312" w:hAnsi="仿宋_GB2312" w:eastAsia="仿宋_GB2312" w:cs="仿宋_GB2312"/>
          <w:color w:val="auto"/>
          <w:kern w:val="1"/>
          <w:sz w:val="30"/>
          <w:szCs w:val="30"/>
          <w:u w:val="single"/>
        </w:rPr>
        <w:softHyphen/>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(大写)：</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元人民币</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rPr>
        <w:t>税率</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rPr>
        <w:t>%</w:t>
      </w:r>
      <w:r>
        <w:rPr>
          <w:rFonts w:hint="eastAsia" w:ascii="仿宋_GB2312" w:hAnsi="仿宋_GB2312" w:eastAsia="仿宋_GB2312" w:cs="仿宋_GB2312"/>
          <w:color w:val="auto"/>
          <w:kern w:val="1"/>
          <w:sz w:val="30"/>
          <w:szCs w:val="30"/>
          <w:lang w:eastAsia="zh-CN"/>
        </w:rPr>
        <w:t>；</w:t>
      </w:r>
      <w:r>
        <w:rPr>
          <w:rFonts w:hint="eastAsia" w:ascii="仿宋_GB2312" w:hAnsi="仿宋_GB2312" w:eastAsia="仿宋_GB2312" w:cs="仿宋_GB2312"/>
          <w:color w:val="auto"/>
          <w:kern w:val="1"/>
          <w:sz w:val="30"/>
          <w:szCs w:val="30"/>
          <w:u w:val="single"/>
          <w:lang w:val="en-US" w:eastAsia="zh-CN"/>
        </w:rPr>
        <w:t>分项报价详见附件1《分项报价单》</w:t>
      </w:r>
      <w:r>
        <w:rPr>
          <w:rFonts w:hint="eastAsia" w:ascii="仿宋_GB2312" w:hAnsi="仿宋_GB2312" w:eastAsia="仿宋_GB2312" w:cs="仿宋_GB2312"/>
          <w:color w:val="FF0000"/>
          <w:kern w:val="1"/>
          <w:sz w:val="30"/>
          <w:szCs w:val="30"/>
        </w:rPr>
        <w:t>；</w:t>
      </w:r>
    </w:p>
    <w:p w14:paraId="16B694C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2、我方保证遵守</w:t>
      </w:r>
      <w:r>
        <w:rPr>
          <w:rFonts w:hint="eastAsia" w:ascii="仿宋_GB2312" w:hAnsi="仿宋_GB2312" w:eastAsia="仿宋_GB2312" w:cs="仿宋_GB2312"/>
          <w:color w:val="auto"/>
          <w:kern w:val="1"/>
          <w:sz w:val="30"/>
          <w:szCs w:val="30"/>
          <w:lang w:eastAsia="zh-CN"/>
        </w:rPr>
        <w:t>采购</w:t>
      </w:r>
      <w:r>
        <w:rPr>
          <w:rFonts w:hint="eastAsia" w:ascii="仿宋_GB2312" w:hAnsi="仿宋_GB2312" w:eastAsia="仿宋_GB2312" w:cs="仿宋_GB2312"/>
          <w:color w:val="auto"/>
          <w:kern w:val="1"/>
          <w:sz w:val="30"/>
          <w:szCs w:val="30"/>
        </w:rPr>
        <w:t>文件中的全部规定；</w:t>
      </w:r>
    </w:p>
    <w:p w14:paraId="0F2252AE">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3、我方保证忠实地执行双方签订的合同,并承担合同规定的责任义务；</w:t>
      </w:r>
    </w:p>
    <w:p w14:paraId="61CE9926">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4、我方已详细审查全部</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文件，包括</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文件的补充文件（如有）。我方完全理解并同意放弃对这方面有不明及误解的权力，同时完全接受</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文件所有条款。如果</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文件有相互矛盾之处，我方同意按</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方的解释处理；</w:t>
      </w:r>
    </w:p>
    <w:p w14:paraId="41C8F9B2">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00" w:firstLineChars="200"/>
        <w:jc w:val="left"/>
        <w:textAlignment w:val="auto"/>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5、愿意向贵方提供任何与该项</w:t>
      </w:r>
      <w:r>
        <w:rPr>
          <w:rFonts w:hint="eastAsia" w:ascii="仿宋_GB2312" w:hAnsi="仿宋_GB2312" w:eastAsia="仿宋_GB2312" w:cs="仿宋_GB2312"/>
          <w:bCs/>
          <w:color w:val="auto"/>
          <w:kern w:val="1"/>
          <w:sz w:val="30"/>
          <w:szCs w:val="30"/>
          <w:lang w:eastAsia="zh-CN"/>
        </w:rPr>
        <w:t>报价</w:t>
      </w:r>
      <w:r>
        <w:rPr>
          <w:rFonts w:hint="eastAsia" w:ascii="仿宋_GB2312" w:hAnsi="仿宋_GB2312" w:eastAsia="仿宋_GB2312" w:cs="仿宋_GB2312"/>
          <w:bCs/>
          <w:color w:val="auto"/>
          <w:kern w:val="1"/>
          <w:sz w:val="30"/>
          <w:szCs w:val="30"/>
        </w:rPr>
        <w:t>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14:paraId="5B264331">
      <w:pPr>
        <w:pStyle w:val="5"/>
        <w:keepNext w:val="0"/>
        <w:keepLines w:val="0"/>
        <w:pageBreakBefore w:val="0"/>
        <w:widowControl w:val="0"/>
        <w:kinsoku/>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auto"/>
          <w:kern w:val="1"/>
          <w:sz w:val="30"/>
          <w:szCs w:val="30"/>
          <w:u w:val="none"/>
          <w:lang w:val="en-US" w:eastAsia="zh-CN"/>
        </w:rPr>
      </w:pP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bCs/>
          <w:color w:val="auto"/>
          <w:kern w:val="1"/>
          <w:sz w:val="30"/>
          <w:szCs w:val="30"/>
        </w:rPr>
        <w:t>对</w:t>
      </w:r>
      <w:r>
        <w:rPr>
          <w:rFonts w:hint="eastAsia" w:ascii="仿宋_GB2312" w:hAnsi="仿宋_GB2312" w:eastAsia="仿宋_GB2312" w:cs="仿宋_GB2312"/>
          <w:color w:val="auto"/>
          <w:sz w:val="30"/>
          <w:szCs w:val="30"/>
          <w:shd w:val="clear" w:color="auto" w:fill="FFFFFF"/>
        </w:rPr>
        <w:t>自主公开</w:t>
      </w:r>
      <w:r>
        <w:rPr>
          <w:rFonts w:hint="eastAsia" w:ascii="仿宋_GB2312" w:hAnsi="仿宋_GB2312" w:eastAsia="仿宋_GB2312" w:cs="仿宋_GB2312"/>
          <w:color w:val="auto"/>
          <w:sz w:val="30"/>
          <w:szCs w:val="30"/>
          <w:shd w:val="clear" w:color="auto" w:fill="FFFFFF"/>
          <w:lang w:eastAsia="zh-CN"/>
        </w:rPr>
        <w:t>采购</w:t>
      </w:r>
      <w:r>
        <w:rPr>
          <w:rFonts w:hint="eastAsia" w:ascii="仿宋_GB2312" w:hAnsi="仿宋_GB2312" w:eastAsia="仿宋_GB2312" w:cs="仿宋_GB2312"/>
          <w:color w:val="auto"/>
          <w:sz w:val="30"/>
          <w:szCs w:val="30"/>
          <w:shd w:val="clear" w:color="auto" w:fill="FFFFFF"/>
        </w:rPr>
        <w:t>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bCs/>
          <w:color w:val="auto"/>
          <w:kern w:val="1"/>
          <w:sz w:val="30"/>
          <w:szCs w:val="30"/>
          <w:lang w:eastAsia="zh-CN"/>
        </w:rPr>
        <w:t>（技术要求及报价人资质要求除外）</w:t>
      </w:r>
      <w:r>
        <w:rPr>
          <w:rFonts w:hint="eastAsia" w:ascii="仿宋_GB2312" w:hAnsi="仿宋_GB2312" w:eastAsia="仿宋_GB2312" w:cs="仿宋_GB2312"/>
          <w:bCs/>
          <w:color w:val="auto"/>
          <w:kern w:val="1"/>
          <w:sz w:val="30"/>
          <w:szCs w:val="30"/>
        </w:rPr>
        <w:t>：</w:t>
      </w:r>
      <w:r>
        <w:rPr>
          <w:rFonts w:hint="eastAsia" w:ascii="仿宋_GB2312" w:hAnsi="仿宋_GB2312" w:eastAsia="仿宋_GB2312" w:cs="仿宋_GB2312"/>
          <w:color w:val="auto"/>
          <w:kern w:val="1"/>
          <w:sz w:val="30"/>
          <w:szCs w:val="30"/>
          <w:u w:val="single"/>
        </w:rPr>
        <w:t xml:space="preserve">                                   </w:t>
      </w:r>
      <w:r>
        <w:rPr>
          <w:rFonts w:hint="eastAsia" w:ascii="仿宋_GB2312" w:hAnsi="仿宋_GB2312" w:eastAsia="仿宋_GB2312" w:cs="仿宋_GB2312"/>
          <w:color w:val="auto"/>
          <w:kern w:val="1"/>
          <w:sz w:val="30"/>
          <w:szCs w:val="30"/>
          <w:u w:val="single"/>
          <w:lang w:val="en-US" w:eastAsia="zh-CN"/>
        </w:rPr>
        <w:t xml:space="preserve"> </w:t>
      </w:r>
      <w:r>
        <w:rPr>
          <w:rFonts w:hint="eastAsia" w:ascii="仿宋_GB2312" w:hAnsi="仿宋_GB2312" w:eastAsia="仿宋_GB2312" w:cs="仿宋_GB2312"/>
          <w:color w:val="auto"/>
          <w:kern w:val="1"/>
          <w:sz w:val="30"/>
          <w:szCs w:val="30"/>
          <w:u w:val="none"/>
          <w:lang w:val="en-US" w:eastAsia="zh-CN"/>
        </w:rPr>
        <w:t>。</w:t>
      </w:r>
    </w:p>
    <w:p w14:paraId="7658C45A">
      <w:pPr>
        <w:pStyle w:val="5"/>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全权代表（签字）：</w:t>
      </w:r>
    </w:p>
    <w:p w14:paraId="308DF85C">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联系电话：</w:t>
      </w:r>
    </w:p>
    <w:p w14:paraId="1F6FFE78">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ind w:left="0" w:leftChars="0" w:right="0" w:rightChars="0"/>
        <w:jc w:val="left"/>
        <w:textAlignment w:val="auto"/>
        <w:outlineLvl w:val="9"/>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lang w:eastAsia="zh-CN"/>
        </w:rPr>
        <w:t>报价</w:t>
      </w:r>
      <w:r>
        <w:rPr>
          <w:rFonts w:hint="eastAsia" w:ascii="仿宋_GB2312" w:hAnsi="仿宋_GB2312" w:eastAsia="仿宋_GB2312" w:cs="仿宋_GB2312"/>
          <w:kern w:val="1"/>
          <w:sz w:val="30"/>
          <w:szCs w:val="30"/>
        </w:rPr>
        <w:t>单位（盖章）：</w:t>
      </w:r>
    </w:p>
    <w:p w14:paraId="2D0E01D1">
      <w:pPr>
        <w:keepNext w:val="0"/>
        <w:keepLines w:val="0"/>
        <w:pageBreakBefore w:val="0"/>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仿宋_GB2312" w:hAnsi="仿宋_GB2312" w:eastAsia="仿宋_GB2312" w:cs="仿宋_GB2312"/>
          <w:kern w:val="1"/>
          <w:sz w:val="30"/>
          <w:szCs w:val="30"/>
        </w:rPr>
      </w:pPr>
      <w:r>
        <w:rPr>
          <w:rFonts w:hint="eastAsia" w:ascii="仿宋_GB2312" w:hAnsi="仿宋_GB2312" w:eastAsia="仿宋_GB2312" w:cs="仿宋_GB2312"/>
          <w:kern w:val="1"/>
          <w:sz w:val="30"/>
          <w:szCs w:val="30"/>
        </w:rPr>
        <w:t>日期：</w:t>
      </w:r>
    </w:p>
    <w:p w14:paraId="254E1E3A">
      <w:pPr>
        <w:widowControl w:val="0"/>
        <w:kinsoku/>
        <w:wordWrap w:val="0"/>
        <w:overflowPunct/>
        <w:topLinePunct w:val="0"/>
        <w:autoSpaceDE/>
        <w:autoSpaceDN/>
        <w:bidi w:val="0"/>
        <w:adjustRightInd w:val="0"/>
        <w:snapToGrid w:val="0"/>
        <w:spacing w:before="156" w:beforeLines="50" w:line="560" w:lineRule="exact"/>
        <w:jc w:val="left"/>
        <w:textAlignment w:val="auto"/>
        <w:rPr>
          <w:rFonts w:hint="eastAsia" w:ascii="黑体" w:hAnsi="黑体" w:eastAsia="黑体"/>
          <w:sz w:val="36"/>
          <w:szCs w:val="36"/>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3</w:t>
      </w:r>
    </w:p>
    <w:p w14:paraId="3F59AA15">
      <w:pPr>
        <w:tabs>
          <w:tab w:val="left" w:pos="2565"/>
        </w:tabs>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索普赛瑞供应商负面清单管理规定</w:t>
      </w:r>
    </w:p>
    <w:p w14:paraId="33A9A52A">
      <w:pPr>
        <w:tabs>
          <w:tab w:val="left" w:pos="2565"/>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（2025年修订版）</w:t>
      </w:r>
    </w:p>
    <w:p w14:paraId="28B7F988">
      <w:pPr>
        <w:tabs>
          <w:tab w:val="left" w:pos="2565"/>
        </w:tabs>
        <w:adjustRightInd w:val="0"/>
        <w:snapToGrid w:val="0"/>
        <w:spacing w:line="600" w:lineRule="exact"/>
        <w:rPr>
          <w:rFonts w:hint="eastAsia" w:ascii="黑体" w:hAnsi="黑体" w:eastAsia="黑体"/>
          <w:bCs/>
          <w:sz w:val="34"/>
          <w:szCs w:val="34"/>
        </w:rPr>
      </w:pPr>
    </w:p>
    <w:p w14:paraId="018A0ADB">
      <w:pPr>
        <w:tabs>
          <w:tab w:val="left" w:pos="2565"/>
        </w:tabs>
        <w:adjustRightInd w:val="0"/>
        <w:snapToGrid w:val="0"/>
        <w:spacing w:line="600" w:lineRule="exact"/>
        <w:jc w:val="center"/>
        <w:rPr>
          <w:rFonts w:hint="eastAsia" w:ascii="仿宋_GB2312" w:hAnsi="仿宋" w:eastAsia="黑体"/>
          <w:bCs/>
          <w:sz w:val="34"/>
          <w:szCs w:val="34"/>
        </w:rPr>
      </w:pPr>
      <w:r>
        <w:rPr>
          <w:rFonts w:hint="eastAsia" w:ascii="黑体" w:hAnsi="黑体" w:eastAsia="黑体"/>
          <w:bCs/>
          <w:sz w:val="34"/>
          <w:szCs w:val="34"/>
        </w:rPr>
        <w:t>第一章 总则</w:t>
      </w:r>
    </w:p>
    <w:p w14:paraId="0E9EBF17">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第一条</w:t>
      </w:r>
      <w:r>
        <w:rPr>
          <w:rFonts w:hint="eastAsia" w:ascii="仿宋_GB2312" w:hAnsi="楷体" w:eastAsia="仿宋_GB2312"/>
          <w:bCs/>
          <w:sz w:val="34"/>
          <w:szCs w:val="34"/>
        </w:rPr>
        <w:t xml:space="preserve"> 凡按国家标准及相关准则或规定组织生产销售的产品供应商及承包商，证照齐全且资质满足公司采购要求的</w:t>
      </w:r>
      <w:r>
        <w:rPr>
          <w:rFonts w:hint="eastAsia" w:ascii="仿宋_GB2312" w:hAnsi="仿宋_GB2312" w:eastAsia="仿宋_GB2312" w:cs="仿宋_GB2312"/>
          <w:sz w:val="34"/>
          <w:szCs w:val="34"/>
        </w:rPr>
        <w:t>（采购和外协加工受压元件的材料，需要经公司相关部门考察认定）</w:t>
      </w:r>
      <w:r>
        <w:rPr>
          <w:rFonts w:hint="eastAsia" w:ascii="仿宋_GB2312" w:hAnsi="楷体" w:eastAsia="仿宋_GB2312"/>
          <w:bCs/>
          <w:sz w:val="34"/>
          <w:szCs w:val="34"/>
        </w:rPr>
        <w:t>，均可参与公司组织的公开采购商务活动。</w:t>
      </w:r>
    </w:p>
    <w:p w14:paraId="5B6403C7">
      <w:pPr>
        <w:tabs>
          <w:tab w:val="left" w:pos="2565"/>
        </w:tabs>
        <w:adjustRightInd w:val="0"/>
        <w:snapToGrid w:val="0"/>
        <w:spacing w:line="600" w:lineRule="exact"/>
        <w:ind w:firstLine="683" w:firstLineChars="200"/>
        <w:jc w:val="left"/>
        <w:rPr>
          <w:rFonts w:hint="eastAsia" w:ascii="黑体" w:hAnsi="黑体" w:eastAsia="黑体"/>
          <w:bCs/>
          <w:sz w:val="34"/>
          <w:szCs w:val="34"/>
        </w:rPr>
      </w:pPr>
      <w:r>
        <w:rPr>
          <w:rFonts w:hint="eastAsia" w:ascii="仿宋_GB2312" w:hAnsi="楷体" w:eastAsia="仿宋_GB2312"/>
          <w:b/>
          <w:sz w:val="34"/>
          <w:szCs w:val="34"/>
        </w:rPr>
        <w:t>第二条</w:t>
      </w:r>
      <w:r>
        <w:rPr>
          <w:rFonts w:hint="eastAsia" w:ascii="仿宋_GB2312" w:hAnsi="楷体" w:eastAsia="仿宋_GB2312"/>
          <w:bCs/>
          <w:sz w:val="34"/>
          <w:szCs w:val="34"/>
        </w:rPr>
        <w:t xml:space="preserve"> </w:t>
      </w:r>
      <w:r>
        <w:rPr>
          <w:rFonts w:hint="eastAsia" w:eastAsia="仿宋_GB2312"/>
          <w:bCs/>
          <w:sz w:val="34"/>
          <w:szCs w:val="34"/>
        </w:rPr>
        <w:t>本制度适用于索普赛瑞各部门。</w:t>
      </w:r>
      <w:r>
        <w:rPr>
          <w:rFonts w:hint="eastAsia" w:ascii="黑体" w:hAnsi="黑体" w:eastAsia="黑体"/>
          <w:bCs/>
          <w:sz w:val="34"/>
          <w:szCs w:val="34"/>
        </w:rPr>
        <w:t xml:space="preserve"> </w:t>
      </w:r>
    </w:p>
    <w:p w14:paraId="5C7A1246">
      <w:pPr>
        <w:tabs>
          <w:tab w:val="left" w:pos="2565"/>
        </w:tabs>
        <w:adjustRightInd w:val="0"/>
        <w:snapToGrid w:val="0"/>
        <w:spacing w:line="600" w:lineRule="exact"/>
        <w:ind w:firstLine="683" w:firstLineChars="200"/>
        <w:rPr>
          <w:rFonts w:ascii="Segoe UI" w:hAnsi="Segoe UI" w:eastAsia="Segoe UI" w:cs="Segoe UI"/>
          <w:sz w:val="22"/>
          <w:szCs w:val="22"/>
          <w:shd w:val="clear" w:color="auto" w:fill="FDFDFE"/>
        </w:rPr>
      </w:pPr>
      <w:r>
        <w:rPr>
          <w:rFonts w:hint="eastAsia" w:ascii="仿宋_GB2312" w:hAnsi="楷体" w:eastAsia="仿宋_GB2312"/>
          <w:b/>
          <w:sz w:val="34"/>
          <w:szCs w:val="34"/>
        </w:rPr>
        <w:t xml:space="preserve">第三条 </w:t>
      </w:r>
      <w:r>
        <w:rPr>
          <w:rFonts w:hint="eastAsia" w:ascii="黑体" w:hAnsi="黑体" w:eastAsia="黑体"/>
          <w:bCs/>
          <w:sz w:val="34"/>
          <w:szCs w:val="34"/>
        </w:rPr>
        <w:t xml:space="preserve"> </w:t>
      </w:r>
      <w:r>
        <w:rPr>
          <w:rFonts w:hint="eastAsia" w:ascii="仿宋_GB2312" w:hAnsi="仿宋" w:eastAsia="仿宋_GB2312"/>
          <w:bCs/>
          <w:sz w:val="34"/>
          <w:szCs w:val="34"/>
        </w:rPr>
        <w:t>集团供应商负面清单管理采取共享机制，由全集团共同参与构建并统一使用，确保全集团采购活动中负面清单供应商范围一致。</w:t>
      </w:r>
    </w:p>
    <w:p w14:paraId="5586FB1A">
      <w:pPr>
        <w:tabs>
          <w:tab w:val="left" w:pos="2565"/>
        </w:tabs>
        <w:adjustRightInd w:val="0"/>
        <w:snapToGrid w:val="0"/>
        <w:spacing w:line="600" w:lineRule="exact"/>
        <w:jc w:val="center"/>
        <w:rPr>
          <w:rFonts w:hint="eastAsia" w:ascii="仿宋_GB2312" w:hAnsi="仿宋" w:eastAsia="仿宋_GB2312"/>
          <w:bCs/>
          <w:sz w:val="34"/>
          <w:szCs w:val="34"/>
        </w:rPr>
      </w:pPr>
      <w:r>
        <w:rPr>
          <w:rFonts w:hint="eastAsia" w:ascii="黑体" w:hAnsi="黑体" w:eastAsia="黑体"/>
          <w:bCs/>
          <w:sz w:val="34"/>
          <w:szCs w:val="34"/>
        </w:rPr>
        <w:t>第二章 管理职责</w:t>
      </w:r>
    </w:p>
    <w:p w14:paraId="786BF620">
      <w:pPr>
        <w:tabs>
          <w:tab w:val="left" w:pos="2565"/>
        </w:tabs>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楷体" w:eastAsia="仿宋_GB2312"/>
          <w:b/>
          <w:sz w:val="34"/>
          <w:szCs w:val="34"/>
        </w:rPr>
        <w:t>第四条</w:t>
      </w:r>
      <w:r>
        <w:rPr>
          <w:rFonts w:hint="eastAsia" w:ascii="仿宋_GB2312" w:hAnsi="仿宋" w:eastAsia="仿宋_GB2312"/>
          <w:bCs/>
          <w:sz w:val="34"/>
          <w:szCs w:val="34"/>
        </w:rPr>
        <w:t xml:space="preserve">  各采购发起部门拥有对负面清单供应商进行考核评价及解除的权限，负面清单供应商的增减变动须报集团商务合作部公示后生效执行。</w:t>
      </w:r>
    </w:p>
    <w:p w14:paraId="18DEE272">
      <w:pPr>
        <w:tabs>
          <w:tab w:val="left" w:pos="2565"/>
        </w:tabs>
        <w:adjustRightInd w:val="0"/>
        <w:snapToGrid w:val="0"/>
        <w:spacing w:line="600" w:lineRule="exact"/>
        <w:ind w:firstLine="683" w:firstLineChars="200"/>
        <w:rPr>
          <w:rFonts w:ascii="仿宋" w:hAnsi="仿宋" w:eastAsia="仿宋"/>
          <w:bCs/>
          <w:sz w:val="34"/>
          <w:szCs w:val="34"/>
        </w:rPr>
      </w:pPr>
      <w:r>
        <w:rPr>
          <w:rFonts w:hint="eastAsia" w:ascii="仿宋_GB2312" w:hAnsi="楷体" w:eastAsia="仿宋_GB2312"/>
          <w:b/>
          <w:sz w:val="34"/>
          <w:szCs w:val="34"/>
        </w:rPr>
        <w:t xml:space="preserve">第五条 </w:t>
      </w:r>
      <w:r>
        <w:rPr>
          <w:rFonts w:hint="eastAsia" w:ascii="仿宋_GB2312" w:hAnsi="仿宋" w:eastAsia="仿宋_GB2312"/>
          <w:bCs/>
          <w:sz w:val="34"/>
          <w:szCs w:val="34"/>
        </w:rPr>
        <w:t xml:space="preserve"> 负面清单管理工作由商务合作部负责，各部门在采购、合同履约、物资使用等环节中产生的供应商考核意见，须报给商务合作部汇总，并实时报送集团商务合作部汇总管理，确保清单动态更新与信息共享。</w:t>
      </w:r>
    </w:p>
    <w:p w14:paraId="08248A68">
      <w:pPr>
        <w:spacing w:line="600" w:lineRule="exact"/>
        <w:jc w:val="center"/>
        <w:rPr>
          <w:rFonts w:hint="eastAsia" w:ascii="黑体" w:hAnsi="黑体" w:eastAsia="黑体"/>
          <w:bCs/>
          <w:sz w:val="34"/>
          <w:szCs w:val="34"/>
        </w:rPr>
      </w:pPr>
      <w:r>
        <w:rPr>
          <w:rFonts w:hint="eastAsia" w:ascii="黑体" w:hAnsi="黑体" w:eastAsia="黑体"/>
          <w:bCs/>
          <w:sz w:val="34"/>
          <w:szCs w:val="34"/>
        </w:rPr>
        <w:t>第三章　供应商分级管理</w:t>
      </w:r>
    </w:p>
    <w:p w14:paraId="759B4850">
      <w:pPr>
        <w:tabs>
          <w:tab w:val="left" w:pos="2565"/>
        </w:tabs>
        <w:adjustRightInd w:val="0"/>
        <w:snapToGrid w:val="0"/>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第六条  </w:t>
      </w:r>
      <w:r>
        <w:rPr>
          <w:rFonts w:hint="eastAsia" w:ascii="仿宋_GB2312" w:hAnsi="楷体" w:eastAsia="仿宋_GB2312"/>
          <w:bCs/>
          <w:sz w:val="34"/>
          <w:szCs w:val="34"/>
        </w:rPr>
        <w:t>根据考核扣分及违规严重性，将供应商分为以下三类管理：</w:t>
      </w:r>
    </w:p>
    <w:p w14:paraId="4B7C6FA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（一）合格供应商</w:t>
      </w:r>
    </w:p>
    <w:p w14:paraId="42327616">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1.考核标准：滚动周期扣分（一年内）＜10分。</w:t>
      </w:r>
    </w:p>
    <w:p w14:paraId="5029AB51">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2.管理措施：可正常参与公司公开采购及合作，扣分自首次扣除满一年自动清零。</w:t>
      </w:r>
    </w:p>
    <w:p w14:paraId="7E625CB2">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（二）暂停合作供应商</w:t>
      </w:r>
    </w:p>
    <w:p w14:paraId="32024DF4">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1.考核标准：同一</w:t>
      </w:r>
      <w:r>
        <w:rPr>
          <w:rFonts w:hint="eastAsia" w:ascii="仿宋_GB2312" w:hAnsi="仿宋" w:eastAsia="仿宋_GB2312"/>
          <w:bCs/>
          <w:sz w:val="34"/>
          <w:szCs w:val="34"/>
        </w:rPr>
        <w:t>单位对同一供应商一年内的考核扣分累计</w:t>
      </w:r>
      <w:r>
        <w:rPr>
          <w:rFonts w:hint="eastAsia" w:ascii="仿宋_GB2312" w:hAnsi="楷体" w:eastAsia="仿宋_GB2312"/>
          <w:bCs/>
          <w:sz w:val="34"/>
          <w:szCs w:val="34"/>
        </w:rPr>
        <w:t>≥10分；</w:t>
      </w:r>
      <w:r>
        <w:rPr>
          <w:rFonts w:hint="eastAsia" w:ascii="仿宋_GB2312" w:hAnsi="仿宋" w:eastAsia="仿宋_GB2312"/>
          <w:bCs/>
          <w:sz w:val="34"/>
          <w:szCs w:val="34"/>
        </w:rPr>
        <w:t>不同单位对同一供应商一年内的考核扣分累计</w:t>
      </w:r>
      <w:r>
        <w:rPr>
          <w:rFonts w:hint="eastAsia" w:ascii="仿宋_GB2312" w:hAnsi="楷体" w:eastAsia="仿宋_GB2312"/>
          <w:bCs/>
          <w:sz w:val="34"/>
          <w:szCs w:val="34"/>
        </w:rPr>
        <w:t>≥15分。</w:t>
      </w:r>
    </w:p>
    <w:p w14:paraId="0C3C187B">
      <w:pPr>
        <w:tabs>
          <w:tab w:val="left" w:pos="2565"/>
        </w:tabs>
        <w:adjustRightInd w:val="0"/>
        <w:snapToGrid w:val="0"/>
        <w:spacing w:line="600" w:lineRule="exact"/>
        <w:ind w:firstLine="680" w:firstLineChars="200"/>
      </w:pPr>
      <w:r>
        <w:rPr>
          <w:rFonts w:hint="eastAsia" w:ascii="仿宋_GB2312" w:hAnsi="楷体" w:eastAsia="仿宋_GB2312"/>
          <w:bCs/>
          <w:sz w:val="34"/>
          <w:szCs w:val="34"/>
        </w:rPr>
        <w:t>2.管理措施：一年内停止与其产生新的合作。建立到期提示机制，到期前一个月内考核部门应主动告知相应供应商，并同步开放整改材料提交通道。</w:t>
      </w:r>
    </w:p>
    <w:p w14:paraId="5E2126C7">
      <w:pPr>
        <w:tabs>
          <w:tab w:val="left" w:pos="2565"/>
        </w:tabs>
        <w:adjustRightInd w:val="0"/>
        <w:snapToGrid w:val="0"/>
        <w:spacing w:line="600" w:lineRule="exact"/>
        <w:ind w:firstLine="680" w:firstLineChars="200"/>
        <w:rPr>
          <w:rFonts w:ascii="仿宋_GB2312" w:hAnsi="楷体" w:eastAsia="仿宋_GB2312"/>
          <w:bCs/>
          <w:sz w:val="34"/>
          <w:szCs w:val="34"/>
        </w:rPr>
      </w:pPr>
      <w:r>
        <w:rPr>
          <w:rFonts w:hint="eastAsia" w:ascii="仿宋_GB2312" w:hAnsi="楷体" w:eastAsia="仿宋_GB2312"/>
          <w:bCs/>
          <w:sz w:val="34"/>
          <w:szCs w:val="34"/>
        </w:rPr>
        <w:t>3.评审优先级：在采购评审过程中，同等情况下应优先选择未曾被列入暂停合作供应商清单的供应商。</w:t>
      </w:r>
    </w:p>
    <w:p w14:paraId="0A6AFEF9">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（三）禁止合作供应商</w:t>
      </w:r>
    </w:p>
    <w:p w14:paraId="761E2258">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1.考核标准：供应商发生以下恶意行为的，将直接列入禁止合作供应商清单：</w:t>
      </w:r>
    </w:p>
    <w:p w14:paraId="335E3F60">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（1）主观恶意且对公司生产经营活动造成重大损害的；</w:t>
      </w:r>
    </w:p>
    <w:p w14:paraId="310881CC">
      <w:pPr>
        <w:tabs>
          <w:tab w:val="left" w:pos="2565"/>
        </w:tabs>
        <w:adjustRightInd w:val="0"/>
        <w:snapToGrid w:val="0"/>
        <w:spacing w:line="600" w:lineRule="exact"/>
        <w:ind w:firstLine="680" w:firstLineChars="200"/>
        <w:rPr>
          <w:rFonts w:hint="eastAsia" w:ascii="仿宋_GB2312" w:hAnsi="仿宋" w:eastAsia="仿宋_GB2312"/>
          <w:bCs/>
          <w:sz w:val="34"/>
          <w:szCs w:val="34"/>
        </w:rPr>
      </w:pPr>
      <w:r>
        <w:rPr>
          <w:rFonts w:hint="eastAsia" w:ascii="仿宋_GB2312" w:hAnsi="楷体" w:eastAsia="仿宋_GB2312"/>
          <w:bCs/>
          <w:sz w:val="34"/>
          <w:szCs w:val="34"/>
        </w:rPr>
        <w:t>（2）</w:t>
      </w:r>
      <w:r>
        <w:rPr>
          <w:rFonts w:hint="eastAsia" w:ascii="仿宋_GB2312" w:hAnsi="仿宋" w:eastAsia="仿宋_GB2312"/>
          <w:bCs/>
          <w:sz w:val="34"/>
          <w:szCs w:val="34"/>
        </w:rPr>
        <w:t>恶意法律诉讼起诉我公司最终被法院裁定为败诉的；</w:t>
      </w:r>
    </w:p>
    <w:p w14:paraId="79CC1D69">
      <w:pPr>
        <w:adjustRightInd w:val="0"/>
        <w:snapToGrid w:val="0"/>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w:t>
      </w:r>
      <w:r>
        <w:rPr>
          <w:rFonts w:hint="eastAsia" w:ascii="仿宋_GB2312" w:hAnsi="楷体" w:eastAsia="仿宋_GB2312"/>
          <w:bCs/>
          <w:sz w:val="34"/>
          <w:szCs w:val="34"/>
        </w:rPr>
        <w:t>两次列入暂停合作供应商的；</w:t>
      </w:r>
    </w:p>
    <w:p w14:paraId="3C62A3D5">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（4）</w:t>
      </w:r>
      <w:r>
        <w:rPr>
          <w:rFonts w:hint="eastAsia" w:ascii="仿宋_GB2312" w:hAnsi="仿宋" w:eastAsia="仿宋_GB2312"/>
          <w:bCs/>
          <w:sz w:val="34"/>
          <w:szCs w:val="34"/>
        </w:rPr>
        <w:t>违反廉政协议，滋生腐败现象的；</w:t>
      </w:r>
    </w:p>
    <w:p w14:paraId="42F31674">
      <w:pPr>
        <w:pStyle w:val="2"/>
        <w:adjustRightInd w:val="0"/>
        <w:snapToGrid w:val="0"/>
        <w:spacing w:beforeAutospacing="0" w:afterAutospacing="0" w:line="600" w:lineRule="exact"/>
        <w:ind w:firstLine="680" w:firstLineChars="200"/>
        <w:rPr>
          <w:rFonts w:hint="default"/>
        </w:rPr>
      </w:pPr>
      <w:r>
        <w:rPr>
          <w:rFonts w:ascii="仿宋_GB2312" w:hAnsi="楷体" w:eastAsia="仿宋_GB2312"/>
          <w:b w:val="0"/>
          <w:bCs/>
          <w:sz w:val="34"/>
          <w:szCs w:val="34"/>
        </w:rPr>
        <w:t>（5）存在其他严重侵害公司利益行为的。</w:t>
      </w:r>
    </w:p>
    <w:p w14:paraId="1937676B">
      <w:pPr>
        <w:tabs>
          <w:tab w:val="left" w:pos="2565"/>
        </w:tabs>
        <w:adjustRightInd w:val="0"/>
        <w:snapToGrid w:val="0"/>
        <w:spacing w:line="600" w:lineRule="exact"/>
        <w:ind w:firstLine="680" w:firstLineChars="200"/>
        <w:rPr>
          <w:rFonts w:hint="eastAsia" w:ascii="仿宋_GB2312" w:hAnsi="楷体" w:eastAsia="仿宋_GB2312"/>
          <w:bCs/>
          <w:sz w:val="34"/>
          <w:szCs w:val="34"/>
        </w:rPr>
      </w:pPr>
      <w:r>
        <w:rPr>
          <w:rFonts w:hint="eastAsia" w:ascii="仿宋_GB2312" w:hAnsi="楷体" w:eastAsia="仿宋_GB2312"/>
          <w:bCs/>
          <w:sz w:val="34"/>
          <w:szCs w:val="34"/>
        </w:rPr>
        <w:t>2.管理措施：原则上永久禁止合作。</w:t>
      </w:r>
    </w:p>
    <w:p w14:paraId="798B1D0C">
      <w:pPr>
        <w:spacing w:line="600" w:lineRule="exact"/>
        <w:jc w:val="center"/>
        <w:rPr>
          <w:rFonts w:ascii="黑体" w:hAnsi="黑体" w:eastAsia="黑体"/>
          <w:bCs/>
          <w:sz w:val="34"/>
          <w:szCs w:val="34"/>
        </w:rPr>
      </w:pPr>
      <w:r>
        <w:rPr>
          <w:rFonts w:hint="eastAsia" w:ascii="黑体" w:hAnsi="黑体" w:eastAsia="黑体"/>
          <w:bCs/>
          <w:sz w:val="34"/>
          <w:szCs w:val="34"/>
        </w:rPr>
        <w:t>第四章 积分考核细则</w:t>
      </w:r>
    </w:p>
    <w:p w14:paraId="40D98425">
      <w:pPr>
        <w:spacing w:line="600" w:lineRule="exact"/>
        <w:ind w:firstLine="683" w:firstLineChars="200"/>
        <w:rPr>
          <w:rFonts w:hint="eastAsia" w:ascii="仿宋_GB2312" w:hAnsi="楷体" w:eastAsia="仿宋_GB2312"/>
          <w:bCs/>
          <w:sz w:val="34"/>
          <w:szCs w:val="34"/>
        </w:rPr>
      </w:pPr>
      <w:r>
        <w:rPr>
          <w:rFonts w:hint="eastAsia" w:ascii="仿宋_GB2312" w:hAnsi="楷体" w:eastAsia="仿宋_GB2312"/>
          <w:b/>
          <w:sz w:val="34"/>
          <w:szCs w:val="34"/>
        </w:rPr>
        <w:t xml:space="preserve">第七条 </w:t>
      </w:r>
      <w:r>
        <w:rPr>
          <w:rFonts w:hint="eastAsia" w:ascii="仿宋_GB2312" w:hAnsi="楷体" w:eastAsia="仿宋_GB2312"/>
          <w:bCs/>
          <w:sz w:val="34"/>
          <w:szCs w:val="34"/>
        </w:rPr>
        <w:t>供应商的积分考核主要包括供货质量、交货周期、售后服务、资质信誉等方面，每项各10分，各相关部门均可提出书面考核意见。商务合作部负责对各相关部门提出的考核意见进行收集汇总，并及时公示。</w:t>
      </w:r>
    </w:p>
    <w:p w14:paraId="01B4CA9E">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（一）质量方面</w:t>
      </w:r>
    </w:p>
    <w:p w14:paraId="38B7D7E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1.所供产品出现质量问题，未对公司造成影响，单次扣1-3分。</w:t>
      </w:r>
    </w:p>
    <w:p w14:paraId="33651BD7">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2.所供产品出现质量问题，对公司造成了一定影响，单次扣3-5分。</w:t>
      </w:r>
    </w:p>
    <w:p w14:paraId="7F54040F">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3.所供产品出现质量问题，对公司造成了严重影响，单次扣5-10分。</w:t>
      </w:r>
    </w:p>
    <w:p w14:paraId="19D7E48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4.所供产品故意隐瞒质量缺陷或以次充好，单次扣10分。</w:t>
      </w:r>
    </w:p>
    <w:p w14:paraId="1D0E32F0">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（二）交货方面</w:t>
      </w:r>
    </w:p>
    <w:p w14:paraId="5CA05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1.交货时无质检报告或合格证等必要资料的，单次扣1-3分。</w:t>
      </w:r>
    </w:p>
    <w:p w14:paraId="4006ECA8">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2.交货时未按规定包装的，单次扣1-3分。</w:t>
      </w:r>
    </w:p>
    <w:p w14:paraId="2A30451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3.延期交货，但未对公司造成影响，单次扣1-3分；造成一定影响，单次扣3-5分；造成严重影响，单次扣5-10分。</w:t>
      </w:r>
    </w:p>
    <w:p w14:paraId="20619BA4">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（三）售后方面</w:t>
      </w:r>
    </w:p>
    <w:p w14:paraId="228C5981">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1.对我公司的售后服务要求不能及时响应，单次扣1-3分；已造成一定影响，单次扣3-5分；造成严重影响，单次扣5-10分。</w:t>
      </w:r>
    </w:p>
    <w:p w14:paraId="2DC531C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2.售后人员不能及时解决问题，单次扣1-3分。</w:t>
      </w:r>
    </w:p>
    <w:p w14:paraId="2D9D39E6">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3.在质保期之内，拒绝按合同提供售后服务，单次扣5-10分。</w:t>
      </w:r>
    </w:p>
    <w:p w14:paraId="5D02C3DB">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（四）资信方面</w:t>
      </w:r>
    </w:p>
    <w:p w14:paraId="096C57CC">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1.未提供询价书要求的资质文件、不满足询价书资质要求、报价与技术要求不符等，单次扣1～3 分。   </w:t>
      </w:r>
    </w:p>
    <w:p w14:paraId="19D9F8AC">
      <w:pPr>
        <w:spacing w:line="600" w:lineRule="exact"/>
        <w:ind w:firstLine="680" w:firstLineChars="200"/>
        <w:rPr>
          <w:rFonts w:hint="eastAsia" w:ascii="仿宋_GB2312" w:hAnsi="仿宋" w:eastAsia="仿宋_GB2312"/>
          <w:bCs/>
          <w:sz w:val="34"/>
          <w:szCs w:val="34"/>
        </w:rPr>
      </w:pPr>
      <w:r>
        <w:rPr>
          <w:rFonts w:hint="eastAsia" w:ascii="仿宋_GB2312" w:hAnsi="仿宋" w:eastAsia="仿宋_GB2312"/>
          <w:bCs/>
          <w:sz w:val="34"/>
          <w:szCs w:val="34"/>
        </w:rPr>
        <w:t>2.中选之后因报价、参数错误等原因，报价人放弃成交，单次扣3-5分。</w:t>
      </w:r>
    </w:p>
    <w:p w14:paraId="7215A82D">
      <w:pPr>
        <w:spacing w:line="600" w:lineRule="exact"/>
        <w:rPr>
          <w:rFonts w:hint="eastAsia" w:ascii="仿宋_GB2312" w:hAnsi="仿宋" w:eastAsia="仿宋_GB2312"/>
          <w:bCs/>
          <w:sz w:val="34"/>
          <w:szCs w:val="34"/>
        </w:rPr>
      </w:pPr>
      <w:r>
        <w:rPr>
          <w:rFonts w:hint="eastAsia" w:ascii="仿宋_GB2312" w:hAnsi="仿宋" w:eastAsia="仿宋_GB2312"/>
          <w:bCs/>
          <w:sz w:val="34"/>
          <w:szCs w:val="34"/>
        </w:rPr>
        <w:t xml:space="preserve">    3.中选之后拒绝签订合同或拒绝履行合同，单次扣5-10分。</w:t>
      </w:r>
    </w:p>
    <w:p w14:paraId="46058B2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4.无正当理由未及时开具发票给我方或未按合同约定价格开票，单次扣1-3分。</w:t>
      </w:r>
    </w:p>
    <w:p w14:paraId="0A5AFD35">
      <w:pPr>
        <w:spacing w:line="600" w:lineRule="exact"/>
        <w:ind w:firstLine="680"/>
        <w:rPr>
          <w:rFonts w:ascii="仿宋_GB2312" w:hAnsi="仿宋" w:eastAsia="仿宋_GB2312"/>
          <w:bCs/>
          <w:sz w:val="34"/>
          <w:szCs w:val="34"/>
        </w:rPr>
      </w:pPr>
      <w:r>
        <w:rPr>
          <w:rFonts w:hint="eastAsia" w:ascii="仿宋_GB2312" w:hAnsi="仿宋" w:eastAsia="仿宋_GB2312"/>
          <w:bCs/>
          <w:sz w:val="34"/>
          <w:szCs w:val="34"/>
        </w:rPr>
        <w:t>5.未按照《江苏索普(集团)有限公司工程造价审计管理制度》要求提供工程结算资料，或未按规定进行工程结算确认的，单次扣1-3分。</w:t>
      </w:r>
    </w:p>
    <w:p w14:paraId="36FF70D2">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6.报价人经核实资质造假或因知识产权引起纠纷，单次扣6-10分。</w:t>
      </w:r>
    </w:p>
    <w:p w14:paraId="3536E4F3">
      <w:pPr>
        <w:spacing w:line="600" w:lineRule="exact"/>
        <w:ind w:firstLine="680"/>
        <w:rPr>
          <w:rFonts w:hint="eastAsia" w:ascii="仿宋_GB2312" w:hAnsi="仿宋" w:eastAsia="仿宋_GB2312"/>
          <w:bCs/>
          <w:sz w:val="34"/>
          <w:szCs w:val="34"/>
        </w:rPr>
      </w:pPr>
      <w:r>
        <w:rPr>
          <w:rFonts w:hint="eastAsia" w:ascii="仿宋_GB2312" w:hAnsi="仿宋" w:eastAsia="仿宋_GB2312"/>
          <w:bCs/>
          <w:sz w:val="34"/>
          <w:szCs w:val="34"/>
        </w:rPr>
        <w:t>7.报价低于成本价且无合理说明扰乱公开采购秩序,单次扣10 分。</w:t>
      </w:r>
    </w:p>
    <w:p w14:paraId="0B51BAA6">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第八条 </w:t>
      </w:r>
      <w:r>
        <w:rPr>
          <w:rFonts w:hint="eastAsia" w:ascii="仿宋_GB2312" w:hAnsi="仿宋" w:eastAsia="仿宋_GB2312"/>
          <w:bCs/>
          <w:sz w:val="34"/>
          <w:szCs w:val="34"/>
        </w:rPr>
        <w:t>关于无效投诉的处理办法</w:t>
      </w:r>
    </w:p>
    <w:p w14:paraId="023AE569">
      <w:pPr>
        <w:spacing w:line="600" w:lineRule="exact"/>
        <w:ind w:firstLine="641"/>
        <w:rPr>
          <w:rFonts w:hint="eastAsia" w:ascii="仿宋_GB2312" w:hAnsi="仿宋" w:eastAsia="仿宋_GB2312"/>
          <w:bCs/>
          <w:sz w:val="34"/>
          <w:szCs w:val="34"/>
        </w:rPr>
      </w:pPr>
      <w:r>
        <w:rPr>
          <w:rFonts w:hint="eastAsia" w:ascii="仿宋_GB2312" w:hAnsi="仿宋" w:eastAsia="仿宋_GB2312"/>
          <w:bCs/>
          <w:sz w:val="34"/>
          <w:szCs w:val="34"/>
        </w:rPr>
        <w:t>报价人如对评审结果存有异议，可向监管部门提起投诉。但为了维护公开采购工作的严肃性，报价人所提出的投诉一旦被公司认定为无效投诉，单次扣除投诉人3分；如果报价人仍不接受解释且采取重复投诉，甚至出现捏造事实、无理取闹、聚众围堵、恶意诽谤等严重扰乱公司生产经营秩序的恶劣行为，可再扣除投诉人5-10分；报价人对同一事件进行重复的无效投诉，或一年内累计无效投诉达三次以上（含三次），均直接列入暂停交易清单，情节严重的可直接列入禁止交易供应商清单。</w:t>
      </w:r>
    </w:p>
    <w:p w14:paraId="59862552">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第五章  重要事项</w:t>
      </w:r>
    </w:p>
    <w:p w14:paraId="55C7A0FE">
      <w:pPr>
        <w:pStyle w:val="2"/>
        <w:adjustRightInd w:val="0"/>
        <w:snapToGrid w:val="0"/>
        <w:spacing w:beforeAutospacing="0" w:afterAutospacing="0" w:line="600" w:lineRule="exact"/>
        <w:ind w:firstLine="683" w:firstLineChars="200"/>
        <w:rPr>
          <w:rFonts w:ascii="仿宋_GB2312" w:hAnsi="仿宋" w:eastAsia="仿宋_GB2312"/>
          <w:b w:val="0"/>
          <w:bCs/>
          <w:kern w:val="2"/>
          <w:sz w:val="34"/>
          <w:szCs w:val="34"/>
        </w:rPr>
      </w:pPr>
      <w:r>
        <w:rPr>
          <w:rFonts w:ascii="仿宋_GB2312" w:hAnsi="仿宋" w:eastAsia="仿宋_GB2312"/>
          <w:kern w:val="2"/>
          <w:sz w:val="34"/>
          <w:szCs w:val="34"/>
        </w:rPr>
        <w:t>第九条</w:t>
      </w:r>
      <w:r>
        <w:rPr>
          <w:rFonts w:ascii="仿宋_GB2312" w:hAnsi="仿宋" w:eastAsia="仿宋_GB2312"/>
          <w:b w:val="0"/>
          <w:bCs/>
          <w:kern w:val="2"/>
          <w:sz w:val="34"/>
          <w:szCs w:val="34"/>
        </w:rPr>
        <w:t xml:space="preserve">  为确保集团内部供应商管理的一致性和高效性，各部门应统一按照集团公司制定的供应商管理要求严格执行。</w:t>
      </w:r>
    </w:p>
    <w:p w14:paraId="472F9554">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第十条</w:t>
      </w:r>
      <w:r>
        <w:rPr>
          <w:rFonts w:hint="eastAsia" w:ascii="仿宋_GB2312" w:hAnsi="仿宋" w:eastAsia="仿宋_GB2312"/>
          <w:bCs/>
          <w:sz w:val="34"/>
          <w:szCs w:val="34"/>
        </w:rPr>
        <w:t xml:space="preserve">  各部门将供应商纳入负面清单时应秉持审慎原则，需建立在事实调查与证据收集基础之上，确保决定的合理性与公正性。</w:t>
      </w:r>
    </w:p>
    <w:p w14:paraId="6F089EDC">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第十一条</w:t>
      </w:r>
      <w:r>
        <w:rPr>
          <w:rFonts w:hint="eastAsia" w:ascii="仿宋_GB2312" w:hAnsi="仿宋" w:eastAsia="仿宋_GB2312"/>
          <w:bCs/>
          <w:sz w:val="34"/>
          <w:szCs w:val="34"/>
        </w:rPr>
        <w:t xml:space="preserve">  原则上不得与禁止合作的供应商恢复合作关系。如确因生产需要恢复合作的，须经相关审批流程后方可实施。</w:t>
      </w:r>
    </w:p>
    <w:p w14:paraId="216F7DB8">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第十二条</w:t>
      </w:r>
      <w:r>
        <w:rPr>
          <w:rFonts w:hint="eastAsia" w:ascii="仿宋_GB2312" w:hAnsi="仿宋" w:eastAsia="仿宋_GB2312"/>
          <w:bCs/>
          <w:sz w:val="34"/>
          <w:szCs w:val="34"/>
        </w:rPr>
        <w:t xml:space="preserve">  暂停合作供应商考核满一年后，如主动申请经公司审议符合移出暂停合作清单条件的，各部门无正当理由不得拒绝或拖延将其移出负面清单。</w:t>
      </w:r>
    </w:p>
    <w:p w14:paraId="471BAB3B">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第十三条</w:t>
      </w:r>
      <w:r>
        <w:rPr>
          <w:rFonts w:hint="eastAsia" w:ascii="仿宋_GB2312" w:hAnsi="仿宋" w:eastAsia="仿宋_GB2312"/>
          <w:bCs/>
          <w:sz w:val="34"/>
          <w:szCs w:val="34"/>
        </w:rPr>
        <w:t xml:space="preserve">  如果被暂停合作供应商未能提供有效整改材料或一年内不能完成整改的，相关单位可将其列入禁止合作供应商清单，不再与其开展合作。</w:t>
      </w:r>
    </w:p>
    <w:p w14:paraId="22614CE6">
      <w:pPr>
        <w:adjustRightInd w:val="0"/>
        <w:snapToGrid w:val="0"/>
        <w:spacing w:line="600" w:lineRule="exact"/>
        <w:ind w:firstLine="683" w:firstLineChars="200"/>
        <w:rPr>
          <w:rFonts w:hint="eastAsia" w:ascii="仿宋_GB2312" w:hAnsi="仿宋" w:eastAsia="仿宋_GB2312"/>
          <w:bCs/>
          <w:sz w:val="34"/>
          <w:szCs w:val="34"/>
        </w:rPr>
      </w:pPr>
      <w:r>
        <w:rPr>
          <w:rFonts w:hint="eastAsia" w:ascii="仿宋_GB2312" w:hAnsi="仿宋" w:eastAsia="仿宋_GB2312"/>
          <w:b/>
          <w:sz w:val="34"/>
          <w:szCs w:val="34"/>
        </w:rPr>
        <w:t xml:space="preserve">第十四条 </w:t>
      </w:r>
      <w:r>
        <w:rPr>
          <w:rFonts w:hint="eastAsia" w:ascii="仿宋_GB2312" w:hAnsi="仿宋" w:eastAsia="仿宋_GB2312"/>
          <w:bCs/>
          <w:sz w:val="34"/>
          <w:szCs w:val="34"/>
        </w:rPr>
        <w:t xml:space="preserve"> 各单位、各部门需真实、准确地记录供应商的考核结果，并按照要求及时报送供应商考核信息至集团商务合作部，确保信息及时、透明。</w:t>
      </w:r>
    </w:p>
    <w:p w14:paraId="52AE2B6D">
      <w:pPr>
        <w:adjustRightInd w:val="0"/>
        <w:snapToGrid w:val="0"/>
        <w:spacing w:line="600" w:lineRule="exact"/>
        <w:ind w:firstLine="683" w:firstLineChars="200"/>
        <w:rPr>
          <w:rFonts w:ascii="仿宋_GB2312" w:hAnsi="仿宋" w:eastAsia="仿宋_GB2312"/>
          <w:bCs/>
          <w:sz w:val="34"/>
          <w:szCs w:val="34"/>
        </w:rPr>
      </w:pPr>
      <w:r>
        <w:rPr>
          <w:rFonts w:hint="eastAsia" w:ascii="仿宋_GB2312" w:hAnsi="仿宋" w:eastAsia="仿宋_GB2312"/>
          <w:b/>
          <w:sz w:val="34"/>
          <w:szCs w:val="34"/>
        </w:rPr>
        <w:t>第十五条</w:t>
      </w:r>
      <w:r>
        <w:rPr>
          <w:rFonts w:hint="eastAsia" w:ascii="仿宋_GB2312" w:hAnsi="仿宋" w:eastAsia="仿宋_GB2312"/>
          <w:bCs/>
          <w:sz w:val="34"/>
          <w:szCs w:val="34"/>
        </w:rPr>
        <w:t xml:space="preserve">  对于严重侵害我公司利益的供应商，除按照供应商管理制度进行正常考核外，对于存在违法违规行为的供应商，应依法追究其法律责任，包括但不限于通过法律途径索赔、向相关监管机构举报等。</w:t>
      </w:r>
    </w:p>
    <w:p w14:paraId="25C9F475">
      <w:pPr>
        <w:adjustRightInd w:val="0"/>
        <w:snapToGrid w:val="0"/>
        <w:spacing w:line="600" w:lineRule="exact"/>
        <w:ind w:right="210" w:rightChars="100"/>
        <w:jc w:val="center"/>
        <w:rPr>
          <w:rFonts w:hint="eastAsia" w:ascii="黑体" w:hAnsi="黑体" w:eastAsia="黑体" w:cs="仿宋"/>
          <w:bCs/>
          <w:sz w:val="34"/>
          <w:szCs w:val="34"/>
        </w:rPr>
      </w:pPr>
      <w:r>
        <w:rPr>
          <w:rFonts w:hint="eastAsia" w:ascii="黑体" w:hAnsi="黑体" w:eastAsia="黑体" w:cs="仿宋"/>
          <w:bCs/>
          <w:sz w:val="34"/>
          <w:szCs w:val="34"/>
        </w:rPr>
        <w:t>第六章  附则</w:t>
      </w:r>
    </w:p>
    <w:p w14:paraId="6A007B0C">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第十六条 </w:t>
      </w:r>
      <w:r>
        <w:rPr>
          <w:rFonts w:hint="eastAsia" w:ascii="仿宋_GB2312" w:hAnsi="仿宋" w:eastAsia="仿宋_GB2312"/>
          <w:bCs/>
          <w:sz w:val="34"/>
          <w:szCs w:val="34"/>
        </w:rPr>
        <w:t>各部门、各单位应努力按照公开、公平、公正的原则，做好供应商负面清单的考核和管理工作。</w:t>
      </w:r>
    </w:p>
    <w:p w14:paraId="5997AAAA">
      <w:pPr>
        <w:spacing w:line="600" w:lineRule="exact"/>
        <w:ind w:firstLine="642"/>
        <w:rPr>
          <w:rFonts w:hint="eastAsia" w:ascii="仿宋_GB2312" w:hAnsi="仿宋" w:eastAsia="仿宋_GB2312"/>
          <w:bCs/>
          <w:sz w:val="34"/>
          <w:szCs w:val="34"/>
        </w:rPr>
      </w:pPr>
      <w:r>
        <w:rPr>
          <w:rFonts w:hint="eastAsia" w:ascii="仿宋_GB2312" w:hAnsi="楷体" w:eastAsia="仿宋_GB2312"/>
          <w:b/>
          <w:sz w:val="34"/>
          <w:szCs w:val="34"/>
        </w:rPr>
        <w:t xml:space="preserve">第十七条 </w:t>
      </w:r>
      <w:r>
        <w:rPr>
          <w:rFonts w:hint="eastAsia" w:ascii="仿宋_GB2312" w:hAnsi="仿宋" w:eastAsia="仿宋_GB2312"/>
          <w:bCs/>
          <w:sz w:val="34"/>
          <w:szCs w:val="34"/>
        </w:rPr>
        <w:t>不同单位对同一供应商12个月内的考核扣分累计达到15分及以上的，由集团商务合作部将其列为暂停合作供应商。</w:t>
      </w:r>
    </w:p>
    <w:p w14:paraId="091F86D9">
      <w:pPr>
        <w:spacing w:line="600" w:lineRule="exact"/>
        <w:ind w:firstLine="683" w:firstLineChars="200"/>
        <w:jc w:val="left"/>
        <w:rPr>
          <w:rFonts w:hint="eastAsia" w:ascii="仿宋_GB2312" w:hAnsi="楷体" w:eastAsia="仿宋_GB2312"/>
          <w:bCs/>
          <w:sz w:val="34"/>
          <w:szCs w:val="34"/>
        </w:rPr>
      </w:pPr>
      <w:r>
        <w:rPr>
          <w:rFonts w:hint="eastAsia" w:ascii="仿宋_GB2312" w:hAnsi="楷体" w:eastAsia="仿宋_GB2312"/>
          <w:b/>
          <w:sz w:val="34"/>
          <w:szCs w:val="34"/>
        </w:rPr>
        <w:t>第十八条</w:t>
      </w:r>
      <w:r>
        <w:rPr>
          <w:rFonts w:hint="eastAsia" w:ascii="仿宋_GB2312" w:hAnsi="楷体" w:eastAsia="仿宋_GB2312"/>
          <w:bCs/>
          <w:sz w:val="34"/>
          <w:szCs w:val="34"/>
        </w:rPr>
        <w:t xml:space="preserve"> 自然人、废旧物资处置单位参照本制度进行管理。</w:t>
      </w:r>
    </w:p>
    <w:p w14:paraId="124BE09B">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第十九条</w:t>
      </w:r>
      <w:r>
        <w:rPr>
          <w:rFonts w:hint="eastAsia" w:ascii="仿宋_GB2312" w:hAnsi="楷体" w:eastAsia="仿宋_GB2312"/>
          <w:bCs/>
          <w:sz w:val="34"/>
          <w:szCs w:val="34"/>
        </w:rPr>
        <w:t xml:space="preserve"> 如某一实际控制人所控制的公司被列入负面清单，该实控人直接或间接控制的所有相关公司也视同列入负面清单。</w:t>
      </w:r>
    </w:p>
    <w:p w14:paraId="0B2A0C00">
      <w:pPr>
        <w:spacing w:line="600" w:lineRule="exact"/>
        <w:ind w:firstLine="683" w:firstLineChars="200"/>
        <w:jc w:val="left"/>
        <w:rPr>
          <w:rFonts w:ascii="仿宋_GB2312" w:hAnsi="楷体" w:eastAsia="仿宋_GB2312"/>
          <w:bCs/>
          <w:sz w:val="34"/>
          <w:szCs w:val="34"/>
        </w:rPr>
      </w:pPr>
      <w:r>
        <w:rPr>
          <w:rFonts w:hint="eastAsia" w:ascii="仿宋_GB2312" w:hAnsi="楷体" w:eastAsia="仿宋_GB2312"/>
          <w:b/>
          <w:sz w:val="34"/>
          <w:szCs w:val="34"/>
        </w:rPr>
        <w:t>第二十条</w:t>
      </w:r>
      <w:r>
        <w:rPr>
          <w:rFonts w:hint="eastAsia" w:ascii="仿宋_GB2312" w:hAnsi="楷体" w:eastAsia="仿宋_GB2312"/>
          <w:bCs/>
          <w:sz w:val="34"/>
          <w:szCs w:val="34"/>
        </w:rPr>
        <w:t xml:space="preserve"> 集团公司开发供应商管理信息系统，实现扣分、清单更新、公示全流程线上化，并与采购系统联动拦截违规供应商。</w:t>
      </w:r>
    </w:p>
    <w:p w14:paraId="4FE9C86C">
      <w:pPr>
        <w:spacing w:line="600" w:lineRule="exact"/>
        <w:jc w:val="left"/>
        <w:rPr>
          <w:rFonts w:hint="eastAsia" w:ascii="仿宋_GB2312" w:hAnsi="仿宋" w:eastAsia="仿宋_GB2312"/>
          <w:bCs/>
          <w:sz w:val="34"/>
          <w:szCs w:val="34"/>
        </w:rPr>
        <w:sectPr>
          <w:headerReference r:id="rId3" w:type="default"/>
          <w:footerReference r:id="rId4" w:type="default"/>
          <w:footerReference r:id="rId5" w:type="even"/>
          <w:pgSz w:w="11906" w:h="16838"/>
          <w:pgMar w:top="1701" w:right="1587" w:bottom="1701" w:left="1587" w:header="851" w:footer="1418" w:gutter="0"/>
          <w:cols w:space="720" w:num="1"/>
          <w:docGrid w:linePitch="312" w:charSpace="0"/>
        </w:sectPr>
      </w:pPr>
      <w:r>
        <w:rPr>
          <w:rFonts w:hint="eastAsia" w:ascii="仿宋_GB2312" w:hAnsi="楷体" w:eastAsia="仿宋_GB2312"/>
          <w:bCs/>
          <w:sz w:val="34"/>
          <w:szCs w:val="34"/>
        </w:rPr>
        <w:t>　</w:t>
      </w:r>
      <w:r>
        <w:rPr>
          <w:rFonts w:hint="eastAsia" w:ascii="仿宋_GB2312" w:hAnsi="楷体" w:eastAsia="仿宋_GB2312"/>
          <w:b/>
          <w:sz w:val="34"/>
          <w:szCs w:val="34"/>
        </w:rPr>
        <w:t>　第二十一条</w:t>
      </w:r>
      <w:r>
        <w:rPr>
          <w:rFonts w:hint="eastAsia" w:ascii="仿宋_GB2312" w:hAnsi="楷体" w:eastAsia="仿宋_GB2312"/>
          <w:bCs/>
          <w:sz w:val="34"/>
          <w:szCs w:val="34"/>
        </w:rPr>
        <w:t xml:space="preserve"> </w:t>
      </w:r>
      <w:r>
        <w:rPr>
          <w:rFonts w:hint="eastAsia" w:ascii="仿宋_GB2312" w:hAnsi="仿宋" w:eastAsia="仿宋_GB2312"/>
          <w:bCs/>
          <w:sz w:val="34"/>
          <w:szCs w:val="34"/>
        </w:rPr>
        <w:t>本规定自颁发之日起生效，由商务合作部负责解释，</w:t>
      </w:r>
      <w:r>
        <w:rPr>
          <w:rFonts w:hint="eastAsia" w:ascii="仿宋_GB2312" w:hAnsi="宋体" w:eastAsia="仿宋_GB2312" w:cs="宋体"/>
          <w:bCs/>
          <w:kern w:val="0"/>
          <w:sz w:val="34"/>
          <w:szCs w:val="34"/>
        </w:rPr>
        <w:t>原《索普赛瑞供应商负面清单管理规定（试行）》</w:t>
      </w:r>
      <w:r>
        <w:rPr>
          <w:rFonts w:hint="eastAsia" w:ascii="仿宋_GB2312" w:eastAsia="仿宋_GB2312"/>
          <w:bCs/>
          <w:sz w:val="34"/>
          <w:szCs w:val="34"/>
        </w:rPr>
        <w:t>（苏索瑞企字〔</w:t>
      </w:r>
      <w:r>
        <w:rPr>
          <w:rFonts w:ascii="仿宋_GB2312" w:eastAsia="仿宋_GB2312"/>
          <w:bCs/>
          <w:sz w:val="34"/>
          <w:szCs w:val="34"/>
        </w:rPr>
        <w:t>20</w:t>
      </w:r>
      <w:r>
        <w:rPr>
          <w:rFonts w:hint="eastAsia" w:ascii="仿宋_GB2312" w:eastAsia="仿宋_GB2312"/>
          <w:bCs/>
          <w:sz w:val="34"/>
          <w:szCs w:val="34"/>
        </w:rPr>
        <w:t>23〕28号）同时废止。</w:t>
      </w:r>
    </w:p>
    <w:p w14:paraId="5BAC3859">
      <w:pPr>
        <w:jc w:val="left"/>
        <w:rPr>
          <w:rFonts w:hint="eastAsia" w:ascii="黑体" w:hAnsi="黑体" w:eastAsia="黑体" w:cs="黑体"/>
          <w:bCs/>
          <w:kern w:val="0"/>
          <w:sz w:val="34"/>
          <w:szCs w:val="34"/>
        </w:rPr>
      </w:pPr>
      <w:r>
        <w:rPr>
          <w:rFonts w:hint="eastAsia" w:ascii="黑体" w:hAnsi="黑体" w:eastAsia="黑体" w:cs="黑体"/>
          <w:bCs/>
          <w:kern w:val="0"/>
          <w:sz w:val="34"/>
          <w:szCs w:val="34"/>
        </w:rPr>
        <w:t>附件2</w:t>
      </w:r>
    </w:p>
    <w:tbl>
      <w:tblPr>
        <w:tblStyle w:val="11"/>
        <w:tblW w:w="9679" w:type="dxa"/>
        <w:tblInd w:w="0" w:type="dxa"/>
        <w:tblLayout w:type="fixed"/>
        <w:tblCellMar>
          <w:top w:w="0" w:type="dxa"/>
          <w:left w:w="108" w:type="dxa"/>
          <w:bottom w:w="0" w:type="dxa"/>
          <w:right w:w="108" w:type="dxa"/>
        </w:tblCellMar>
      </w:tblPr>
      <w:tblGrid>
        <w:gridCol w:w="479"/>
        <w:gridCol w:w="1146"/>
        <w:gridCol w:w="903"/>
        <w:gridCol w:w="617"/>
        <w:gridCol w:w="536"/>
        <w:gridCol w:w="560"/>
        <w:gridCol w:w="478"/>
        <w:gridCol w:w="512"/>
        <w:gridCol w:w="551"/>
        <w:gridCol w:w="629"/>
        <w:gridCol w:w="649"/>
        <w:gridCol w:w="820"/>
        <w:gridCol w:w="848"/>
        <w:gridCol w:w="76"/>
        <w:gridCol w:w="329"/>
        <w:gridCol w:w="546"/>
      </w:tblGrid>
      <w:tr w14:paraId="4835A39D">
        <w:tblPrEx>
          <w:tblCellMar>
            <w:top w:w="0" w:type="dxa"/>
            <w:left w:w="108" w:type="dxa"/>
            <w:bottom w:w="0" w:type="dxa"/>
            <w:right w:w="108" w:type="dxa"/>
          </w:tblCellMar>
        </w:tblPrEx>
        <w:trPr>
          <w:trHeight w:val="896" w:hRule="atLeast"/>
        </w:trPr>
        <w:tc>
          <w:tcPr>
            <w:tcW w:w="7880" w:type="dxa"/>
            <w:gridSpan w:val="12"/>
            <w:tcBorders>
              <w:top w:val="nil"/>
              <w:left w:val="nil"/>
              <w:bottom w:val="nil"/>
              <w:right w:val="nil"/>
            </w:tcBorders>
            <w:noWrap w:val="0"/>
            <w:vAlign w:val="center"/>
          </w:tcPr>
          <w:p w14:paraId="1CF59B04">
            <w:pPr>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供应商考核表</w:t>
            </w:r>
          </w:p>
        </w:tc>
        <w:tc>
          <w:tcPr>
            <w:tcW w:w="924" w:type="dxa"/>
            <w:gridSpan w:val="2"/>
            <w:tcBorders>
              <w:top w:val="nil"/>
              <w:left w:val="nil"/>
              <w:bottom w:val="nil"/>
              <w:right w:val="nil"/>
            </w:tcBorders>
            <w:noWrap w:val="0"/>
            <w:vAlign w:val="center"/>
          </w:tcPr>
          <w:p w14:paraId="1C4B02DA">
            <w:pPr>
              <w:jc w:val="center"/>
              <w:rPr>
                <w:rFonts w:hint="eastAsia" w:ascii="方正小标宋简体" w:hAnsi="宋体" w:eastAsia="方正小标宋简体" w:cs="宋体"/>
                <w:bCs/>
                <w:kern w:val="0"/>
                <w:sz w:val="44"/>
                <w:szCs w:val="44"/>
              </w:rPr>
            </w:pPr>
          </w:p>
        </w:tc>
        <w:tc>
          <w:tcPr>
            <w:tcW w:w="875" w:type="dxa"/>
            <w:gridSpan w:val="2"/>
            <w:tcBorders>
              <w:top w:val="nil"/>
              <w:left w:val="nil"/>
              <w:bottom w:val="nil"/>
              <w:right w:val="nil"/>
            </w:tcBorders>
            <w:noWrap w:val="0"/>
            <w:vAlign w:val="center"/>
          </w:tcPr>
          <w:p w14:paraId="2B3BAAA3">
            <w:pPr>
              <w:jc w:val="center"/>
              <w:rPr>
                <w:rFonts w:hint="eastAsia" w:ascii="方正小标宋简体" w:hAnsi="宋体" w:eastAsia="方正小标宋简体" w:cs="宋体"/>
                <w:bCs/>
                <w:kern w:val="0"/>
                <w:sz w:val="44"/>
                <w:szCs w:val="44"/>
              </w:rPr>
            </w:pPr>
          </w:p>
        </w:tc>
      </w:tr>
      <w:tr w14:paraId="2B8CF3D6">
        <w:tblPrEx>
          <w:tblCellMar>
            <w:top w:w="0" w:type="dxa"/>
            <w:left w:w="108" w:type="dxa"/>
            <w:bottom w:w="0" w:type="dxa"/>
            <w:right w:w="108" w:type="dxa"/>
          </w:tblCellMar>
        </w:tblPrEx>
        <w:trPr>
          <w:trHeight w:val="299" w:hRule="atLeast"/>
        </w:trPr>
        <w:tc>
          <w:tcPr>
            <w:tcW w:w="7880" w:type="dxa"/>
            <w:gridSpan w:val="12"/>
            <w:tcBorders>
              <w:top w:val="nil"/>
              <w:left w:val="nil"/>
              <w:bottom w:val="nil"/>
              <w:right w:val="nil"/>
            </w:tcBorders>
            <w:noWrap w:val="0"/>
            <w:vAlign w:val="center"/>
          </w:tcPr>
          <w:p w14:paraId="5180A325">
            <w:pPr>
              <w:jc w:val="left"/>
              <w:rPr>
                <w:rFonts w:hint="eastAsia" w:ascii="宋体" w:hAnsi="宋体" w:cs="宋体"/>
                <w:bCs/>
                <w:kern w:val="0"/>
                <w:sz w:val="24"/>
                <w:szCs w:val="24"/>
              </w:rPr>
            </w:pPr>
            <w:r>
              <w:rPr>
                <w:rFonts w:hint="eastAsia" w:ascii="宋体" w:hAnsi="宋体" w:cs="宋体"/>
                <w:bCs/>
                <w:kern w:val="0"/>
                <w:sz w:val="24"/>
                <w:szCs w:val="24"/>
              </w:rPr>
              <w:t xml:space="preserve">                                                                      　 时间：    年   月   日                                                           </w:t>
            </w:r>
          </w:p>
        </w:tc>
        <w:tc>
          <w:tcPr>
            <w:tcW w:w="924" w:type="dxa"/>
            <w:gridSpan w:val="2"/>
            <w:tcBorders>
              <w:top w:val="nil"/>
              <w:left w:val="nil"/>
              <w:bottom w:val="nil"/>
              <w:right w:val="nil"/>
            </w:tcBorders>
            <w:noWrap w:val="0"/>
            <w:vAlign w:val="center"/>
          </w:tcPr>
          <w:p w14:paraId="6DA95AAC">
            <w:pPr>
              <w:jc w:val="left"/>
              <w:rPr>
                <w:rFonts w:hint="eastAsia" w:ascii="宋体" w:hAnsi="宋体" w:cs="宋体"/>
                <w:bCs/>
                <w:kern w:val="0"/>
                <w:sz w:val="24"/>
                <w:szCs w:val="24"/>
              </w:rPr>
            </w:pPr>
          </w:p>
        </w:tc>
        <w:tc>
          <w:tcPr>
            <w:tcW w:w="875" w:type="dxa"/>
            <w:gridSpan w:val="2"/>
            <w:tcBorders>
              <w:top w:val="nil"/>
              <w:left w:val="nil"/>
              <w:bottom w:val="nil"/>
              <w:right w:val="nil"/>
            </w:tcBorders>
            <w:noWrap w:val="0"/>
            <w:vAlign w:val="center"/>
          </w:tcPr>
          <w:p w14:paraId="6198AA38">
            <w:pPr>
              <w:jc w:val="left"/>
              <w:rPr>
                <w:rFonts w:hint="eastAsia" w:ascii="宋体" w:hAnsi="宋体" w:cs="宋体"/>
                <w:bCs/>
                <w:kern w:val="0"/>
                <w:sz w:val="24"/>
                <w:szCs w:val="24"/>
              </w:rPr>
            </w:pPr>
          </w:p>
        </w:tc>
      </w:tr>
      <w:tr w14:paraId="48CD564D">
        <w:tblPrEx>
          <w:tblCellMar>
            <w:top w:w="0" w:type="dxa"/>
            <w:left w:w="108" w:type="dxa"/>
            <w:bottom w:w="0" w:type="dxa"/>
            <w:right w:w="108" w:type="dxa"/>
          </w:tblCellMar>
        </w:tblPrEx>
        <w:trPr>
          <w:gridAfter w:val="1"/>
          <w:wAfter w:w="546" w:type="dxa"/>
          <w:trHeight w:val="486" w:hRule="atLeast"/>
        </w:trPr>
        <w:tc>
          <w:tcPr>
            <w:tcW w:w="479" w:type="dxa"/>
            <w:vMerge w:val="restart"/>
            <w:tcBorders>
              <w:top w:val="single" w:color="auto" w:sz="4" w:space="0"/>
              <w:left w:val="single" w:color="auto" w:sz="4" w:space="0"/>
              <w:right w:val="single" w:color="auto" w:sz="4" w:space="0"/>
            </w:tcBorders>
            <w:noWrap w:val="0"/>
            <w:vAlign w:val="center"/>
          </w:tcPr>
          <w:p w14:paraId="580B8B39">
            <w:pPr>
              <w:jc w:val="center"/>
              <w:rPr>
                <w:rFonts w:ascii="宋体" w:hAnsi="宋体" w:cs="宋体"/>
                <w:bCs/>
                <w:kern w:val="0"/>
                <w:sz w:val="24"/>
                <w:szCs w:val="24"/>
              </w:rPr>
            </w:pPr>
            <w:r>
              <w:rPr>
                <w:rFonts w:hint="eastAsia" w:ascii="宋体" w:hAnsi="宋体" w:cs="宋体"/>
                <w:bCs/>
                <w:kern w:val="0"/>
                <w:sz w:val="24"/>
                <w:szCs w:val="24"/>
              </w:rPr>
              <w:t>序号</w:t>
            </w:r>
          </w:p>
        </w:tc>
        <w:tc>
          <w:tcPr>
            <w:tcW w:w="1146" w:type="dxa"/>
            <w:vMerge w:val="restart"/>
            <w:tcBorders>
              <w:top w:val="single" w:color="auto" w:sz="4" w:space="0"/>
              <w:left w:val="single" w:color="auto" w:sz="4" w:space="0"/>
              <w:right w:val="single" w:color="auto" w:sz="4" w:space="0"/>
            </w:tcBorders>
            <w:noWrap w:val="0"/>
            <w:vAlign w:val="center"/>
          </w:tcPr>
          <w:p w14:paraId="2091EADB">
            <w:pPr>
              <w:jc w:val="center"/>
              <w:rPr>
                <w:rFonts w:ascii="宋体" w:hAnsi="宋体" w:cs="宋体"/>
                <w:bCs/>
                <w:kern w:val="0"/>
                <w:sz w:val="24"/>
                <w:szCs w:val="24"/>
              </w:rPr>
            </w:pPr>
            <w:r>
              <w:rPr>
                <w:rFonts w:hint="eastAsia" w:ascii="宋体" w:hAnsi="宋体" w:cs="宋体"/>
                <w:bCs/>
                <w:kern w:val="0"/>
                <w:sz w:val="24"/>
                <w:szCs w:val="24"/>
              </w:rPr>
              <w:t>企业名称</w:t>
            </w:r>
          </w:p>
        </w:tc>
        <w:tc>
          <w:tcPr>
            <w:tcW w:w="903" w:type="dxa"/>
            <w:vMerge w:val="restart"/>
            <w:tcBorders>
              <w:top w:val="single" w:color="auto" w:sz="4" w:space="0"/>
              <w:left w:val="single" w:color="auto" w:sz="4" w:space="0"/>
              <w:right w:val="single" w:color="auto" w:sz="4" w:space="0"/>
            </w:tcBorders>
            <w:noWrap w:val="0"/>
            <w:vAlign w:val="center"/>
          </w:tcPr>
          <w:p w14:paraId="26ECD50F">
            <w:pPr>
              <w:jc w:val="center"/>
              <w:rPr>
                <w:rFonts w:ascii="宋体" w:hAnsi="宋体" w:cs="宋体"/>
                <w:bCs/>
                <w:kern w:val="0"/>
                <w:sz w:val="24"/>
                <w:szCs w:val="24"/>
              </w:rPr>
            </w:pPr>
            <w:r>
              <w:rPr>
                <w:rFonts w:hint="eastAsia" w:ascii="宋体" w:hAnsi="宋体" w:cs="宋体"/>
                <w:bCs/>
                <w:kern w:val="0"/>
                <w:sz w:val="24"/>
                <w:szCs w:val="24"/>
              </w:rPr>
              <w:t>供货产品</w:t>
            </w:r>
          </w:p>
        </w:tc>
        <w:tc>
          <w:tcPr>
            <w:tcW w:w="3254" w:type="dxa"/>
            <w:gridSpan w:val="6"/>
            <w:tcBorders>
              <w:top w:val="single" w:color="auto" w:sz="4" w:space="0"/>
              <w:left w:val="single" w:color="auto" w:sz="4" w:space="0"/>
              <w:bottom w:val="single" w:color="auto" w:sz="4" w:space="0"/>
              <w:right w:val="single" w:color="auto" w:sz="4" w:space="0"/>
            </w:tcBorders>
            <w:noWrap w:val="0"/>
            <w:vAlign w:val="center"/>
          </w:tcPr>
          <w:p w14:paraId="44739F46">
            <w:pPr>
              <w:jc w:val="center"/>
              <w:rPr>
                <w:rFonts w:ascii="宋体" w:hAnsi="宋体" w:cs="宋体"/>
                <w:bCs/>
                <w:kern w:val="0"/>
                <w:sz w:val="24"/>
                <w:szCs w:val="24"/>
              </w:rPr>
            </w:pPr>
            <w:r>
              <w:rPr>
                <w:rFonts w:hint="eastAsia" w:ascii="宋体" w:hAnsi="宋体" w:cs="宋体"/>
                <w:bCs/>
                <w:kern w:val="0"/>
                <w:sz w:val="24"/>
                <w:szCs w:val="24"/>
              </w:rPr>
              <w:t>考核扣分</w:t>
            </w: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14:paraId="7502B7E9">
            <w:pPr>
              <w:jc w:val="center"/>
              <w:rPr>
                <w:rFonts w:hint="eastAsia" w:ascii="宋体" w:hAnsi="宋体" w:cs="宋体"/>
                <w:bCs/>
                <w:kern w:val="0"/>
                <w:sz w:val="24"/>
                <w:szCs w:val="24"/>
              </w:rPr>
            </w:pPr>
            <w:r>
              <w:rPr>
                <w:rFonts w:hint="eastAsia" w:ascii="宋体" w:hAnsi="宋体" w:cs="宋体"/>
                <w:bCs/>
                <w:kern w:val="0"/>
                <w:sz w:val="24"/>
                <w:szCs w:val="24"/>
              </w:rPr>
              <w:t>扣分时间</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14:paraId="3AC80281">
            <w:pPr>
              <w:jc w:val="center"/>
              <w:rPr>
                <w:rFonts w:hint="eastAsia" w:ascii="宋体" w:hAnsi="宋体" w:cs="宋体"/>
                <w:bCs/>
                <w:kern w:val="0"/>
                <w:sz w:val="24"/>
                <w:szCs w:val="24"/>
              </w:rPr>
            </w:pPr>
            <w:r>
              <w:rPr>
                <w:rFonts w:hint="eastAsia" w:ascii="宋体" w:hAnsi="宋体" w:cs="宋体"/>
                <w:bCs/>
                <w:kern w:val="0"/>
                <w:sz w:val="24"/>
                <w:szCs w:val="24"/>
              </w:rPr>
              <w:t>总体评估</w:t>
            </w:r>
          </w:p>
        </w:tc>
        <w:tc>
          <w:tcPr>
            <w:tcW w:w="405" w:type="dxa"/>
            <w:gridSpan w:val="2"/>
            <w:vMerge w:val="restart"/>
            <w:tcBorders>
              <w:top w:val="single" w:color="auto" w:sz="4" w:space="0"/>
              <w:left w:val="single" w:color="auto" w:sz="4" w:space="0"/>
              <w:right w:val="single" w:color="auto" w:sz="4" w:space="0"/>
            </w:tcBorders>
            <w:noWrap w:val="0"/>
            <w:vAlign w:val="center"/>
          </w:tcPr>
          <w:p w14:paraId="0E1C290F">
            <w:pPr>
              <w:jc w:val="center"/>
              <w:rPr>
                <w:rFonts w:hint="eastAsia" w:ascii="宋体" w:hAnsi="宋体" w:cs="宋体"/>
                <w:bCs/>
                <w:kern w:val="0"/>
                <w:sz w:val="24"/>
                <w:szCs w:val="24"/>
              </w:rPr>
            </w:pPr>
            <w:r>
              <w:rPr>
                <w:rFonts w:hint="eastAsia" w:ascii="宋体" w:hAnsi="宋体" w:cs="宋体"/>
                <w:bCs/>
                <w:kern w:val="0"/>
                <w:sz w:val="24"/>
                <w:szCs w:val="24"/>
              </w:rPr>
              <w:t>备注</w:t>
            </w:r>
          </w:p>
        </w:tc>
      </w:tr>
      <w:tr w14:paraId="5CFB9F02">
        <w:tblPrEx>
          <w:tblCellMar>
            <w:top w:w="0" w:type="dxa"/>
            <w:left w:w="108" w:type="dxa"/>
            <w:bottom w:w="0" w:type="dxa"/>
            <w:right w:w="108" w:type="dxa"/>
          </w:tblCellMar>
        </w:tblPrEx>
        <w:trPr>
          <w:gridAfter w:val="1"/>
          <w:wAfter w:w="546" w:type="dxa"/>
          <w:trHeight w:val="607" w:hRule="atLeast"/>
        </w:trPr>
        <w:tc>
          <w:tcPr>
            <w:tcW w:w="479" w:type="dxa"/>
            <w:vMerge w:val="continue"/>
            <w:tcBorders>
              <w:left w:val="single" w:color="auto" w:sz="4" w:space="0"/>
              <w:bottom w:val="single" w:color="auto" w:sz="4" w:space="0"/>
              <w:right w:val="single" w:color="auto" w:sz="4" w:space="0"/>
            </w:tcBorders>
            <w:noWrap w:val="0"/>
            <w:vAlign w:val="center"/>
          </w:tcPr>
          <w:p w14:paraId="6BABF011">
            <w:pPr>
              <w:jc w:val="center"/>
              <w:rPr>
                <w:rFonts w:ascii="宋体" w:hAnsi="宋体" w:cs="宋体"/>
                <w:bCs/>
                <w:kern w:val="0"/>
                <w:sz w:val="24"/>
                <w:szCs w:val="24"/>
              </w:rPr>
            </w:pPr>
          </w:p>
        </w:tc>
        <w:tc>
          <w:tcPr>
            <w:tcW w:w="1146" w:type="dxa"/>
            <w:vMerge w:val="continue"/>
            <w:tcBorders>
              <w:left w:val="single" w:color="auto" w:sz="4" w:space="0"/>
              <w:bottom w:val="single" w:color="auto" w:sz="4" w:space="0"/>
              <w:right w:val="single" w:color="auto" w:sz="4" w:space="0"/>
            </w:tcBorders>
            <w:noWrap w:val="0"/>
            <w:vAlign w:val="center"/>
          </w:tcPr>
          <w:p w14:paraId="42D97068">
            <w:pPr>
              <w:jc w:val="center"/>
              <w:rPr>
                <w:rFonts w:ascii="宋体" w:hAnsi="宋体" w:cs="宋体"/>
                <w:bCs/>
                <w:kern w:val="0"/>
                <w:sz w:val="24"/>
                <w:szCs w:val="24"/>
              </w:rPr>
            </w:pPr>
          </w:p>
        </w:tc>
        <w:tc>
          <w:tcPr>
            <w:tcW w:w="903" w:type="dxa"/>
            <w:vMerge w:val="continue"/>
            <w:tcBorders>
              <w:left w:val="single" w:color="auto" w:sz="4" w:space="0"/>
              <w:bottom w:val="single" w:color="auto" w:sz="4" w:space="0"/>
              <w:right w:val="single" w:color="auto" w:sz="4" w:space="0"/>
            </w:tcBorders>
            <w:noWrap w:val="0"/>
            <w:vAlign w:val="center"/>
          </w:tcPr>
          <w:p w14:paraId="4AFFC5A5">
            <w:pPr>
              <w:jc w:val="center"/>
              <w:rPr>
                <w:rFonts w:ascii="宋体" w:hAnsi="宋体" w:cs="宋体"/>
                <w:bCs/>
                <w:kern w:val="0"/>
                <w:sz w:val="24"/>
                <w:szCs w:val="24"/>
              </w:rPr>
            </w:pPr>
          </w:p>
        </w:tc>
        <w:tc>
          <w:tcPr>
            <w:tcW w:w="617" w:type="dxa"/>
            <w:tcBorders>
              <w:top w:val="single" w:color="auto" w:sz="4" w:space="0"/>
              <w:left w:val="nil"/>
              <w:bottom w:val="single" w:color="auto" w:sz="4" w:space="0"/>
              <w:right w:val="single" w:color="auto" w:sz="4" w:space="0"/>
            </w:tcBorders>
            <w:noWrap w:val="0"/>
            <w:vAlign w:val="center"/>
          </w:tcPr>
          <w:p w14:paraId="2218BEDA">
            <w:pPr>
              <w:jc w:val="center"/>
              <w:rPr>
                <w:rFonts w:ascii="宋体" w:hAnsi="宋体" w:cs="宋体"/>
                <w:bCs/>
                <w:kern w:val="0"/>
                <w:sz w:val="24"/>
                <w:szCs w:val="24"/>
              </w:rPr>
            </w:pPr>
            <w:r>
              <w:rPr>
                <w:rFonts w:hint="eastAsia" w:ascii="宋体" w:hAnsi="宋体" w:cs="宋体"/>
                <w:bCs/>
                <w:kern w:val="0"/>
                <w:sz w:val="24"/>
                <w:szCs w:val="24"/>
              </w:rPr>
              <w:t>质量</w:t>
            </w:r>
          </w:p>
        </w:tc>
        <w:tc>
          <w:tcPr>
            <w:tcW w:w="536" w:type="dxa"/>
            <w:tcBorders>
              <w:top w:val="single" w:color="auto" w:sz="4" w:space="0"/>
              <w:left w:val="nil"/>
              <w:bottom w:val="single" w:color="auto" w:sz="4" w:space="0"/>
              <w:right w:val="single" w:color="auto" w:sz="4" w:space="0"/>
            </w:tcBorders>
            <w:noWrap w:val="0"/>
            <w:vAlign w:val="center"/>
          </w:tcPr>
          <w:p w14:paraId="1DEA71A1">
            <w:pPr>
              <w:jc w:val="center"/>
              <w:rPr>
                <w:rFonts w:ascii="宋体" w:hAnsi="宋体" w:cs="宋体"/>
                <w:bCs/>
                <w:kern w:val="0"/>
                <w:sz w:val="24"/>
                <w:szCs w:val="24"/>
              </w:rPr>
            </w:pPr>
            <w:r>
              <w:rPr>
                <w:rFonts w:hint="eastAsia" w:ascii="宋体" w:hAnsi="宋体" w:cs="宋体"/>
                <w:bCs/>
                <w:kern w:val="0"/>
                <w:sz w:val="24"/>
                <w:szCs w:val="24"/>
              </w:rPr>
              <w:t>交货</w:t>
            </w:r>
          </w:p>
        </w:tc>
        <w:tc>
          <w:tcPr>
            <w:tcW w:w="560" w:type="dxa"/>
            <w:tcBorders>
              <w:top w:val="single" w:color="auto" w:sz="4" w:space="0"/>
              <w:left w:val="nil"/>
              <w:bottom w:val="single" w:color="auto" w:sz="4" w:space="0"/>
              <w:right w:val="single" w:color="auto" w:sz="4" w:space="0"/>
            </w:tcBorders>
            <w:noWrap w:val="0"/>
            <w:vAlign w:val="center"/>
          </w:tcPr>
          <w:p w14:paraId="06DEDB5D">
            <w:pPr>
              <w:jc w:val="center"/>
              <w:rPr>
                <w:rFonts w:ascii="宋体" w:hAnsi="宋体" w:cs="宋体"/>
                <w:bCs/>
                <w:kern w:val="0"/>
                <w:sz w:val="24"/>
                <w:szCs w:val="24"/>
              </w:rPr>
            </w:pPr>
            <w:r>
              <w:rPr>
                <w:rFonts w:hint="eastAsia" w:ascii="宋体" w:hAnsi="宋体" w:cs="宋体"/>
                <w:bCs/>
                <w:kern w:val="0"/>
                <w:sz w:val="24"/>
                <w:szCs w:val="24"/>
              </w:rPr>
              <w:t>售后</w:t>
            </w:r>
          </w:p>
        </w:tc>
        <w:tc>
          <w:tcPr>
            <w:tcW w:w="478" w:type="dxa"/>
            <w:tcBorders>
              <w:top w:val="single" w:color="auto" w:sz="4" w:space="0"/>
              <w:left w:val="nil"/>
              <w:bottom w:val="single" w:color="auto" w:sz="4" w:space="0"/>
              <w:right w:val="single" w:color="auto" w:sz="4" w:space="0"/>
            </w:tcBorders>
            <w:noWrap w:val="0"/>
            <w:vAlign w:val="center"/>
          </w:tcPr>
          <w:p w14:paraId="7B70BF3C">
            <w:pPr>
              <w:jc w:val="center"/>
              <w:rPr>
                <w:rFonts w:ascii="宋体" w:hAnsi="宋体" w:cs="宋体"/>
                <w:bCs/>
                <w:kern w:val="0"/>
                <w:sz w:val="24"/>
                <w:szCs w:val="24"/>
              </w:rPr>
            </w:pPr>
            <w:r>
              <w:rPr>
                <w:rFonts w:hint="eastAsia" w:ascii="宋体" w:hAnsi="宋体" w:cs="宋体"/>
                <w:bCs/>
                <w:kern w:val="0"/>
                <w:sz w:val="24"/>
                <w:szCs w:val="24"/>
              </w:rPr>
              <w:t>资信</w:t>
            </w:r>
          </w:p>
        </w:tc>
        <w:tc>
          <w:tcPr>
            <w:tcW w:w="512" w:type="dxa"/>
            <w:tcBorders>
              <w:top w:val="single" w:color="auto" w:sz="4" w:space="0"/>
              <w:left w:val="nil"/>
              <w:bottom w:val="single" w:color="auto" w:sz="4" w:space="0"/>
              <w:right w:val="single" w:color="auto" w:sz="4" w:space="0"/>
            </w:tcBorders>
            <w:noWrap w:val="0"/>
            <w:vAlign w:val="center"/>
          </w:tcPr>
          <w:p w14:paraId="3D391627">
            <w:pPr>
              <w:jc w:val="center"/>
              <w:rPr>
                <w:rFonts w:hint="eastAsia" w:ascii="宋体" w:hAnsi="宋体" w:cs="宋体"/>
                <w:bCs/>
                <w:kern w:val="0"/>
                <w:sz w:val="24"/>
                <w:szCs w:val="24"/>
              </w:rPr>
            </w:pPr>
            <w:r>
              <w:rPr>
                <w:rFonts w:hint="eastAsia" w:ascii="宋体" w:hAnsi="宋体" w:cs="宋体"/>
                <w:bCs/>
                <w:kern w:val="0"/>
                <w:sz w:val="24"/>
                <w:szCs w:val="24"/>
              </w:rPr>
              <w:t>其他</w:t>
            </w:r>
          </w:p>
        </w:tc>
        <w:tc>
          <w:tcPr>
            <w:tcW w:w="551" w:type="dxa"/>
            <w:tcBorders>
              <w:top w:val="single" w:color="auto" w:sz="4" w:space="0"/>
              <w:left w:val="nil"/>
              <w:bottom w:val="single" w:color="auto" w:sz="4" w:space="0"/>
              <w:right w:val="single" w:color="auto" w:sz="4" w:space="0"/>
            </w:tcBorders>
            <w:noWrap w:val="0"/>
            <w:vAlign w:val="center"/>
          </w:tcPr>
          <w:p w14:paraId="3D738442">
            <w:pPr>
              <w:jc w:val="center"/>
              <w:rPr>
                <w:rFonts w:ascii="宋体" w:hAnsi="宋体" w:cs="宋体"/>
                <w:bCs/>
                <w:kern w:val="0"/>
                <w:sz w:val="24"/>
                <w:szCs w:val="24"/>
              </w:rPr>
            </w:pPr>
            <w:r>
              <w:rPr>
                <w:rFonts w:hint="eastAsia" w:ascii="宋体" w:hAnsi="宋体" w:cs="宋体"/>
                <w:bCs/>
                <w:kern w:val="0"/>
                <w:sz w:val="24"/>
                <w:szCs w:val="24"/>
              </w:rPr>
              <w:t>累计</w:t>
            </w:r>
          </w:p>
        </w:tc>
        <w:tc>
          <w:tcPr>
            <w:tcW w:w="629" w:type="dxa"/>
            <w:vMerge w:val="continue"/>
            <w:tcBorders>
              <w:top w:val="single" w:color="auto" w:sz="4" w:space="0"/>
              <w:left w:val="nil"/>
              <w:bottom w:val="single" w:color="auto" w:sz="4" w:space="0"/>
              <w:right w:val="single" w:color="auto" w:sz="4" w:space="0"/>
            </w:tcBorders>
            <w:noWrap w:val="0"/>
            <w:vAlign w:val="center"/>
          </w:tcPr>
          <w:p w14:paraId="0264DB68">
            <w:pPr>
              <w:jc w:val="center"/>
              <w:rPr>
                <w:rFonts w:ascii="宋体" w:hAnsi="宋体" w:cs="宋体"/>
                <w:bCs/>
                <w:kern w:val="0"/>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14:paraId="54548A75">
            <w:pPr>
              <w:jc w:val="center"/>
              <w:rPr>
                <w:rFonts w:hint="eastAsia" w:ascii="宋体" w:hAnsi="宋体" w:cs="宋体"/>
                <w:bCs/>
                <w:kern w:val="0"/>
                <w:sz w:val="24"/>
                <w:szCs w:val="24"/>
              </w:rPr>
            </w:pPr>
            <w:r>
              <w:rPr>
                <w:rFonts w:hint="eastAsia" w:ascii="宋体" w:hAnsi="宋体" w:cs="宋体"/>
                <w:bCs/>
                <w:kern w:val="0"/>
                <w:sz w:val="24"/>
                <w:szCs w:val="24"/>
              </w:rPr>
              <w:t>合格供应商</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9C3077A">
            <w:pPr>
              <w:jc w:val="center"/>
              <w:rPr>
                <w:rFonts w:ascii="宋体" w:hAnsi="宋体" w:cs="宋体"/>
                <w:bCs/>
                <w:kern w:val="0"/>
                <w:sz w:val="24"/>
                <w:szCs w:val="24"/>
              </w:rPr>
            </w:pPr>
            <w:r>
              <w:rPr>
                <w:rFonts w:hint="eastAsia" w:ascii="宋体" w:hAnsi="宋体" w:cs="宋体"/>
                <w:bCs/>
                <w:kern w:val="0"/>
                <w:sz w:val="24"/>
                <w:szCs w:val="24"/>
              </w:rPr>
              <w:t>暂停合作供应商</w:t>
            </w:r>
          </w:p>
        </w:tc>
        <w:tc>
          <w:tcPr>
            <w:tcW w:w="848" w:type="dxa"/>
            <w:tcBorders>
              <w:top w:val="single" w:color="auto" w:sz="4" w:space="0"/>
              <w:left w:val="nil"/>
              <w:bottom w:val="single" w:color="auto" w:sz="4" w:space="0"/>
              <w:right w:val="single" w:color="auto" w:sz="4" w:space="0"/>
            </w:tcBorders>
            <w:noWrap w:val="0"/>
            <w:vAlign w:val="center"/>
          </w:tcPr>
          <w:p w14:paraId="30C73924">
            <w:pPr>
              <w:jc w:val="center"/>
              <w:rPr>
                <w:rFonts w:hint="eastAsia" w:ascii="宋体" w:hAnsi="宋体" w:cs="宋体"/>
                <w:bCs/>
                <w:kern w:val="0"/>
                <w:sz w:val="24"/>
                <w:szCs w:val="24"/>
              </w:rPr>
            </w:pPr>
            <w:r>
              <w:rPr>
                <w:rFonts w:hint="eastAsia" w:ascii="宋体" w:hAnsi="宋体" w:cs="宋体"/>
                <w:bCs/>
                <w:kern w:val="0"/>
                <w:sz w:val="24"/>
                <w:szCs w:val="24"/>
              </w:rPr>
              <w:t>禁止合作供应商</w:t>
            </w:r>
          </w:p>
        </w:tc>
        <w:tc>
          <w:tcPr>
            <w:tcW w:w="405" w:type="dxa"/>
            <w:gridSpan w:val="2"/>
            <w:vMerge w:val="continue"/>
            <w:tcBorders>
              <w:left w:val="single" w:color="auto" w:sz="4" w:space="0"/>
              <w:bottom w:val="single" w:color="auto" w:sz="4" w:space="0"/>
              <w:right w:val="single" w:color="auto" w:sz="4" w:space="0"/>
            </w:tcBorders>
            <w:noWrap w:val="0"/>
            <w:vAlign w:val="center"/>
          </w:tcPr>
          <w:p w14:paraId="076CC626">
            <w:pPr>
              <w:jc w:val="center"/>
              <w:rPr>
                <w:rFonts w:hint="eastAsia" w:ascii="宋体" w:hAnsi="宋体" w:cs="宋体"/>
                <w:bCs/>
                <w:kern w:val="0"/>
                <w:sz w:val="24"/>
                <w:szCs w:val="24"/>
              </w:rPr>
            </w:pPr>
          </w:p>
        </w:tc>
      </w:tr>
      <w:tr w14:paraId="3602F168">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8F739FD">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8022D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548C10E1">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1F916AC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4BA56E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2DDD311">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652C84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272BF127">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177A380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F38FF22">
            <w:pPr>
              <w:jc w:val="center"/>
              <w:rPr>
                <w:rFonts w:hint="eastAsia" w:ascii="宋体" w:hAnsi="宋体" w:cs="宋体"/>
                <w:bCs/>
                <w:kern w:val="0"/>
                <w:sz w:val="24"/>
                <w:szCs w:val="24"/>
              </w:rPr>
            </w:pPr>
          </w:p>
        </w:tc>
        <w:tc>
          <w:tcPr>
            <w:tcW w:w="649" w:type="dxa"/>
            <w:tcBorders>
              <w:top w:val="single" w:color="auto" w:sz="4" w:space="0"/>
              <w:left w:val="nil"/>
              <w:bottom w:val="single" w:color="auto" w:sz="4" w:space="0"/>
              <w:right w:val="single" w:color="auto" w:sz="4" w:space="0"/>
            </w:tcBorders>
            <w:noWrap w:val="0"/>
            <w:vAlign w:val="center"/>
          </w:tcPr>
          <w:p w14:paraId="0CDC281F">
            <w:pPr>
              <w:jc w:val="center"/>
              <w:rPr>
                <w:rFonts w:ascii="Calibri" w:hAnsi="Calibri" w:cs="宋体"/>
                <w:bCs/>
                <w:kern w:val="0"/>
                <w:sz w:val="24"/>
                <w:szCs w:val="24"/>
              </w:rPr>
            </w:pPr>
          </w:p>
        </w:tc>
        <w:tc>
          <w:tcPr>
            <w:tcW w:w="820" w:type="dxa"/>
            <w:tcBorders>
              <w:top w:val="single" w:color="auto" w:sz="4" w:space="0"/>
              <w:left w:val="nil"/>
              <w:bottom w:val="single" w:color="auto" w:sz="4" w:space="0"/>
              <w:right w:val="single" w:color="auto" w:sz="4" w:space="0"/>
            </w:tcBorders>
            <w:noWrap w:val="0"/>
            <w:vAlign w:val="center"/>
          </w:tcPr>
          <w:p w14:paraId="038260C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D205448">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37D29AC">
            <w:pPr>
              <w:jc w:val="center"/>
              <w:rPr>
                <w:rFonts w:ascii="Calibri" w:hAnsi="Calibri" w:cs="宋体"/>
                <w:bCs/>
                <w:kern w:val="0"/>
                <w:sz w:val="24"/>
                <w:szCs w:val="24"/>
              </w:rPr>
            </w:pPr>
          </w:p>
        </w:tc>
      </w:tr>
      <w:tr w14:paraId="5F49E593">
        <w:tblPrEx>
          <w:tblCellMar>
            <w:top w:w="0" w:type="dxa"/>
            <w:left w:w="108" w:type="dxa"/>
            <w:bottom w:w="0" w:type="dxa"/>
            <w:right w:w="108" w:type="dxa"/>
          </w:tblCellMar>
        </w:tblPrEx>
        <w:trPr>
          <w:gridAfter w:val="1"/>
          <w:wAfter w:w="546" w:type="dxa"/>
          <w:trHeight w:val="338" w:hRule="atLeast"/>
        </w:trPr>
        <w:tc>
          <w:tcPr>
            <w:tcW w:w="479" w:type="dxa"/>
            <w:tcBorders>
              <w:top w:val="nil"/>
              <w:left w:val="single" w:color="auto" w:sz="4" w:space="0"/>
              <w:bottom w:val="single" w:color="auto" w:sz="4" w:space="0"/>
              <w:right w:val="single" w:color="auto" w:sz="4" w:space="0"/>
            </w:tcBorders>
            <w:noWrap w:val="0"/>
            <w:vAlign w:val="center"/>
          </w:tcPr>
          <w:p w14:paraId="2D0069BA">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00D1C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754CFE7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93D827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664FB30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9400B73">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C245DC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33874F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F3EE25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47CCF85">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408F1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6303FC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05037E9">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3A50DB4C">
            <w:pPr>
              <w:jc w:val="center"/>
              <w:rPr>
                <w:rFonts w:ascii="Calibri" w:hAnsi="Calibri" w:cs="宋体"/>
                <w:bCs/>
                <w:kern w:val="0"/>
                <w:sz w:val="24"/>
                <w:szCs w:val="24"/>
              </w:rPr>
            </w:pPr>
          </w:p>
        </w:tc>
      </w:tr>
      <w:tr w14:paraId="50F3BCEA">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AD9C81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0B1AAB">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5E715D9">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7C2867FF">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078781A">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290615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26F1F310">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388E5B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9E48CBC">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06AEF62">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F241460">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B0BCB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4E8EA7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46D57C12">
            <w:pPr>
              <w:jc w:val="center"/>
              <w:rPr>
                <w:rFonts w:ascii="Calibri" w:hAnsi="Calibri" w:cs="宋体"/>
                <w:bCs/>
                <w:kern w:val="0"/>
                <w:sz w:val="24"/>
                <w:szCs w:val="24"/>
              </w:rPr>
            </w:pPr>
          </w:p>
        </w:tc>
      </w:tr>
      <w:tr w14:paraId="275BAE67">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3E0D7C8">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0BB80B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1296C66">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3FF04E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A1B8FD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76C31F8F">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ED9EE16">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E04D4D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B58F0BF">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B202483">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D76D31">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4020D85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B3EAEB2">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70E598B">
            <w:pPr>
              <w:jc w:val="center"/>
              <w:rPr>
                <w:rFonts w:ascii="Calibri" w:hAnsi="Calibri" w:cs="宋体"/>
                <w:bCs/>
                <w:kern w:val="0"/>
                <w:sz w:val="24"/>
                <w:szCs w:val="24"/>
              </w:rPr>
            </w:pPr>
          </w:p>
        </w:tc>
      </w:tr>
      <w:tr w14:paraId="247E0CF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D87C72B">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6A90B8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A68D02C">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42765B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85145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390A879E">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1C0ADA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3DB4633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1886EFA">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38F3420">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3637481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7C31751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621E95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F093E8B">
            <w:pPr>
              <w:jc w:val="center"/>
              <w:rPr>
                <w:rFonts w:ascii="Calibri" w:hAnsi="Calibri" w:cs="宋体"/>
                <w:bCs/>
                <w:kern w:val="0"/>
                <w:sz w:val="24"/>
                <w:szCs w:val="24"/>
              </w:rPr>
            </w:pPr>
          </w:p>
        </w:tc>
      </w:tr>
      <w:tr w14:paraId="574C27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A155870">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B9AA29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10EF5ED">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C978BC3">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1B3A1A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2A211D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7DB6929">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FB5AC79">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410B193">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0FC2EC1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D64FD3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9BCAD4B">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82A2C4C">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5E45E2B">
            <w:pPr>
              <w:jc w:val="center"/>
              <w:rPr>
                <w:rFonts w:ascii="Calibri" w:hAnsi="Calibri" w:cs="宋体"/>
                <w:bCs/>
                <w:kern w:val="0"/>
                <w:sz w:val="24"/>
                <w:szCs w:val="24"/>
              </w:rPr>
            </w:pPr>
          </w:p>
        </w:tc>
      </w:tr>
      <w:tr w14:paraId="1A820DB0">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2C3F649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933B033">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E91233F">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D66170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6BE32C4">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4BBE0C8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5BB2EC2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95AD11D">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8793097">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E62569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6C6B17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018A24B3">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935FA2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6F1A2286">
            <w:pPr>
              <w:jc w:val="center"/>
              <w:rPr>
                <w:rFonts w:ascii="Calibri" w:hAnsi="Calibri" w:cs="宋体"/>
                <w:bCs/>
                <w:kern w:val="0"/>
                <w:sz w:val="24"/>
                <w:szCs w:val="24"/>
              </w:rPr>
            </w:pPr>
          </w:p>
        </w:tc>
      </w:tr>
      <w:tr w14:paraId="0372E039">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64900575">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CEB9129">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0D9CB7B8">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EC9F050">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36EDD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577ED3E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31E5E02">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152BCD74">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26A09D">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219588B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4CD93A2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D92D9F8">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1C6E162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9FFBA7C">
            <w:pPr>
              <w:jc w:val="center"/>
              <w:rPr>
                <w:rFonts w:ascii="Calibri" w:hAnsi="Calibri" w:cs="宋体"/>
                <w:bCs/>
                <w:kern w:val="0"/>
                <w:sz w:val="24"/>
                <w:szCs w:val="24"/>
              </w:rPr>
            </w:pPr>
          </w:p>
        </w:tc>
      </w:tr>
      <w:tr w14:paraId="30A27156">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5C9EA69">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373DE17F">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841B2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33FA49B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040AD853">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E61ABC">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4868B41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B76145E">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75FD8A38">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4E5C2A89">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B6C20AA">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385D0AF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4749CF8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30B22B4">
            <w:pPr>
              <w:jc w:val="center"/>
              <w:rPr>
                <w:rFonts w:ascii="Calibri" w:hAnsi="Calibri" w:cs="宋体"/>
                <w:bCs/>
                <w:kern w:val="0"/>
                <w:sz w:val="24"/>
                <w:szCs w:val="24"/>
              </w:rPr>
            </w:pPr>
          </w:p>
        </w:tc>
      </w:tr>
      <w:tr w14:paraId="4DC9E1A5">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4D734C5C">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365F525">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6C57738A">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5533FCFD">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77D5EADB">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28D4F7FA">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6BCB99CE">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7490714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7D9486B">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B366347">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7CECBCB2">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F061BBA">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21272DF0">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B6B7CE7">
            <w:pPr>
              <w:jc w:val="center"/>
              <w:rPr>
                <w:rFonts w:ascii="Calibri" w:hAnsi="Calibri" w:cs="宋体"/>
                <w:bCs/>
                <w:kern w:val="0"/>
                <w:sz w:val="24"/>
                <w:szCs w:val="24"/>
              </w:rPr>
            </w:pPr>
          </w:p>
        </w:tc>
      </w:tr>
      <w:tr w14:paraId="5ABFA4F4">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3B615B1F">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24969DCA">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2F3BDBD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6DD45244">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56E0B9C2">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115513B6">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758885B">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082C7C30">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5630FF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16F6916F">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123661AE">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2FC4F4DF">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3DA5A0E4">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7E96BF18">
            <w:pPr>
              <w:jc w:val="center"/>
              <w:rPr>
                <w:rFonts w:ascii="Calibri" w:hAnsi="Calibri" w:cs="宋体"/>
                <w:bCs/>
                <w:kern w:val="0"/>
                <w:sz w:val="24"/>
                <w:szCs w:val="24"/>
              </w:rPr>
            </w:pPr>
          </w:p>
        </w:tc>
      </w:tr>
      <w:tr w14:paraId="5EF2D33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F7A9BA2">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1CFF0BD7">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31D6EB30">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4DC53775">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4F3C182C">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05B957EB">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96C2868">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6A93E3E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09A6770">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311EF5ED">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5A67CEF9">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634C4946">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7FC7E1E3">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15D94216">
            <w:pPr>
              <w:jc w:val="center"/>
              <w:rPr>
                <w:rFonts w:ascii="Calibri" w:hAnsi="Calibri" w:cs="宋体"/>
                <w:bCs/>
                <w:kern w:val="0"/>
                <w:sz w:val="24"/>
                <w:szCs w:val="24"/>
              </w:rPr>
            </w:pPr>
          </w:p>
        </w:tc>
      </w:tr>
      <w:tr w14:paraId="668850F2">
        <w:tblPrEx>
          <w:tblCellMar>
            <w:top w:w="0" w:type="dxa"/>
            <w:left w:w="108" w:type="dxa"/>
            <w:bottom w:w="0" w:type="dxa"/>
            <w:right w:w="108" w:type="dxa"/>
          </w:tblCellMar>
        </w:tblPrEx>
        <w:trPr>
          <w:gridAfter w:val="1"/>
          <w:wAfter w:w="546" w:type="dxa"/>
          <w:trHeight w:val="308" w:hRule="atLeast"/>
        </w:trPr>
        <w:tc>
          <w:tcPr>
            <w:tcW w:w="479" w:type="dxa"/>
            <w:tcBorders>
              <w:top w:val="nil"/>
              <w:left w:val="single" w:color="auto" w:sz="4" w:space="0"/>
              <w:bottom w:val="single" w:color="auto" w:sz="4" w:space="0"/>
              <w:right w:val="single" w:color="auto" w:sz="4" w:space="0"/>
            </w:tcBorders>
            <w:noWrap w:val="0"/>
            <w:vAlign w:val="center"/>
          </w:tcPr>
          <w:p w14:paraId="152872D4">
            <w:pPr>
              <w:jc w:val="center"/>
              <w:rPr>
                <w:rFonts w:ascii="Arial" w:hAnsi="Arial" w:cs="Arial"/>
                <w:bCs/>
                <w:kern w:val="0"/>
                <w:sz w:val="24"/>
                <w:szCs w:val="24"/>
              </w:rPr>
            </w:pPr>
          </w:p>
        </w:tc>
        <w:tc>
          <w:tcPr>
            <w:tcW w:w="1146" w:type="dxa"/>
            <w:tcBorders>
              <w:top w:val="nil"/>
              <w:left w:val="nil"/>
              <w:bottom w:val="single" w:color="auto" w:sz="4" w:space="0"/>
              <w:right w:val="single" w:color="auto" w:sz="4" w:space="0"/>
            </w:tcBorders>
            <w:noWrap w:val="0"/>
            <w:vAlign w:val="center"/>
          </w:tcPr>
          <w:p w14:paraId="445231E0">
            <w:pPr>
              <w:jc w:val="center"/>
              <w:rPr>
                <w:rFonts w:ascii="Arial" w:hAnsi="Arial" w:cs="Arial"/>
                <w:bCs/>
                <w:kern w:val="0"/>
                <w:sz w:val="24"/>
                <w:szCs w:val="24"/>
              </w:rPr>
            </w:pPr>
          </w:p>
        </w:tc>
        <w:tc>
          <w:tcPr>
            <w:tcW w:w="903" w:type="dxa"/>
            <w:tcBorders>
              <w:top w:val="nil"/>
              <w:left w:val="nil"/>
              <w:bottom w:val="single" w:color="auto" w:sz="4" w:space="0"/>
              <w:right w:val="single" w:color="auto" w:sz="4" w:space="0"/>
            </w:tcBorders>
            <w:noWrap w:val="0"/>
            <w:vAlign w:val="center"/>
          </w:tcPr>
          <w:p w14:paraId="4F3831C2">
            <w:pPr>
              <w:jc w:val="center"/>
              <w:rPr>
                <w:rFonts w:ascii="Calibri" w:hAnsi="Calibri" w:cs="宋体"/>
                <w:bCs/>
                <w:kern w:val="0"/>
                <w:sz w:val="24"/>
                <w:szCs w:val="24"/>
              </w:rPr>
            </w:pPr>
          </w:p>
        </w:tc>
        <w:tc>
          <w:tcPr>
            <w:tcW w:w="617" w:type="dxa"/>
            <w:tcBorders>
              <w:top w:val="nil"/>
              <w:left w:val="nil"/>
              <w:bottom w:val="single" w:color="auto" w:sz="4" w:space="0"/>
              <w:right w:val="single" w:color="auto" w:sz="4" w:space="0"/>
            </w:tcBorders>
            <w:noWrap w:val="0"/>
            <w:vAlign w:val="center"/>
          </w:tcPr>
          <w:p w14:paraId="282E6A38">
            <w:pPr>
              <w:jc w:val="center"/>
              <w:rPr>
                <w:rFonts w:ascii="Calibri" w:hAnsi="Calibri" w:cs="宋体"/>
                <w:bCs/>
                <w:kern w:val="0"/>
                <w:sz w:val="24"/>
                <w:szCs w:val="24"/>
              </w:rPr>
            </w:pPr>
          </w:p>
        </w:tc>
        <w:tc>
          <w:tcPr>
            <w:tcW w:w="536" w:type="dxa"/>
            <w:tcBorders>
              <w:top w:val="nil"/>
              <w:left w:val="nil"/>
              <w:bottom w:val="single" w:color="auto" w:sz="4" w:space="0"/>
              <w:right w:val="single" w:color="auto" w:sz="4" w:space="0"/>
            </w:tcBorders>
            <w:noWrap w:val="0"/>
            <w:vAlign w:val="center"/>
          </w:tcPr>
          <w:p w14:paraId="214C36D0">
            <w:pPr>
              <w:jc w:val="center"/>
              <w:rPr>
                <w:rFonts w:ascii="Calibri" w:hAnsi="Calibri" w:cs="宋体"/>
                <w:bCs/>
                <w:kern w:val="0"/>
                <w:sz w:val="24"/>
                <w:szCs w:val="24"/>
              </w:rPr>
            </w:pPr>
          </w:p>
        </w:tc>
        <w:tc>
          <w:tcPr>
            <w:tcW w:w="560" w:type="dxa"/>
            <w:tcBorders>
              <w:top w:val="nil"/>
              <w:left w:val="nil"/>
              <w:bottom w:val="single" w:color="auto" w:sz="4" w:space="0"/>
              <w:right w:val="single" w:color="auto" w:sz="4" w:space="0"/>
            </w:tcBorders>
            <w:noWrap w:val="0"/>
            <w:vAlign w:val="center"/>
          </w:tcPr>
          <w:p w14:paraId="64778219">
            <w:pPr>
              <w:jc w:val="center"/>
              <w:rPr>
                <w:rFonts w:ascii="Calibri" w:hAnsi="Calibri" w:cs="宋体"/>
                <w:bCs/>
                <w:kern w:val="0"/>
                <w:sz w:val="24"/>
                <w:szCs w:val="24"/>
              </w:rPr>
            </w:pPr>
          </w:p>
        </w:tc>
        <w:tc>
          <w:tcPr>
            <w:tcW w:w="478" w:type="dxa"/>
            <w:tcBorders>
              <w:top w:val="nil"/>
              <w:left w:val="nil"/>
              <w:bottom w:val="single" w:color="auto" w:sz="4" w:space="0"/>
              <w:right w:val="single" w:color="auto" w:sz="4" w:space="0"/>
            </w:tcBorders>
            <w:noWrap w:val="0"/>
            <w:vAlign w:val="center"/>
          </w:tcPr>
          <w:p w14:paraId="7207C2AD">
            <w:pPr>
              <w:jc w:val="center"/>
              <w:rPr>
                <w:rFonts w:ascii="Calibri" w:hAnsi="Calibri" w:cs="宋体"/>
                <w:bCs/>
                <w:kern w:val="0"/>
                <w:sz w:val="24"/>
                <w:szCs w:val="24"/>
              </w:rPr>
            </w:pPr>
          </w:p>
        </w:tc>
        <w:tc>
          <w:tcPr>
            <w:tcW w:w="512" w:type="dxa"/>
            <w:tcBorders>
              <w:top w:val="single" w:color="auto" w:sz="4" w:space="0"/>
              <w:left w:val="single" w:color="auto" w:sz="4" w:space="0"/>
              <w:bottom w:val="single" w:color="auto" w:sz="4" w:space="0"/>
              <w:right w:val="single" w:color="auto" w:sz="4" w:space="0"/>
            </w:tcBorders>
            <w:noWrap w:val="0"/>
            <w:vAlign w:val="center"/>
          </w:tcPr>
          <w:p w14:paraId="53B6F08B">
            <w:pPr>
              <w:jc w:val="center"/>
              <w:rPr>
                <w:rFonts w:ascii="Calibri" w:hAnsi="Calibri" w:cs="宋体"/>
                <w:bCs/>
                <w:kern w:val="0"/>
                <w:sz w:val="24"/>
                <w:szCs w:val="24"/>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5332A335">
            <w:pPr>
              <w:jc w:val="center"/>
              <w:rPr>
                <w:rFonts w:ascii="Calibri" w:hAnsi="Calibri" w:cs="宋体"/>
                <w:bCs/>
                <w:kern w:val="0"/>
                <w:sz w:val="24"/>
                <w:szCs w:val="24"/>
              </w:rPr>
            </w:pPr>
          </w:p>
        </w:tc>
        <w:tc>
          <w:tcPr>
            <w:tcW w:w="629" w:type="dxa"/>
            <w:tcBorders>
              <w:top w:val="single" w:color="auto" w:sz="4" w:space="0"/>
              <w:left w:val="single" w:color="auto" w:sz="4" w:space="0"/>
              <w:bottom w:val="single" w:color="auto" w:sz="4" w:space="0"/>
              <w:right w:val="single" w:color="auto" w:sz="4" w:space="0"/>
            </w:tcBorders>
            <w:noWrap w:val="0"/>
            <w:vAlign w:val="center"/>
          </w:tcPr>
          <w:p w14:paraId="503D8744">
            <w:pPr>
              <w:jc w:val="center"/>
              <w:rPr>
                <w:rFonts w:hint="eastAsia" w:ascii="宋体" w:hAnsi="宋体" w:cs="宋体"/>
                <w:bCs/>
                <w:kern w:val="0"/>
                <w:sz w:val="24"/>
                <w:szCs w:val="24"/>
              </w:rPr>
            </w:pPr>
          </w:p>
        </w:tc>
        <w:tc>
          <w:tcPr>
            <w:tcW w:w="649" w:type="dxa"/>
            <w:tcBorders>
              <w:top w:val="nil"/>
              <w:left w:val="nil"/>
              <w:bottom w:val="single" w:color="auto" w:sz="4" w:space="0"/>
              <w:right w:val="single" w:color="auto" w:sz="4" w:space="0"/>
            </w:tcBorders>
            <w:noWrap w:val="0"/>
            <w:vAlign w:val="center"/>
          </w:tcPr>
          <w:p w14:paraId="0254664B">
            <w:pPr>
              <w:jc w:val="center"/>
              <w:rPr>
                <w:rFonts w:ascii="Calibri" w:hAnsi="Calibri" w:cs="宋体"/>
                <w:bCs/>
                <w:kern w:val="0"/>
                <w:sz w:val="24"/>
                <w:szCs w:val="24"/>
              </w:rPr>
            </w:pPr>
          </w:p>
        </w:tc>
        <w:tc>
          <w:tcPr>
            <w:tcW w:w="820" w:type="dxa"/>
            <w:tcBorders>
              <w:top w:val="nil"/>
              <w:left w:val="nil"/>
              <w:bottom w:val="single" w:color="auto" w:sz="4" w:space="0"/>
              <w:right w:val="single" w:color="auto" w:sz="4" w:space="0"/>
            </w:tcBorders>
            <w:noWrap w:val="0"/>
            <w:vAlign w:val="center"/>
          </w:tcPr>
          <w:p w14:paraId="5BC7FD5C">
            <w:pPr>
              <w:jc w:val="center"/>
              <w:rPr>
                <w:rFonts w:ascii="Calibri" w:hAnsi="Calibri" w:cs="宋体"/>
                <w:bCs/>
                <w:kern w:val="0"/>
                <w:sz w:val="24"/>
                <w:szCs w:val="24"/>
              </w:rPr>
            </w:pPr>
          </w:p>
        </w:tc>
        <w:tc>
          <w:tcPr>
            <w:tcW w:w="848" w:type="dxa"/>
            <w:tcBorders>
              <w:top w:val="nil"/>
              <w:left w:val="nil"/>
              <w:bottom w:val="single" w:color="auto" w:sz="4" w:space="0"/>
              <w:right w:val="single" w:color="auto" w:sz="4" w:space="0"/>
            </w:tcBorders>
            <w:noWrap w:val="0"/>
            <w:vAlign w:val="center"/>
          </w:tcPr>
          <w:p w14:paraId="6CB7F6AA">
            <w:pPr>
              <w:jc w:val="center"/>
              <w:rPr>
                <w:rFonts w:ascii="Calibri" w:hAnsi="Calibri" w:cs="宋体"/>
                <w:bCs/>
                <w:kern w:val="0"/>
                <w:sz w:val="24"/>
                <w:szCs w:val="24"/>
              </w:rPr>
            </w:pPr>
          </w:p>
        </w:tc>
        <w:tc>
          <w:tcPr>
            <w:tcW w:w="405" w:type="dxa"/>
            <w:gridSpan w:val="2"/>
            <w:tcBorders>
              <w:top w:val="nil"/>
              <w:left w:val="nil"/>
              <w:bottom w:val="single" w:color="auto" w:sz="4" w:space="0"/>
              <w:right w:val="single" w:color="auto" w:sz="4" w:space="0"/>
            </w:tcBorders>
            <w:noWrap w:val="0"/>
            <w:vAlign w:val="center"/>
          </w:tcPr>
          <w:p w14:paraId="0E01C839">
            <w:pPr>
              <w:jc w:val="center"/>
              <w:rPr>
                <w:rFonts w:ascii="Calibri" w:hAnsi="Calibri" w:cs="宋体"/>
                <w:bCs/>
                <w:kern w:val="0"/>
                <w:sz w:val="24"/>
                <w:szCs w:val="24"/>
              </w:rPr>
            </w:pPr>
          </w:p>
        </w:tc>
      </w:tr>
      <w:tr w14:paraId="0AF5089E">
        <w:tblPrEx>
          <w:tblCellMar>
            <w:top w:w="0" w:type="dxa"/>
            <w:left w:w="108" w:type="dxa"/>
            <w:bottom w:w="0" w:type="dxa"/>
            <w:right w:w="108" w:type="dxa"/>
          </w:tblCellMar>
        </w:tblPrEx>
        <w:trPr>
          <w:trHeight w:val="308" w:hRule="atLeast"/>
        </w:trPr>
        <w:tc>
          <w:tcPr>
            <w:tcW w:w="7060" w:type="dxa"/>
            <w:gridSpan w:val="11"/>
            <w:tcBorders>
              <w:top w:val="nil"/>
              <w:left w:val="nil"/>
              <w:bottom w:val="nil"/>
              <w:right w:val="nil"/>
            </w:tcBorders>
            <w:noWrap w:val="0"/>
            <w:vAlign w:val="center"/>
          </w:tcPr>
          <w:p w14:paraId="7416AC05">
            <w:pPr>
              <w:jc w:val="left"/>
              <w:rPr>
                <w:rFonts w:ascii="宋体" w:hAnsi="宋体" w:cs="宋体"/>
                <w:bCs/>
                <w:kern w:val="0"/>
                <w:szCs w:val="21"/>
              </w:rPr>
            </w:pPr>
          </w:p>
        </w:tc>
        <w:tc>
          <w:tcPr>
            <w:tcW w:w="820" w:type="dxa"/>
            <w:tcBorders>
              <w:top w:val="nil"/>
              <w:left w:val="nil"/>
              <w:bottom w:val="nil"/>
              <w:right w:val="nil"/>
            </w:tcBorders>
            <w:noWrap w:val="0"/>
            <w:vAlign w:val="center"/>
          </w:tcPr>
          <w:p w14:paraId="127099FD">
            <w:pPr>
              <w:jc w:val="left"/>
              <w:rPr>
                <w:rFonts w:hint="eastAsia" w:ascii="宋体" w:hAnsi="宋体" w:cs="宋体"/>
                <w:bCs/>
                <w:kern w:val="0"/>
                <w:szCs w:val="21"/>
              </w:rPr>
            </w:pPr>
          </w:p>
        </w:tc>
        <w:tc>
          <w:tcPr>
            <w:tcW w:w="924" w:type="dxa"/>
            <w:gridSpan w:val="2"/>
            <w:tcBorders>
              <w:top w:val="nil"/>
              <w:left w:val="nil"/>
              <w:bottom w:val="nil"/>
              <w:right w:val="nil"/>
            </w:tcBorders>
            <w:noWrap w:val="0"/>
            <w:vAlign w:val="center"/>
          </w:tcPr>
          <w:p w14:paraId="7384919B">
            <w:pPr>
              <w:jc w:val="left"/>
              <w:rPr>
                <w:rFonts w:hint="eastAsia" w:ascii="宋体" w:hAnsi="宋体" w:cs="宋体"/>
                <w:bCs/>
                <w:kern w:val="0"/>
                <w:szCs w:val="21"/>
              </w:rPr>
            </w:pPr>
          </w:p>
        </w:tc>
        <w:tc>
          <w:tcPr>
            <w:tcW w:w="875" w:type="dxa"/>
            <w:gridSpan w:val="2"/>
            <w:tcBorders>
              <w:top w:val="nil"/>
              <w:left w:val="nil"/>
              <w:bottom w:val="nil"/>
              <w:right w:val="nil"/>
            </w:tcBorders>
            <w:noWrap w:val="0"/>
            <w:vAlign w:val="center"/>
          </w:tcPr>
          <w:p w14:paraId="0EFBE5D0">
            <w:pPr>
              <w:jc w:val="left"/>
              <w:rPr>
                <w:rFonts w:hint="eastAsia" w:ascii="宋体" w:hAnsi="宋体" w:cs="宋体"/>
                <w:bCs/>
                <w:kern w:val="0"/>
                <w:szCs w:val="21"/>
              </w:rPr>
            </w:pPr>
          </w:p>
        </w:tc>
      </w:tr>
      <w:tr w14:paraId="72F743F6">
        <w:tblPrEx>
          <w:tblCellMar>
            <w:top w:w="0" w:type="dxa"/>
            <w:left w:w="108" w:type="dxa"/>
            <w:bottom w:w="0" w:type="dxa"/>
            <w:right w:w="108" w:type="dxa"/>
          </w:tblCellMar>
        </w:tblPrEx>
        <w:trPr>
          <w:trHeight w:val="299" w:hRule="atLeast"/>
        </w:trPr>
        <w:tc>
          <w:tcPr>
            <w:tcW w:w="8804" w:type="dxa"/>
            <w:gridSpan w:val="14"/>
            <w:tcBorders>
              <w:top w:val="nil"/>
              <w:left w:val="nil"/>
              <w:bottom w:val="nil"/>
              <w:right w:val="nil"/>
            </w:tcBorders>
            <w:noWrap w:val="0"/>
            <w:vAlign w:val="center"/>
          </w:tcPr>
          <w:p w14:paraId="3E234D84">
            <w:pPr>
              <w:jc w:val="left"/>
              <w:rPr>
                <w:rFonts w:ascii="Calibri" w:hAnsi="Calibri" w:cs="宋体"/>
                <w:bCs/>
                <w:kern w:val="0"/>
                <w:szCs w:val="21"/>
              </w:rPr>
            </w:pPr>
          </w:p>
        </w:tc>
        <w:tc>
          <w:tcPr>
            <w:tcW w:w="875" w:type="dxa"/>
            <w:gridSpan w:val="2"/>
            <w:tcBorders>
              <w:top w:val="nil"/>
              <w:left w:val="nil"/>
              <w:bottom w:val="nil"/>
              <w:right w:val="nil"/>
            </w:tcBorders>
            <w:noWrap w:val="0"/>
            <w:vAlign w:val="center"/>
          </w:tcPr>
          <w:p w14:paraId="0C3A94CC">
            <w:pPr>
              <w:jc w:val="left"/>
              <w:rPr>
                <w:rFonts w:ascii="Calibri" w:hAnsi="Calibri" w:cs="宋体"/>
                <w:bCs/>
                <w:kern w:val="0"/>
                <w:szCs w:val="21"/>
              </w:rPr>
            </w:pPr>
          </w:p>
        </w:tc>
      </w:tr>
    </w:tbl>
    <w:p w14:paraId="73007764">
      <w:pPr>
        <w:adjustRightInd w:val="0"/>
        <w:snapToGrid w:val="0"/>
        <w:spacing w:line="600" w:lineRule="exact"/>
        <w:ind w:right="210" w:rightChars="100"/>
        <w:rPr>
          <w:rFonts w:hint="eastAsia" w:ascii="仿宋_GB2312" w:hAnsi="仿宋_GB2312" w:eastAsia="仿宋_GB2312" w:cs="仿宋_GB2312"/>
          <w:bCs/>
          <w:sz w:val="34"/>
          <w:szCs w:val="34"/>
        </w:rPr>
      </w:pPr>
    </w:p>
    <w:p w14:paraId="0027488B">
      <w:pPr>
        <w:adjustRightInd w:val="0"/>
        <w:snapToGrid w:val="0"/>
        <w:spacing w:line="600" w:lineRule="exact"/>
        <w:rPr>
          <w:rFonts w:hint="eastAsia" w:ascii="仿宋_GB2312" w:hAnsi="仿宋_GB2312" w:eastAsia="仿宋_GB2312"/>
          <w:sz w:val="34"/>
        </w:rPr>
      </w:pPr>
    </w:p>
    <w:p w14:paraId="4B2FA50C">
      <w:pPr>
        <w:pStyle w:val="2"/>
        <w:rPr>
          <w:rFonts w:hint="eastAsia" w:ascii="仿宋_GB2312" w:hAnsi="仿宋_GB2312" w:eastAsia="仿宋_GB2312"/>
          <w:sz w:val="34"/>
        </w:rPr>
      </w:pPr>
    </w:p>
    <w:p w14:paraId="1AD55366">
      <w:pPr>
        <w:rPr>
          <w:rFonts w:hint="eastAsia" w:ascii="仿宋_GB2312" w:hAnsi="仿宋_GB2312" w:eastAsia="仿宋_GB2312"/>
          <w:sz w:val="34"/>
        </w:rPr>
      </w:pPr>
    </w:p>
    <w:p w14:paraId="1D239644">
      <w:pPr>
        <w:pStyle w:val="2"/>
        <w:rPr>
          <w:rFonts w:hint="eastAsia" w:ascii="仿宋_GB2312" w:hAnsi="仿宋_GB2312" w:eastAsia="仿宋_GB2312"/>
          <w:sz w:val="34"/>
        </w:rPr>
      </w:pPr>
    </w:p>
    <w:p w14:paraId="54EA07B5">
      <w:pPr>
        <w:pStyle w:val="2"/>
        <w:rPr>
          <w:rFonts w:hint="eastAsia"/>
        </w:rPr>
      </w:pPr>
    </w:p>
    <w:p w14:paraId="5E4B86AF">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附件4</w:t>
      </w:r>
    </w:p>
    <w:p w14:paraId="34173946">
      <w:pPr>
        <w:jc w:val="center"/>
        <w:rPr>
          <w:rFonts w:hint="eastAsia" w:ascii="黑体" w:eastAsia="黑体"/>
          <w:b/>
          <w:sz w:val="44"/>
          <w:szCs w:val="44"/>
        </w:rPr>
      </w:pPr>
      <w:r>
        <w:rPr>
          <w:rFonts w:hint="eastAsia" w:ascii="黑体" w:eastAsia="黑体"/>
          <w:b/>
          <w:sz w:val="44"/>
          <w:szCs w:val="44"/>
        </w:rPr>
        <w:t>相关方环境/安全管理协议</w:t>
      </w:r>
    </w:p>
    <w:p w14:paraId="055E67A7">
      <w:pPr>
        <w:jc w:val="center"/>
        <w:rPr>
          <w:rFonts w:hint="eastAsia"/>
          <w:sz w:val="44"/>
          <w:szCs w:val="44"/>
        </w:rPr>
      </w:pPr>
    </w:p>
    <w:p w14:paraId="39F3024A">
      <w:pPr>
        <w:spacing w:line="520" w:lineRule="exact"/>
        <w:rPr>
          <w:rFonts w:hint="eastAsia" w:ascii="仿宋_GB2312" w:eastAsia="仿宋_GB2312"/>
          <w:sz w:val="28"/>
          <w:szCs w:val="28"/>
        </w:rPr>
      </w:pPr>
      <w:r>
        <w:rPr>
          <w:rFonts w:hint="eastAsia" w:ascii="仿宋_GB2312" w:eastAsia="仿宋_GB2312"/>
          <w:b/>
          <w:bCs/>
          <w:sz w:val="28"/>
          <w:szCs w:val="28"/>
          <w:lang w:val="en-US" w:eastAsia="zh-CN"/>
        </w:rPr>
        <w:t>甲方单位</w:t>
      </w:r>
      <w:r>
        <w:rPr>
          <w:rFonts w:hint="eastAsia" w:ascii="仿宋_GB2312" w:eastAsia="仿宋_GB2312"/>
          <w:b/>
          <w:bCs/>
          <w:sz w:val="28"/>
          <w:szCs w:val="28"/>
        </w:rPr>
        <w:t>：江苏索</w:t>
      </w:r>
      <w:r>
        <w:rPr>
          <w:rFonts w:hint="eastAsia" w:ascii="仿宋_GB2312" w:eastAsia="仿宋_GB2312"/>
          <w:b/>
          <w:bCs/>
          <w:sz w:val="28"/>
          <w:szCs w:val="28"/>
          <w:u w:val="none"/>
        </w:rPr>
        <w:t>普</w:t>
      </w:r>
      <w:r>
        <w:rPr>
          <w:rFonts w:hint="eastAsia" w:ascii="仿宋_GB2312" w:hAnsi="Times New Roman" w:eastAsia="仿宋_GB2312" w:cs="Times New Roman"/>
          <w:b/>
          <w:bCs/>
          <w:sz w:val="28"/>
          <w:szCs w:val="28"/>
          <w:lang w:val="en-US" w:eastAsia="zh-CN"/>
        </w:rPr>
        <w:t>赛瑞装备制造</w:t>
      </w:r>
      <w:r>
        <w:rPr>
          <w:rFonts w:hint="eastAsia" w:ascii="仿宋_GB2312" w:eastAsia="仿宋_GB2312"/>
          <w:b/>
          <w:bCs/>
          <w:sz w:val="28"/>
          <w:szCs w:val="28"/>
          <w:u w:val="none"/>
        </w:rPr>
        <w:t>有限</w:t>
      </w:r>
      <w:r>
        <w:rPr>
          <w:rFonts w:hint="eastAsia" w:ascii="仿宋_GB2312" w:eastAsia="仿宋_GB2312"/>
          <w:b/>
          <w:bCs/>
          <w:sz w:val="28"/>
          <w:szCs w:val="28"/>
        </w:rPr>
        <w:t>公司</w:t>
      </w:r>
      <w:r>
        <w:rPr>
          <w:rFonts w:hint="eastAsia" w:ascii="仿宋_GB2312" w:eastAsia="仿宋_GB2312"/>
          <w:sz w:val="28"/>
          <w:szCs w:val="28"/>
        </w:rPr>
        <w:t xml:space="preserve">     （以下简称“甲方”）</w:t>
      </w:r>
    </w:p>
    <w:p w14:paraId="3E7726C7">
      <w:pPr>
        <w:spacing w:line="520" w:lineRule="exact"/>
        <w:jc w:val="left"/>
        <w:rPr>
          <w:rFonts w:hint="eastAsia" w:ascii="仿宋_GB2312" w:eastAsia="仿宋_GB2312"/>
          <w:sz w:val="28"/>
          <w:szCs w:val="28"/>
        </w:rPr>
      </w:pPr>
      <w:r>
        <w:rPr>
          <w:rFonts w:hint="eastAsia" w:ascii="仿宋_GB2312" w:eastAsia="仿宋_GB2312"/>
          <w:b/>
          <w:bCs/>
          <w:sz w:val="28"/>
          <w:szCs w:val="28"/>
          <w:lang w:val="en-US" w:eastAsia="zh-CN"/>
        </w:rPr>
        <w:t>乙方单位</w:t>
      </w:r>
      <w:r>
        <w:rPr>
          <w:rFonts w:hint="eastAsia" w:ascii="仿宋_GB2312" w:eastAsia="仿宋_GB2312"/>
          <w:b/>
          <w:bCs/>
          <w:sz w:val="28"/>
          <w:szCs w:val="28"/>
        </w:rPr>
        <w:t>：</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（以下简称“乙方”）</w:t>
      </w:r>
    </w:p>
    <w:p w14:paraId="49F1DE90">
      <w:pPr>
        <w:spacing w:line="520" w:lineRule="exact"/>
        <w:ind w:firstLine="523" w:firstLineChars="187"/>
        <w:rPr>
          <w:rFonts w:ascii="仿宋_GB2312" w:eastAsia="仿宋_GB2312"/>
          <w:sz w:val="28"/>
          <w:szCs w:val="28"/>
        </w:rPr>
      </w:pPr>
    </w:p>
    <w:p w14:paraId="3901F21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为维护良好的作业环境，保障双方作业人员的生命健康安全，为相关方创造良好的环境/安全（生产、经营、作业）条件，明确甲、乙双方的环境/安全生产责任、权利和义务，以符合甲方环境、安全、职业健康方针要求，根据《中华人民共和国安全生产法》、《中华人民共和国合同法》、《中华人民共和国环境保护法》等有关法律、法规，甲、乙双方在平等协商的基础上，达成如下环境/安全管理协议，供双方共同遵守执行：</w:t>
      </w:r>
    </w:p>
    <w:p w14:paraId="496ABA7B">
      <w:pPr>
        <w:numPr>
          <w:ilvl w:val="0"/>
          <w:numId w:val="2"/>
        </w:num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适用对象和范围</w:t>
      </w:r>
    </w:p>
    <w:p w14:paraId="785F374E">
      <w:pPr>
        <w:spacing w:line="520" w:lineRule="exact"/>
        <w:ind w:firstLine="560" w:firstLineChars="200"/>
        <w:rPr>
          <w:rFonts w:ascii="仿宋_GB2312" w:eastAsia="仿宋_GB2312"/>
          <w:sz w:val="28"/>
          <w:szCs w:val="28"/>
        </w:rPr>
      </w:pPr>
      <w:r>
        <w:rPr>
          <w:rFonts w:hint="eastAsia" w:ascii="仿宋_GB2312" w:eastAsia="仿宋_GB2312"/>
          <w:sz w:val="28"/>
          <w:szCs w:val="28"/>
        </w:rPr>
        <w:t>乙方系具有独立承担民事责任资格的在甲方从事如下作业的单位：</w:t>
      </w:r>
    </w:p>
    <w:p w14:paraId="3AB82B91">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承接甲方</w:t>
      </w:r>
      <w:r>
        <w:rPr>
          <w:rFonts w:hint="eastAsia" w:ascii="仿宋_GB2312" w:eastAsia="仿宋_GB2312"/>
          <w:sz w:val="28"/>
          <w:szCs w:val="28"/>
          <w:lang w:val="en-US" w:eastAsia="zh-CN"/>
        </w:rPr>
        <w:t>业务</w:t>
      </w:r>
      <w:r>
        <w:rPr>
          <w:rFonts w:hint="eastAsia" w:ascii="仿宋_GB2312" w:eastAsia="仿宋_GB2312"/>
          <w:sz w:val="28"/>
          <w:szCs w:val="28"/>
        </w:rPr>
        <w:t>（包括但不限于</w:t>
      </w:r>
      <w:r>
        <w:rPr>
          <w:rFonts w:hint="eastAsia" w:ascii="仿宋_GB2312" w:eastAsia="仿宋_GB2312"/>
          <w:sz w:val="28"/>
          <w:szCs w:val="28"/>
          <w:lang w:val="en-US" w:eastAsia="zh-CN"/>
        </w:rPr>
        <w:t>设备制造、</w:t>
      </w:r>
      <w:r>
        <w:rPr>
          <w:rFonts w:hint="eastAsia" w:ascii="仿宋_GB2312" w:eastAsia="仿宋_GB2312"/>
          <w:sz w:val="28"/>
          <w:szCs w:val="28"/>
        </w:rPr>
        <w:t>土建施工、工程安装、防腐保温、设备检修、起重吊装）。</w:t>
      </w:r>
    </w:p>
    <w:p w14:paraId="0E20F511">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向甲方输出劳务。</w:t>
      </w:r>
    </w:p>
    <w:p w14:paraId="6F6B41FE">
      <w:pPr>
        <w:numPr>
          <w:ilvl w:val="0"/>
          <w:numId w:val="3"/>
        </w:numPr>
        <w:spacing w:line="520" w:lineRule="exact"/>
        <w:ind w:firstLine="523" w:firstLineChars="187"/>
        <w:rPr>
          <w:rFonts w:ascii="仿宋_GB2312" w:eastAsia="仿宋_GB2312"/>
          <w:sz w:val="28"/>
          <w:szCs w:val="28"/>
        </w:rPr>
      </w:pPr>
      <w:r>
        <w:rPr>
          <w:rFonts w:hint="eastAsia" w:ascii="仿宋_GB2312" w:eastAsia="仿宋_GB2312"/>
          <w:sz w:val="28"/>
          <w:szCs w:val="28"/>
        </w:rPr>
        <w:t>与</w:t>
      </w:r>
      <w:r>
        <w:rPr>
          <w:rFonts w:hint="eastAsia" w:ascii="仿宋_GB2312" w:eastAsia="仿宋_GB2312"/>
          <w:sz w:val="28"/>
          <w:szCs w:val="28"/>
          <w:lang w:val="en-US" w:eastAsia="zh-CN"/>
        </w:rPr>
        <w:t>业务</w:t>
      </w:r>
      <w:r>
        <w:rPr>
          <w:rFonts w:hint="eastAsia" w:ascii="仿宋_GB2312" w:eastAsia="仿宋_GB2312"/>
          <w:sz w:val="28"/>
          <w:szCs w:val="28"/>
        </w:rPr>
        <w:t>相关的作业（如探伤、吹扫</w:t>
      </w:r>
      <w:r>
        <w:rPr>
          <w:rFonts w:hint="eastAsia" w:ascii="仿宋_GB2312" w:eastAsia="仿宋_GB2312"/>
          <w:sz w:val="28"/>
          <w:szCs w:val="28"/>
          <w:lang w:eastAsia="zh-CN"/>
        </w:rPr>
        <w:t>、</w:t>
      </w:r>
      <w:r>
        <w:rPr>
          <w:rFonts w:hint="eastAsia" w:ascii="仿宋_GB2312" w:eastAsia="仿宋_GB2312"/>
          <w:sz w:val="28"/>
          <w:szCs w:val="28"/>
          <w:lang w:val="en-US" w:eastAsia="zh-CN"/>
        </w:rPr>
        <w:t>设备制造</w:t>
      </w:r>
      <w:r>
        <w:rPr>
          <w:rFonts w:hint="eastAsia" w:ascii="仿宋_GB2312" w:eastAsia="仿宋_GB2312"/>
          <w:sz w:val="28"/>
          <w:szCs w:val="28"/>
        </w:rPr>
        <w:t>等）。</w:t>
      </w:r>
    </w:p>
    <w:p w14:paraId="17D676DA">
      <w:pPr>
        <w:numPr>
          <w:ilvl w:val="0"/>
          <w:numId w:val="3"/>
        </w:num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与</w:t>
      </w:r>
      <w:bookmarkStart w:id="0" w:name="_Hlk37010932"/>
      <w:r>
        <w:rPr>
          <w:rFonts w:hint="eastAsia" w:ascii="仿宋_GB2312" w:eastAsia="仿宋_GB2312"/>
          <w:sz w:val="28"/>
          <w:szCs w:val="28"/>
          <w:lang w:val="en-US" w:eastAsia="zh-CN"/>
        </w:rPr>
        <w:t>业务</w:t>
      </w:r>
      <w:r>
        <w:rPr>
          <w:rFonts w:hint="eastAsia" w:ascii="仿宋_GB2312" w:eastAsia="仿宋_GB2312"/>
          <w:sz w:val="28"/>
          <w:szCs w:val="28"/>
        </w:rPr>
        <w:t>相关“三废”处置</w:t>
      </w:r>
      <w:bookmarkEnd w:id="0"/>
      <w:r>
        <w:rPr>
          <w:rFonts w:hint="eastAsia" w:ascii="仿宋_GB2312" w:eastAsia="仿宋_GB2312"/>
          <w:sz w:val="28"/>
          <w:szCs w:val="28"/>
        </w:rPr>
        <w:t>（含运输）。</w:t>
      </w:r>
    </w:p>
    <w:p w14:paraId="2B69C8F5">
      <w:pPr>
        <w:spacing w:line="520" w:lineRule="exact"/>
        <w:ind w:left="393" w:leftChars="187"/>
        <w:rPr>
          <w:rFonts w:hint="eastAsia" w:ascii="仿宋_GB2312" w:eastAsia="仿宋_GB2312"/>
          <w:b/>
          <w:bCs/>
          <w:sz w:val="28"/>
          <w:szCs w:val="28"/>
        </w:rPr>
      </w:pPr>
      <w:r>
        <w:rPr>
          <w:rFonts w:hint="eastAsia" w:ascii="仿宋_GB2312" w:eastAsia="仿宋_GB2312"/>
          <w:b/>
          <w:bCs/>
          <w:sz w:val="28"/>
          <w:szCs w:val="28"/>
        </w:rPr>
        <w:t>二、双方应当遵循的基本原则</w:t>
      </w:r>
    </w:p>
    <w:p w14:paraId="0EC12038">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1、乙方应具有有效承接主体合同项下所指</w:t>
      </w:r>
      <w:r>
        <w:rPr>
          <w:rFonts w:hint="eastAsia" w:ascii="仿宋_GB2312" w:eastAsia="仿宋_GB2312"/>
          <w:sz w:val="28"/>
          <w:szCs w:val="28"/>
          <w:lang w:val="en-US" w:eastAsia="zh-CN"/>
        </w:rPr>
        <w:t>业务</w:t>
      </w:r>
      <w:r>
        <w:rPr>
          <w:rFonts w:hint="eastAsia" w:ascii="仿宋_GB2312" w:eastAsia="仿宋_GB2312"/>
          <w:sz w:val="28"/>
          <w:szCs w:val="28"/>
        </w:rPr>
        <w:t>必须具备的相关资质（有效的工商营业执照、税务登记证、生产许可证、安全生产许可证等）等文件资料，并接受甲方相关部门的审查。凡属国家规定的特种作业人员（如：电工、电气焊工、登高架设工、塔吊起重工、信号工、机械操作工等工种），必须按</w:t>
      </w:r>
      <w:r>
        <w:rPr>
          <w:rFonts w:hint="eastAsia" w:ascii="仿宋_GB2312" w:eastAsia="仿宋_GB2312"/>
          <w:sz w:val="28"/>
          <w:szCs w:val="28"/>
          <w:lang w:val="en-US" w:eastAsia="zh-CN"/>
        </w:rPr>
        <w:t>国家应急管理部及</w:t>
      </w:r>
      <w:r>
        <w:rPr>
          <w:rFonts w:hint="eastAsia" w:ascii="仿宋_GB2312" w:eastAsia="仿宋_GB2312"/>
          <w:sz w:val="28"/>
          <w:szCs w:val="28"/>
        </w:rPr>
        <w:t>国家建设部规定要求持证上岗，即须提供与从事的作业内容相符合的特种作业人员的有效资格证书。</w:t>
      </w:r>
    </w:p>
    <w:p w14:paraId="15418A15">
      <w:pPr>
        <w:spacing w:line="520" w:lineRule="exact"/>
        <w:ind w:firstLine="523" w:firstLineChars="187"/>
        <w:rPr>
          <w:rFonts w:ascii="仿宋_GB2312" w:eastAsia="仿宋_GB2312"/>
          <w:sz w:val="28"/>
          <w:szCs w:val="28"/>
        </w:rPr>
      </w:pPr>
      <w:r>
        <w:rPr>
          <w:rFonts w:hint="eastAsia" w:ascii="仿宋_GB2312" w:eastAsia="仿宋_GB2312"/>
          <w:sz w:val="28"/>
          <w:szCs w:val="28"/>
        </w:rPr>
        <w:t>2、乙方必须严格按照</w:t>
      </w:r>
      <w:r>
        <w:rPr>
          <w:rFonts w:hint="eastAsia" w:ascii="仿宋_GB2312" w:eastAsia="仿宋_GB2312"/>
          <w:sz w:val="28"/>
          <w:szCs w:val="28"/>
          <w:lang w:val="en-US" w:eastAsia="zh-CN"/>
        </w:rPr>
        <w:t>国家应急管理部相关法律法规</w:t>
      </w:r>
      <w:r>
        <w:rPr>
          <w:rFonts w:hint="eastAsia" w:ascii="仿宋_GB2312" w:eastAsia="仿宋_GB2312"/>
          <w:sz w:val="28"/>
          <w:szCs w:val="28"/>
        </w:rPr>
        <w:t>，落实施工</w:t>
      </w:r>
      <w:r>
        <w:rPr>
          <w:rFonts w:hint="eastAsia" w:ascii="仿宋_GB2312" w:eastAsia="仿宋_GB2312"/>
          <w:sz w:val="28"/>
          <w:szCs w:val="28"/>
          <w:lang w:val="en-US" w:eastAsia="zh-CN"/>
        </w:rPr>
        <w:t>作业</w:t>
      </w:r>
      <w:r>
        <w:rPr>
          <w:rFonts w:hint="eastAsia" w:ascii="仿宋_GB2312" w:eastAsia="仿宋_GB2312"/>
          <w:sz w:val="28"/>
          <w:szCs w:val="28"/>
        </w:rPr>
        <w:t>过程中的安全管理，加强安全生产基础工作，及时消除安全隐患、预防事故的发生；同时须严格执行《</w:t>
      </w:r>
      <w:r>
        <w:rPr>
          <w:rFonts w:hint="eastAsia" w:ascii="仿宋_GB2312" w:eastAsia="仿宋_GB2312"/>
          <w:sz w:val="28"/>
          <w:szCs w:val="28"/>
          <w:lang w:val="en-US" w:eastAsia="zh-CN"/>
        </w:rPr>
        <w:t>设备制作</w:t>
      </w:r>
      <w:r>
        <w:rPr>
          <w:rFonts w:hint="eastAsia" w:ascii="仿宋_GB2312" w:eastAsia="仿宋_GB2312"/>
          <w:sz w:val="28"/>
          <w:szCs w:val="28"/>
        </w:rPr>
        <w:t>安全技术手册》与《企业安全生产标准化基本规范》及索普集团关于《产业项目安全管理制度》的有关规定，认真执行本协议明确的安全要求和责任，并服从业主与甲方的管理。</w:t>
      </w:r>
    </w:p>
    <w:p w14:paraId="7B050C9B">
      <w:pPr>
        <w:spacing w:line="520" w:lineRule="exact"/>
        <w:ind w:firstLine="523" w:firstLineChars="187"/>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、乙方在进场作业前，甲方要与乙方作业人员进行现场安全交底（包括：作业过程中可能出现的泄漏、火灾、爆炸、中毒窒息、触电、坠落、物体打击和机械伤害等方面的危害信息），审查乙方编制的施工</w:t>
      </w:r>
      <w:r>
        <w:rPr>
          <w:rFonts w:hint="eastAsia" w:ascii="仿宋_GB2312" w:eastAsia="仿宋_GB2312"/>
          <w:sz w:val="28"/>
          <w:szCs w:val="28"/>
          <w:lang w:val="en-US" w:eastAsia="zh-CN"/>
        </w:rPr>
        <w:t>作业</w:t>
      </w:r>
      <w:r>
        <w:rPr>
          <w:rFonts w:hint="eastAsia" w:ascii="仿宋_GB2312" w:eastAsia="仿宋_GB2312"/>
          <w:sz w:val="28"/>
          <w:szCs w:val="28"/>
        </w:rPr>
        <w:t>方案和作业安全措施。同时，乙方必须到甲方安全环保</w:t>
      </w:r>
      <w:r>
        <w:rPr>
          <w:rFonts w:hint="eastAsia" w:ascii="仿宋_GB2312" w:eastAsia="仿宋_GB2312"/>
          <w:sz w:val="28"/>
          <w:szCs w:val="28"/>
          <w:lang w:val="en-US" w:eastAsia="zh-CN"/>
        </w:rPr>
        <w:t>部</w:t>
      </w:r>
      <w:r>
        <w:rPr>
          <w:rFonts w:hint="eastAsia" w:ascii="仿宋_GB2312" w:eastAsia="仿宋_GB2312"/>
          <w:sz w:val="28"/>
          <w:szCs w:val="28"/>
        </w:rPr>
        <w:t>签订《相关方环境/安全管理协议》，明确双方安全管理范围与责任。</w:t>
      </w:r>
    </w:p>
    <w:p w14:paraId="08C0065C">
      <w:pPr>
        <w:spacing w:line="520" w:lineRule="exact"/>
        <w:ind w:firstLine="523" w:firstLineChars="187"/>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、乙方应主动接受甲方安全环保</w:t>
      </w:r>
      <w:r>
        <w:rPr>
          <w:rFonts w:hint="eastAsia" w:ascii="仿宋_GB2312" w:eastAsia="仿宋_GB2312"/>
          <w:sz w:val="28"/>
          <w:szCs w:val="28"/>
          <w:lang w:val="en-US" w:eastAsia="zh-CN"/>
        </w:rPr>
        <w:t>部</w:t>
      </w:r>
      <w:r>
        <w:rPr>
          <w:rFonts w:hint="eastAsia" w:ascii="仿宋_GB2312" w:eastAsia="仿宋_GB2312"/>
          <w:sz w:val="28"/>
          <w:szCs w:val="28"/>
        </w:rPr>
        <w:t>对乙方参加作业的所有员工进行的安全环保教育培训，掌握与作业相关的所有危害信息和应急预案。经甲方教育培训、考核合格的乙方员工，由安全环保</w:t>
      </w:r>
      <w:r>
        <w:rPr>
          <w:rFonts w:hint="eastAsia" w:ascii="仿宋_GB2312" w:eastAsia="仿宋_GB2312"/>
          <w:sz w:val="28"/>
          <w:szCs w:val="28"/>
          <w:lang w:val="en-US" w:eastAsia="zh-CN"/>
        </w:rPr>
        <w:t>部</w:t>
      </w:r>
      <w:r>
        <w:rPr>
          <w:rFonts w:hint="eastAsia" w:ascii="仿宋_GB2312" w:eastAsia="仿宋_GB2312"/>
          <w:sz w:val="28"/>
          <w:szCs w:val="28"/>
        </w:rPr>
        <w:t>办理《外工上岗证》，乙方员工凭《外工上岗证》方可进行上岗作业。乙方在未签订本协议，员工未取得《外工上岗证》前，一律不得进场作业；作业必须在《外工上岗证》规定的有效期内进行，作业结束或有效期满，乙方应主动向甲方交还《外工上岗证》。</w:t>
      </w:r>
    </w:p>
    <w:p w14:paraId="48D00273">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、甲方安全环保</w:t>
      </w:r>
      <w:r>
        <w:rPr>
          <w:rFonts w:hint="eastAsia" w:ascii="仿宋_GB2312" w:eastAsia="仿宋_GB2312"/>
          <w:sz w:val="28"/>
          <w:szCs w:val="28"/>
          <w:lang w:val="en-US" w:eastAsia="zh-CN"/>
        </w:rPr>
        <w:t>部</w:t>
      </w:r>
      <w:r>
        <w:rPr>
          <w:rFonts w:hint="eastAsia" w:ascii="仿宋_GB2312" w:eastAsia="仿宋_GB2312"/>
          <w:sz w:val="28"/>
          <w:szCs w:val="28"/>
        </w:rPr>
        <w:t>视作业项目的规模、作业时间长短和作业危险性等向乙方收取一定数额的安全保证金。作业结束时，无息返还乙方（但经安全环保</w:t>
      </w:r>
      <w:r>
        <w:rPr>
          <w:rFonts w:hint="eastAsia" w:ascii="仿宋_GB2312" w:eastAsia="仿宋_GB2312"/>
          <w:sz w:val="28"/>
          <w:szCs w:val="28"/>
          <w:lang w:val="en-US" w:eastAsia="zh-CN"/>
        </w:rPr>
        <w:t>部</w:t>
      </w:r>
      <w:r>
        <w:rPr>
          <w:rFonts w:hint="eastAsia" w:ascii="仿宋_GB2312" w:eastAsia="仿宋_GB2312"/>
          <w:sz w:val="28"/>
          <w:szCs w:val="28"/>
        </w:rPr>
        <w:t>对乙方作业过程中的安全绩效评价后认为乙方违反相关安全管理规定的除外）。</w:t>
      </w:r>
    </w:p>
    <w:p w14:paraId="5E556469">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、乙方须任命或指定专人作为该项目安全/环保管理责任人，以协调作业过程中的安全/环保有关事务。安全/环保管理责任人应保持与甲方安全环保</w:t>
      </w:r>
      <w:r>
        <w:rPr>
          <w:rFonts w:hint="eastAsia" w:ascii="仿宋_GB2312" w:eastAsia="仿宋_GB2312"/>
          <w:sz w:val="28"/>
          <w:szCs w:val="28"/>
          <w:lang w:val="en-US" w:eastAsia="zh-CN"/>
        </w:rPr>
        <w:t>部</w:t>
      </w:r>
      <w:r>
        <w:rPr>
          <w:rFonts w:hint="eastAsia" w:ascii="仿宋_GB2312" w:eastAsia="仿宋_GB2312"/>
          <w:sz w:val="28"/>
          <w:szCs w:val="28"/>
        </w:rPr>
        <w:t>的有效联络。乙方不得在</w:t>
      </w:r>
      <w:r>
        <w:rPr>
          <w:rFonts w:hint="eastAsia" w:ascii="仿宋_GB2312" w:eastAsia="仿宋_GB2312"/>
          <w:sz w:val="28"/>
          <w:szCs w:val="28"/>
          <w:lang w:val="en-US" w:eastAsia="zh-CN"/>
        </w:rPr>
        <w:t>作业</w:t>
      </w:r>
      <w:r>
        <w:rPr>
          <w:rFonts w:hint="eastAsia" w:ascii="仿宋_GB2312" w:eastAsia="仿宋_GB2312"/>
          <w:sz w:val="28"/>
          <w:szCs w:val="28"/>
        </w:rPr>
        <w:t>过程中擅自更换(工程技术、安全、质量)管理人员以及关系到</w:t>
      </w:r>
      <w:r>
        <w:rPr>
          <w:rFonts w:hint="eastAsia" w:ascii="仿宋_GB2312" w:eastAsia="仿宋_GB2312"/>
          <w:sz w:val="28"/>
          <w:szCs w:val="28"/>
          <w:lang w:val="en-US" w:eastAsia="zh-CN"/>
        </w:rPr>
        <w:t>作业</w:t>
      </w:r>
      <w:r>
        <w:rPr>
          <w:rFonts w:hint="eastAsia" w:ascii="仿宋_GB2312" w:eastAsia="仿宋_GB2312"/>
          <w:sz w:val="28"/>
          <w:szCs w:val="28"/>
        </w:rPr>
        <w:t>安全及质量的特殊工种人员,特殊情况需要更换人员时需征得甲方的同意,并对新参加的人员进行相应的安全教育,培训和考核,合格后方可使用。</w:t>
      </w:r>
    </w:p>
    <w:p w14:paraId="6E0CD429">
      <w:pPr>
        <w:spacing w:line="520" w:lineRule="exact"/>
        <w:ind w:firstLine="523" w:firstLineChars="187"/>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、双方必须严守因履行主体合同及本协议而知悉的可能涉及的对方的技术秘密和业务机密，不因主体合同与本协议解除、终止而终止。</w:t>
      </w:r>
    </w:p>
    <w:p w14:paraId="107B26E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三、甲方的权利、义务</w:t>
      </w:r>
    </w:p>
    <w:p w14:paraId="4EB1C5E1">
      <w:pPr>
        <w:spacing w:line="520" w:lineRule="exact"/>
        <w:ind w:firstLine="523" w:firstLineChars="187"/>
        <w:rPr>
          <w:rFonts w:ascii="仿宋_GB2312" w:eastAsia="仿宋_GB2312"/>
          <w:sz w:val="28"/>
          <w:szCs w:val="28"/>
        </w:rPr>
      </w:pPr>
      <w:r>
        <w:rPr>
          <w:rFonts w:hint="eastAsia" w:ascii="仿宋_GB2312" w:eastAsia="仿宋_GB2312"/>
          <w:sz w:val="28"/>
          <w:szCs w:val="28"/>
        </w:rPr>
        <w:t>1、甲方根据甲乙双方合同、为乙方提供符合国家法律法规和规范要求的安全管理制度，并对乙方贯彻落实国家安全环保相关法律、法规和规范要求及甲方的安全制度的执行情况进行检查。</w:t>
      </w:r>
    </w:p>
    <w:p w14:paraId="2180A0A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2、甲方应当为乙方提供安全、规范的作业现场，承诺不因其过错或消极不作为而给乙方造成安全隐患。</w:t>
      </w:r>
    </w:p>
    <w:p w14:paraId="28E88FE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3、对乙方报送的</w:t>
      </w:r>
      <w:r>
        <w:rPr>
          <w:rFonts w:hint="eastAsia" w:ascii="仿宋_GB2312" w:eastAsia="仿宋_GB2312"/>
          <w:sz w:val="28"/>
          <w:szCs w:val="28"/>
          <w:lang w:val="en-US" w:eastAsia="zh-CN"/>
        </w:rPr>
        <w:t>作业</w:t>
      </w:r>
      <w:r>
        <w:rPr>
          <w:rFonts w:hint="eastAsia" w:ascii="仿宋_GB2312" w:eastAsia="仿宋_GB2312"/>
          <w:sz w:val="28"/>
          <w:szCs w:val="28"/>
        </w:rPr>
        <w:t>方案（包括安全方案）进行审核，并监督乙方实施。</w:t>
      </w:r>
    </w:p>
    <w:p w14:paraId="56CAE41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4、甲方相关职能部门应配合乙方办理、审批各类安全作业票证，协助乙方解决作业过程的安全环保方面问题。</w:t>
      </w:r>
    </w:p>
    <w:p w14:paraId="1414DEAB">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5、按《承包商安全管理制度》的规定对整个施工</w:t>
      </w:r>
      <w:r>
        <w:rPr>
          <w:rFonts w:hint="eastAsia" w:ascii="仿宋_GB2312" w:eastAsia="仿宋_GB2312"/>
          <w:sz w:val="28"/>
          <w:szCs w:val="28"/>
          <w:lang w:val="en-US" w:eastAsia="zh-CN"/>
        </w:rPr>
        <w:t>作业</w:t>
      </w:r>
      <w:r>
        <w:rPr>
          <w:rFonts w:hint="eastAsia" w:ascii="仿宋_GB2312" w:eastAsia="仿宋_GB2312"/>
          <w:sz w:val="28"/>
          <w:szCs w:val="28"/>
        </w:rPr>
        <w:t>现场的安全环保管理工作进行协调和监督管理。指导、监督、检查乙方的安全环保管理工作，对乙方施工</w:t>
      </w:r>
      <w:r>
        <w:rPr>
          <w:rFonts w:hint="eastAsia" w:ascii="仿宋_GB2312" w:eastAsia="仿宋_GB2312"/>
          <w:sz w:val="28"/>
          <w:szCs w:val="28"/>
          <w:lang w:val="en-US" w:eastAsia="zh-CN"/>
        </w:rPr>
        <w:t>作业</w:t>
      </w:r>
      <w:r>
        <w:rPr>
          <w:rFonts w:hint="eastAsia" w:ascii="仿宋_GB2312" w:eastAsia="仿宋_GB2312"/>
          <w:sz w:val="28"/>
          <w:szCs w:val="28"/>
        </w:rPr>
        <w:t>中的违章指挥，违章作业和安全隐患有权责令乙方立即整改、排除，督促、检查乙方的隐患整改落实情况，必要时协助乙方进行隐患整改工作。当乙方不能如期整改，有权单方终止与乙方间主体合同的履行，直至将乙方清除出场而不视为甲方违约。</w:t>
      </w:r>
    </w:p>
    <w:p w14:paraId="42081E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6、甲方对乙方进行安全检查时，有权向乙方询问有关安全措施落实情况，调阅有关安全措施资料，指导或提出安检意见和建议。</w:t>
      </w:r>
    </w:p>
    <w:p w14:paraId="43723ADC">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7、对乙方在施工</w:t>
      </w:r>
      <w:r>
        <w:rPr>
          <w:rFonts w:hint="eastAsia" w:ascii="仿宋_GB2312" w:eastAsia="仿宋_GB2312"/>
          <w:sz w:val="28"/>
          <w:szCs w:val="28"/>
          <w:lang w:val="en-US" w:eastAsia="zh-CN"/>
        </w:rPr>
        <w:t>作业</w:t>
      </w:r>
      <w:r>
        <w:rPr>
          <w:rFonts w:hint="eastAsia" w:ascii="仿宋_GB2312" w:eastAsia="仿宋_GB2312"/>
          <w:sz w:val="28"/>
          <w:szCs w:val="28"/>
        </w:rPr>
        <w:t>过程中违反有关安全管理规定、有违章现象发生、安全问题整改不到位或拒不接受甲方的正常安全管理的，根据问题的严重程度，依据甲方的施工</w:t>
      </w:r>
      <w:r>
        <w:rPr>
          <w:rFonts w:hint="eastAsia" w:ascii="仿宋_GB2312" w:eastAsia="仿宋_GB2312"/>
          <w:sz w:val="28"/>
          <w:szCs w:val="28"/>
          <w:lang w:val="en-US" w:eastAsia="zh-CN"/>
        </w:rPr>
        <w:t>作业</w:t>
      </w:r>
      <w:r>
        <w:rPr>
          <w:rFonts w:hint="eastAsia" w:ascii="仿宋_GB2312" w:eastAsia="仿宋_GB2312"/>
          <w:sz w:val="28"/>
          <w:szCs w:val="28"/>
        </w:rPr>
        <w:t>现场奖惩规定进行处罚，乙方对此不持异议。</w:t>
      </w:r>
    </w:p>
    <w:p w14:paraId="6C62D39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8、当生产中出现可能影响施工</w:t>
      </w:r>
      <w:r>
        <w:rPr>
          <w:rFonts w:hint="eastAsia" w:ascii="仿宋_GB2312" w:eastAsia="仿宋_GB2312"/>
          <w:sz w:val="28"/>
          <w:szCs w:val="28"/>
          <w:lang w:val="en-US" w:eastAsia="zh-CN"/>
        </w:rPr>
        <w:t>作业</w:t>
      </w:r>
      <w:r>
        <w:rPr>
          <w:rFonts w:hint="eastAsia" w:ascii="仿宋_GB2312" w:eastAsia="仿宋_GB2312"/>
          <w:sz w:val="28"/>
          <w:szCs w:val="28"/>
        </w:rPr>
        <w:t>安全的因素时，甲方及甲方相关部门、相关分子公司应立即通知乙方，紧急情况下可直接通知现场施工</w:t>
      </w:r>
      <w:r>
        <w:rPr>
          <w:rFonts w:hint="eastAsia" w:ascii="仿宋_GB2312" w:eastAsia="仿宋_GB2312"/>
          <w:sz w:val="28"/>
          <w:szCs w:val="28"/>
          <w:lang w:val="en-US" w:eastAsia="zh-CN"/>
        </w:rPr>
        <w:t>作业</w:t>
      </w:r>
      <w:r>
        <w:rPr>
          <w:rFonts w:hint="eastAsia" w:ascii="仿宋_GB2312" w:eastAsia="仿宋_GB2312"/>
          <w:sz w:val="28"/>
          <w:szCs w:val="28"/>
        </w:rPr>
        <w:t>作业人员停工、撤离。</w:t>
      </w:r>
    </w:p>
    <w:p w14:paraId="1CA959F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9、对乙方人员进行安全教育、考试及办理施工</w:t>
      </w:r>
      <w:r>
        <w:rPr>
          <w:rFonts w:hint="eastAsia" w:ascii="仿宋_GB2312" w:eastAsia="仿宋_GB2312"/>
          <w:sz w:val="28"/>
          <w:szCs w:val="28"/>
          <w:lang w:val="en-US" w:eastAsia="zh-CN"/>
        </w:rPr>
        <w:t>作业</w:t>
      </w:r>
      <w:r>
        <w:rPr>
          <w:rFonts w:hint="eastAsia" w:ascii="仿宋_GB2312" w:eastAsia="仿宋_GB2312"/>
          <w:sz w:val="28"/>
          <w:szCs w:val="28"/>
        </w:rPr>
        <w:t>人员进入现场应履行的相关手续等。</w:t>
      </w:r>
    </w:p>
    <w:p w14:paraId="57AA0AC0">
      <w:pPr>
        <w:spacing w:line="520" w:lineRule="exact"/>
        <w:ind w:firstLine="526" w:firstLineChars="187"/>
        <w:rPr>
          <w:rFonts w:hint="eastAsia" w:ascii="仿宋_GB2312" w:eastAsia="仿宋_GB2312"/>
          <w:b/>
          <w:bCs/>
          <w:sz w:val="28"/>
          <w:szCs w:val="28"/>
        </w:rPr>
      </w:pPr>
      <w:r>
        <w:rPr>
          <w:rFonts w:hint="eastAsia" w:ascii="仿宋_GB2312" w:eastAsia="仿宋_GB2312"/>
          <w:b/>
          <w:bCs/>
          <w:sz w:val="28"/>
          <w:szCs w:val="28"/>
        </w:rPr>
        <w:t>四、乙方的权利、义务</w:t>
      </w:r>
    </w:p>
    <w:p w14:paraId="3D55F9D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1、乙方应自觉遵守国家和甲方有关安全生产的方针、政策、法律、法规、制度、规定，提供相关材料,并接受甲方安全主管部门的安全资质和条件审查、监督。</w:t>
      </w:r>
    </w:p>
    <w:p w14:paraId="6A607DFA">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2、乙方应根据甲方提出的确保施工</w:t>
      </w:r>
      <w:r>
        <w:rPr>
          <w:rFonts w:hint="eastAsia" w:ascii="仿宋_GB2312" w:eastAsia="仿宋_GB2312"/>
          <w:sz w:val="28"/>
          <w:szCs w:val="28"/>
          <w:lang w:val="en-US" w:eastAsia="zh-CN"/>
        </w:rPr>
        <w:t>作业</w:t>
      </w:r>
      <w:r>
        <w:rPr>
          <w:rFonts w:hint="eastAsia" w:ascii="仿宋_GB2312" w:eastAsia="仿宋_GB2312"/>
          <w:sz w:val="28"/>
          <w:szCs w:val="28"/>
        </w:rPr>
        <w:t>安全的（组织、安全、技术）措施要求制定相关的安全管理规定及岗位安全操作规程，且只在与甲方协议签署的地点、范围及作业项目内从事相关施工和作业。</w:t>
      </w:r>
    </w:p>
    <w:p w14:paraId="695C95B3">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3、乙方应具有健全的环境/安全管理组织体系，在作业期间，乙方应指派专（兼）职环境/安全负责人，全面负责项目的环境、安全、现场、消防等工作，遵照执行有关安全文明生产、治安、防火等方面的规章制度。</w:t>
      </w:r>
    </w:p>
    <w:p w14:paraId="5CB350B8">
      <w:pPr>
        <w:spacing w:line="520" w:lineRule="exact"/>
        <w:ind w:firstLine="523" w:firstLineChars="187"/>
        <w:rPr>
          <w:rFonts w:ascii="仿宋_GB2312" w:eastAsia="仿宋_GB2312"/>
          <w:sz w:val="28"/>
          <w:szCs w:val="28"/>
        </w:rPr>
      </w:pPr>
      <w:r>
        <w:rPr>
          <w:rFonts w:hint="eastAsia" w:ascii="仿宋_GB2312" w:eastAsia="仿宋_GB2312"/>
          <w:sz w:val="28"/>
          <w:szCs w:val="28"/>
        </w:rPr>
        <w:t>4、乙方承诺不使用未成年工、童工、超龄工（男性超过60周岁，女性超过55周岁）和安排女工从事禁忌劳动，并保证进场作业的人员身体健康，不得有职业禁忌症（如精神病、癫痫病、高血压、心脏病等）。否则，一律由乙方承担法律责任；如因此发生安全事故的，乙方除承担法律责任外，还应赔偿各方因此遭受的损失。</w:t>
      </w:r>
    </w:p>
    <w:p w14:paraId="6A6F307B">
      <w:pPr>
        <w:spacing w:line="520" w:lineRule="exact"/>
        <w:ind w:firstLine="523" w:firstLineChars="187"/>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组织进场作业的员工参加由甲方进行的安全环保教育与培训，根据作业需要发放符合标准的劳动防护用品，并配备足够的消防器材、事故应急救援器材、防暑降温药品等。作业人员凭甲方发放的《外工上岗证》出入施工</w:t>
      </w:r>
      <w:r>
        <w:rPr>
          <w:rFonts w:hint="eastAsia" w:ascii="仿宋_GB2312" w:eastAsia="仿宋_GB2312"/>
          <w:sz w:val="28"/>
          <w:szCs w:val="28"/>
          <w:lang w:val="en-US" w:eastAsia="zh-CN"/>
        </w:rPr>
        <w:t>作业</w:t>
      </w:r>
      <w:r>
        <w:rPr>
          <w:rFonts w:hint="eastAsia" w:ascii="仿宋_GB2312" w:eastAsia="仿宋_GB2312"/>
          <w:sz w:val="28"/>
          <w:szCs w:val="28"/>
        </w:rPr>
        <w:t>现场作业，乙方对其员工在甲方范围内的行为做好监督管理。</w:t>
      </w:r>
    </w:p>
    <w:p w14:paraId="05D7DE61">
      <w:pPr>
        <w:spacing w:line="520" w:lineRule="exact"/>
        <w:ind w:firstLine="523" w:firstLineChars="187"/>
        <w:rPr>
          <w:rFonts w:hint="eastAsia"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、乙方施工</w:t>
      </w:r>
      <w:r>
        <w:rPr>
          <w:rFonts w:hint="eastAsia" w:ascii="仿宋_GB2312" w:eastAsia="仿宋_GB2312"/>
          <w:sz w:val="28"/>
          <w:szCs w:val="28"/>
          <w:lang w:val="en-US" w:eastAsia="zh-CN"/>
        </w:rPr>
        <w:t>作业</w:t>
      </w:r>
      <w:r>
        <w:rPr>
          <w:rFonts w:hint="eastAsia" w:ascii="仿宋_GB2312" w:eastAsia="仿宋_GB2312"/>
          <w:sz w:val="28"/>
          <w:szCs w:val="28"/>
        </w:rPr>
        <w:t>人员应严格执行“施工</w:t>
      </w:r>
      <w:r>
        <w:rPr>
          <w:rFonts w:hint="eastAsia" w:ascii="仿宋_GB2312" w:eastAsia="仿宋_GB2312"/>
          <w:sz w:val="28"/>
          <w:szCs w:val="28"/>
          <w:lang w:val="en-US" w:eastAsia="zh-CN"/>
        </w:rPr>
        <w:t>作业</w:t>
      </w:r>
      <w:r>
        <w:rPr>
          <w:rFonts w:hint="eastAsia" w:ascii="仿宋_GB2312" w:eastAsia="仿宋_GB2312"/>
          <w:sz w:val="28"/>
          <w:szCs w:val="28"/>
        </w:rPr>
        <w:t>安全生产六大纪律”，并落实施工</w:t>
      </w:r>
      <w:r>
        <w:rPr>
          <w:rFonts w:hint="eastAsia" w:ascii="仿宋_GB2312" w:eastAsia="仿宋_GB2312"/>
          <w:sz w:val="28"/>
          <w:szCs w:val="28"/>
          <w:lang w:val="en-US" w:eastAsia="zh-CN"/>
        </w:rPr>
        <w:t>作业</w:t>
      </w:r>
      <w:r>
        <w:rPr>
          <w:rFonts w:hint="eastAsia" w:ascii="仿宋_GB2312" w:eastAsia="仿宋_GB2312"/>
          <w:sz w:val="28"/>
          <w:szCs w:val="28"/>
        </w:rPr>
        <w:t>负责人、班组长、工人安全职责，严禁违章作业。乙方进场后，应对作业场所进行封闭和隔离；在甲方生产区域内施工</w:t>
      </w:r>
      <w:r>
        <w:rPr>
          <w:rFonts w:hint="eastAsia" w:ascii="仿宋_GB2312" w:eastAsia="仿宋_GB2312"/>
          <w:sz w:val="28"/>
          <w:szCs w:val="28"/>
          <w:lang w:val="en-US" w:eastAsia="zh-CN"/>
        </w:rPr>
        <w:t>作业</w:t>
      </w:r>
      <w:r>
        <w:rPr>
          <w:rFonts w:hint="eastAsia" w:ascii="仿宋_GB2312" w:eastAsia="仿宋_GB2312"/>
          <w:sz w:val="28"/>
          <w:szCs w:val="28"/>
        </w:rPr>
        <w:t>的，必须在作业场所和生产装置间采取严格、有效的隔离措施。</w:t>
      </w:r>
    </w:p>
    <w:p w14:paraId="198C2CC3">
      <w:pPr>
        <w:spacing w:line="520" w:lineRule="exact"/>
        <w:ind w:firstLine="523" w:firstLineChars="187"/>
        <w:rPr>
          <w:rFonts w:hint="eastAsia"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、乙方须在作业现场可能存在危险的场所，设置易于辨识的安全警示标志，在作业场所周围醒目处标识施工</w:t>
      </w:r>
      <w:r>
        <w:rPr>
          <w:rFonts w:hint="eastAsia" w:ascii="仿宋_GB2312" w:eastAsia="仿宋_GB2312"/>
          <w:sz w:val="28"/>
          <w:szCs w:val="28"/>
          <w:lang w:val="en-US" w:eastAsia="zh-CN"/>
        </w:rPr>
        <w:t>作业</w:t>
      </w:r>
      <w:r>
        <w:rPr>
          <w:rFonts w:hint="eastAsia" w:ascii="仿宋_GB2312" w:eastAsia="仿宋_GB2312"/>
          <w:sz w:val="28"/>
          <w:szCs w:val="28"/>
        </w:rPr>
        <w:t>单位名称、项目负责人、安全环保责任人、安全承诺、安全注意事项等信息。</w:t>
      </w:r>
    </w:p>
    <w:p w14:paraId="665B258F">
      <w:pPr>
        <w:spacing w:line="520" w:lineRule="exact"/>
        <w:ind w:firstLine="523" w:firstLineChars="187"/>
        <w:rPr>
          <w:rFonts w:hint="eastAsia" w:ascii="仿宋_GB2312" w:eastAsia="仿宋_GB2312"/>
          <w:sz w:val="28"/>
          <w:szCs w:val="28"/>
        </w:rPr>
      </w:pPr>
      <w:r>
        <w:rPr>
          <w:rFonts w:ascii="仿宋_GB2312" w:eastAsia="仿宋_GB2312"/>
          <w:sz w:val="28"/>
          <w:szCs w:val="28"/>
        </w:rPr>
        <w:t>8</w:t>
      </w:r>
      <w:r>
        <w:rPr>
          <w:rFonts w:hint="eastAsia" w:ascii="仿宋_GB2312" w:eastAsia="仿宋_GB2312"/>
          <w:sz w:val="28"/>
          <w:szCs w:val="28"/>
        </w:rPr>
        <w:t>、乙方管理人员在员工作业前应先熟悉现场，掌握所处区域的作业环境可能存在的危险因素、控制措施，对使用的设施、设备等，负有认真检查和确认的义务，严禁设施、设备等带病作业。否则，由此而产生的一切法律后果，由乙方承担。</w:t>
      </w:r>
    </w:p>
    <w:p w14:paraId="039FCECE">
      <w:pPr>
        <w:spacing w:line="520" w:lineRule="exact"/>
        <w:ind w:firstLine="523" w:firstLineChars="187"/>
        <w:rPr>
          <w:rFonts w:hint="eastAsia" w:ascii="仿宋_GB2312" w:eastAsia="仿宋_GB2312"/>
          <w:sz w:val="28"/>
          <w:szCs w:val="28"/>
        </w:rPr>
      </w:pPr>
      <w:r>
        <w:rPr>
          <w:rFonts w:ascii="仿宋_GB2312" w:eastAsia="仿宋_GB2312"/>
          <w:sz w:val="28"/>
          <w:szCs w:val="28"/>
        </w:rPr>
        <w:t>9</w:t>
      </w:r>
      <w:r>
        <w:rPr>
          <w:rFonts w:hint="eastAsia" w:ascii="仿宋_GB2312" w:eastAsia="仿宋_GB2312"/>
          <w:sz w:val="28"/>
          <w:szCs w:val="28"/>
        </w:rPr>
        <w:t>、乙方在现场的材料存储、处理，特别是废弃物处理，必须取得甲方或施工</w:t>
      </w:r>
      <w:r>
        <w:rPr>
          <w:rFonts w:hint="eastAsia" w:ascii="仿宋_GB2312" w:eastAsia="仿宋_GB2312"/>
          <w:sz w:val="28"/>
          <w:szCs w:val="28"/>
          <w:lang w:val="en-US" w:eastAsia="zh-CN"/>
        </w:rPr>
        <w:t>作业</w:t>
      </w:r>
      <w:r>
        <w:rPr>
          <w:rFonts w:hint="eastAsia" w:ascii="仿宋_GB2312" w:eastAsia="仿宋_GB2312"/>
          <w:sz w:val="28"/>
          <w:szCs w:val="28"/>
        </w:rPr>
        <w:t>现场所属部门的批准。</w:t>
      </w:r>
    </w:p>
    <w:p w14:paraId="5D063B4F">
      <w:pPr>
        <w:spacing w:line="520" w:lineRule="exact"/>
        <w:ind w:firstLine="523" w:firstLineChars="187"/>
        <w:rPr>
          <w:rFonts w:hint="eastAsia"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乙方使用甲方的水、电、气（汽）等，应先向甲方提出申请，经甲方现场勘查批准并办理相关手续后，由甲方指定人员，按指定方式接入作业现场。如有特殊需要或变更使用方式时，也必须先取得甲方同意，方可变更。</w:t>
      </w:r>
    </w:p>
    <w:p w14:paraId="3DB0F9DD">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乙方人员现场不得擅自动用或操作甲方的设备、机具及消防设施，如需借用甲方的工具、设备及消防器材，应向甲方提出申请，经甲方相关部门同意后方可办理租借手续。甲方应保证设备、工器具符合安全要求，乙方接收时必须进行验收确认。乙方一经接收使用，表示认可该设备、工器具完好，无安全隐患。若造成安全事故，后果由乙方负责。</w:t>
      </w:r>
    </w:p>
    <w:p w14:paraId="1DA09F59">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、在乙方进场作业前，乙方应对参加作业的人员进行现场安全教育与交底，内容包括：</w:t>
      </w:r>
    </w:p>
    <w:p w14:paraId="55A42A08">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①</w:t>
      </w:r>
      <w:r>
        <w:rPr>
          <w:rFonts w:hint="eastAsia" w:ascii="仿宋_GB2312" w:hAnsi="仿宋_GB2312" w:eastAsia="仿宋_GB2312" w:cs="仿宋_GB2312"/>
          <w:sz w:val="28"/>
          <w:szCs w:val="28"/>
        </w:rPr>
        <w:t>作业点及周围可能存在的危险危害因素及预防措施；</w:t>
      </w:r>
    </w:p>
    <w:p w14:paraId="1BEF3897">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②</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边界及限制区域，</w:t>
      </w:r>
      <w:r>
        <w:rPr>
          <w:rFonts w:hint="eastAsia" w:ascii="仿宋_GB2312" w:hAnsi="仿宋_GB2312" w:eastAsia="仿宋_GB2312" w:cs="仿宋_GB2312"/>
          <w:sz w:val="28"/>
          <w:szCs w:val="28"/>
          <w:lang w:val="en-US" w:eastAsia="zh-CN"/>
        </w:rPr>
        <w:t>施工作业现场</w:t>
      </w:r>
      <w:r>
        <w:rPr>
          <w:rFonts w:hint="eastAsia" w:ascii="仿宋_GB2312" w:hAnsi="仿宋_GB2312" w:eastAsia="仿宋_GB2312" w:cs="仿宋_GB2312"/>
          <w:sz w:val="28"/>
          <w:szCs w:val="28"/>
        </w:rPr>
        <w:t>的安全出入；</w:t>
      </w:r>
    </w:p>
    <w:p w14:paraId="211C23E2">
      <w:pPr>
        <w:spacing w:line="520" w:lineRule="exact"/>
        <w:ind w:firstLine="523" w:firstLineChars="187"/>
        <w:rPr>
          <w:rFonts w:hint="eastAsia" w:ascii="仿宋_GB2312" w:hAnsi="仿宋_GB2312" w:eastAsia="仿宋_GB2312" w:cs="仿宋_GB2312"/>
          <w:sz w:val="28"/>
          <w:szCs w:val="28"/>
        </w:rPr>
      </w:pPr>
      <w:r>
        <w:rPr>
          <w:rFonts w:hint="eastAsia" w:ascii="仿宋_GB2312" w:eastAsia="仿宋_GB2312"/>
          <w:sz w:val="28"/>
          <w:szCs w:val="28"/>
        </w:rPr>
        <w:t>③</w:t>
      </w:r>
      <w:r>
        <w:rPr>
          <w:rFonts w:hint="eastAsia" w:ascii="仿宋_GB2312" w:hAnsi="仿宋_GB2312" w:eastAsia="仿宋_GB2312" w:cs="仿宋_GB2312"/>
          <w:sz w:val="28"/>
          <w:szCs w:val="28"/>
        </w:rPr>
        <w:t>应办理的安全作业票证；</w:t>
      </w:r>
    </w:p>
    <w:p w14:paraId="6B9A905E">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④安全环保的方针、目标和规章制度；</w:t>
      </w:r>
    </w:p>
    <w:p w14:paraId="4FFBDC90">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⑤发生紧急情况时的应急通讯及应急处理方式；</w:t>
      </w:r>
    </w:p>
    <w:p w14:paraId="560EE132">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⑥其它特殊要求及条件。</w:t>
      </w:r>
    </w:p>
    <w:p w14:paraId="1D78DC2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、乙方施工作业行为应严格遵守甲方相关安全管理制度，施工作业须先办理作业票证，经甲方相关部门批准，落实相应的安全措施后方可进行作业。</w:t>
      </w:r>
    </w:p>
    <w:p w14:paraId="0C0F0399">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4</w:t>
      </w:r>
      <w:r>
        <w:rPr>
          <w:rFonts w:hint="eastAsia" w:ascii="仿宋_GB2312" w:eastAsia="仿宋_GB2312"/>
          <w:sz w:val="28"/>
          <w:szCs w:val="28"/>
        </w:rPr>
        <w:t>、乙方在现场进行作业时，应指定专门的安全监护人，对作业进行全程监护，及时查处隐患和制止违章行为。</w:t>
      </w:r>
    </w:p>
    <w:p w14:paraId="3A6D151C">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5</w:t>
      </w:r>
      <w:r>
        <w:rPr>
          <w:rFonts w:hint="eastAsia" w:ascii="仿宋_GB2312" w:eastAsia="仿宋_GB2312"/>
          <w:sz w:val="28"/>
          <w:szCs w:val="28"/>
        </w:rPr>
        <w:t>、当两个以上单位在同一作业区域内进行施工作业，应服从甲方的统一指挥，分别指派专人负责现场的安全管理和协调。可能危及对方生产安全的，各施工</w:t>
      </w:r>
      <w:r>
        <w:rPr>
          <w:rFonts w:hint="eastAsia" w:ascii="仿宋_GB2312" w:eastAsia="仿宋_GB2312"/>
          <w:sz w:val="28"/>
          <w:szCs w:val="28"/>
          <w:lang w:val="en-US" w:eastAsia="zh-CN"/>
        </w:rPr>
        <w:t>作业</w:t>
      </w:r>
      <w:r>
        <w:rPr>
          <w:rFonts w:hint="eastAsia" w:ascii="仿宋_GB2312" w:eastAsia="仿宋_GB2312"/>
          <w:sz w:val="28"/>
          <w:szCs w:val="28"/>
        </w:rPr>
        <w:t>方之间应当签订独立的安全生产管理协议，明确各自的安全生产管理职责和应当采取的安全措施，并将安全生产管理协议作为施工</w:t>
      </w:r>
      <w:r>
        <w:rPr>
          <w:rFonts w:hint="eastAsia" w:ascii="仿宋_GB2312" w:eastAsia="仿宋_GB2312"/>
          <w:sz w:val="28"/>
          <w:szCs w:val="28"/>
          <w:lang w:val="en-US" w:eastAsia="zh-CN"/>
        </w:rPr>
        <w:t>作业</w:t>
      </w:r>
      <w:r>
        <w:rPr>
          <w:rFonts w:hint="eastAsia" w:ascii="仿宋_GB2312" w:eastAsia="仿宋_GB2312"/>
          <w:sz w:val="28"/>
          <w:szCs w:val="28"/>
        </w:rPr>
        <w:t>方案的附件一并报甲方用工部门备案。</w:t>
      </w:r>
    </w:p>
    <w:p w14:paraId="419DD4B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、乙方不得超区域作业；如有必须超出划定区域的作业，乙方必须主动与甲方取得联系，提出申请并得到许可后方可施工</w:t>
      </w:r>
      <w:r>
        <w:rPr>
          <w:rFonts w:hint="eastAsia" w:ascii="仿宋_GB2312" w:eastAsia="仿宋_GB2312"/>
          <w:sz w:val="28"/>
          <w:szCs w:val="28"/>
          <w:lang w:val="en-US" w:eastAsia="zh-CN"/>
        </w:rPr>
        <w:t>作业</w:t>
      </w:r>
      <w:r>
        <w:rPr>
          <w:rFonts w:hint="eastAsia" w:ascii="仿宋_GB2312" w:eastAsia="仿宋_GB2312"/>
          <w:sz w:val="28"/>
          <w:szCs w:val="28"/>
        </w:rPr>
        <w:t>。如果施工</w:t>
      </w:r>
      <w:r>
        <w:rPr>
          <w:rFonts w:hint="eastAsia" w:ascii="仿宋_GB2312" w:eastAsia="仿宋_GB2312"/>
          <w:sz w:val="28"/>
          <w:szCs w:val="28"/>
          <w:lang w:val="en-US" w:eastAsia="zh-CN"/>
        </w:rPr>
        <w:t>作业</w:t>
      </w:r>
      <w:r>
        <w:rPr>
          <w:rFonts w:hint="eastAsia" w:ascii="仿宋_GB2312" w:eastAsia="仿宋_GB2312"/>
          <w:sz w:val="28"/>
          <w:szCs w:val="28"/>
        </w:rPr>
        <w:t>涉及到</w:t>
      </w:r>
      <w:r>
        <w:rPr>
          <w:rFonts w:hint="eastAsia" w:ascii="仿宋_GB2312" w:eastAsia="仿宋_GB2312"/>
          <w:sz w:val="28"/>
          <w:szCs w:val="28"/>
          <w:lang w:val="en-US" w:eastAsia="zh-CN"/>
        </w:rPr>
        <w:t>甲方集团公司</w:t>
      </w:r>
      <w:r>
        <w:rPr>
          <w:rFonts w:hint="eastAsia" w:ascii="仿宋_GB2312" w:eastAsia="仿宋_GB2312"/>
          <w:sz w:val="28"/>
          <w:szCs w:val="28"/>
        </w:rPr>
        <w:t>相关分子公司、项目部的生产现场，则必须由相关岗位办理票证，并派出监护人进行监护，乙方不得强行施工</w:t>
      </w:r>
      <w:r>
        <w:rPr>
          <w:rFonts w:hint="eastAsia" w:ascii="仿宋_GB2312" w:eastAsia="仿宋_GB2312"/>
          <w:sz w:val="28"/>
          <w:szCs w:val="28"/>
          <w:lang w:val="en-US" w:eastAsia="zh-CN"/>
        </w:rPr>
        <w:t>作业</w:t>
      </w:r>
      <w:r>
        <w:rPr>
          <w:rFonts w:hint="eastAsia" w:ascii="仿宋_GB2312" w:eastAsia="仿宋_GB2312"/>
          <w:sz w:val="28"/>
          <w:szCs w:val="28"/>
        </w:rPr>
        <w:t>。</w:t>
      </w:r>
    </w:p>
    <w:p w14:paraId="4D910E2A">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7</w:t>
      </w:r>
      <w:r>
        <w:rPr>
          <w:rFonts w:hint="eastAsia" w:ascii="仿宋_GB2312" w:eastAsia="仿宋_GB2312"/>
          <w:sz w:val="28"/>
          <w:szCs w:val="28"/>
        </w:rPr>
        <w:t>、乙方进入甲方现场车辆的车况、速度、行驶路线、停放位置等须遵守甲方的交通制度要求；装卸和行驶过程中不得有抛、洒、滴、漏现象。</w:t>
      </w:r>
    </w:p>
    <w:p w14:paraId="71FAC90C">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8</w:t>
      </w:r>
      <w:r>
        <w:rPr>
          <w:rFonts w:hint="eastAsia" w:ascii="仿宋_GB2312" w:eastAsia="仿宋_GB2312"/>
          <w:sz w:val="28"/>
          <w:szCs w:val="28"/>
        </w:rPr>
        <w:t>、施工作业现场的噪声与振动、“三废”排放等应符合环保要求，如发生投诉事件，乙方有责任按要求及时进行整改，并承担由此产生的后果。</w:t>
      </w:r>
    </w:p>
    <w:p w14:paraId="787481D4">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9</w:t>
      </w:r>
      <w:r>
        <w:rPr>
          <w:rFonts w:hint="eastAsia" w:ascii="仿宋_GB2312" w:eastAsia="仿宋_GB2312"/>
          <w:sz w:val="28"/>
          <w:szCs w:val="28"/>
        </w:rPr>
        <w:t>、乙方在施工作业结束，撤离现场时，要保持现场清洁、整齐，运走所有废弃物、材料及设备。甲方负责检查和监督。</w:t>
      </w:r>
    </w:p>
    <w:p w14:paraId="470FC2F4">
      <w:pPr>
        <w:spacing w:line="520" w:lineRule="exact"/>
        <w:ind w:left="13" w:leftChars="6" w:firstLine="655" w:firstLineChars="234"/>
        <w:rPr>
          <w:rFonts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、乙方在施工</w:t>
      </w:r>
      <w:r>
        <w:rPr>
          <w:rFonts w:hint="eastAsia" w:ascii="仿宋_GB2312" w:eastAsia="仿宋_GB2312"/>
          <w:sz w:val="28"/>
          <w:szCs w:val="28"/>
          <w:lang w:val="en-US" w:eastAsia="zh-CN"/>
        </w:rPr>
        <w:t>作业</w:t>
      </w:r>
      <w:r>
        <w:rPr>
          <w:rFonts w:hint="eastAsia" w:ascii="仿宋_GB2312" w:eastAsia="仿宋_GB2312"/>
          <w:sz w:val="28"/>
          <w:szCs w:val="28"/>
        </w:rPr>
        <w:t>过程中，周边生产装置发生泄漏、火灾、爆炸事故时，</w:t>
      </w:r>
      <w:r>
        <w:rPr>
          <w:rFonts w:hint="eastAsia" w:ascii="仿宋_GB2312" w:eastAsia="仿宋_GB2312"/>
          <w:sz w:val="28"/>
          <w:szCs w:val="28"/>
          <w:lang w:val="en-US" w:eastAsia="zh-CN"/>
        </w:rPr>
        <w:t>作业</w:t>
      </w:r>
      <w:r>
        <w:rPr>
          <w:rFonts w:hint="eastAsia" w:ascii="仿宋_GB2312" w:eastAsia="仿宋_GB2312"/>
          <w:sz w:val="28"/>
          <w:szCs w:val="28"/>
        </w:rPr>
        <w:t>人员应尽可能：（1）关闭临时用电箱电源；（2）关闭气瓶阀门，通过观察风向旗辩明风向，绕过事故点向上风向疏散、撤离和逃生；（3）拨打火警电话88995119报警、扑灭初起火灾。</w:t>
      </w:r>
    </w:p>
    <w:p w14:paraId="0A0CE5B7">
      <w:pPr>
        <w:spacing w:line="520" w:lineRule="exact"/>
        <w:ind w:left="13" w:leftChars="6" w:firstLine="655" w:firstLineChars="234"/>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rPr>
        <w:t>、发生安全或环保事故后，乙方应按照事故预案，及时开展事故应急处置和应急救援工作。</w:t>
      </w:r>
    </w:p>
    <w:p w14:paraId="7AD11791">
      <w:pPr>
        <w:spacing w:line="520" w:lineRule="exact"/>
        <w:ind w:left="13" w:leftChars="6" w:firstLine="655" w:firstLineChars="234"/>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w:t>
      </w:r>
      <w:r>
        <w:rPr>
          <w:rFonts w:hint="eastAsia" w:ascii="仿宋_GB2312" w:eastAsia="仿宋_GB2312"/>
          <w:sz w:val="28"/>
          <w:szCs w:val="28"/>
        </w:rPr>
        <w:t>、乙方人员应当遵守甲方的规章制度，接受甲方的安全环保检查与监督。如有异议可与甲方进行说明与协调，但不得拒绝、阻扰甲方的检查。否则，甲方有权现场勒令停工而不视为甲方违约。</w:t>
      </w:r>
    </w:p>
    <w:p w14:paraId="11B2FABD">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3</w:t>
      </w:r>
      <w:r>
        <w:rPr>
          <w:rFonts w:hint="eastAsia" w:ascii="仿宋_GB2312" w:eastAsia="仿宋_GB2312"/>
          <w:sz w:val="28"/>
          <w:szCs w:val="28"/>
        </w:rPr>
        <w:t>、对甲方在检查中发现的问题和隐患，乙方应立即整改。重大事故隐患排除前或排除过程中无法保证安全的，甲方有权责令乙方暂停施工</w:t>
      </w:r>
      <w:r>
        <w:rPr>
          <w:rFonts w:hint="eastAsia" w:ascii="仿宋_GB2312" w:eastAsia="仿宋_GB2312"/>
          <w:sz w:val="28"/>
          <w:szCs w:val="28"/>
          <w:lang w:val="en-US" w:eastAsia="zh-CN"/>
        </w:rPr>
        <w:t>作业</w:t>
      </w:r>
      <w:r>
        <w:rPr>
          <w:rFonts w:hint="eastAsia" w:ascii="仿宋_GB2312" w:eastAsia="仿宋_GB2312"/>
          <w:sz w:val="28"/>
          <w:szCs w:val="28"/>
        </w:rPr>
        <w:t>。隐患排除后，经甲方审查同意后，方可恢复作业。</w:t>
      </w:r>
    </w:p>
    <w:p w14:paraId="20473FD7">
      <w:pPr>
        <w:spacing w:line="520" w:lineRule="exact"/>
        <w:ind w:left="13" w:leftChars="6" w:firstLine="658" w:firstLineChars="235"/>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4</w:t>
      </w:r>
      <w:r>
        <w:rPr>
          <w:rFonts w:hint="eastAsia" w:ascii="仿宋_GB2312" w:eastAsia="仿宋_GB2312"/>
          <w:sz w:val="28"/>
          <w:szCs w:val="28"/>
        </w:rPr>
        <w:t>、乙方不得擅自将工程转包,分包,返包;乙方经甲方书面同意把其中部分工作转包给分包商的，乙方仍应承担相应的安全环保责任，分包商必须执行与总承包商同样的安全环保管理程序和要求。</w:t>
      </w:r>
    </w:p>
    <w:p w14:paraId="2B600590">
      <w:pPr>
        <w:spacing w:line="520" w:lineRule="exact"/>
        <w:ind w:firstLine="570"/>
        <w:rPr>
          <w:rFonts w:hint="eastAsia" w:ascii="仿宋_GB2312" w:eastAsia="仿宋_GB2312"/>
          <w:b/>
          <w:bCs/>
          <w:sz w:val="28"/>
          <w:szCs w:val="28"/>
        </w:rPr>
      </w:pPr>
      <w:r>
        <w:rPr>
          <w:rFonts w:hint="eastAsia" w:ascii="仿宋_GB2312" w:eastAsia="仿宋_GB2312"/>
          <w:b/>
          <w:bCs/>
          <w:sz w:val="28"/>
          <w:szCs w:val="28"/>
        </w:rPr>
        <w:t>五、违约责任</w:t>
      </w:r>
    </w:p>
    <w:p w14:paraId="7962B010">
      <w:pPr>
        <w:numPr>
          <w:ilvl w:val="0"/>
          <w:numId w:val="4"/>
        </w:num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乙方在施工作业中造成生产安全环保事故，或对甲方正常生产造成影响，由甲方组织各有关方召开事故分析会，根据事故责任分析，进行相应的责任追究和损失赔偿。</w:t>
      </w:r>
    </w:p>
    <w:p w14:paraId="5E8CCE87">
      <w:pPr>
        <w:pStyle w:val="7"/>
        <w:numPr>
          <w:ilvl w:val="0"/>
          <w:numId w:val="4"/>
        </w:numPr>
        <w:spacing w:line="520" w:lineRule="exact"/>
        <w:ind w:firstLine="567"/>
        <w:rPr>
          <w:rFonts w:hint="eastAsia" w:ascii="仿宋_GB2312"/>
          <w:szCs w:val="28"/>
        </w:rPr>
      </w:pPr>
      <w:r>
        <w:rPr>
          <w:rFonts w:hint="eastAsia" w:ascii="仿宋_GB2312"/>
          <w:szCs w:val="28"/>
        </w:rPr>
        <w:t>因乙方擅自将工程转包、分包和返包，导致发生安全环保事故，或导致甲方项目遭受损失，由乙方承担全部责任。</w:t>
      </w:r>
    </w:p>
    <w:p w14:paraId="09552D6C">
      <w:pPr>
        <w:pStyle w:val="7"/>
        <w:numPr>
          <w:ilvl w:val="0"/>
          <w:numId w:val="4"/>
        </w:numPr>
        <w:spacing w:line="520" w:lineRule="exact"/>
        <w:ind w:firstLine="524"/>
        <w:rPr>
          <w:rFonts w:hint="eastAsia" w:ascii="仿宋_GB2312"/>
          <w:szCs w:val="28"/>
        </w:rPr>
      </w:pPr>
      <w:r>
        <w:rPr>
          <w:rFonts w:hint="eastAsia" w:ascii="仿宋_GB2312"/>
          <w:szCs w:val="28"/>
        </w:rPr>
        <w:t>乙方应按照本协议的约定做好相关安全环保工作，并自行负责自己一方人员的人身、财产安全，如在履行本合同过程中非因甲方原因发生安全事故，导致乙方自身或/及甲方或/及任意第三人人身伤亡、财产损失或其他触犯法律的行为的，均由乙方承担法律责任并赔偿损失。如果因此而导致任意第三人向甲方主张权利的，乙方应负担甲方由此负担的一切损失（包括但不限于甲方被有权司法或行政机关裁决而须支付的罚款、赔偿金、诉讼费、仲裁费、律师费、其他法律责任以及其他合理支出等）。</w:t>
      </w:r>
    </w:p>
    <w:p w14:paraId="6F879A6A">
      <w:pPr>
        <w:pStyle w:val="7"/>
        <w:spacing w:line="520" w:lineRule="exact"/>
        <w:ind w:firstLine="526" w:firstLineChars="187"/>
        <w:outlineLvl w:val="0"/>
        <w:rPr>
          <w:rFonts w:hint="eastAsia" w:ascii="仿宋_GB2312"/>
          <w:b/>
          <w:bCs/>
          <w:szCs w:val="28"/>
        </w:rPr>
      </w:pPr>
      <w:r>
        <w:rPr>
          <w:rFonts w:hint="eastAsia" w:ascii="仿宋_GB2312"/>
          <w:b/>
          <w:bCs/>
          <w:szCs w:val="28"/>
        </w:rPr>
        <w:t>六、附则</w:t>
      </w:r>
    </w:p>
    <w:p w14:paraId="203695D5">
      <w:pPr>
        <w:pStyle w:val="7"/>
        <w:spacing w:line="520" w:lineRule="exact"/>
        <w:ind w:firstLine="523" w:firstLineChars="187"/>
        <w:rPr>
          <w:rFonts w:ascii="仿宋_GB2312"/>
          <w:szCs w:val="28"/>
        </w:rPr>
      </w:pPr>
      <w:r>
        <w:rPr>
          <w:rFonts w:ascii="仿宋_GB2312"/>
          <w:szCs w:val="28"/>
        </w:rPr>
        <w:t>1</w:t>
      </w:r>
      <w:r>
        <w:rPr>
          <w:rFonts w:hint="eastAsia" w:ascii="仿宋_GB2312"/>
          <w:szCs w:val="28"/>
        </w:rPr>
        <w:t>、协议未尽事宜，由双方另行协商解决。</w:t>
      </w:r>
    </w:p>
    <w:p w14:paraId="7240B9CE">
      <w:pPr>
        <w:pStyle w:val="7"/>
        <w:spacing w:line="520" w:lineRule="exact"/>
        <w:ind w:firstLine="523" w:firstLineChars="187"/>
        <w:rPr>
          <w:rFonts w:hint="eastAsia" w:ascii="仿宋_GB2312"/>
          <w:szCs w:val="28"/>
        </w:rPr>
      </w:pPr>
      <w:r>
        <w:rPr>
          <w:rFonts w:hint="eastAsia" w:ascii="仿宋_GB2312"/>
          <w:szCs w:val="28"/>
        </w:rPr>
        <w:t>2、甲方授权</w:t>
      </w:r>
      <w:r>
        <w:rPr>
          <w:rFonts w:hint="eastAsia" w:ascii="仿宋_GB2312"/>
          <w:szCs w:val="28"/>
          <w:lang w:val="en-US" w:eastAsia="zh-CN"/>
        </w:rPr>
        <w:t>安全环保部</w:t>
      </w:r>
      <w:r>
        <w:rPr>
          <w:rFonts w:hint="eastAsia" w:ascii="仿宋_GB2312"/>
          <w:szCs w:val="28"/>
        </w:rPr>
        <w:t>作为甲方代表与乙方签订本协议，本协议作为双方签订的相关业务主体合同的附件与主体合同一样具有同等法律效力，本协议未作约定的，按主体合同约定的权利、义务履行。</w:t>
      </w:r>
    </w:p>
    <w:p w14:paraId="4C9803BB">
      <w:pPr>
        <w:pStyle w:val="7"/>
        <w:spacing w:line="520" w:lineRule="exact"/>
        <w:ind w:firstLine="523" w:firstLineChars="187"/>
        <w:rPr>
          <w:rFonts w:hint="eastAsia" w:ascii="仿宋_GB2312"/>
          <w:szCs w:val="28"/>
        </w:rPr>
      </w:pPr>
      <w:r>
        <w:rPr>
          <w:rFonts w:hint="eastAsia" w:ascii="仿宋_GB2312"/>
          <w:szCs w:val="28"/>
        </w:rPr>
        <w:t>3、本协议一式两份，甲、乙双方各执一份，经甲、乙双方盖章（甲方授权</w:t>
      </w:r>
      <w:r>
        <w:rPr>
          <w:rFonts w:hint="eastAsia" w:ascii="仿宋_GB2312"/>
          <w:szCs w:val="28"/>
          <w:lang w:val="en-US" w:eastAsia="zh-CN"/>
        </w:rPr>
        <w:t>安全环保部</w:t>
      </w:r>
      <w:r>
        <w:rPr>
          <w:rFonts w:hint="eastAsia" w:ascii="仿宋_GB2312"/>
          <w:szCs w:val="28"/>
        </w:rPr>
        <w:t>代表甲方盖章）后生效，至项目结束或协议有效期满后，本协议自行失效。</w:t>
      </w:r>
    </w:p>
    <w:p w14:paraId="3FBB6016">
      <w:pPr>
        <w:pStyle w:val="7"/>
        <w:spacing w:line="520" w:lineRule="exact"/>
        <w:ind w:firstLine="523" w:firstLineChars="187"/>
        <w:rPr>
          <w:rFonts w:hint="eastAsia" w:ascii="仿宋_GB2312"/>
          <w:szCs w:val="28"/>
        </w:rPr>
      </w:pPr>
    </w:p>
    <w:p w14:paraId="571CAEC1">
      <w:pPr>
        <w:spacing w:line="520" w:lineRule="exact"/>
        <w:ind w:firstLine="523" w:firstLineChars="187"/>
        <w:rPr>
          <w:rFonts w:hint="eastAsia" w:ascii="仿宋_GB2312" w:eastAsia="仿宋_GB2312"/>
          <w:sz w:val="28"/>
          <w:szCs w:val="28"/>
        </w:rPr>
      </w:pPr>
      <w:r>
        <w:rPr>
          <w:rFonts w:hint="eastAsia" w:ascii="仿宋_GB2312" w:eastAsia="仿宋_GB2312"/>
          <w:sz w:val="28"/>
          <w:szCs w:val="28"/>
        </w:rPr>
        <w:t>（以下无正文）</w:t>
      </w:r>
    </w:p>
    <w:p w14:paraId="030551D1">
      <w:pPr>
        <w:spacing w:line="520" w:lineRule="exact"/>
        <w:ind w:firstLine="843" w:firstLineChars="300"/>
        <w:rPr>
          <w:rFonts w:ascii="仿宋_GB2312" w:eastAsia="仿宋_GB2312"/>
          <w:sz w:val="28"/>
          <w:szCs w:val="28"/>
        </w:rPr>
      </w:pPr>
      <w:r>
        <w:rPr>
          <w:rFonts w:ascii="仿宋_GB2312" w:eastAsia="仿宋_GB2312"/>
          <w:b/>
          <w:bCs/>
          <w:sz w:val="28"/>
          <w:szCs w:val="28"/>
        </w:rPr>
        <w:br w:type="page"/>
      </w:r>
      <w:r>
        <w:rPr>
          <w:rFonts w:hint="eastAsia" w:ascii="仿宋_GB2312" w:eastAsia="仿宋_GB2312"/>
          <w:sz w:val="28"/>
          <w:szCs w:val="28"/>
        </w:rPr>
        <w:t>（本页无正文，为合同签署页）</w:t>
      </w:r>
    </w:p>
    <w:p w14:paraId="5DAAB049">
      <w:pPr>
        <w:spacing w:line="520" w:lineRule="exact"/>
        <w:rPr>
          <w:rFonts w:ascii="仿宋_GB2312" w:eastAsia="仿宋_GB2312"/>
          <w:b/>
          <w:bCs/>
          <w:sz w:val="28"/>
          <w:szCs w:val="28"/>
        </w:rPr>
      </w:pPr>
    </w:p>
    <w:p w14:paraId="2217E5D7">
      <w:pPr>
        <w:spacing w:line="520" w:lineRule="exact"/>
        <w:rPr>
          <w:rFonts w:hint="eastAsia" w:ascii="仿宋_GB2312" w:eastAsia="仿宋_GB2312"/>
          <w:b/>
          <w:bCs/>
          <w:sz w:val="28"/>
          <w:szCs w:val="28"/>
        </w:rPr>
      </w:pPr>
    </w:p>
    <w:p w14:paraId="1AA41B31">
      <w:pPr>
        <w:spacing w:line="520" w:lineRule="exact"/>
        <w:rPr>
          <w:rFonts w:hint="eastAsia" w:ascii="仿宋_GB2312" w:eastAsia="仿宋_GB2312"/>
          <w:b/>
          <w:bCs/>
          <w:sz w:val="28"/>
          <w:szCs w:val="28"/>
        </w:rPr>
      </w:pPr>
      <w:r>
        <w:rPr>
          <w:rFonts w:hint="eastAsia" w:ascii="仿宋_GB2312" w:eastAsia="仿宋_GB2312"/>
          <w:b/>
          <w:bCs/>
          <w:sz w:val="28"/>
          <w:szCs w:val="28"/>
        </w:rPr>
        <w:t>协议签署：</w:t>
      </w:r>
    </w:p>
    <w:p w14:paraId="5F8A324A">
      <w:pPr>
        <w:spacing w:line="520" w:lineRule="exact"/>
        <w:rPr>
          <w:rFonts w:hint="eastAsia" w:ascii="仿宋_GB2312" w:eastAsia="仿宋_GB2312"/>
          <w:sz w:val="28"/>
          <w:szCs w:val="28"/>
        </w:rPr>
      </w:pPr>
    </w:p>
    <w:p w14:paraId="47A2B210">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作业项目：</w:t>
      </w:r>
    </w:p>
    <w:p w14:paraId="3FA6F36E">
      <w:pPr>
        <w:spacing w:line="520" w:lineRule="exact"/>
        <w:rPr>
          <w:rFonts w:hint="eastAsia" w:ascii="仿宋_GB2312" w:eastAsia="仿宋_GB2312"/>
          <w:sz w:val="28"/>
          <w:szCs w:val="28"/>
        </w:rPr>
      </w:pPr>
    </w:p>
    <w:p w14:paraId="4A0B6DC8">
      <w:pPr>
        <w:numPr>
          <w:ilvl w:val="0"/>
          <w:numId w:val="5"/>
        </w:numPr>
        <w:spacing w:line="520" w:lineRule="exact"/>
        <w:rPr>
          <w:rFonts w:hint="eastAsia" w:ascii="仿宋_GB2312" w:eastAsia="仿宋_GB2312"/>
          <w:sz w:val="28"/>
          <w:szCs w:val="28"/>
        </w:rPr>
      </w:pPr>
      <w:r>
        <w:rPr>
          <w:rFonts w:hint="eastAsia" w:ascii="仿宋_GB2312" w:eastAsia="仿宋_GB2312"/>
          <w:sz w:val="28"/>
          <w:szCs w:val="28"/>
        </w:rPr>
        <w:t>作业地点：</w:t>
      </w:r>
    </w:p>
    <w:p w14:paraId="0804BF65">
      <w:pPr>
        <w:spacing w:line="520" w:lineRule="exact"/>
        <w:rPr>
          <w:rFonts w:hint="eastAsia" w:ascii="仿宋_GB2312" w:eastAsia="仿宋_GB2312"/>
          <w:sz w:val="28"/>
          <w:szCs w:val="28"/>
        </w:rPr>
      </w:pPr>
    </w:p>
    <w:p w14:paraId="685B3CE0">
      <w:pPr>
        <w:numPr>
          <w:ilvl w:val="0"/>
          <w:numId w:val="5"/>
        </w:numPr>
        <w:spacing w:line="520" w:lineRule="exact"/>
        <w:rPr>
          <w:rFonts w:ascii="仿宋_GB2312" w:eastAsia="仿宋_GB2312"/>
          <w:sz w:val="28"/>
          <w:szCs w:val="28"/>
        </w:rPr>
      </w:pPr>
      <w:r>
        <w:rPr>
          <w:rFonts w:hint="eastAsia" w:ascii="仿宋_GB2312" w:eastAsia="仿宋_GB2312"/>
          <w:sz w:val="28"/>
          <w:szCs w:val="28"/>
        </w:rPr>
        <w:t>协议有效期：自      年   月  日起至     年    月    日止</w:t>
      </w:r>
    </w:p>
    <w:p w14:paraId="20AABA9B">
      <w:pPr>
        <w:spacing w:line="520" w:lineRule="exact"/>
        <w:rPr>
          <w:rFonts w:ascii="仿宋_GB2312" w:eastAsia="仿宋_GB2312"/>
          <w:sz w:val="28"/>
          <w:szCs w:val="28"/>
        </w:rPr>
      </w:pPr>
    </w:p>
    <w:p w14:paraId="5D2F8927">
      <w:pPr>
        <w:numPr>
          <w:ilvl w:val="0"/>
          <w:numId w:val="5"/>
        </w:numPr>
        <w:spacing w:line="520" w:lineRule="exact"/>
        <w:rPr>
          <w:rFonts w:ascii="仿宋_GB2312" w:eastAsia="仿宋_GB2312"/>
          <w:sz w:val="28"/>
          <w:szCs w:val="28"/>
        </w:rPr>
      </w:pPr>
      <w:r>
        <w:rPr>
          <w:rFonts w:hint="eastAsia" w:ascii="仿宋_GB2312" w:eastAsia="仿宋_GB2312"/>
          <w:sz w:val="28"/>
          <w:szCs w:val="28"/>
        </w:rPr>
        <w:t>乙方现场环境/安全负责人姓名：</w:t>
      </w:r>
    </w:p>
    <w:p w14:paraId="65E13D64">
      <w:pPr>
        <w:spacing w:line="520" w:lineRule="exact"/>
        <w:rPr>
          <w:rFonts w:ascii="仿宋_GB2312" w:eastAsia="仿宋_GB2312"/>
          <w:sz w:val="28"/>
          <w:szCs w:val="28"/>
        </w:rPr>
      </w:pPr>
      <w:r>
        <w:rPr>
          <w:rFonts w:hint="eastAsia" w:ascii="仿宋_GB2312" w:eastAsia="仿宋_GB2312"/>
          <w:sz w:val="28"/>
          <w:szCs w:val="28"/>
        </w:rPr>
        <w:t xml:space="preserve">                      联系电话：</w:t>
      </w:r>
    </w:p>
    <w:p w14:paraId="59ADC8EE">
      <w:pPr>
        <w:spacing w:line="520" w:lineRule="exact"/>
        <w:ind w:firstLine="560" w:firstLineChars="200"/>
        <w:rPr>
          <w:rFonts w:hint="eastAsia" w:ascii="仿宋_GB2312" w:eastAsia="仿宋_GB2312"/>
          <w:sz w:val="28"/>
          <w:szCs w:val="28"/>
        </w:rPr>
      </w:pPr>
    </w:p>
    <w:p w14:paraId="161EE15B">
      <w:pPr>
        <w:spacing w:line="520" w:lineRule="exact"/>
        <w:rPr>
          <w:rFonts w:hint="eastAsia" w:ascii="仿宋_GB2312" w:eastAsia="仿宋_GB2312"/>
          <w:sz w:val="28"/>
          <w:szCs w:val="28"/>
        </w:rPr>
      </w:pPr>
    </w:p>
    <w:p w14:paraId="6232B97D">
      <w:pPr>
        <w:spacing w:line="520" w:lineRule="exact"/>
        <w:rPr>
          <w:rFonts w:hint="eastAsia" w:ascii="仿宋_GB2312" w:eastAsia="仿宋_GB2312"/>
          <w:sz w:val="28"/>
          <w:szCs w:val="28"/>
        </w:rPr>
      </w:pPr>
      <w:r>
        <w:rPr>
          <w:rFonts w:hint="eastAsia" w:ascii="仿宋_GB2312" w:eastAsia="仿宋_GB2312"/>
          <w:sz w:val="28"/>
          <w:szCs w:val="28"/>
        </w:rPr>
        <w:t>甲方（章）：                  乙方：（章）</w:t>
      </w:r>
    </w:p>
    <w:p w14:paraId="5AEE479C">
      <w:pPr>
        <w:spacing w:line="520" w:lineRule="exact"/>
        <w:rPr>
          <w:rFonts w:ascii="仿宋_GB2312" w:eastAsia="仿宋_GB2312"/>
          <w:sz w:val="28"/>
          <w:szCs w:val="28"/>
        </w:rPr>
      </w:pPr>
    </w:p>
    <w:p w14:paraId="7BA86B6D">
      <w:pPr>
        <w:spacing w:line="520" w:lineRule="exact"/>
        <w:rPr>
          <w:rFonts w:ascii="仿宋_GB2312" w:eastAsia="仿宋_GB2312"/>
          <w:sz w:val="28"/>
          <w:szCs w:val="28"/>
        </w:rPr>
      </w:pPr>
      <w:r>
        <w:rPr>
          <w:rFonts w:hint="eastAsia" w:ascii="仿宋_GB2312" w:eastAsia="仿宋_GB2312"/>
          <w:sz w:val="28"/>
          <w:szCs w:val="28"/>
        </w:rPr>
        <w:t>签订日期：                   签订日期：</w:t>
      </w:r>
    </w:p>
    <w:p w14:paraId="17482158">
      <w:pPr>
        <w:rPr>
          <w:rFonts w:hint="eastAsia" w:ascii="仿宋_GB2312" w:eastAsia="仿宋_GB2312"/>
          <w:sz w:val="24"/>
        </w:rPr>
      </w:pPr>
    </w:p>
    <w:p w14:paraId="6479CF88">
      <w:pPr>
        <w:wordWrap w:val="0"/>
        <w:adjustRightInd w:val="0"/>
        <w:snapToGrid w:val="0"/>
        <w:spacing w:before="156" w:beforeLines="50" w:line="360" w:lineRule="auto"/>
        <w:jc w:val="left"/>
        <w:rPr>
          <w:rFonts w:hint="default" w:ascii="仿宋_GB2312" w:hAnsi="仿宋_GB2312" w:eastAsia="仿宋_GB2312" w:cs="仿宋_GB2312"/>
          <w:kern w:val="1"/>
          <w:sz w:val="30"/>
          <w:szCs w:val="30"/>
          <w:lang w:val="en-US" w:eastAsia="zh-CN"/>
        </w:rPr>
      </w:pPr>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Så">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F3D3">
    <w:pPr>
      <w:pStyle w:val="9"/>
      <w:ind w:right="420" w:righ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2DC9">
    <w:pPr>
      <w:pStyle w:val="9"/>
      <w:ind w:left="420" w:leftChars="200"/>
      <w:jc w:val="center"/>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D2E5">
    <w:pPr>
      <w:pStyle w:val="9"/>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C7ED">
    <w:pPr>
      <w:pStyle w:val="10"/>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0AE6"/>
    <w:multiLevelType w:val="singleLevel"/>
    <w:tmpl w:val="855B0AE6"/>
    <w:lvl w:ilvl="0" w:tentative="0">
      <w:start w:val="1"/>
      <w:numFmt w:val="decimal"/>
      <w:suff w:val="nothing"/>
      <w:lvlText w:val="%1、"/>
      <w:lvlJc w:val="left"/>
    </w:lvl>
  </w:abstractNum>
  <w:abstractNum w:abstractNumId="1">
    <w:nsid w:val="9EECA143"/>
    <w:multiLevelType w:val="singleLevel"/>
    <w:tmpl w:val="9EECA143"/>
    <w:lvl w:ilvl="0" w:tentative="0">
      <w:start w:val="1"/>
      <w:numFmt w:val="decimal"/>
      <w:suff w:val="nothing"/>
      <w:lvlText w:val="%1、"/>
      <w:lvlJc w:val="left"/>
    </w:lvl>
  </w:abstractNum>
  <w:abstractNum w:abstractNumId="2">
    <w:nsid w:val="BCD2F910"/>
    <w:multiLevelType w:val="singleLevel"/>
    <w:tmpl w:val="BCD2F910"/>
    <w:lvl w:ilvl="0" w:tentative="0">
      <w:start w:val="6"/>
      <w:numFmt w:val="chineseCounting"/>
      <w:suff w:val="nothing"/>
      <w:lvlText w:val="%1、"/>
      <w:lvlJc w:val="left"/>
      <w:rPr>
        <w:rFonts w:hint="eastAsia"/>
      </w:rPr>
    </w:lvl>
  </w:abstractNum>
  <w:abstractNum w:abstractNumId="3">
    <w:nsid w:val="5FFFD67A"/>
    <w:multiLevelType w:val="singleLevel"/>
    <w:tmpl w:val="5FFFD67A"/>
    <w:lvl w:ilvl="0" w:tentative="0">
      <w:start w:val="1"/>
      <w:numFmt w:val="chineseCounting"/>
      <w:suff w:val="nothing"/>
      <w:lvlText w:val="%1、"/>
      <w:lvlJc w:val="left"/>
      <w:rPr>
        <w:rFonts w:hint="eastAsia"/>
      </w:rPr>
    </w:lvl>
  </w:abstractNum>
  <w:abstractNum w:abstractNumId="4">
    <w:nsid w:val="65677D4D"/>
    <w:multiLevelType w:val="singleLevel"/>
    <w:tmpl w:val="65677D4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mMzMGY2MWFmZmRhYjZmYmNlMDRkNzE3ZDFiMmQifQ=="/>
  </w:docVars>
  <w:rsids>
    <w:rsidRoot w:val="00C45D21"/>
    <w:rsid w:val="00000B36"/>
    <w:rsid w:val="0000578A"/>
    <w:rsid w:val="000154D0"/>
    <w:rsid w:val="00023B13"/>
    <w:rsid w:val="00036953"/>
    <w:rsid w:val="0004430B"/>
    <w:rsid w:val="0005551D"/>
    <w:rsid w:val="00066FCE"/>
    <w:rsid w:val="00072253"/>
    <w:rsid w:val="000750DA"/>
    <w:rsid w:val="00076FA5"/>
    <w:rsid w:val="00082DC7"/>
    <w:rsid w:val="00085D85"/>
    <w:rsid w:val="0009221D"/>
    <w:rsid w:val="00096B78"/>
    <w:rsid w:val="000B647E"/>
    <w:rsid w:val="000C32F4"/>
    <w:rsid w:val="000C5D79"/>
    <w:rsid w:val="000D54B7"/>
    <w:rsid w:val="000E0B0E"/>
    <w:rsid w:val="000F4A0C"/>
    <w:rsid w:val="00103F5A"/>
    <w:rsid w:val="00105CEC"/>
    <w:rsid w:val="0011682A"/>
    <w:rsid w:val="00117CC8"/>
    <w:rsid w:val="00130C15"/>
    <w:rsid w:val="00132B6D"/>
    <w:rsid w:val="00136470"/>
    <w:rsid w:val="00137AE7"/>
    <w:rsid w:val="00142A92"/>
    <w:rsid w:val="00146253"/>
    <w:rsid w:val="0014734C"/>
    <w:rsid w:val="00147CBF"/>
    <w:rsid w:val="00156ED5"/>
    <w:rsid w:val="00157FF3"/>
    <w:rsid w:val="0018747D"/>
    <w:rsid w:val="00192AC4"/>
    <w:rsid w:val="001B5216"/>
    <w:rsid w:val="001D2603"/>
    <w:rsid w:val="001E28D0"/>
    <w:rsid w:val="001E3B0A"/>
    <w:rsid w:val="001F0092"/>
    <w:rsid w:val="002058D8"/>
    <w:rsid w:val="00210CD9"/>
    <w:rsid w:val="00220534"/>
    <w:rsid w:val="00240AED"/>
    <w:rsid w:val="00240B04"/>
    <w:rsid w:val="00242358"/>
    <w:rsid w:val="00260456"/>
    <w:rsid w:val="00262421"/>
    <w:rsid w:val="0026486A"/>
    <w:rsid w:val="002661E8"/>
    <w:rsid w:val="00267781"/>
    <w:rsid w:val="00277FCE"/>
    <w:rsid w:val="002825B5"/>
    <w:rsid w:val="00282866"/>
    <w:rsid w:val="00282E34"/>
    <w:rsid w:val="00284ABB"/>
    <w:rsid w:val="00284D39"/>
    <w:rsid w:val="00287AC1"/>
    <w:rsid w:val="00294408"/>
    <w:rsid w:val="002970D7"/>
    <w:rsid w:val="002A6A7A"/>
    <w:rsid w:val="002A79C0"/>
    <w:rsid w:val="002B2713"/>
    <w:rsid w:val="002B2D7A"/>
    <w:rsid w:val="002B48F7"/>
    <w:rsid w:val="002C0F5A"/>
    <w:rsid w:val="002C19D0"/>
    <w:rsid w:val="002C3E3B"/>
    <w:rsid w:val="002C49B4"/>
    <w:rsid w:val="002D6CD4"/>
    <w:rsid w:val="002E2E4D"/>
    <w:rsid w:val="002E43B0"/>
    <w:rsid w:val="002E617E"/>
    <w:rsid w:val="002E6F53"/>
    <w:rsid w:val="002F7E71"/>
    <w:rsid w:val="00305B10"/>
    <w:rsid w:val="00320A71"/>
    <w:rsid w:val="003536CD"/>
    <w:rsid w:val="003570B1"/>
    <w:rsid w:val="0035795E"/>
    <w:rsid w:val="00361A5B"/>
    <w:rsid w:val="0036489F"/>
    <w:rsid w:val="003650CC"/>
    <w:rsid w:val="00365C58"/>
    <w:rsid w:val="00373904"/>
    <w:rsid w:val="00375302"/>
    <w:rsid w:val="003A3FE3"/>
    <w:rsid w:val="003A5915"/>
    <w:rsid w:val="003B2EB5"/>
    <w:rsid w:val="003C6355"/>
    <w:rsid w:val="003D7A49"/>
    <w:rsid w:val="003F2EF5"/>
    <w:rsid w:val="003F3C8C"/>
    <w:rsid w:val="003F5731"/>
    <w:rsid w:val="00402846"/>
    <w:rsid w:val="0040346D"/>
    <w:rsid w:val="00405FAB"/>
    <w:rsid w:val="004114C6"/>
    <w:rsid w:val="00417177"/>
    <w:rsid w:val="00417EAB"/>
    <w:rsid w:val="004212BA"/>
    <w:rsid w:val="00421BA4"/>
    <w:rsid w:val="00425EAB"/>
    <w:rsid w:val="00441BF5"/>
    <w:rsid w:val="00442262"/>
    <w:rsid w:val="00442D43"/>
    <w:rsid w:val="00445E09"/>
    <w:rsid w:val="004470B0"/>
    <w:rsid w:val="00451F80"/>
    <w:rsid w:val="00452358"/>
    <w:rsid w:val="004671B9"/>
    <w:rsid w:val="004678E4"/>
    <w:rsid w:val="00473FCE"/>
    <w:rsid w:val="004746C9"/>
    <w:rsid w:val="004748EC"/>
    <w:rsid w:val="00477CC9"/>
    <w:rsid w:val="004A0276"/>
    <w:rsid w:val="004A17CB"/>
    <w:rsid w:val="004A24C4"/>
    <w:rsid w:val="004A62BD"/>
    <w:rsid w:val="004D27B4"/>
    <w:rsid w:val="004E64C7"/>
    <w:rsid w:val="004E79BB"/>
    <w:rsid w:val="004F1B2A"/>
    <w:rsid w:val="004F3C10"/>
    <w:rsid w:val="004F6034"/>
    <w:rsid w:val="005025FC"/>
    <w:rsid w:val="00502F5B"/>
    <w:rsid w:val="00506FC7"/>
    <w:rsid w:val="00515AEA"/>
    <w:rsid w:val="005239C0"/>
    <w:rsid w:val="0053082E"/>
    <w:rsid w:val="00532E63"/>
    <w:rsid w:val="00535F64"/>
    <w:rsid w:val="00541377"/>
    <w:rsid w:val="00541AF9"/>
    <w:rsid w:val="00551866"/>
    <w:rsid w:val="0056437C"/>
    <w:rsid w:val="005773DF"/>
    <w:rsid w:val="00581DE7"/>
    <w:rsid w:val="00596D10"/>
    <w:rsid w:val="005B133E"/>
    <w:rsid w:val="005B5FE4"/>
    <w:rsid w:val="005C0D7C"/>
    <w:rsid w:val="005C3BFB"/>
    <w:rsid w:val="005C4296"/>
    <w:rsid w:val="005C4354"/>
    <w:rsid w:val="005D0E39"/>
    <w:rsid w:val="005E332E"/>
    <w:rsid w:val="005F0D68"/>
    <w:rsid w:val="005F3F80"/>
    <w:rsid w:val="006031F4"/>
    <w:rsid w:val="00603A81"/>
    <w:rsid w:val="006136BF"/>
    <w:rsid w:val="0061459D"/>
    <w:rsid w:val="006202AC"/>
    <w:rsid w:val="006374A6"/>
    <w:rsid w:val="00641CF0"/>
    <w:rsid w:val="00642194"/>
    <w:rsid w:val="006440AB"/>
    <w:rsid w:val="00650C76"/>
    <w:rsid w:val="0065592C"/>
    <w:rsid w:val="0065665D"/>
    <w:rsid w:val="006570E9"/>
    <w:rsid w:val="00666A27"/>
    <w:rsid w:val="00690F06"/>
    <w:rsid w:val="0069245E"/>
    <w:rsid w:val="00695230"/>
    <w:rsid w:val="006B2734"/>
    <w:rsid w:val="006B7778"/>
    <w:rsid w:val="006C00E6"/>
    <w:rsid w:val="006C3D71"/>
    <w:rsid w:val="006D1016"/>
    <w:rsid w:val="006D504C"/>
    <w:rsid w:val="006E0B94"/>
    <w:rsid w:val="006E2403"/>
    <w:rsid w:val="006E27E4"/>
    <w:rsid w:val="006E3D0A"/>
    <w:rsid w:val="006E5D3B"/>
    <w:rsid w:val="007037A1"/>
    <w:rsid w:val="00711691"/>
    <w:rsid w:val="007254A6"/>
    <w:rsid w:val="00727BA1"/>
    <w:rsid w:val="00735CE1"/>
    <w:rsid w:val="007363E5"/>
    <w:rsid w:val="00737965"/>
    <w:rsid w:val="0074325E"/>
    <w:rsid w:val="00754944"/>
    <w:rsid w:val="00756FDD"/>
    <w:rsid w:val="00761D09"/>
    <w:rsid w:val="00766EEB"/>
    <w:rsid w:val="00774B32"/>
    <w:rsid w:val="00795617"/>
    <w:rsid w:val="007A4B81"/>
    <w:rsid w:val="007B324B"/>
    <w:rsid w:val="007B4344"/>
    <w:rsid w:val="007B50AE"/>
    <w:rsid w:val="007C60F6"/>
    <w:rsid w:val="007C7E84"/>
    <w:rsid w:val="007D0B07"/>
    <w:rsid w:val="007D405B"/>
    <w:rsid w:val="007D4112"/>
    <w:rsid w:val="007E1861"/>
    <w:rsid w:val="007E3287"/>
    <w:rsid w:val="007E4176"/>
    <w:rsid w:val="007E41FD"/>
    <w:rsid w:val="007E51F0"/>
    <w:rsid w:val="007E7F3F"/>
    <w:rsid w:val="007F2DD6"/>
    <w:rsid w:val="0080132D"/>
    <w:rsid w:val="00814965"/>
    <w:rsid w:val="008253BF"/>
    <w:rsid w:val="008318D4"/>
    <w:rsid w:val="0083579F"/>
    <w:rsid w:val="00850539"/>
    <w:rsid w:val="008516C8"/>
    <w:rsid w:val="00864401"/>
    <w:rsid w:val="00865C45"/>
    <w:rsid w:val="00872B61"/>
    <w:rsid w:val="00891F81"/>
    <w:rsid w:val="00891F9E"/>
    <w:rsid w:val="00894D40"/>
    <w:rsid w:val="008A222B"/>
    <w:rsid w:val="008A6F80"/>
    <w:rsid w:val="008B1EC3"/>
    <w:rsid w:val="008C36B2"/>
    <w:rsid w:val="008C51E9"/>
    <w:rsid w:val="008C5EFB"/>
    <w:rsid w:val="008D4745"/>
    <w:rsid w:val="008D6A58"/>
    <w:rsid w:val="008E0357"/>
    <w:rsid w:val="008E5D3C"/>
    <w:rsid w:val="008F36CE"/>
    <w:rsid w:val="008F3968"/>
    <w:rsid w:val="00900768"/>
    <w:rsid w:val="009163BA"/>
    <w:rsid w:val="00916471"/>
    <w:rsid w:val="009267DF"/>
    <w:rsid w:val="00931387"/>
    <w:rsid w:val="0093323A"/>
    <w:rsid w:val="0093612E"/>
    <w:rsid w:val="009364A4"/>
    <w:rsid w:val="0093666D"/>
    <w:rsid w:val="009509C5"/>
    <w:rsid w:val="00964C87"/>
    <w:rsid w:val="00967593"/>
    <w:rsid w:val="00973D16"/>
    <w:rsid w:val="00974F69"/>
    <w:rsid w:val="00975972"/>
    <w:rsid w:val="009772F1"/>
    <w:rsid w:val="00977C2E"/>
    <w:rsid w:val="00980EEB"/>
    <w:rsid w:val="0098745B"/>
    <w:rsid w:val="00990603"/>
    <w:rsid w:val="009946F0"/>
    <w:rsid w:val="009A1CE6"/>
    <w:rsid w:val="009A3F44"/>
    <w:rsid w:val="009B1314"/>
    <w:rsid w:val="009B334A"/>
    <w:rsid w:val="009B41AD"/>
    <w:rsid w:val="009C43D4"/>
    <w:rsid w:val="009C693D"/>
    <w:rsid w:val="009D3D88"/>
    <w:rsid w:val="009D7896"/>
    <w:rsid w:val="009E27E7"/>
    <w:rsid w:val="009E3CC5"/>
    <w:rsid w:val="009E6E54"/>
    <w:rsid w:val="009E79C7"/>
    <w:rsid w:val="009F2E9A"/>
    <w:rsid w:val="009F6C65"/>
    <w:rsid w:val="00A14C1D"/>
    <w:rsid w:val="00A16CBA"/>
    <w:rsid w:val="00A17585"/>
    <w:rsid w:val="00A20FAF"/>
    <w:rsid w:val="00A22FB8"/>
    <w:rsid w:val="00A2413D"/>
    <w:rsid w:val="00A27003"/>
    <w:rsid w:val="00A27005"/>
    <w:rsid w:val="00A347B9"/>
    <w:rsid w:val="00A3551D"/>
    <w:rsid w:val="00A53D1D"/>
    <w:rsid w:val="00A55828"/>
    <w:rsid w:val="00A56D2D"/>
    <w:rsid w:val="00A6315C"/>
    <w:rsid w:val="00A63E2F"/>
    <w:rsid w:val="00A8036C"/>
    <w:rsid w:val="00A83DD9"/>
    <w:rsid w:val="00A85922"/>
    <w:rsid w:val="00A95058"/>
    <w:rsid w:val="00A95940"/>
    <w:rsid w:val="00AB368E"/>
    <w:rsid w:val="00AC343E"/>
    <w:rsid w:val="00AD751E"/>
    <w:rsid w:val="00AF27E2"/>
    <w:rsid w:val="00AF325D"/>
    <w:rsid w:val="00AF4C28"/>
    <w:rsid w:val="00B01C23"/>
    <w:rsid w:val="00B01CD2"/>
    <w:rsid w:val="00B064DF"/>
    <w:rsid w:val="00B06D52"/>
    <w:rsid w:val="00B16AE3"/>
    <w:rsid w:val="00B2455F"/>
    <w:rsid w:val="00B25D09"/>
    <w:rsid w:val="00B275F9"/>
    <w:rsid w:val="00B300AE"/>
    <w:rsid w:val="00B3610D"/>
    <w:rsid w:val="00B379F8"/>
    <w:rsid w:val="00B42D3B"/>
    <w:rsid w:val="00B46F97"/>
    <w:rsid w:val="00B52FCF"/>
    <w:rsid w:val="00B57B6C"/>
    <w:rsid w:val="00B631FA"/>
    <w:rsid w:val="00B64739"/>
    <w:rsid w:val="00B83A83"/>
    <w:rsid w:val="00BA5669"/>
    <w:rsid w:val="00BC5FB3"/>
    <w:rsid w:val="00BC6AC8"/>
    <w:rsid w:val="00BD0AE3"/>
    <w:rsid w:val="00BE3215"/>
    <w:rsid w:val="00BE33D4"/>
    <w:rsid w:val="00BE53C4"/>
    <w:rsid w:val="00BE58C3"/>
    <w:rsid w:val="00BE5F10"/>
    <w:rsid w:val="00BF2E4E"/>
    <w:rsid w:val="00BF7184"/>
    <w:rsid w:val="00C20163"/>
    <w:rsid w:val="00C201E7"/>
    <w:rsid w:val="00C263EA"/>
    <w:rsid w:val="00C27C77"/>
    <w:rsid w:val="00C31B6C"/>
    <w:rsid w:val="00C45D21"/>
    <w:rsid w:val="00C51A2F"/>
    <w:rsid w:val="00C5567F"/>
    <w:rsid w:val="00C607DC"/>
    <w:rsid w:val="00C6413D"/>
    <w:rsid w:val="00C70266"/>
    <w:rsid w:val="00C7603E"/>
    <w:rsid w:val="00C92221"/>
    <w:rsid w:val="00C93932"/>
    <w:rsid w:val="00C94853"/>
    <w:rsid w:val="00CA1C12"/>
    <w:rsid w:val="00CA79C6"/>
    <w:rsid w:val="00CD294A"/>
    <w:rsid w:val="00CF3AD6"/>
    <w:rsid w:val="00CF7ACB"/>
    <w:rsid w:val="00D1486C"/>
    <w:rsid w:val="00D171F0"/>
    <w:rsid w:val="00D17229"/>
    <w:rsid w:val="00D172C2"/>
    <w:rsid w:val="00D17F0C"/>
    <w:rsid w:val="00D236FA"/>
    <w:rsid w:val="00D26EAE"/>
    <w:rsid w:val="00D36183"/>
    <w:rsid w:val="00D647B1"/>
    <w:rsid w:val="00D71DC8"/>
    <w:rsid w:val="00D750FB"/>
    <w:rsid w:val="00D7603E"/>
    <w:rsid w:val="00D77608"/>
    <w:rsid w:val="00D85EC6"/>
    <w:rsid w:val="00D922D1"/>
    <w:rsid w:val="00D9439B"/>
    <w:rsid w:val="00DA3266"/>
    <w:rsid w:val="00DA4FD9"/>
    <w:rsid w:val="00DC03EB"/>
    <w:rsid w:val="00DC45EF"/>
    <w:rsid w:val="00DD386F"/>
    <w:rsid w:val="00DD67B2"/>
    <w:rsid w:val="00DE040B"/>
    <w:rsid w:val="00DE0D80"/>
    <w:rsid w:val="00DE5F1F"/>
    <w:rsid w:val="00DF255F"/>
    <w:rsid w:val="00DF2B93"/>
    <w:rsid w:val="00DF3B18"/>
    <w:rsid w:val="00E03F47"/>
    <w:rsid w:val="00E07F8C"/>
    <w:rsid w:val="00E13B52"/>
    <w:rsid w:val="00E1650C"/>
    <w:rsid w:val="00E2059D"/>
    <w:rsid w:val="00E20794"/>
    <w:rsid w:val="00E21752"/>
    <w:rsid w:val="00E217DE"/>
    <w:rsid w:val="00E26A62"/>
    <w:rsid w:val="00E26B91"/>
    <w:rsid w:val="00E314F0"/>
    <w:rsid w:val="00E31D1C"/>
    <w:rsid w:val="00E362AC"/>
    <w:rsid w:val="00E374B9"/>
    <w:rsid w:val="00E411A4"/>
    <w:rsid w:val="00E441A2"/>
    <w:rsid w:val="00E4464A"/>
    <w:rsid w:val="00E77CFB"/>
    <w:rsid w:val="00E807D2"/>
    <w:rsid w:val="00E9043E"/>
    <w:rsid w:val="00E91C62"/>
    <w:rsid w:val="00E92276"/>
    <w:rsid w:val="00EA3173"/>
    <w:rsid w:val="00EA538E"/>
    <w:rsid w:val="00EA6AED"/>
    <w:rsid w:val="00EA75EB"/>
    <w:rsid w:val="00EA795B"/>
    <w:rsid w:val="00EB0F83"/>
    <w:rsid w:val="00EB3B26"/>
    <w:rsid w:val="00EB62A8"/>
    <w:rsid w:val="00EC2566"/>
    <w:rsid w:val="00ED5039"/>
    <w:rsid w:val="00ED5C53"/>
    <w:rsid w:val="00EF025D"/>
    <w:rsid w:val="00F07666"/>
    <w:rsid w:val="00F13CD4"/>
    <w:rsid w:val="00F1687E"/>
    <w:rsid w:val="00F33AA9"/>
    <w:rsid w:val="00F418F1"/>
    <w:rsid w:val="00F43DFA"/>
    <w:rsid w:val="00F44D58"/>
    <w:rsid w:val="00F52F65"/>
    <w:rsid w:val="00F543A8"/>
    <w:rsid w:val="00F54B2B"/>
    <w:rsid w:val="00F55DFB"/>
    <w:rsid w:val="00F7774E"/>
    <w:rsid w:val="00F86EAD"/>
    <w:rsid w:val="00F91EC8"/>
    <w:rsid w:val="00F96D9A"/>
    <w:rsid w:val="00FA1DD2"/>
    <w:rsid w:val="00FB207B"/>
    <w:rsid w:val="00FC0A41"/>
    <w:rsid w:val="00FC322E"/>
    <w:rsid w:val="00FC7B8A"/>
    <w:rsid w:val="00FD0626"/>
    <w:rsid w:val="00FD1361"/>
    <w:rsid w:val="00FD564F"/>
    <w:rsid w:val="00FE1300"/>
    <w:rsid w:val="00FE147E"/>
    <w:rsid w:val="00FF7B6B"/>
    <w:rsid w:val="010349DF"/>
    <w:rsid w:val="01113D6B"/>
    <w:rsid w:val="014031A5"/>
    <w:rsid w:val="01490E77"/>
    <w:rsid w:val="01635C49"/>
    <w:rsid w:val="018B650C"/>
    <w:rsid w:val="01AE3368"/>
    <w:rsid w:val="01B9692A"/>
    <w:rsid w:val="01C901A1"/>
    <w:rsid w:val="024461C5"/>
    <w:rsid w:val="024C6680"/>
    <w:rsid w:val="0270173E"/>
    <w:rsid w:val="02FF3830"/>
    <w:rsid w:val="0385079A"/>
    <w:rsid w:val="038D087F"/>
    <w:rsid w:val="03AB416A"/>
    <w:rsid w:val="03AB6B66"/>
    <w:rsid w:val="03AF33C7"/>
    <w:rsid w:val="03BE46CA"/>
    <w:rsid w:val="03BE49DE"/>
    <w:rsid w:val="03E57087"/>
    <w:rsid w:val="03EE3E2C"/>
    <w:rsid w:val="04117BDE"/>
    <w:rsid w:val="042452CB"/>
    <w:rsid w:val="043D09D3"/>
    <w:rsid w:val="04463D2B"/>
    <w:rsid w:val="047441A4"/>
    <w:rsid w:val="048A2E85"/>
    <w:rsid w:val="049C6FD8"/>
    <w:rsid w:val="04DB761E"/>
    <w:rsid w:val="053D77E2"/>
    <w:rsid w:val="055C4173"/>
    <w:rsid w:val="057263EE"/>
    <w:rsid w:val="05864426"/>
    <w:rsid w:val="05AE6429"/>
    <w:rsid w:val="05B9677F"/>
    <w:rsid w:val="05D37841"/>
    <w:rsid w:val="06112117"/>
    <w:rsid w:val="062D752E"/>
    <w:rsid w:val="064448F4"/>
    <w:rsid w:val="06447998"/>
    <w:rsid w:val="06614333"/>
    <w:rsid w:val="068E120E"/>
    <w:rsid w:val="06B6547B"/>
    <w:rsid w:val="06B807E5"/>
    <w:rsid w:val="06DC0EAC"/>
    <w:rsid w:val="06ED14B9"/>
    <w:rsid w:val="070829BA"/>
    <w:rsid w:val="070B125C"/>
    <w:rsid w:val="070E2AFA"/>
    <w:rsid w:val="074E1E7A"/>
    <w:rsid w:val="08004EB1"/>
    <w:rsid w:val="080619CA"/>
    <w:rsid w:val="081C3B52"/>
    <w:rsid w:val="08796D38"/>
    <w:rsid w:val="087C1626"/>
    <w:rsid w:val="088E7A4F"/>
    <w:rsid w:val="088F5575"/>
    <w:rsid w:val="08917DB2"/>
    <w:rsid w:val="08934B1B"/>
    <w:rsid w:val="08D67157"/>
    <w:rsid w:val="092A47A1"/>
    <w:rsid w:val="092F6D8F"/>
    <w:rsid w:val="09373ABB"/>
    <w:rsid w:val="094E0124"/>
    <w:rsid w:val="09532A1B"/>
    <w:rsid w:val="09BA767B"/>
    <w:rsid w:val="09C33652"/>
    <w:rsid w:val="09EC7201"/>
    <w:rsid w:val="0A43737F"/>
    <w:rsid w:val="0A651924"/>
    <w:rsid w:val="0A8628A6"/>
    <w:rsid w:val="0A8C7FBE"/>
    <w:rsid w:val="0AC95B7A"/>
    <w:rsid w:val="0AEA73AE"/>
    <w:rsid w:val="0AF22F92"/>
    <w:rsid w:val="0AF93815"/>
    <w:rsid w:val="0B110C73"/>
    <w:rsid w:val="0B192960"/>
    <w:rsid w:val="0B426E07"/>
    <w:rsid w:val="0B4F2F67"/>
    <w:rsid w:val="0B7F0C20"/>
    <w:rsid w:val="0BE27F6E"/>
    <w:rsid w:val="0BE94100"/>
    <w:rsid w:val="0BED101D"/>
    <w:rsid w:val="0BF45FAE"/>
    <w:rsid w:val="0BF73B5D"/>
    <w:rsid w:val="0C965124"/>
    <w:rsid w:val="0CAF76CC"/>
    <w:rsid w:val="0CD3181F"/>
    <w:rsid w:val="0CF81FF6"/>
    <w:rsid w:val="0D1B516E"/>
    <w:rsid w:val="0D3F1C52"/>
    <w:rsid w:val="0D651279"/>
    <w:rsid w:val="0D680F35"/>
    <w:rsid w:val="0D8A168A"/>
    <w:rsid w:val="0DAC7D6C"/>
    <w:rsid w:val="0DBA7538"/>
    <w:rsid w:val="0DF83FFE"/>
    <w:rsid w:val="0E074B37"/>
    <w:rsid w:val="0E1A7037"/>
    <w:rsid w:val="0E1D214E"/>
    <w:rsid w:val="0E250E55"/>
    <w:rsid w:val="0E6E4723"/>
    <w:rsid w:val="0E72396F"/>
    <w:rsid w:val="0EBF06D0"/>
    <w:rsid w:val="0F0B2064"/>
    <w:rsid w:val="0F0F7DA6"/>
    <w:rsid w:val="0F3827E4"/>
    <w:rsid w:val="0F474907"/>
    <w:rsid w:val="0F476ECA"/>
    <w:rsid w:val="0F506EBF"/>
    <w:rsid w:val="0F672722"/>
    <w:rsid w:val="0FB40D00"/>
    <w:rsid w:val="0FBA57D9"/>
    <w:rsid w:val="0FC21136"/>
    <w:rsid w:val="0FF265C7"/>
    <w:rsid w:val="104906FF"/>
    <w:rsid w:val="108D683E"/>
    <w:rsid w:val="10B0281A"/>
    <w:rsid w:val="10EF192C"/>
    <w:rsid w:val="114D02C5"/>
    <w:rsid w:val="115E01DA"/>
    <w:rsid w:val="11652242"/>
    <w:rsid w:val="116F23E8"/>
    <w:rsid w:val="1187634E"/>
    <w:rsid w:val="119D49B4"/>
    <w:rsid w:val="11BC387F"/>
    <w:rsid w:val="11F00DDE"/>
    <w:rsid w:val="120F17F8"/>
    <w:rsid w:val="12303925"/>
    <w:rsid w:val="12423B22"/>
    <w:rsid w:val="125735A8"/>
    <w:rsid w:val="128D521B"/>
    <w:rsid w:val="12CD356C"/>
    <w:rsid w:val="12CD7C1F"/>
    <w:rsid w:val="12D23DE0"/>
    <w:rsid w:val="12D63062"/>
    <w:rsid w:val="12F16013"/>
    <w:rsid w:val="13346096"/>
    <w:rsid w:val="134C25F2"/>
    <w:rsid w:val="134C604F"/>
    <w:rsid w:val="137E3E39"/>
    <w:rsid w:val="13A04ACF"/>
    <w:rsid w:val="13AC16D1"/>
    <w:rsid w:val="13D62929"/>
    <w:rsid w:val="13D77CAA"/>
    <w:rsid w:val="13DD53B6"/>
    <w:rsid w:val="13EA3A2E"/>
    <w:rsid w:val="14301601"/>
    <w:rsid w:val="145F4995"/>
    <w:rsid w:val="146828B6"/>
    <w:rsid w:val="147F2942"/>
    <w:rsid w:val="148B5AFA"/>
    <w:rsid w:val="149A777C"/>
    <w:rsid w:val="14C85626"/>
    <w:rsid w:val="14CE4783"/>
    <w:rsid w:val="14E934A6"/>
    <w:rsid w:val="14F25E69"/>
    <w:rsid w:val="154D47EE"/>
    <w:rsid w:val="1555064C"/>
    <w:rsid w:val="15683991"/>
    <w:rsid w:val="156C48AB"/>
    <w:rsid w:val="157B135B"/>
    <w:rsid w:val="15906BFA"/>
    <w:rsid w:val="15B11221"/>
    <w:rsid w:val="15C72AF2"/>
    <w:rsid w:val="15D849FF"/>
    <w:rsid w:val="15F55470"/>
    <w:rsid w:val="16135A37"/>
    <w:rsid w:val="163F39AB"/>
    <w:rsid w:val="169052DA"/>
    <w:rsid w:val="169E391C"/>
    <w:rsid w:val="16B71A4C"/>
    <w:rsid w:val="16BA4105"/>
    <w:rsid w:val="16CC1E75"/>
    <w:rsid w:val="16DC6493"/>
    <w:rsid w:val="172B6DB1"/>
    <w:rsid w:val="1747796A"/>
    <w:rsid w:val="17503129"/>
    <w:rsid w:val="17513478"/>
    <w:rsid w:val="181F0894"/>
    <w:rsid w:val="18280B19"/>
    <w:rsid w:val="182F1F90"/>
    <w:rsid w:val="18433254"/>
    <w:rsid w:val="185D743E"/>
    <w:rsid w:val="18617D4C"/>
    <w:rsid w:val="18656EC7"/>
    <w:rsid w:val="18A72C2A"/>
    <w:rsid w:val="18B8162D"/>
    <w:rsid w:val="18BE5EEE"/>
    <w:rsid w:val="18C62E53"/>
    <w:rsid w:val="18E46FF4"/>
    <w:rsid w:val="194A0503"/>
    <w:rsid w:val="194E4DB3"/>
    <w:rsid w:val="196263CF"/>
    <w:rsid w:val="197E58BE"/>
    <w:rsid w:val="19B11859"/>
    <w:rsid w:val="19CF4C2B"/>
    <w:rsid w:val="19D03A32"/>
    <w:rsid w:val="19D379B8"/>
    <w:rsid w:val="1A085187"/>
    <w:rsid w:val="1A1E46C9"/>
    <w:rsid w:val="1A4D3A11"/>
    <w:rsid w:val="1A641CC7"/>
    <w:rsid w:val="1AB0468E"/>
    <w:rsid w:val="1AC136F4"/>
    <w:rsid w:val="1ACC7AF6"/>
    <w:rsid w:val="1AEE692F"/>
    <w:rsid w:val="1AEF08EF"/>
    <w:rsid w:val="1B440441"/>
    <w:rsid w:val="1B675CAC"/>
    <w:rsid w:val="1B836635"/>
    <w:rsid w:val="1B883BF4"/>
    <w:rsid w:val="1BA16848"/>
    <w:rsid w:val="1BC718D6"/>
    <w:rsid w:val="1BCA6F62"/>
    <w:rsid w:val="1BD607F0"/>
    <w:rsid w:val="1BD84F7E"/>
    <w:rsid w:val="1C27522B"/>
    <w:rsid w:val="1C2A1151"/>
    <w:rsid w:val="1C3C4688"/>
    <w:rsid w:val="1C4020CD"/>
    <w:rsid w:val="1C84143D"/>
    <w:rsid w:val="1CB20611"/>
    <w:rsid w:val="1CF245F9"/>
    <w:rsid w:val="1CFB2EF1"/>
    <w:rsid w:val="1D047E88"/>
    <w:rsid w:val="1D322C47"/>
    <w:rsid w:val="1D903E12"/>
    <w:rsid w:val="1DA3784F"/>
    <w:rsid w:val="1DD43CFE"/>
    <w:rsid w:val="1DE60DE1"/>
    <w:rsid w:val="1DF26E88"/>
    <w:rsid w:val="1E067F71"/>
    <w:rsid w:val="1E193E07"/>
    <w:rsid w:val="1E222749"/>
    <w:rsid w:val="1E5C2AAF"/>
    <w:rsid w:val="1E735A54"/>
    <w:rsid w:val="1E9A7F2E"/>
    <w:rsid w:val="1EAB5036"/>
    <w:rsid w:val="1EC86614"/>
    <w:rsid w:val="1F5C21FD"/>
    <w:rsid w:val="1F9C084C"/>
    <w:rsid w:val="1FF253A9"/>
    <w:rsid w:val="204A3066"/>
    <w:rsid w:val="207042D8"/>
    <w:rsid w:val="207B66B3"/>
    <w:rsid w:val="20893556"/>
    <w:rsid w:val="208F11C4"/>
    <w:rsid w:val="20AF00A4"/>
    <w:rsid w:val="20CB3162"/>
    <w:rsid w:val="20EB0C8B"/>
    <w:rsid w:val="20EC1A0E"/>
    <w:rsid w:val="20F142BF"/>
    <w:rsid w:val="210C618E"/>
    <w:rsid w:val="21132784"/>
    <w:rsid w:val="2119643A"/>
    <w:rsid w:val="2122788E"/>
    <w:rsid w:val="212F6E76"/>
    <w:rsid w:val="21351C56"/>
    <w:rsid w:val="2136082C"/>
    <w:rsid w:val="21DF490D"/>
    <w:rsid w:val="21FB4CBE"/>
    <w:rsid w:val="22155460"/>
    <w:rsid w:val="2218088A"/>
    <w:rsid w:val="224A19EC"/>
    <w:rsid w:val="22A04D6A"/>
    <w:rsid w:val="22C81958"/>
    <w:rsid w:val="22F1156A"/>
    <w:rsid w:val="22FF4803"/>
    <w:rsid w:val="230B280E"/>
    <w:rsid w:val="2317067B"/>
    <w:rsid w:val="232315E5"/>
    <w:rsid w:val="2329689A"/>
    <w:rsid w:val="23524D3A"/>
    <w:rsid w:val="235B1A26"/>
    <w:rsid w:val="237B6E44"/>
    <w:rsid w:val="23B77DA4"/>
    <w:rsid w:val="23D031BA"/>
    <w:rsid w:val="23E23CEB"/>
    <w:rsid w:val="23E629DD"/>
    <w:rsid w:val="240C79A8"/>
    <w:rsid w:val="241906BD"/>
    <w:rsid w:val="24394341"/>
    <w:rsid w:val="247D1363"/>
    <w:rsid w:val="247F027B"/>
    <w:rsid w:val="248D2E59"/>
    <w:rsid w:val="24920B3C"/>
    <w:rsid w:val="24CB6172"/>
    <w:rsid w:val="24E32A79"/>
    <w:rsid w:val="2515095D"/>
    <w:rsid w:val="251C0EA0"/>
    <w:rsid w:val="251D5D33"/>
    <w:rsid w:val="251F059C"/>
    <w:rsid w:val="257A162F"/>
    <w:rsid w:val="259B5C7B"/>
    <w:rsid w:val="25FD7B6A"/>
    <w:rsid w:val="26121868"/>
    <w:rsid w:val="265F1D2D"/>
    <w:rsid w:val="2682270E"/>
    <w:rsid w:val="26867B60"/>
    <w:rsid w:val="26AA620F"/>
    <w:rsid w:val="26C87AB5"/>
    <w:rsid w:val="26E36D60"/>
    <w:rsid w:val="26EA5602"/>
    <w:rsid w:val="27421D8D"/>
    <w:rsid w:val="27677991"/>
    <w:rsid w:val="277C7481"/>
    <w:rsid w:val="27B35276"/>
    <w:rsid w:val="27D35BBD"/>
    <w:rsid w:val="27DB2691"/>
    <w:rsid w:val="27EF429E"/>
    <w:rsid w:val="280451E0"/>
    <w:rsid w:val="281E1E69"/>
    <w:rsid w:val="282D2989"/>
    <w:rsid w:val="28556425"/>
    <w:rsid w:val="285B7282"/>
    <w:rsid w:val="28640A4B"/>
    <w:rsid w:val="28B14E43"/>
    <w:rsid w:val="28E15521"/>
    <w:rsid w:val="28EE6A44"/>
    <w:rsid w:val="28F434A6"/>
    <w:rsid w:val="28F45255"/>
    <w:rsid w:val="291D0921"/>
    <w:rsid w:val="293E6A9B"/>
    <w:rsid w:val="295121B2"/>
    <w:rsid w:val="297222B3"/>
    <w:rsid w:val="29BD1AEA"/>
    <w:rsid w:val="29DB4D10"/>
    <w:rsid w:val="29DB6414"/>
    <w:rsid w:val="2A152DA2"/>
    <w:rsid w:val="2A3279B1"/>
    <w:rsid w:val="2A735909"/>
    <w:rsid w:val="2A9123F1"/>
    <w:rsid w:val="2AD2095B"/>
    <w:rsid w:val="2AE167EC"/>
    <w:rsid w:val="2AE651B3"/>
    <w:rsid w:val="2AF809D6"/>
    <w:rsid w:val="2B14398C"/>
    <w:rsid w:val="2B1F0B69"/>
    <w:rsid w:val="2B6909E2"/>
    <w:rsid w:val="2B7B3A0B"/>
    <w:rsid w:val="2B9273B1"/>
    <w:rsid w:val="2BA9021E"/>
    <w:rsid w:val="2BB57504"/>
    <w:rsid w:val="2BD83EBF"/>
    <w:rsid w:val="2C680433"/>
    <w:rsid w:val="2C8379A6"/>
    <w:rsid w:val="2CCE2260"/>
    <w:rsid w:val="2D1C4D7A"/>
    <w:rsid w:val="2D382E3C"/>
    <w:rsid w:val="2D823556"/>
    <w:rsid w:val="2D9548F7"/>
    <w:rsid w:val="2D9F7CB2"/>
    <w:rsid w:val="2DB143C1"/>
    <w:rsid w:val="2DC13DBD"/>
    <w:rsid w:val="2DC53BCE"/>
    <w:rsid w:val="2DD41AF8"/>
    <w:rsid w:val="2DDA7371"/>
    <w:rsid w:val="2DDB23FF"/>
    <w:rsid w:val="2E051CB2"/>
    <w:rsid w:val="2E9F144E"/>
    <w:rsid w:val="2ECE6548"/>
    <w:rsid w:val="2F122D37"/>
    <w:rsid w:val="2F931ACF"/>
    <w:rsid w:val="2FCD65D5"/>
    <w:rsid w:val="30166922"/>
    <w:rsid w:val="30370B04"/>
    <w:rsid w:val="30384E79"/>
    <w:rsid w:val="30494BE5"/>
    <w:rsid w:val="30684CE5"/>
    <w:rsid w:val="30A63199"/>
    <w:rsid w:val="30CE0A5D"/>
    <w:rsid w:val="30E771A6"/>
    <w:rsid w:val="31304EEA"/>
    <w:rsid w:val="31453F03"/>
    <w:rsid w:val="318D4FA4"/>
    <w:rsid w:val="31AA6DF8"/>
    <w:rsid w:val="31B020CA"/>
    <w:rsid w:val="31E85098"/>
    <w:rsid w:val="31EA18EB"/>
    <w:rsid w:val="32077A89"/>
    <w:rsid w:val="3216448E"/>
    <w:rsid w:val="323C7829"/>
    <w:rsid w:val="325B13A2"/>
    <w:rsid w:val="327026F1"/>
    <w:rsid w:val="32B70AF0"/>
    <w:rsid w:val="32CD29CF"/>
    <w:rsid w:val="32D103B5"/>
    <w:rsid w:val="331B7646"/>
    <w:rsid w:val="334129D1"/>
    <w:rsid w:val="3377155E"/>
    <w:rsid w:val="33CB02DA"/>
    <w:rsid w:val="33CC4A35"/>
    <w:rsid w:val="3422536C"/>
    <w:rsid w:val="345C52FA"/>
    <w:rsid w:val="345E3ECA"/>
    <w:rsid w:val="347137EE"/>
    <w:rsid w:val="34873421"/>
    <w:rsid w:val="348C28B5"/>
    <w:rsid w:val="34A35D81"/>
    <w:rsid w:val="34B20970"/>
    <w:rsid w:val="34C022C8"/>
    <w:rsid w:val="34D122F4"/>
    <w:rsid w:val="34DF503E"/>
    <w:rsid w:val="34EA0963"/>
    <w:rsid w:val="35467A10"/>
    <w:rsid w:val="355404E7"/>
    <w:rsid w:val="35761F18"/>
    <w:rsid w:val="358919F9"/>
    <w:rsid w:val="359236A6"/>
    <w:rsid w:val="3595067A"/>
    <w:rsid w:val="359E1B8A"/>
    <w:rsid w:val="359F6AB6"/>
    <w:rsid w:val="35B43DB3"/>
    <w:rsid w:val="35C36951"/>
    <w:rsid w:val="35D02BA5"/>
    <w:rsid w:val="35E77436"/>
    <w:rsid w:val="363E4C2D"/>
    <w:rsid w:val="36425B03"/>
    <w:rsid w:val="364D7C81"/>
    <w:rsid w:val="366327CA"/>
    <w:rsid w:val="36681510"/>
    <w:rsid w:val="367F17FC"/>
    <w:rsid w:val="36980C9C"/>
    <w:rsid w:val="36CB0F18"/>
    <w:rsid w:val="36CE6D96"/>
    <w:rsid w:val="36D040A7"/>
    <w:rsid w:val="36DD1A1E"/>
    <w:rsid w:val="36F23585"/>
    <w:rsid w:val="37092171"/>
    <w:rsid w:val="37380378"/>
    <w:rsid w:val="37570E79"/>
    <w:rsid w:val="376F689E"/>
    <w:rsid w:val="3775316E"/>
    <w:rsid w:val="37B2586C"/>
    <w:rsid w:val="37DA19C9"/>
    <w:rsid w:val="37EA2644"/>
    <w:rsid w:val="38111487"/>
    <w:rsid w:val="38190834"/>
    <w:rsid w:val="38292855"/>
    <w:rsid w:val="38392C84"/>
    <w:rsid w:val="386F7FEE"/>
    <w:rsid w:val="38A77071"/>
    <w:rsid w:val="38C6092B"/>
    <w:rsid w:val="39290401"/>
    <w:rsid w:val="393B2A2C"/>
    <w:rsid w:val="39431D2B"/>
    <w:rsid w:val="39446ABE"/>
    <w:rsid w:val="398C768F"/>
    <w:rsid w:val="39917372"/>
    <w:rsid w:val="39A06C31"/>
    <w:rsid w:val="39B60304"/>
    <w:rsid w:val="39E92488"/>
    <w:rsid w:val="39FF7EFD"/>
    <w:rsid w:val="3A0D0F54"/>
    <w:rsid w:val="3A1C1785"/>
    <w:rsid w:val="3A465194"/>
    <w:rsid w:val="3A8D4EA1"/>
    <w:rsid w:val="3AB81E16"/>
    <w:rsid w:val="3AD66EB0"/>
    <w:rsid w:val="3AFD3BF0"/>
    <w:rsid w:val="3B223EA3"/>
    <w:rsid w:val="3B225C51"/>
    <w:rsid w:val="3B2C68E1"/>
    <w:rsid w:val="3B323E56"/>
    <w:rsid w:val="3B472A28"/>
    <w:rsid w:val="3B5F6F33"/>
    <w:rsid w:val="3B760ACB"/>
    <w:rsid w:val="3B971BEE"/>
    <w:rsid w:val="3B975E7B"/>
    <w:rsid w:val="3BC2306E"/>
    <w:rsid w:val="3BD20212"/>
    <w:rsid w:val="3BDF3B42"/>
    <w:rsid w:val="3BFE20CD"/>
    <w:rsid w:val="3C11529C"/>
    <w:rsid w:val="3C152230"/>
    <w:rsid w:val="3C3A46E7"/>
    <w:rsid w:val="3C3E5C5C"/>
    <w:rsid w:val="3C6F6242"/>
    <w:rsid w:val="3C8816E5"/>
    <w:rsid w:val="3C8B7826"/>
    <w:rsid w:val="3C962020"/>
    <w:rsid w:val="3CAC2BD3"/>
    <w:rsid w:val="3CFE2BA9"/>
    <w:rsid w:val="3CFE6761"/>
    <w:rsid w:val="3D115F7D"/>
    <w:rsid w:val="3D233F03"/>
    <w:rsid w:val="3D663488"/>
    <w:rsid w:val="3D761F79"/>
    <w:rsid w:val="3D8D57AC"/>
    <w:rsid w:val="3DAA7FDC"/>
    <w:rsid w:val="3DAF06B3"/>
    <w:rsid w:val="3DB82A32"/>
    <w:rsid w:val="3DCF35B1"/>
    <w:rsid w:val="3DD21743"/>
    <w:rsid w:val="3DD72355"/>
    <w:rsid w:val="3DD77C4F"/>
    <w:rsid w:val="3E2658C2"/>
    <w:rsid w:val="3E2D2D7D"/>
    <w:rsid w:val="3E3216C8"/>
    <w:rsid w:val="3E353EED"/>
    <w:rsid w:val="3E7B778D"/>
    <w:rsid w:val="3E861555"/>
    <w:rsid w:val="3E8912B9"/>
    <w:rsid w:val="3ED90D1D"/>
    <w:rsid w:val="3EDA609F"/>
    <w:rsid w:val="3EE37B4E"/>
    <w:rsid w:val="3EF47905"/>
    <w:rsid w:val="3F0E27C6"/>
    <w:rsid w:val="3F253A6A"/>
    <w:rsid w:val="3F2A5A1C"/>
    <w:rsid w:val="3F382FC3"/>
    <w:rsid w:val="3F3A21A7"/>
    <w:rsid w:val="3F4F0FDF"/>
    <w:rsid w:val="3F5D1332"/>
    <w:rsid w:val="3F5F13C6"/>
    <w:rsid w:val="3F6D4D17"/>
    <w:rsid w:val="3F7971F0"/>
    <w:rsid w:val="3FA46885"/>
    <w:rsid w:val="3FB579A2"/>
    <w:rsid w:val="3FCD7D52"/>
    <w:rsid w:val="40113795"/>
    <w:rsid w:val="404E1296"/>
    <w:rsid w:val="40816550"/>
    <w:rsid w:val="40945F12"/>
    <w:rsid w:val="409C7062"/>
    <w:rsid w:val="40A22424"/>
    <w:rsid w:val="40CD2069"/>
    <w:rsid w:val="411E33DB"/>
    <w:rsid w:val="411F1CBC"/>
    <w:rsid w:val="41596681"/>
    <w:rsid w:val="41782301"/>
    <w:rsid w:val="41886A2A"/>
    <w:rsid w:val="41C71F2D"/>
    <w:rsid w:val="41C84714"/>
    <w:rsid w:val="41C930DD"/>
    <w:rsid w:val="41F81F6C"/>
    <w:rsid w:val="422F3285"/>
    <w:rsid w:val="4278048C"/>
    <w:rsid w:val="42A95AE9"/>
    <w:rsid w:val="42AC04F6"/>
    <w:rsid w:val="42B42080"/>
    <w:rsid w:val="42EA08CB"/>
    <w:rsid w:val="432225EA"/>
    <w:rsid w:val="432B58BF"/>
    <w:rsid w:val="433543AC"/>
    <w:rsid w:val="43805B72"/>
    <w:rsid w:val="43D17C33"/>
    <w:rsid w:val="43EA4223"/>
    <w:rsid w:val="43EE7018"/>
    <w:rsid w:val="4404683C"/>
    <w:rsid w:val="441A605F"/>
    <w:rsid w:val="442B30AD"/>
    <w:rsid w:val="44500BF3"/>
    <w:rsid w:val="4464696D"/>
    <w:rsid w:val="44C3298D"/>
    <w:rsid w:val="44D04970"/>
    <w:rsid w:val="45150520"/>
    <w:rsid w:val="451A029F"/>
    <w:rsid w:val="452847AC"/>
    <w:rsid w:val="45305838"/>
    <w:rsid w:val="45435EFB"/>
    <w:rsid w:val="45846855"/>
    <w:rsid w:val="45CA13BF"/>
    <w:rsid w:val="460C7C2A"/>
    <w:rsid w:val="46365120"/>
    <w:rsid w:val="46422BF3"/>
    <w:rsid w:val="465C42EA"/>
    <w:rsid w:val="46945A6B"/>
    <w:rsid w:val="46A0311D"/>
    <w:rsid w:val="46FD5F82"/>
    <w:rsid w:val="46FE62B7"/>
    <w:rsid w:val="475714AB"/>
    <w:rsid w:val="47573126"/>
    <w:rsid w:val="475B6EE7"/>
    <w:rsid w:val="47613E2A"/>
    <w:rsid w:val="478F3DE5"/>
    <w:rsid w:val="47C307BC"/>
    <w:rsid w:val="48243DB9"/>
    <w:rsid w:val="48710E90"/>
    <w:rsid w:val="49086B40"/>
    <w:rsid w:val="4950181B"/>
    <w:rsid w:val="497B03A6"/>
    <w:rsid w:val="499E503D"/>
    <w:rsid w:val="49C31961"/>
    <w:rsid w:val="49E451F0"/>
    <w:rsid w:val="4A2B43F6"/>
    <w:rsid w:val="4A4803E9"/>
    <w:rsid w:val="4A527BD5"/>
    <w:rsid w:val="4A672695"/>
    <w:rsid w:val="4A8F0E29"/>
    <w:rsid w:val="4ACE4B27"/>
    <w:rsid w:val="4AE922E8"/>
    <w:rsid w:val="4AEE78FE"/>
    <w:rsid w:val="4B357B58"/>
    <w:rsid w:val="4B4C0A4C"/>
    <w:rsid w:val="4B6678AA"/>
    <w:rsid w:val="4B7D5858"/>
    <w:rsid w:val="4BCA6B4F"/>
    <w:rsid w:val="4C004433"/>
    <w:rsid w:val="4C2708AF"/>
    <w:rsid w:val="4C342A4B"/>
    <w:rsid w:val="4C6A5DD8"/>
    <w:rsid w:val="4C9170DB"/>
    <w:rsid w:val="4CA76529"/>
    <w:rsid w:val="4CAE763A"/>
    <w:rsid w:val="4CB66AAB"/>
    <w:rsid w:val="4CB82DDD"/>
    <w:rsid w:val="4D2712CE"/>
    <w:rsid w:val="4D2E492A"/>
    <w:rsid w:val="4D3A507C"/>
    <w:rsid w:val="4D464F38"/>
    <w:rsid w:val="4D8E73E4"/>
    <w:rsid w:val="4DA155F6"/>
    <w:rsid w:val="4DB90697"/>
    <w:rsid w:val="4DF31BFE"/>
    <w:rsid w:val="4DF85CD2"/>
    <w:rsid w:val="4E30647F"/>
    <w:rsid w:val="4E3E0071"/>
    <w:rsid w:val="4E612ADD"/>
    <w:rsid w:val="4E78455C"/>
    <w:rsid w:val="4E9A1F07"/>
    <w:rsid w:val="4EC21420"/>
    <w:rsid w:val="4EE74F4B"/>
    <w:rsid w:val="4F05790C"/>
    <w:rsid w:val="4F2279D9"/>
    <w:rsid w:val="4F3C566E"/>
    <w:rsid w:val="4F5447F2"/>
    <w:rsid w:val="4F5B752C"/>
    <w:rsid w:val="4F9D5515"/>
    <w:rsid w:val="4FDD3080"/>
    <w:rsid w:val="4FFA1385"/>
    <w:rsid w:val="4FFC2432"/>
    <w:rsid w:val="50565F9A"/>
    <w:rsid w:val="505954A6"/>
    <w:rsid w:val="506D63B7"/>
    <w:rsid w:val="50774FF0"/>
    <w:rsid w:val="507D3AA3"/>
    <w:rsid w:val="509727E6"/>
    <w:rsid w:val="50975AF5"/>
    <w:rsid w:val="50987876"/>
    <w:rsid w:val="509A451A"/>
    <w:rsid w:val="50AA2519"/>
    <w:rsid w:val="50F97CBF"/>
    <w:rsid w:val="51080A80"/>
    <w:rsid w:val="51491D32"/>
    <w:rsid w:val="5165256A"/>
    <w:rsid w:val="51AB2BEE"/>
    <w:rsid w:val="51D35482"/>
    <w:rsid w:val="51E732F9"/>
    <w:rsid w:val="51F64BDB"/>
    <w:rsid w:val="526235B1"/>
    <w:rsid w:val="52700ACF"/>
    <w:rsid w:val="52736134"/>
    <w:rsid w:val="527B1904"/>
    <w:rsid w:val="529F5982"/>
    <w:rsid w:val="52B73CB1"/>
    <w:rsid w:val="52C6295D"/>
    <w:rsid w:val="52C8312A"/>
    <w:rsid w:val="530D6723"/>
    <w:rsid w:val="531A65BE"/>
    <w:rsid w:val="532367C2"/>
    <w:rsid w:val="533B7DA0"/>
    <w:rsid w:val="53635ADA"/>
    <w:rsid w:val="53746E0E"/>
    <w:rsid w:val="539F3DB1"/>
    <w:rsid w:val="53A7714E"/>
    <w:rsid w:val="53D17ADB"/>
    <w:rsid w:val="53E53868"/>
    <w:rsid w:val="5421005B"/>
    <w:rsid w:val="542B571F"/>
    <w:rsid w:val="54554E92"/>
    <w:rsid w:val="54555CF4"/>
    <w:rsid w:val="54581BBB"/>
    <w:rsid w:val="545D78A2"/>
    <w:rsid w:val="547956C2"/>
    <w:rsid w:val="549C25F9"/>
    <w:rsid w:val="549C728F"/>
    <w:rsid w:val="54AE1829"/>
    <w:rsid w:val="54AE23A9"/>
    <w:rsid w:val="54B56F69"/>
    <w:rsid w:val="54C2569E"/>
    <w:rsid w:val="54C53E75"/>
    <w:rsid w:val="54D36BBC"/>
    <w:rsid w:val="55030305"/>
    <w:rsid w:val="552A5E19"/>
    <w:rsid w:val="5538224D"/>
    <w:rsid w:val="555E5D82"/>
    <w:rsid w:val="556C36E1"/>
    <w:rsid w:val="557843E8"/>
    <w:rsid w:val="55821CB6"/>
    <w:rsid w:val="55D83684"/>
    <w:rsid w:val="56075D18"/>
    <w:rsid w:val="56457CB7"/>
    <w:rsid w:val="565E7162"/>
    <w:rsid w:val="56C0771E"/>
    <w:rsid w:val="572F7AC2"/>
    <w:rsid w:val="574234AB"/>
    <w:rsid w:val="574E0E36"/>
    <w:rsid w:val="575907F5"/>
    <w:rsid w:val="576553EC"/>
    <w:rsid w:val="57A35F14"/>
    <w:rsid w:val="57A77E45"/>
    <w:rsid w:val="58011E3C"/>
    <w:rsid w:val="58022C3B"/>
    <w:rsid w:val="581D0437"/>
    <w:rsid w:val="581F44F3"/>
    <w:rsid w:val="58226E39"/>
    <w:rsid w:val="583402FA"/>
    <w:rsid w:val="584E270A"/>
    <w:rsid w:val="584F1C4F"/>
    <w:rsid w:val="58560A87"/>
    <w:rsid w:val="587F24DD"/>
    <w:rsid w:val="58E2677C"/>
    <w:rsid w:val="58E33CEB"/>
    <w:rsid w:val="591C3AD3"/>
    <w:rsid w:val="592E346A"/>
    <w:rsid w:val="59467686"/>
    <w:rsid w:val="59551880"/>
    <w:rsid w:val="59701117"/>
    <w:rsid w:val="599451ED"/>
    <w:rsid w:val="59981DF0"/>
    <w:rsid w:val="59A41928"/>
    <w:rsid w:val="59AC3A01"/>
    <w:rsid w:val="59D979CB"/>
    <w:rsid w:val="59DE3233"/>
    <w:rsid w:val="59FE09B0"/>
    <w:rsid w:val="5A544F63"/>
    <w:rsid w:val="5A6F0531"/>
    <w:rsid w:val="5A946D59"/>
    <w:rsid w:val="5A9A5B3A"/>
    <w:rsid w:val="5AE742D8"/>
    <w:rsid w:val="5B0332A7"/>
    <w:rsid w:val="5B563A0D"/>
    <w:rsid w:val="5B5714EF"/>
    <w:rsid w:val="5B58020F"/>
    <w:rsid w:val="5B6468DE"/>
    <w:rsid w:val="5B6F5976"/>
    <w:rsid w:val="5B7140B5"/>
    <w:rsid w:val="5B7D540C"/>
    <w:rsid w:val="5B7E4ECC"/>
    <w:rsid w:val="5B9812B3"/>
    <w:rsid w:val="5BC052E6"/>
    <w:rsid w:val="5BC261DC"/>
    <w:rsid w:val="5BD74A4D"/>
    <w:rsid w:val="5BFB631F"/>
    <w:rsid w:val="5C062D5F"/>
    <w:rsid w:val="5C084CEC"/>
    <w:rsid w:val="5C133668"/>
    <w:rsid w:val="5C531CB7"/>
    <w:rsid w:val="5C7C2816"/>
    <w:rsid w:val="5CC42B95"/>
    <w:rsid w:val="5CD050B5"/>
    <w:rsid w:val="5CD465A5"/>
    <w:rsid w:val="5D1A0A26"/>
    <w:rsid w:val="5D4D4958"/>
    <w:rsid w:val="5D4E247E"/>
    <w:rsid w:val="5D5040A7"/>
    <w:rsid w:val="5D577585"/>
    <w:rsid w:val="5D6B2F2E"/>
    <w:rsid w:val="5D7F4759"/>
    <w:rsid w:val="5D9F0C49"/>
    <w:rsid w:val="5DA77989"/>
    <w:rsid w:val="5DE26248"/>
    <w:rsid w:val="5E5D0916"/>
    <w:rsid w:val="5E872437"/>
    <w:rsid w:val="5E8811DA"/>
    <w:rsid w:val="5E93297D"/>
    <w:rsid w:val="5F117B1E"/>
    <w:rsid w:val="5F13068D"/>
    <w:rsid w:val="5F426012"/>
    <w:rsid w:val="5F473629"/>
    <w:rsid w:val="5F6252D4"/>
    <w:rsid w:val="5F685570"/>
    <w:rsid w:val="5F8B68A7"/>
    <w:rsid w:val="5FA840E1"/>
    <w:rsid w:val="5FAF36A8"/>
    <w:rsid w:val="5FD55C0F"/>
    <w:rsid w:val="5FE3433D"/>
    <w:rsid w:val="5FE54F26"/>
    <w:rsid w:val="601F645B"/>
    <w:rsid w:val="603F4081"/>
    <w:rsid w:val="60405FD7"/>
    <w:rsid w:val="6044513C"/>
    <w:rsid w:val="604E254F"/>
    <w:rsid w:val="607E5533"/>
    <w:rsid w:val="609C08BE"/>
    <w:rsid w:val="60CA7570"/>
    <w:rsid w:val="60D94755"/>
    <w:rsid w:val="60E71594"/>
    <w:rsid w:val="60EF78CE"/>
    <w:rsid w:val="61243443"/>
    <w:rsid w:val="613A4296"/>
    <w:rsid w:val="61684F2B"/>
    <w:rsid w:val="61BC013B"/>
    <w:rsid w:val="61D313A2"/>
    <w:rsid w:val="621E68C3"/>
    <w:rsid w:val="625642AF"/>
    <w:rsid w:val="62A81C63"/>
    <w:rsid w:val="62D639F7"/>
    <w:rsid w:val="62E418BB"/>
    <w:rsid w:val="62F162C9"/>
    <w:rsid w:val="63057A83"/>
    <w:rsid w:val="632C14B3"/>
    <w:rsid w:val="634147D0"/>
    <w:rsid w:val="63414D1C"/>
    <w:rsid w:val="635255D6"/>
    <w:rsid w:val="63681D63"/>
    <w:rsid w:val="63A454EE"/>
    <w:rsid w:val="63CE7E76"/>
    <w:rsid w:val="641A5BF7"/>
    <w:rsid w:val="643C054F"/>
    <w:rsid w:val="645B3DFE"/>
    <w:rsid w:val="64871138"/>
    <w:rsid w:val="649B244D"/>
    <w:rsid w:val="64AB411D"/>
    <w:rsid w:val="650C759F"/>
    <w:rsid w:val="651D103A"/>
    <w:rsid w:val="65692B22"/>
    <w:rsid w:val="656A2655"/>
    <w:rsid w:val="65B45B7F"/>
    <w:rsid w:val="65C04652"/>
    <w:rsid w:val="6601543A"/>
    <w:rsid w:val="660C5D78"/>
    <w:rsid w:val="663811B0"/>
    <w:rsid w:val="66540B05"/>
    <w:rsid w:val="6689725B"/>
    <w:rsid w:val="66A4479D"/>
    <w:rsid w:val="67276747"/>
    <w:rsid w:val="673E6FBB"/>
    <w:rsid w:val="6796339F"/>
    <w:rsid w:val="67D6379C"/>
    <w:rsid w:val="67EE31DB"/>
    <w:rsid w:val="68267A2F"/>
    <w:rsid w:val="684E4434"/>
    <w:rsid w:val="68636089"/>
    <w:rsid w:val="68727968"/>
    <w:rsid w:val="68C031E1"/>
    <w:rsid w:val="68E44E04"/>
    <w:rsid w:val="68E6128D"/>
    <w:rsid w:val="68E8639C"/>
    <w:rsid w:val="68F82AA1"/>
    <w:rsid w:val="6908207B"/>
    <w:rsid w:val="69463693"/>
    <w:rsid w:val="695A5409"/>
    <w:rsid w:val="69683ABC"/>
    <w:rsid w:val="6979066C"/>
    <w:rsid w:val="6A2E3D63"/>
    <w:rsid w:val="6A7C322C"/>
    <w:rsid w:val="6A9670CF"/>
    <w:rsid w:val="6AC63AFC"/>
    <w:rsid w:val="6AC63F9C"/>
    <w:rsid w:val="6B325FAE"/>
    <w:rsid w:val="6B41572D"/>
    <w:rsid w:val="6B4F5672"/>
    <w:rsid w:val="6B502E49"/>
    <w:rsid w:val="6B6D6595"/>
    <w:rsid w:val="6B7C77F1"/>
    <w:rsid w:val="6BBF39E7"/>
    <w:rsid w:val="6BDC2110"/>
    <w:rsid w:val="6BFB13F3"/>
    <w:rsid w:val="6C223454"/>
    <w:rsid w:val="6C6E545A"/>
    <w:rsid w:val="6C783074"/>
    <w:rsid w:val="6C8E751D"/>
    <w:rsid w:val="6C9E3613"/>
    <w:rsid w:val="6CA439CF"/>
    <w:rsid w:val="6D072DF8"/>
    <w:rsid w:val="6D1F1741"/>
    <w:rsid w:val="6D4449B9"/>
    <w:rsid w:val="6D522397"/>
    <w:rsid w:val="6D9B753E"/>
    <w:rsid w:val="6DAD3E41"/>
    <w:rsid w:val="6DCC0305"/>
    <w:rsid w:val="6DD16EDF"/>
    <w:rsid w:val="6DEF5576"/>
    <w:rsid w:val="6DF669E1"/>
    <w:rsid w:val="6E14501E"/>
    <w:rsid w:val="6E3F2638"/>
    <w:rsid w:val="6E403382"/>
    <w:rsid w:val="6E470F4F"/>
    <w:rsid w:val="6E5C0E9F"/>
    <w:rsid w:val="6E6D3F5C"/>
    <w:rsid w:val="6E7422E5"/>
    <w:rsid w:val="6E7B69E6"/>
    <w:rsid w:val="6E9323E7"/>
    <w:rsid w:val="6EAE1879"/>
    <w:rsid w:val="6EC54500"/>
    <w:rsid w:val="6EFA6785"/>
    <w:rsid w:val="6F2040C3"/>
    <w:rsid w:val="6F2048B9"/>
    <w:rsid w:val="6F2D7770"/>
    <w:rsid w:val="6F2F0361"/>
    <w:rsid w:val="6F303756"/>
    <w:rsid w:val="6F433E0D"/>
    <w:rsid w:val="6F607BF4"/>
    <w:rsid w:val="6F864B9E"/>
    <w:rsid w:val="6F9E7295"/>
    <w:rsid w:val="6FCB302C"/>
    <w:rsid w:val="6FCC3E02"/>
    <w:rsid w:val="6FE05DB4"/>
    <w:rsid w:val="6FEB2F10"/>
    <w:rsid w:val="6FED3D79"/>
    <w:rsid w:val="702A3ACE"/>
    <w:rsid w:val="70483486"/>
    <w:rsid w:val="707A0EEA"/>
    <w:rsid w:val="707C133A"/>
    <w:rsid w:val="70AB65F0"/>
    <w:rsid w:val="70B92379"/>
    <w:rsid w:val="70DD4C94"/>
    <w:rsid w:val="71337463"/>
    <w:rsid w:val="714B51FB"/>
    <w:rsid w:val="714F4CEB"/>
    <w:rsid w:val="716F4873"/>
    <w:rsid w:val="71A30C87"/>
    <w:rsid w:val="71AE7C5D"/>
    <w:rsid w:val="72000DFE"/>
    <w:rsid w:val="722577FA"/>
    <w:rsid w:val="7230375D"/>
    <w:rsid w:val="72500F43"/>
    <w:rsid w:val="725504B6"/>
    <w:rsid w:val="72836EE5"/>
    <w:rsid w:val="730220BE"/>
    <w:rsid w:val="73102258"/>
    <w:rsid w:val="735859AD"/>
    <w:rsid w:val="736F0F8F"/>
    <w:rsid w:val="73773D4F"/>
    <w:rsid w:val="73A06665"/>
    <w:rsid w:val="73B9469D"/>
    <w:rsid w:val="73BA1001"/>
    <w:rsid w:val="73DE4104"/>
    <w:rsid w:val="73DF2283"/>
    <w:rsid w:val="73E831D5"/>
    <w:rsid w:val="74035EF1"/>
    <w:rsid w:val="740744B7"/>
    <w:rsid w:val="742224B4"/>
    <w:rsid w:val="742F6EA1"/>
    <w:rsid w:val="74332B6A"/>
    <w:rsid w:val="743662C4"/>
    <w:rsid w:val="743C6043"/>
    <w:rsid w:val="744B69EC"/>
    <w:rsid w:val="747F6DA9"/>
    <w:rsid w:val="74A54C22"/>
    <w:rsid w:val="75160436"/>
    <w:rsid w:val="751D624D"/>
    <w:rsid w:val="75503CF7"/>
    <w:rsid w:val="755662AC"/>
    <w:rsid w:val="755D231D"/>
    <w:rsid w:val="756F3A0A"/>
    <w:rsid w:val="7578381D"/>
    <w:rsid w:val="75840CDB"/>
    <w:rsid w:val="75BC3646"/>
    <w:rsid w:val="75BE70CD"/>
    <w:rsid w:val="76575B8F"/>
    <w:rsid w:val="76684159"/>
    <w:rsid w:val="766E44DB"/>
    <w:rsid w:val="76901DB2"/>
    <w:rsid w:val="769B1404"/>
    <w:rsid w:val="76B279BE"/>
    <w:rsid w:val="76B86E8E"/>
    <w:rsid w:val="76DE2BD0"/>
    <w:rsid w:val="77073972"/>
    <w:rsid w:val="771A18F7"/>
    <w:rsid w:val="772E0EFE"/>
    <w:rsid w:val="77405723"/>
    <w:rsid w:val="77630DEE"/>
    <w:rsid w:val="7779642C"/>
    <w:rsid w:val="77927188"/>
    <w:rsid w:val="7799235E"/>
    <w:rsid w:val="77A16F30"/>
    <w:rsid w:val="77A750FA"/>
    <w:rsid w:val="77CE4490"/>
    <w:rsid w:val="77F350C7"/>
    <w:rsid w:val="780808C7"/>
    <w:rsid w:val="7847671C"/>
    <w:rsid w:val="788F00C3"/>
    <w:rsid w:val="78C53AE7"/>
    <w:rsid w:val="78E85D15"/>
    <w:rsid w:val="79004B1D"/>
    <w:rsid w:val="79077FCC"/>
    <w:rsid w:val="790C34C1"/>
    <w:rsid w:val="79214F61"/>
    <w:rsid w:val="79226841"/>
    <w:rsid w:val="793547C6"/>
    <w:rsid w:val="793E2865"/>
    <w:rsid w:val="799A287B"/>
    <w:rsid w:val="799F4335"/>
    <w:rsid w:val="79DA1477"/>
    <w:rsid w:val="7A2D428B"/>
    <w:rsid w:val="7A30713D"/>
    <w:rsid w:val="7A3765F2"/>
    <w:rsid w:val="7A574C10"/>
    <w:rsid w:val="7A752201"/>
    <w:rsid w:val="7AAA18F6"/>
    <w:rsid w:val="7AB21E46"/>
    <w:rsid w:val="7ADE0E8D"/>
    <w:rsid w:val="7B163C91"/>
    <w:rsid w:val="7B2D61FE"/>
    <w:rsid w:val="7B4339F3"/>
    <w:rsid w:val="7B6D4A26"/>
    <w:rsid w:val="7B71585E"/>
    <w:rsid w:val="7B7C7D1D"/>
    <w:rsid w:val="7BB5399C"/>
    <w:rsid w:val="7BC04AA1"/>
    <w:rsid w:val="7BEE5BC4"/>
    <w:rsid w:val="7C2B64D6"/>
    <w:rsid w:val="7C2D4B70"/>
    <w:rsid w:val="7C336E0A"/>
    <w:rsid w:val="7C37023A"/>
    <w:rsid w:val="7CCE7194"/>
    <w:rsid w:val="7CE95DDA"/>
    <w:rsid w:val="7D380D29"/>
    <w:rsid w:val="7D7D498E"/>
    <w:rsid w:val="7D9F2B56"/>
    <w:rsid w:val="7DA22646"/>
    <w:rsid w:val="7DB639FC"/>
    <w:rsid w:val="7DEF61E8"/>
    <w:rsid w:val="7E04681D"/>
    <w:rsid w:val="7E574B42"/>
    <w:rsid w:val="7E8776D8"/>
    <w:rsid w:val="7EEC2D89"/>
    <w:rsid w:val="7EF26A1F"/>
    <w:rsid w:val="7EFE565A"/>
    <w:rsid w:val="7F0A04A3"/>
    <w:rsid w:val="7F3746F1"/>
    <w:rsid w:val="7F557C5E"/>
    <w:rsid w:val="7F5E6EBF"/>
    <w:rsid w:val="7F655249"/>
    <w:rsid w:val="7F724D08"/>
    <w:rsid w:val="7F875650"/>
    <w:rsid w:val="7FAD1F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9"/>
    <w:qFormat/>
    <w:uiPriority w:val="0"/>
    <w:pPr>
      <w:keepNext/>
      <w:keepLines/>
      <w:spacing w:before="260" w:after="260" w:line="413" w:lineRule="auto"/>
      <w:outlineLvl w:val="2"/>
    </w:pPr>
    <w:rPr>
      <w:rFonts w:eastAsia="‹ÎSå"/>
      <w:b/>
      <w:sz w:val="32"/>
      <w:szCs w:val="32"/>
      <w:lang w:val="zh-CN"/>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style>
  <w:style w:type="paragraph" w:styleId="6">
    <w:name w:val="Plain Text"/>
    <w:basedOn w:val="1"/>
    <w:unhideWhenUsed/>
    <w:qFormat/>
    <w:uiPriority w:val="99"/>
    <w:rPr>
      <w:rFonts w:ascii="宋体" w:hAnsi="Courier New"/>
      <w:kern w:val="0"/>
      <w:sz w:val="20"/>
      <w:szCs w:val="20"/>
    </w:rPr>
  </w:style>
  <w:style w:type="paragraph" w:styleId="7">
    <w:name w:val="Body Text Indent"/>
    <w:basedOn w:val="1"/>
    <w:qFormat/>
    <w:uiPriority w:val="0"/>
    <w:pPr>
      <w:ind w:firstLine="660"/>
    </w:pPr>
    <w:rPr>
      <w:rFonts w:ascii="宋体" w:eastAsia="仿宋_GB2312"/>
      <w:sz w:val="28"/>
      <w:szCs w:val="20"/>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2490F8"/>
      <w:u w:val="none"/>
    </w:rPr>
  </w:style>
  <w:style w:type="character" w:styleId="16">
    <w:name w:val="Emphasis"/>
    <w:basedOn w:val="13"/>
    <w:qFormat/>
    <w:uiPriority w:val="20"/>
  </w:style>
  <w:style w:type="character" w:styleId="17">
    <w:name w:val="Hyperlink"/>
    <w:basedOn w:val="13"/>
    <w:unhideWhenUsed/>
    <w:qFormat/>
    <w:uiPriority w:val="99"/>
    <w:rPr>
      <w:color w:val="2490F8"/>
      <w:u w:val="none"/>
    </w:rPr>
  </w:style>
  <w:style w:type="character" w:customStyle="1" w:styleId="18">
    <w:name w:val="标题 1 Char"/>
    <w:basedOn w:val="13"/>
    <w:link w:val="3"/>
    <w:qFormat/>
    <w:uiPriority w:val="9"/>
    <w:rPr>
      <w:b/>
      <w:bCs/>
      <w:color w:val="000000"/>
      <w:kern w:val="44"/>
      <w:sz w:val="44"/>
      <w:szCs w:val="44"/>
    </w:rPr>
  </w:style>
  <w:style w:type="character" w:customStyle="1" w:styleId="19">
    <w:name w:val="标题 3 Char"/>
    <w:basedOn w:val="13"/>
    <w:link w:val="4"/>
    <w:qFormat/>
    <w:uiPriority w:val="0"/>
    <w:rPr>
      <w:rFonts w:ascii="Times New Roman" w:hAnsi="Times New Roman" w:eastAsia="‹ÎSå" w:cs="Times New Roman"/>
      <w:b/>
      <w:color w:val="000000"/>
      <w:kern w:val="0"/>
      <w:sz w:val="32"/>
      <w:szCs w:val="32"/>
      <w:lang w:val="zh-CN"/>
    </w:rPr>
  </w:style>
  <w:style w:type="character" w:customStyle="1" w:styleId="20">
    <w:name w:val="批注框文本 Char"/>
    <w:basedOn w:val="13"/>
    <w:link w:val="8"/>
    <w:semiHidden/>
    <w:qFormat/>
    <w:uiPriority w:val="99"/>
    <w:rPr>
      <w:rFonts w:ascii="Times New Roman" w:hAnsi="Times New Roman"/>
      <w:color w:val="000000"/>
      <w:sz w:val="18"/>
      <w:szCs w:val="18"/>
    </w:rPr>
  </w:style>
  <w:style w:type="character" w:customStyle="1" w:styleId="21">
    <w:name w:val="页脚 Char"/>
    <w:basedOn w:val="13"/>
    <w:link w:val="9"/>
    <w:semiHidden/>
    <w:qFormat/>
    <w:uiPriority w:val="99"/>
    <w:rPr>
      <w:sz w:val="18"/>
      <w:szCs w:val="18"/>
    </w:rPr>
  </w:style>
  <w:style w:type="character" w:customStyle="1" w:styleId="22">
    <w:name w:val="页眉 Char"/>
    <w:basedOn w:val="13"/>
    <w:link w:val="10"/>
    <w:semiHidden/>
    <w:qFormat/>
    <w:uiPriority w:val="99"/>
    <w:rPr>
      <w:sz w:val="18"/>
      <w:szCs w:val="18"/>
    </w:rPr>
  </w:style>
  <w:style w:type="character" w:customStyle="1" w:styleId="23">
    <w:name w:val="font41"/>
    <w:basedOn w:val="13"/>
    <w:qFormat/>
    <w:uiPriority w:val="0"/>
    <w:rPr>
      <w:rFonts w:hint="default" w:ascii="Times New Roman" w:hAnsi="Times New Roman" w:cs="Times New Roman"/>
      <w:color w:val="000000"/>
      <w:sz w:val="18"/>
      <w:szCs w:val="18"/>
      <w:u w:val="none"/>
    </w:rPr>
  </w:style>
  <w:style w:type="character" w:customStyle="1" w:styleId="24">
    <w:name w:val="font61"/>
    <w:basedOn w:val="13"/>
    <w:qFormat/>
    <w:uiPriority w:val="0"/>
    <w:rPr>
      <w:rFonts w:hint="eastAsia" w:ascii="宋体" w:hAnsi="宋体" w:eastAsia="宋体" w:cs="宋体"/>
      <w:color w:val="000000"/>
      <w:sz w:val="12"/>
      <w:szCs w:val="12"/>
      <w:u w:val="none"/>
    </w:rPr>
  </w:style>
  <w:style w:type="character" w:customStyle="1" w:styleId="25">
    <w:name w:val="font121"/>
    <w:basedOn w:val="13"/>
    <w:qFormat/>
    <w:uiPriority w:val="0"/>
    <w:rPr>
      <w:rFonts w:hint="eastAsia" w:ascii="宋体" w:hAnsi="宋体" w:eastAsia="宋体" w:cs="宋体"/>
      <w:color w:val="000000"/>
      <w:sz w:val="18"/>
      <w:szCs w:val="18"/>
      <w:u w:val="none"/>
    </w:rPr>
  </w:style>
  <w:style w:type="character" w:customStyle="1" w:styleId="26">
    <w:name w:val="font01"/>
    <w:basedOn w:val="13"/>
    <w:qFormat/>
    <w:uiPriority w:val="0"/>
    <w:rPr>
      <w:rFonts w:hint="eastAsia" w:ascii="宋体" w:hAnsi="宋体" w:eastAsia="宋体" w:cs="宋体"/>
      <w:color w:val="FF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character" w:customStyle="1" w:styleId="28">
    <w:name w:val="font51"/>
    <w:basedOn w:val="13"/>
    <w:qFormat/>
    <w:uiPriority w:val="0"/>
    <w:rPr>
      <w:rFonts w:hint="eastAsia" w:ascii="宋体" w:hAnsi="宋体" w:eastAsia="宋体" w:cs="宋体"/>
      <w:color w:val="000000"/>
      <w:sz w:val="18"/>
      <w:szCs w:val="18"/>
      <w:u w:val="none"/>
    </w:rPr>
  </w:style>
  <w:style w:type="character" w:customStyle="1" w:styleId="29">
    <w:name w:val="font91"/>
    <w:basedOn w:val="13"/>
    <w:qFormat/>
    <w:uiPriority w:val="0"/>
    <w:rPr>
      <w:rFonts w:hint="default" w:ascii="Times New Roman" w:hAnsi="Times New Roman" w:cs="Times New Roman"/>
      <w:color w:val="000000"/>
      <w:sz w:val="18"/>
      <w:szCs w:val="18"/>
      <w:u w:val="none"/>
    </w:rPr>
  </w:style>
  <w:style w:type="character" w:customStyle="1" w:styleId="30">
    <w:name w:val="font31"/>
    <w:basedOn w:val="13"/>
    <w:uiPriority w:val="0"/>
    <w:rPr>
      <w:rFonts w:hint="eastAsia" w:ascii="宋体" w:hAnsi="宋体" w:eastAsia="宋体" w:cs="宋体"/>
      <w:color w:val="000000"/>
      <w:sz w:val="18"/>
      <w:szCs w:val="18"/>
      <w:u w:val="none"/>
    </w:rPr>
  </w:style>
  <w:style w:type="character" w:customStyle="1" w:styleId="31">
    <w:name w:val="font81"/>
    <w:basedOn w:val="13"/>
    <w:qFormat/>
    <w:uiPriority w:val="0"/>
    <w:rPr>
      <w:rFonts w:hint="eastAsia" w:ascii="宋体" w:hAnsi="宋体" w:eastAsia="宋体" w:cs="宋体"/>
      <w:color w:val="000000"/>
      <w:sz w:val="18"/>
      <w:szCs w:val="18"/>
      <w:u w:val="none"/>
    </w:rPr>
  </w:style>
  <w:style w:type="character" w:customStyle="1" w:styleId="32">
    <w:name w:val="font11"/>
    <w:basedOn w:val="13"/>
    <w:uiPriority w:val="0"/>
    <w:rPr>
      <w:rFonts w:hint="eastAsia" w:ascii="宋体" w:hAnsi="宋体" w:eastAsia="宋体" w:cs="宋体"/>
      <w:color w:val="000000"/>
      <w:sz w:val="18"/>
      <w:szCs w:val="18"/>
      <w:u w:val="none"/>
    </w:rPr>
  </w:style>
  <w:style w:type="paragraph" w:customStyle="1" w:styleId="33">
    <w:name w:val="列出段落1"/>
    <w:basedOn w:val="1"/>
    <w:qFormat/>
    <w:uiPriority w:val="34"/>
    <w:pPr>
      <w:ind w:firstLine="420" w:firstLineChars="200"/>
    </w:p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auto"/>
      <w:sz w:val="24"/>
    </w:rPr>
  </w:style>
  <w:style w:type="paragraph" w:styleId="35">
    <w:name w:val="List Paragraph"/>
    <w:basedOn w:val="1"/>
    <w:unhideWhenUsed/>
    <w:qFormat/>
    <w:uiPriority w:val="99"/>
    <w:pPr>
      <w:ind w:firstLine="420" w:firstLineChars="200"/>
    </w:pPr>
  </w:style>
  <w:style w:type="character" w:customStyle="1" w:styleId="36">
    <w:name w:val="drapbtn"/>
    <w:basedOn w:val="13"/>
    <w:qFormat/>
    <w:uiPriority w:val="0"/>
  </w:style>
  <w:style w:type="character" w:customStyle="1" w:styleId="37">
    <w:name w:val="iconline2"/>
    <w:basedOn w:val="13"/>
    <w:qFormat/>
    <w:uiPriority w:val="0"/>
  </w:style>
  <w:style w:type="character" w:customStyle="1" w:styleId="38">
    <w:name w:val="hilite"/>
    <w:basedOn w:val="13"/>
    <w:qFormat/>
    <w:uiPriority w:val="0"/>
    <w:rPr>
      <w:color w:val="FFFFFF"/>
      <w:shd w:val="clear" w:color="auto" w:fill="666666"/>
    </w:rPr>
  </w:style>
  <w:style w:type="character" w:customStyle="1" w:styleId="39">
    <w:name w:val="cdropleft"/>
    <w:basedOn w:val="13"/>
    <w:qFormat/>
    <w:uiPriority w:val="0"/>
  </w:style>
  <w:style w:type="character" w:customStyle="1" w:styleId="40">
    <w:name w:val="cdropright"/>
    <w:basedOn w:val="13"/>
    <w:qFormat/>
    <w:uiPriority w:val="0"/>
  </w:style>
  <w:style w:type="character" w:customStyle="1" w:styleId="41">
    <w:name w:val="layui-layer-tabnow"/>
    <w:basedOn w:val="13"/>
    <w:qFormat/>
    <w:uiPriority w:val="0"/>
    <w:rPr>
      <w:bdr w:val="single" w:color="CCCCCC" w:sz="6" w:space="0"/>
      <w:shd w:val="clear" w:color="auto" w:fill="FFFFFF"/>
    </w:rPr>
  </w:style>
  <w:style w:type="character" w:customStyle="1" w:styleId="42">
    <w:name w:val="active7"/>
    <w:basedOn w:val="13"/>
    <w:uiPriority w:val="0"/>
    <w:rPr>
      <w:color w:val="00FF00"/>
      <w:shd w:val="clear" w:color="auto" w:fill="111111"/>
    </w:rPr>
  </w:style>
  <w:style w:type="character" w:customStyle="1" w:styleId="43">
    <w:name w:val="last-child"/>
    <w:basedOn w:val="13"/>
    <w:qFormat/>
    <w:uiPriority w:val="0"/>
  </w:style>
  <w:style w:type="character" w:customStyle="1" w:styleId="44">
    <w:name w:val="insertrow"/>
    <w:basedOn w:val="13"/>
    <w:qFormat/>
    <w:uiPriority w:val="0"/>
    <w:rPr>
      <w:color w:val="1F85EC"/>
    </w:rPr>
  </w:style>
  <w:style w:type="character" w:customStyle="1" w:styleId="45">
    <w:name w:val="pagechatarealistclose_box"/>
    <w:basedOn w:val="13"/>
    <w:qFormat/>
    <w:uiPriority w:val="0"/>
  </w:style>
  <w:style w:type="character" w:customStyle="1" w:styleId="46">
    <w:name w:val="pagechatarealistclose_box1"/>
    <w:basedOn w:val="13"/>
    <w:qFormat/>
    <w:uiPriority w:val="0"/>
  </w:style>
  <w:style w:type="character" w:customStyle="1" w:styleId="47">
    <w:name w:val="tmpztreemove_arrow"/>
    <w:basedOn w:val="13"/>
    <w:uiPriority w:val="0"/>
  </w:style>
  <w:style w:type="character" w:customStyle="1" w:styleId="48">
    <w:name w:val="button4"/>
    <w:basedOn w:val="13"/>
    <w:uiPriority w:val="0"/>
  </w:style>
  <w:style w:type="character" w:customStyle="1" w:styleId="49">
    <w:name w:val="w32"/>
    <w:basedOn w:val="13"/>
    <w:qFormat/>
    <w:uiPriority w:val="0"/>
  </w:style>
  <w:style w:type="character" w:customStyle="1" w:styleId="50">
    <w:name w:val="icontext3"/>
    <w:basedOn w:val="13"/>
    <w:qFormat/>
    <w:uiPriority w:val="0"/>
  </w:style>
  <w:style w:type="character" w:customStyle="1" w:styleId="51">
    <w:name w:val="ico1654"/>
    <w:basedOn w:val="13"/>
    <w:qFormat/>
    <w:uiPriority w:val="0"/>
  </w:style>
  <w:style w:type="character" w:customStyle="1" w:styleId="52">
    <w:name w:val="ico1655"/>
    <w:basedOn w:val="13"/>
    <w:qFormat/>
    <w:uiPriority w:val="0"/>
  </w:style>
  <w:style w:type="character" w:customStyle="1" w:styleId="53">
    <w:name w:val="movedownrow"/>
    <w:basedOn w:val="13"/>
    <w:qFormat/>
    <w:uiPriority w:val="0"/>
    <w:rPr>
      <w:color w:val="1F85EC"/>
    </w:rPr>
  </w:style>
  <w:style w:type="character" w:customStyle="1" w:styleId="54">
    <w:name w:val="first-child"/>
    <w:basedOn w:val="13"/>
    <w:qFormat/>
    <w:uiPriority w:val="0"/>
  </w:style>
  <w:style w:type="character" w:customStyle="1" w:styleId="55">
    <w:name w:val="after"/>
    <w:basedOn w:val="13"/>
    <w:qFormat/>
    <w:uiPriority w:val="0"/>
    <w:rPr>
      <w:sz w:val="16"/>
      <w:szCs w:val="0"/>
    </w:rPr>
  </w:style>
  <w:style w:type="character" w:customStyle="1" w:styleId="56">
    <w:name w:val="associateddata"/>
    <w:basedOn w:val="13"/>
    <w:qFormat/>
    <w:uiPriority w:val="0"/>
    <w:rPr>
      <w:shd w:val="clear" w:color="auto" w:fill="50A6F9"/>
    </w:rPr>
  </w:style>
  <w:style w:type="character" w:customStyle="1" w:styleId="57">
    <w:name w:val="cy"/>
    <w:basedOn w:val="13"/>
    <w:qFormat/>
    <w:uiPriority w:val="0"/>
  </w:style>
  <w:style w:type="character" w:customStyle="1" w:styleId="58">
    <w:name w:val="icontext1"/>
    <w:basedOn w:val="13"/>
    <w:qFormat/>
    <w:uiPriority w:val="0"/>
  </w:style>
  <w:style w:type="character" w:customStyle="1" w:styleId="59">
    <w:name w:val="icontext11"/>
    <w:basedOn w:val="13"/>
    <w:qFormat/>
    <w:uiPriority w:val="0"/>
  </w:style>
  <w:style w:type="character" w:customStyle="1" w:styleId="60">
    <w:name w:val="icontext12"/>
    <w:basedOn w:val="13"/>
    <w:qFormat/>
    <w:uiPriority w:val="0"/>
  </w:style>
  <w:style w:type="character" w:customStyle="1" w:styleId="61">
    <w:name w:val="icontext2"/>
    <w:basedOn w:val="13"/>
    <w:qFormat/>
    <w:uiPriority w:val="0"/>
  </w:style>
  <w:style w:type="character" w:customStyle="1" w:styleId="62">
    <w:name w:val="choose-status"/>
    <w:basedOn w:val="13"/>
    <w:uiPriority w:val="0"/>
    <w:rPr>
      <w:color w:val="1F85EC"/>
      <w:shd w:val="clear" w:color="auto" w:fill="FFFFFF"/>
    </w:rPr>
  </w:style>
  <w:style w:type="character" w:customStyle="1" w:styleId="63">
    <w:name w:val="copyrow"/>
    <w:basedOn w:val="13"/>
    <w:qFormat/>
    <w:uiPriority w:val="0"/>
    <w:rPr>
      <w:color w:val="1F85EC"/>
    </w:rPr>
  </w:style>
  <w:style w:type="character" w:customStyle="1" w:styleId="64">
    <w:name w:val="deleterow"/>
    <w:basedOn w:val="13"/>
    <w:qFormat/>
    <w:uiPriority w:val="0"/>
    <w:rPr>
      <w:color w:val="FF5E5E"/>
    </w:rPr>
  </w:style>
  <w:style w:type="character" w:customStyle="1" w:styleId="65">
    <w:name w:val="moveuprow"/>
    <w:basedOn w:val="13"/>
    <w:qFormat/>
    <w:uiPriority w:val="0"/>
    <w:rPr>
      <w:color w:val="1F85E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5342</Words>
  <Characters>5547</Characters>
  <Lines>37</Lines>
  <Paragraphs>10</Paragraphs>
  <TotalTime>52</TotalTime>
  <ScaleCrop>false</ScaleCrop>
  <LinksUpToDate>false</LinksUpToDate>
  <CharactersWithSpaces>5970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2019-09-10T05:01:00Z</dcterms:created>
  <dc:creator>胡彪</dc:creator>
  <cp:lastModifiedBy>海风</cp:lastModifiedBy>
  <cp:lastPrinted>2022-10-18T07:20:00Z</cp:lastPrinted>
  <dcterms:modified xsi:type="dcterms:W3CDTF">2025-07-29T01:28:46Z</dcterms:modified>
  <dc:title>江苏索普（集团）有限公司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C4E672E048DB4DE48435CB4BFF385D96_13</vt:lpwstr>
  </property>
  <property fmtid="{D5CDD505-2E9C-101B-9397-08002B2CF9AE}" pid="4" name="KSOTemplateDocerSaveRecord">
    <vt:lpwstr>eyJoZGlkIjoiZWEwN2I3YzE4NWQ1MTcyNjMwNmQ0ZWJiZGViMjFmNTgiLCJ1c2VySWQiOiIyNjc4MTEzMDQifQ==</vt:lpwstr>
  </property>
</Properties>
</file>