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FF0E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Cs/>
          <w:color w:val="auto"/>
          <w:kern w:val="1"/>
          <w:sz w:val="44"/>
          <w:szCs w:val="44"/>
        </w:rPr>
      </w:pPr>
      <w:r>
        <w:rPr>
          <w:rFonts w:hint="eastAsia" w:ascii="方正小标宋简体" w:hAnsi="方正小标宋简体" w:eastAsia="方正小标宋简体" w:cs="方正小标宋简体"/>
          <w:bCs/>
          <w:color w:val="auto"/>
          <w:kern w:val="1"/>
          <w:sz w:val="44"/>
          <w:szCs w:val="44"/>
        </w:rPr>
        <w:t>江苏索普</w:t>
      </w:r>
      <w:r>
        <w:rPr>
          <w:rFonts w:hint="eastAsia" w:ascii="方正小标宋简体" w:hAnsi="方正小标宋简体" w:eastAsia="方正小标宋简体" w:cs="方正小标宋简体"/>
          <w:bCs/>
          <w:color w:val="auto"/>
          <w:kern w:val="1"/>
          <w:sz w:val="44"/>
          <w:szCs w:val="44"/>
          <w:lang w:val="en-US" w:eastAsia="zh-CN"/>
        </w:rPr>
        <w:t>赛瑞装备制造</w:t>
      </w:r>
      <w:r>
        <w:rPr>
          <w:rFonts w:hint="eastAsia" w:ascii="方正小标宋简体" w:hAnsi="方正小标宋简体" w:eastAsia="方正小标宋简体" w:cs="方正小标宋简体"/>
          <w:bCs/>
          <w:color w:val="auto"/>
          <w:kern w:val="1"/>
          <w:sz w:val="44"/>
          <w:szCs w:val="44"/>
        </w:rPr>
        <w:t>有限公司</w:t>
      </w:r>
      <w:r>
        <w:rPr>
          <w:rFonts w:hint="eastAsia" w:ascii="方正小标宋简体" w:hAnsi="方正小标宋简体" w:eastAsia="方正小标宋简体" w:cs="方正小标宋简体"/>
          <w:bCs/>
          <w:color w:val="auto"/>
          <w:kern w:val="1"/>
          <w:sz w:val="44"/>
          <w:szCs w:val="44"/>
          <w:lang w:eastAsia="zh-CN"/>
        </w:rPr>
        <w:t>采购</w:t>
      </w:r>
      <w:r>
        <w:rPr>
          <w:rFonts w:hint="eastAsia" w:ascii="方正小标宋简体" w:hAnsi="方正小标宋简体" w:eastAsia="方正小标宋简体" w:cs="方正小标宋简体"/>
          <w:bCs/>
          <w:color w:val="auto"/>
          <w:kern w:val="1"/>
          <w:sz w:val="44"/>
          <w:szCs w:val="44"/>
        </w:rPr>
        <w:t>文件</w:t>
      </w:r>
    </w:p>
    <w:p w14:paraId="31452798">
      <w:pPr>
        <w:adjustRightInd w:val="0"/>
        <w:snapToGrid w:val="0"/>
        <w:spacing w:line="360" w:lineRule="auto"/>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 xml:space="preserve">    </w:t>
      </w:r>
    </w:p>
    <w:p w14:paraId="63CE97E9">
      <w:pPr>
        <w:adjustRightInd w:val="0"/>
        <w:snapToGrid w:val="0"/>
        <w:spacing w:line="360" w:lineRule="auto"/>
        <w:jc w:val="left"/>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24"/>
          <w:lang w:val="en-US" w:eastAsia="zh-CN"/>
        </w:rPr>
        <w:t xml:space="preserve">    </w:t>
      </w:r>
      <w:r>
        <w:rPr>
          <w:rFonts w:hint="eastAsia" w:ascii="仿宋_GB2312" w:hAnsi="仿宋_GB2312" w:eastAsia="仿宋_GB2312" w:cs="仿宋_GB2312"/>
          <w:bCs/>
          <w:color w:val="auto"/>
          <w:sz w:val="30"/>
          <w:szCs w:val="30"/>
        </w:rPr>
        <w:t>我公司现需采购</w:t>
      </w:r>
      <w:r>
        <w:rPr>
          <w:rFonts w:hint="eastAsia" w:ascii="仿宋_GB2312" w:hAnsi="仿宋_GB2312" w:eastAsia="仿宋_GB2312" w:cs="仿宋_GB2312"/>
          <w:bCs/>
          <w:color w:val="auto"/>
          <w:sz w:val="30"/>
          <w:szCs w:val="30"/>
          <w:u w:val="single"/>
          <w:lang w:val="en-US" w:eastAsia="zh-CN"/>
        </w:rPr>
        <w:t xml:space="preserve"> </w:t>
      </w:r>
      <w:r>
        <w:rPr>
          <w:rFonts w:hint="eastAsia" w:hAnsi="宋体"/>
          <w:b/>
          <w:sz w:val="36"/>
          <w:u w:val="single"/>
          <w:lang w:val="en-US" w:eastAsia="zh-CN"/>
        </w:rPr>
        <w:t>起重机械维保维修（长约）</w:t>
      </w:r>
      <w:r>
        <w:rPr>
          <w:rFonts w:hint="eastAsia" w:ascii="仿宋_GB2312" w:hAnsi="仿宋_GB2312" w:eastAsia="仿宋_GB2312" w:cs="仿宋_GB2312"/>
          <w:bCs/>
          <w:color w:val="auto"/>
          <w:sz w:val="30"/>
          <w:szCs w:val="30"/>
          <w:u w:val="single"/>
          <w:lang w:val="en-US" w:eastAsia="zh-CN"/>
        </w:rPr>
        <w:t xml:space="preserve"> </w:t>
      </w:r>
      <w:r>
        <w:rPr>
          <w:rFonts w:hint="eastAsia" w:ascii="仿宋_GB2312" w:hAnsi="仿宋_GB2312" w:eastAsia="仿宋_GB2312" w:cs="仿宋_GB2312"/>
          <w:bCs/>
          <w:color w:val="auto"/>
          <w:sz w:val="30"/>
          <w:szCs w:val="30"/>
        </w:rPr>
        <w:t>，</w:t>
      </w:r>
      <w:r>
        <w:rPr>
          <w:rFonts w:hint="eastAsia" w:ascii="仿宋_GB2312" w:hAnsi="仿宋_GB2312" w:eastAsia="仿宋_GB2312" w:cs="仿宋_GB2312"/>
          <w:bCs/>
          <w:color w:val="auto"/>
          <w:sz w:val="30"/>
          <w:szCs w:val="30"/>
          <w:lang w:val="zh-CN"/>
        </w:rPr>
        <w:t>采用自主公开采购的方式选定供应商，</w:t>
      </w:r>
      <w:r>
        <w:rPr>
          <w:rFonts w:hint="eastAsia" w:ascii="仿宋_GB2312" w:hAnsi="仿宋_GB2312" w:eastAsia="仿宋_GB2312" w:cs="仿宋_GB2312"/>
          <w:bCs/>
          <w:color w:val="auto"/>
          <w:sz w:val="30"/>
          <w:szCs w:val="30"/>
        </w:rPr>
        <w:t>特邀请贵单位参与</w:t>
      </w:r>
      <w:r>
        <w:rPr>
          <w:rFonts w:hint="eastAsia" w:ascii="仿宋_GB2312" w:hAnsi="仿宋_GB2312" w:eastAsia="仿宋_GB2312" w:cs="仿宋_GB2312"/>
          <w:bCs/>
          <w:color w:val="auto"/>
          <w:sz w:val="30"/>
          <w:szCs w:val="30"/>
          <w:lang w:eastAsia="zh-CN"/>
        </w:rPr>
        <w:t>报价</w:t>
      </w:r>
      <w:r>
        <w:rPr>
          <w:rFonts w:hint="eastAsia" w:ascii="仿宋_GB2312" w:hAnsi="仿宋_GB2312" w:eastAsia="仿宋_GB2312" w:cs="仿宋_GB2312"/>
          <w:bCs/>
          <w:color w:val="auto"/>
          <w:sz w:val="30"/>
          <w:szCs w:val="30"/>
        </w:rPr>
        <w:t>。</w:t>
      </w:r>
    </w:p>
    <w:p w14:paraId="00E4B136">
      <w:pPr>
        <w:adjustRightInd w:val="0"/>
        <w:snapToGrid w:val="0"/>
        <w:spacing w:line="360" w:lineRule="auto"/>
        <w:jc w:val="left"/>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 xml:space="preserve">  </w:t>
      </w:r>
      <w:r>
        <w:rPr>
          <w:rFonts w:hint="eastAsia" w:ascii="仿宋_GB2312" w:hAnsi="仿宋_GB2312" w:eastAsia="仿宋_GB2312" w:cs="仿宋_GB2312"/>
          <w:b/>
          <w:color w:val="auto"/>
          <w:sz w:val="30"/>
          <w:szCs w:val="30"/>
        </w:rPr>
        <w:t xml:space="preserve">  </w:t>
      </w:r>
      <w:r>
        <w:rPr>
          <w:rFonts w:hint="eastAsia" w:ascii="仿宋_GB2312" w:hAnsi="仿宋_GB2312" w:eastAsia="仿宋_GB2312" w:cs="仿宋_GB2312"/>
          <w:bCs/>
          <w:color w:val="auto"/>
          <w:sz w:val="30"/>
          <w:szCs w:val="30"/>
        </w:rPr>
        <w:t xml:space="preserve"> </w:t>
      </w:r>
      <w:r>
        <w:rPr>
          <w:rFonts w:hint="eastAsia" w:ascii="仿宋_GB2312" w:hAnsi="仿宋_GB2312" w:eastAsia="仿宋_GB2312" w:cs="仿宋_GB2312"/>
          <w:b/>
          <w:color w:val="auto"/>
          <w:sz w:val="30"/>
          <w:szCs w:val="30"/>
        </w:rPr>
        <w:t>一、</w:t>
      </w:r>
      <w:r>
        <w:rPr>
          <w:rFonts w:hint="eastAsia" w:ascii="仿宋_GB2312" w:hAnsi="仿宋_GB2312" w:eastAsia="仿宋_GB2312" w:cs="仿宋_GB2312"/>
          <w:b/>
          <w:color w:val="auto"/>
          <w:sz w:val="30"/>
          <w:szCs w:val="30"/>
          <w:lang w:eastAsia="zh-CN"/>
        </w:rPr>
        <w:t>采购</w:t>
      </w:r>
      <w:r>
        <w:rPr>
          <w:rFonts w:hint="eastAsia" w:ascii="仿宋_GB2312" w:hAnsi="仿宋_GB2312" w:eastAsia="仿宋_GB2312" w:cs="仿宋_GB2312"/>
          <w:b/>
          <w:color w:val="auto"/>
          <w:sz w:val="30"/>
          <w:szCs w:val="30"/>
        </w:rPr>
        <w:t>概况：</w:t>
      </w:r>
    </w:p>
    <w:p w14:paraId="66BB90AC">
      <w:pPr>
        <w:adjustRightInd w:val="0"/>
        <w:snapToGrid w:val="0"/>
        <w:spacing w:line="360" w:lineRule="auto"/>
        <w:ind w:firstLine="600" w:firstLineChars="200"/>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kern w:val="1"/>
          <w:sz w:val="30"/>
          <w:szCs w:val="30"/>
        </w:rPr>
        <w:t>（一）</w:t>
      </w:r>
      <w:r>
        <w:rPr>
          <w:rFonts w:hint="eastAsia" w:ascii="仿宋_GB2312" w:hAnsi="仿宋_GB2312" w:eastAsia="仿宋_GB2312" w:cs="仿宋_GB2312"/>
          <w:bCs/>
          <w:color w:val="auto"/>
          <w:sz w:val="30"/>
          <w:szCs w:val="30"/>
          <w:lang w:val="en-US" w:eastAsia="zh-CN"/>
        </w:rPr>
        <w:t>项目</w:t>
      </w:r>
      <w:r>
        <w:rPr>
          <w:rFonts w:hint="eastAsia" w:ascii="仿宋_GB2312" w:hAnsi="仿宋_GB2312" w:eastAsia="仿宋_GB2312" w:cs="仿宋_GB2312"/>
          <w:bCs/>
          <w:color w:val="auto"/>
          <w:sz w:val="30"/>
          <w:szCs w:val="30"/>
        </w:rPr>
        <w:t>名称：</w:t>
      </w:r>
      <w:r>
        <w:rPr>
          <w:rFonts w:hint="eastAsia" w:hAnsi="宋体"/>
          <w:b/>
          <w:sz w:val="36"/>
          <w:u w:val="single"/>
          <w:lang w:val="en-US" w:eastAsia="zh-CN"/>
        </w:rPr>
        <w:t>起重机械维保维修（长约）</w:t>
      </w:r>
      <w:r>
        <w:rPr>
          <w:rFonts w:hint="eastAsia" w:ascii="仿宋_GB2312" w:hAnsi="仿宋_GB2312" w:eastAsia="仿宋_GB2312" w:cs="仿宋_GB2312"/>
          <w:bCs/>
          <w:color w:val="auto"/>
          <w:sz w:val="30"/>
          <w:szCs w:val="30"/>
        </w:rPr>
        <w:t>；</w:t>
      </w:r>
    </w:p>
    <w:p w14:paraId="282D0630">
      <w:pPr>
        <w:adjustRightInd w:val="0"/>
        <w:snapToGrid w:val="0"/>
        <w:spacing w:line="360" w:lineRule="auto"/>
        <w:ind w:firstLine="579" w:firstLineChars="193"/>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（二）</w:t>
      </w:r>
      <w:r>
        <w:rPr>
          <w:rFonts w:hint="eastAsia" w:ascii="仿宋_GB2312" w:hAnsi="仿宋_GB2312" w:eastAsia="仿宋_GB2312" w:cs="仿宋_GB2312"/>
          <w:bCs/>
          <w:color w:val="auto"/>
          <w:kern w:val="0"/>
          <w:sz w:val="30"/>
          <w:szCs w:val="30"/>
          <w:u w:val="none"/>
          <w:lang w:val="en-US" w:eastAsia="zh-CN"/>
        </w:rPr>
        <w:t>履约期限：</w:t>
      </w:r>
      <w:r>
        <w:rPr>
          <w:rFonts w:hint="eastAsia" w:ascii="仿宋_GB2312" w:hAnsi="仿宋_GB2312" w:eastAsia="仿宋_GB2312" w:cs="仿宋_GB2312"/>
          <w:bCs/>
          <w:color w:val="auto"/>
          <w:sz w:val="30"/>
          <w:szCs w:val="30"/>
          <w:u w:val="single"/>
          <w:lang w:val="en-US" w:eastAsia="zh-CN"/>
        </w:rPr>
        <w:t>合同期限从</w:t>
      </w:r>
      <w:r>
        <w:rPr>
          <w:rFonts w:hint="eastAsia" w:ascii="仿宋_GB2312" w:hAnsi="仿宋_GB2312" w:eastAsia="仿宋_GB2312" w:cs="仿宋_GB2312"/>
          <w:bCs/>
          <w:color w:val="auto"/>
          <w:kern w:val="0"/>
          <w:sz w:val="30"/>
          <w:szCs w:val="30"/>
          <w:u w:val="single"/>
        </w:rPr>
        <w:t>202</w:t>
      </w:r>
      <w:r>
        <w:rPr>
          <w:rFonts w:hint="eastAsia" w:ascii="仿宋_GB2312" w:hAnsi="仿宋_GB2312" w:eastAsia="仿宋_GB2312" w:cs="仿宋_GB2312"/>
          <w:bCs/>
          <w:color w:val="auto"/>
          <w:kern w:val="0"/>
          <w:sz w:val="30"/>
          <w:szCs w:val="30"/>
          <w:u w:val="single"/>
          <w:lang w:val="en-US" w:eastAsia="zh-CN"/>
        </w:rPr>
        <w:t>5</w:t>
      </w:r>
      <w:r>
        <w:rPr>
          <w:rFonts w:hint="eastAsia" w:ascii="仿宋_GB2312" w:hAnsi="仿宋_GB2312" w:eastAsia="仿宋_GB2312" w:cs="仿宋_GB2312"/>
          <w:bCs/>
          <w:color w:val="auto"/>
          <w:kern w:val="0"/>
          <w:sz w:val="30"/>
          <w:szCs w:val="30"/>
          <w:u w:val="single"/>
        </w:rPr>
        <w:t>年</w:t>
      </w:r>
      <w:r>
        <w:rPr>
          <w:rFonts w:hint="eastAsia" w:ascii="仿宋_GB2312" w:hAnsi="仿宋_GB2312" w:eastAsia="仿宋_GB2312" w:cs="仿宋_GB2312"/>
          <w:bCs/>
          <w:color w:val="auto"/>
          <w:kern w:val="0"/>
          <w:sz w:val="30"/>
          <w:szCs w:val="30"/>
          <w:u w:val="single"/>
          <w:lang w:val="en-US" w:eastAsia="zh-CN"/>
        </w:rPr>
        <w:t>8</w:t>
      </w:r>
      <w:r>
        <w:rPr>
          <w:rFonts w:hint="eastAsia" w:ascii="仿宋_GB2312" w:hAnsi="仿宋_GB2312" w:eastAsia="仿宋_GB2312" w:cs="仿宋_GB2312"/>
          <w:bCs/>
          <w:color w:val="auto"/>
          <w:kern w:val="0"/>
          <w:sz w:val="30"/>
          <w:szCs w:val="30"/>
          <w:u w:val="single"/>
        </w:rPr>
        <w:t>月</w:t>
      </w:r>
      <w:r>
        <w:rPr>
          <w:rFonts w:hint="eastAsia" w:ascii="仿宋_GB2312" w:hAnsi="仿宋_GB2312" w:eastAsia="仿宋_GB2312" w:cs="仿宋_GB2312"/>
          <w:bCs/>
          <w:color w:val="auto"/>
          <w:kern w:val="0"/>
          <w:sz w:val="30"/>
          <w:szCs w:val="30"/>
          <w:u w:val="single"/>
          <w:lang w:val="en-US" w:eastAsia="zh-CN"/>
        </w:rPr>
        <w:t>31日</w:t>
      </w:r>
      <w:r>
        <w:rPr>
          <w:rFonts w:hint="eastAsia" w:ascii="仿宋_GB2312" w:hAnsi="仿宋_GB2312" w:eastAsia="仿宋_GB2312" w:cs="仿宋_GB2312"/>
          <w:bCs/>
          <w:color w:val="auto"/>
          <w:kern w:val="0"/>
          <w:sz w:val="30"/>
          <w:szCs w:val="30"/>
          <w:u w:val="single"/>
        </w:rPr>
        <w:t>-</w:t>
      </w:r>
      <w:r>
        <w:rPr>
          <w:rFonts w:hint="eastAsia" w:ascii="仿宋_GB2312" w:hAnsi="仿宋_GB2312" w:eastAsia="仿宋_GB2312" w:cs="仿宋_GB2312"/>
          <w:bCs/>
          <w:color w:val="auto"/>
          <w:kern w:val="0"/>
          <w:sz w:val="30"/>
          <w:szCs w:val="30"/>
          <w:u w:val="single"/>
          <w:lang w:val="en-US" w:eastAsia="zh-CN"/>
        </w:rPr>
        <w:t>2026年8</w:t>
      </w:r>
      <w:r>
        <w:rPr>
          <w:rFonts w:hint="eastAsia" w:ascii="仿宋_GB2312" w:hAnsi="仿宋_GB2312" w:eastAsia="仿宋_GB2312" w:cs="仿宋_GB2312"/>
          <w:bCs/>
          <w:color w:val="auto"/>
          <w:kern w:val="0"/>
          <w:sz w:val="30"/>
          <w:szCs w:val="30"/>
          <w:u w:val="single"/>
        </w:rPr>
        <w:t>月</w:t>
      </w:r>
      <w:r>
        <w:rPr>
          <w:rFonts w:hint="eastAsia" w:ascii="仿宋_GB2312" w:hAnsi="仿宋_GB2312" w:eastAsia="仿宋_GB2312" w:cs="仿宋_GB2312"/>
          <w:bCs/>
          <w:color w:val="auto"/>
          <w:kern w:val="0"/>
          <w:sz w:val="30"/>
          <w:szCs w:val="30"/>
          <w:u w:val="single"/>
          <w:lang w:val="en-US" w:eastAsia="zh-CN"/>
        </w:rPr>
        <w:t>30日</w:t>
      </w:r>
      <w:r>
        <w:rPr>
          <w:rFonts w:hint="eastAsia" w:ascii="仿宋_GB2312" w:hAnsi="仿宋_GB2312" w:eastAsia="仿宋_GB2312" w:cs="仿宋_GB2312"/>
          <w:bCs/>
          <w:color w:val="auto"/>
          <w:sz w:val="30"/>
          <w:szCs w:val="30"/>
          <w:u w:val="single"/>
        </w:rPr>
        <w:t>；</w:t>
      </w:r>
    </w:p>
    <w:p w14:paraId="7034C5D3">
      <w:pPr>
        <w:adjustRightInd w:val="0"/>
        <w:snapToGrid w:val="0"/>
        <w:spacing w:line="360" w:lineRule="auto"/>
        <w:jc w:val="left"/>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 xml:space="preserve">    </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val="en-US" w:eastAsia="zh-CN"/>
        </w:rPr>
        <w:t>三</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sz w:val="30"/>
          <w:szCs w:val="30"/>
          <w:lang w:eastAsia="zh-CN"/>
        </w:rPr>
        <w:t>报价</w:t>
      </w:r>
      <w:r>
        <w:rPr>
          <w:rFonts w:hint="eastAsia" w:ascii="仿宋_GB2312" w:hAnsi="仿宋_GB2312" w:eastAsia="仿宋_GB2312" w:cs="仿宋_GB2312"/>
          <w:bCs/>
          <w:color w:val="auto"/>
          <w:sz w:val="30"/>
          <w:szCs w:val="30"/>
        </w:rPr>
        <w:t>截止时间202</w:t>
      </w:r>
      <w:r>
        <w:rPr>
          <w:rFonts w:hint="eastAsia" w:ascii="仿宋_GB2312" w:hAnsi="仿宋_GB2312" w:eastAsia="仿宋_GB2312" w:cs="仿宋_GB2312"/>
          <w:bCs/>
          <w:color w:val="auto"/>
          <w:sz w:val="30"/>
          <w:szCs w:val="30"/>
          <w:lang w:val="en-US" w:eastAsia="zh-CN"/>
        </w:rPr>
        <w:t>5</w:t>
      </w:r>
      <w:r>
        <w:rPr>
          <w:rFonts w:hint="eastAsia" w:ascii="仿宋_GB2312" w:hAnsi="仿宋_GB2312" w:eastAsia="仿宋_GB2312" w:cs="仿宋_GB2312"/>
          <w:bCs/>
          <w:color w:val="auto"/>
          <w:sz w:val="30"/>
          <w:szCs w:val="30"/>
        </w:rPr>
        <w:t>年</w:t>
      </w:r>
      <w:r>
        <w:rPr>
          <w:rFonts w:hint="eastAsia" w:ascii="仿宋_GB2312" w:hAnsi="仿宋_GB2312" w:eastAsia="仿宋_GB2312" w:cs="仿宋_GB2312"/>
          <w:bCs/>
          <w:color w:val="auto"/>
          <w:sz w:val="30"/>
          <w:szCs w:val="30"/>
          <w:u w:val="single"/>
          <w:lang w:val="en-US" w:eastAsia="zh-CN"/>
        </w:rPr>
        <w:t>8</w:t>
      </w:r>
      <w:r>
        <w:rPr>
          <w:rFonts w:hint="eastAsia" w:ascii="仿宋_GB2312" w:hAnsi="仿宋_GB2312" w:eastAsia="仿宋_GB2312" w:cs="仿宋_GB2312"/>
          <w:bCs/>
          <w:color w:val="auto"/>
          <w:sz w:val="30"/>
          <w:szCs w:val="30"/>
        </w:rPr>
        <w:t>月</w:t>
      </w:r>
      <w:r>
        <w:rPr>
          <w:rFonts w:hint="eastAsia" w:ascii="仿宋_GB2312" w:hAnsi="仿宋_GB2312" w:eastAsia="仿宋_GB2312" w:cs="仿宋_GB2312"/>
          <w:bCs/>
          <w:color w:val="auto"/>
          <w:sz w:val="30"/>
          <w:szCs w:val="30"/>
          <w:u w:val="single"/>
          <w:lang w:val="en-US" w:eastAsia="zh-CN"/>
        </w:rPr>
        <w:t>27</w:t>
      </w:r>
      <w:r>
        <w:rPr>
          <w:rFonts w:hint="eastAsia" w:ascii="仿宋_GB2312" w:hAnsi="仿宋_GB2312" w:eastAsia="仿宋_GB2312" w:cs="仿宋_GB2312"/>
          <w:bCs/>
          <w:color w:val="auto"/>
          <w:sz w:val="30"/>
          <w:szCs w:val="30"/>
        </w:rPr>
        <w:t>日</w:t>
      </w:r>
      <w:r>
        <w:rPr>
          <w:rFonts w:hint="eastAsia" w:ascii="仿宋_GB2312" w:hAnsi="仿宋_GB2312" w:eastAsia="仿宋_GB2312" w:cs="仿宋_GB2312"/>
          <w:bCs/>
          <w:color w:val="auto"/>
          <w:sz w:val="30"/>
          <w:szCs w:val="30"/>
          <w:u w:val="single"/>
          <w:lang w:val="en-US" w:eastAsia="zh-CN"/>
        </w:rPr>
        <w:t>10</w:t>
      </w:r>
      <w:r>
        <w:rPr>
          <w:rFonts w:hint="eastAsia" w:ascii="仿宋_GB2312" w:hAnsi="仿宋_GB2312" w:eastAsia="仿宋_GB2312" w:cs="仿宋_GB2312"/>
          <w:bCs/>
          <w:color w:val="auto"/>
          <w:sz w:val="30"/>
          <w:szCs w:val="30"/>
        </w:rPr>
        <w:t>时（北京时间）；</w:t>
      </w:r>
    </w:p>
    <w:p w14:paraId="0DAF6129">
      <w:pPr>
        <w:adjustRightInd w:val="0"/>
        <w:snapToGrid w:val="0"/>
        <w:spacing w:line="360" w:lineRule="auto"/>
        <w:ind w:firstLine="600" w:firstLineChars="200"/>
        <w:jc w:val="left"/>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val="en-US" w:eastAsia="zh-CN"/>
        </w:rPr>
        <w:t>四</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val="en-US" w:eastAsia="zh-CN"/>
        </w:rPr>
        <w:t>报价评审时间</w:t>
      </w:r>
      <w:r>
        <w:rPr>
          <w:rFonts w:hint="eastAsia" w:ascii="仿宋_GB2312" w:hAnsi="仿宋_GB2312" w:eastAsia="仿宋_GB2312" w:cs="仿宋_GB2312"/>
          <w:bCs/>
          <w:color w:val="auto"/>
          <w:sz w:val="30"/>
          <w:szCs w:val="30"/>
        </w:rPr>
        <w:t>202</w:t>
      </w:r>
      <w:r>
        <w:rPr>
          <w:rFonts w:hint="eastAsia" w:ascii="仿宋_GB2312" w:hAnsi="仿宋_GB2312" w:eastAsia="仿宋_GB2312" w:cs="仿宋_GB2312"/>
          <w:bCs/>
          <w:color w:val="auto"/>
          <w:sz w:val="30"/>
          <w:szCs w:val="30"/>
          <w:lang w:val="en-US" w:eastAsia="zh-CN"/>
        </w:rPr>
        <w:t>5</w:t>
      </w:r>
      <w:r>
        <w:rPr>
          <w:rFonts w:hint="eastAsia" w:ascii="仿宋_GB2312" w:hAnsi="仿宋_GB2312" w:eastAsia="仿宋_GB2312" w:cs="仿宋_GB2312"/>
          <w:bCs/>
          <w:color w:val="auto"/>
          <w:sz w:val="30"/>
          <w:szCs w:val="30"/>
        </w:rPr>
        <w:t>年</w:t>
      </w:r>
      <w:r>
        <w:rPr>
          <w:rFonts w:hint="eastAsia" w:ascii="仿宋_GB2312" w:hAnsi="仿宋_GB2312" w:eastAsia="仿宋_GB2312" w:cs="仿宋_GB2312"/>
          <w:bCs/>
          <w:color w:val="auto"/>
          <w:sz w:val="30"/>
          <w:szCs w:val="30"/>
          <w:u w:val="single"/>
          <w:lang w:val="en-US" w:eastAsia="zh-CN"/>
        </w:rPr>
        <w:t>8</w:t>
      </w:r>
      <w:r>
        <w:rPr>
          <w:rFonts w:hint="eastAsia" w:ascii="仿宋_GB2312" w:hAnsi="仿宋_GB2312" w:eastAsia="仿宋_GB2312" w:cs="仿宋_GB2312"/>
          <w:bCs/>
          <w:color w:val="auto"/>
          <w:sz w:val="30"/>
          <w:szCs w:val="30"/>
        </w:rPr>
        <w:t>月</w:t>
      </w:r>
      <w:r>
        <w:rPr>
          <w:rFonts w:hint="eastAsia" w:ascii="仿宋_GB2312" w:hAnsi="仿宋_GB2312" w:eastAsia="仿宋_GB2312" w:cs="仿宋_GB2312"/>
          <w:bCs/>
          <w:color w:val="auto"/>
          <w:sz w:val="30"/>
          <w:szCs w:val="30"/>
          <w:u w:val="single"/>
          <w:lang w:val="en-US" w:eastAsia="zh-CN"/>
        </w:rPr>
        <w:t>27</w:t>
      </w:r>
      <w:r>
        <w:rPr>
          <w:rFonts w:hint="eastAsia" w:ascii="仿宋_GB2312" w:hAnsi="仿宋_GB2312" w:eastAsia="仿宋_GB2312" w:cs="仿宋_GB2312"/>
          <w:bCs/>
          <w:color w:val="auto"/>
          <w:sz w:val="30"/>
          <w:szCs w:val="30"/>
        </w:rPr>
        <w:t>日</w:t>
      </w:r>
      <w:r>
        <w:rPr>
          <w:rFonts w:hint="eastAsia" w:ascii="仿宋_GB2312" w:hAnsi="仿宋_GB2312" w:eastAsia="仿宋_GB2312" w:cs="仿宋_GB2312"/>
          <w:bCs/>
          <w:color w:val="auto"/>
          <w:sz w:val="30"/>
          <w:szCs w:val="30"/>
          <w:u w:val="single"/>
          <w:lang w:val="en-US" w:eastAsia="zh-CN"/>
        </w:rPr>
        <w:t>10</w:t>
      </w:r>
      <w:r>
        <w:rPr>
          <w:rFonts w:hint="eastAsia" w:ascii="仿宋_GB2312" w:hAnsi="仿宋_GB2312" w:eastAsia="仿宋_GB2312" w:cs="仿宋_GB2312"/>
          <w:bCs/>
          <w:color w:val="auto"/>
          <w:sz w:val="30"/>
          <w:szCs w:val="30"/>
        </w:rPr>
        <w:t>时（北京时间）</w:t>
      </w:r>
      <w:r>
        <w:rPr>
          <w:rFonts w:hint="eastAsia" w:ascii="仿宋_GB2312" w:hAnsi="仿宋_GB2312" w:eastAsia="仿宋_GB2312" w:cs="仿宋_GB2312"/>
          <w:bCs/>
          <w:color w:val="auto"/>
          <w:kern w:val="1"/>
          <w:sz w:val="30"/>
          <w:szCs w:val="30"/>
        </w:rPr>
        <w:t>；</w:t>
      </w:r>
    </w:p>
    <w:p w14:paraId="409BAFDA">
      <w:pPr>
        <w:adjustRightInd w:val="0"/>
        <w:snapToGrid w:val="0"/>
        <w:spacing w:line="360" w:lineRule="auto"/>
        <w:ind w:firstLine="600" w:firstLineChars="200"/>
        <w:jc w:val="left"/>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val="en-US" w:eastAsia="zh-CN"/>
        </w:rPr>
        <w:t>五</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val="en-US" w:eastAsia="zh-CN"/>
        </w:rPr>
        <w:t>报价评审地点</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val="en-US" w:eastAsia="zh-CN"/>
        </w:rPr>
        <w:t>江苏索普（集团）有限公司公共采购中心</w:t>
      </w:r>
      <w:r>
        <w:rPr>
          <w:rFonts w:hint="eastAsia" w:ascii="仿宋_GB2312" w:hAnsi="仿宋_GB2312" w:eastAsia="仿宋_GB2312" w:cs="仿宋_GB2312"/>
          <w:bCs/>
          <w:color w:val="auto"/>
          <w:kern w:val="1"/>
          <w:sz w:val="30"/>
          <w:szCs w:val="30"/>
        </w:rPr>
        <w:t>；</w:t>
      </w:r>
    </w:p>
    <w:p w14:paraId="12282BEA">
      <w:pPr>
        <w:adjustRightInd w:val="0"/>
        <w:snapToGrid w:val="0"/>
        <w:spacing w:line="360" w:lineRule="auto"/>
        <w:ind w:firstLine="602"/>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二、</w:t>
      </w:r>
      <w:r>
        <w:rPr>
          <w:rFonts w:hint="eastAsia" w:ascii="仿宋_GB2312" w:hAnsi="仿宋_GB2312" w:eastAsia="仿宋_GB2312" w:cs="仿宋_GB2312"/>
          <w:b/>
          <w:color w:val="auto"/>
          <w:sz w:val="30"/>
          <w:szCs w:val="30"/>
          <w:lang w:eastAsia="zh-CN"/>
        </w:rPr>
        <w:t>采购</w:t>
      </w:r>
      <w:r>
        <w:rPr>
          <w:rFonts w:hint="eastAsia" w:ascii="仿宋_GB2312" w:hAnsi="仿宋_GB2312" w:eastAsia="仿宋_GB2312" w:cs="仿宋_GB2312"/>
          <w:b/>
          <w:color w:val="auto"/>
          <w:sz w:val="30"/>
          <w:szCs w:val="30"/>
        </w:rPr>
        <w:t>内容</w:t>
      </w:r>
      <w:r>
        <w:rPr>
          <w:rFonts w:hint="eastAsia" w:ascii="仿宋_GB2312" w:hAnsi="仿宋_GB2312" w:eastAsia="仿宋_GB2312" w:cs="仿宋_GB2312"/>
          <w:b/>
          <w:color w:val="auto"/>
          <w:sz w:val="30"/>
          <w:szCs w:val="30"/>
          <w:lang w:eastAsia="zh-CN"/>
        </w:rPr>
        <w:t>及要求</w:t>
      </w:r>
      <w:r>
        <w:rPr>
          <w:rFonts w:hint="eastAsia" w:ascii="仿宋_GB2312" w:hAnsi="仿宋_GB2312" w:eastAsia="仿宋_GB2312" w:cs="仿宋_GB2312"/>
          <w:b/>
          <w:color w:val="auto"/>
          <w:sz w:val="30"/>
          <w:szCs w:val="30"/>
        </w:rPr>
        <w:t>：</w:t>
      </w:r>
    </w:p>
    <w:p w14:paraId="45DB9B36">
      <w:pPr>
        <w:keepNext w:val="0"/>
        <w:keepLines w:val="0"/>
        <w:pageBreakBefore w:val="0"/>
        <w:widowControl/>
        <w:kinsoku/>
        <w:overflowPunct/>
        <w:topLinePunct w:val="0"/>
        <w:autoSpaceDE/>
        <w:autoSpaceDN/>
        <w:bidi w:val="0"/>
        <w:adjustRightInd w:val="0"/>
        <w:snapToGrid w:val="0"/>
        <w:spacing w:line="360" w:lineRule="auto"/>
        <w:ind w:right="0" w:rightChars="0" w:firstLine="602"/>
        <w:textAlignment w:val="auto"/>
        <w:outlineLvl w:val="9"/>
        <w:rPr>
          <w:rFonts w:hint="eastAsia" w:ascii="仿宋_GB2312" w:hAnsi="仿宋_GB2312" w:eastAsia="仿宋_GB2312" w:cs="仿宋_GB2312"/>
          <w:bCs/>
          <w:kern w:val="1"/>
          <w:sz w:val="30"/>
          <w:szCs w:val="30"/>
        </w:rPr>
      </w:pPr>
      <w:r>
        <w:rPr>
          <w:rFonts w:hint="eastAsia" w:ascii="仿宋_GB2312" w:hAnsi="仿宋_GB2312" w:eastAsia="仿宋_GB2312" w:cs="仿宋_GB2312"/>
          <w:bCs/>
          <w:kern w:val="1"/>
          <w:sz w:val="30"/>
          <w:szCs w:val="30"/>
        </w:rPr>
        <w:t>（一）</w:t>
      </w:r>
      <w:r>
        <w:rPr>
          <w:rFonts w:hint="eastAsia" w:ascii="仿宋_GB2312" w:hAnsi="仿宋_GB2312" w:eastAsia="仿宋_GB2312" w:cs="仿宋_GB2312"/>
          <w:bCs/>
          <w:kern w:val="1"/>
          <w:sz w:val="30"/>
          <w:szCs w:val="30"/>
          <w:lang w:val="en-US" w:eastAsia="zh-CN"/>
        </w:rPr>
        <w:t>采购</w:t>
      </w:r>
      <w:r>
        <w:rPr>
          <w:rFonts w:hint="eastAsia" w:ascii="仿宋_GB2312" w:hAnsi="仿宋_GB2312" w:eastAsia="仿宋_GB2312" w:cs="仿宋_GB2312"/>
          <w:bCs/>
          <w:kern w:val="1"/>
          <w:sz w:val="30"/>
          <w:szCs w:val="30"/>
        </w:rPr>
        <w:t>项目基本情况</w:t>
      </w:r>
      <w:r>
        <w:rPr>
          <w:rFonts w:hint="eastAsia" w:ascii="仿宋_GB2312" w:hAnsi="仿宋_GB2312" w:eastAsia="仿宋_GB2312" w:cs="仿宋_GB2312"/>
          <w:bCs/>
          <w:kern w:val="1"/>
          <w:sz w:val="30"/>
          <w:szCs w:val="30"/>
          <w:lang w:eastAsia="zh-CN"/>
        </w:rPr>
        <w:t>及</w:t>
      </w:r>
      <w:r>
        <w:rPr>
          <w:rFonts w:hint="eastAsia" w:ascii="仿宋_GB2312" w:hAnsi="仿宋_GB2312" w:eastAsia="仿宋_GB2312" w:cs="仿宋_GB2312"/>
          <w:bCs/>
          <w:sz w:val="30"/>
          <w:szCs w:val="30"/>
        </w:rPr>
        <w:t>技术要求：</w:t>
      </w:r>
      <w:r>
        <w:rPr>
          <w:rFonts w:hint="eastAsia" w:ascii="仿宋_GB2312" w:hAnsi="仿宋_GB2312" w:eastAsia="仿宋_GB2312" w:cs="仿宋_GB2312"/>
          <w:bCs/>
          <w:kern w:val="1"/>
          <w:sz w:val="30"/>
          <w:szCs w:val="30"/>
        </w:rPr>
        <w:t xml:space="preserve">  </w:t>
      </w:r>
    </w:p>
    <w:p w14:paraId="7AC37818">
      <w:pPr>
        <w:keepNext w:val="0"/>
        <w:keepLines w:val="0"/>
        <w:pageBreakBefore w:val="0"/>
        <w:widowControl/>
        <w:kinsoku/>
        <w:overflowPunct/>
        <w:topLinePunct w:val="0"/>
        <w:autoSpaceDE/>
        <w:autoSpaceDN/>
        <w:bidi w:val="0"/>
        <w:adjustRightInd w:val="0"/>
        <w:snapToGrid w:val="0"/>
        <w:spacing w:line="360" w:lineRule="auto"/>
        <w:ind w:right="0" w:rightChars="0" w:firstLine="602"/>
        <w:textAlignment w:val="auto"/>
        <w:outlineLvl w:val="9"/>
        <w:rPr>
          <w:rFonts w:hint="eastAsia" w:ascii="仿宋_GB2312" w:hAnsi="仿宋_GB2312" w:eastAsia="仿宋_GB2312" w:cs="仿宋_GB2312"/>
          <w:bCs/>
          <w:kern w:val="1"/>
          <w:sz w:val="30"/>
          <w:szCs w:val="30"/>
        </w:rPr>
      </w:pPr>
      <w:r>
        <w:rPr>
          <w:rFonts w:hint="eastAsia" w:ascii="仿宋_GB2312" w:hAnsi="仿宋_GB2312" w:eastAsia="仿宋_GB2312" w:cs="仿宋_GB2312"/>
          <w:bCs/>
          <w:kern w:val="1"/>
          <w:sz w:val="30"/>
          <w:szCs w:val="30"/>
          <w:lang w:val="en-US" w:eastAsia="zh-CN"/>
        </w:rPr>
        <w:t>1.</w:t>
      </w:r>
      <w:r>
        <w:rPr>
          <w:rFonts w:hint="eastAsia" w:ascii="仿宋_GB2312" w:hAnsi="仿宋_GB2312" w:eastAsia="仿宋_GB2312" w:cs="仿宋_GB2312"/>
          <w:bCs/>
          <w:kern w:val="1"/>
          <w:sz w:val="30"/>
          <w:szCs w:val="30"/>
        </w:rPr>
        <w:t xml:space="preserve">项目基本情况    </w:t>
      </w:r>
    </w:p>
    <w:p w14:paraId="3C2BBF36">
      <w:pPr>
        <w:keepNext w:val="0"/>
        <w:keepLines w:val="0"/>
        <w:pageBreakBefore w:val="0"/>
        <w:widowControl/>
        <w:kinsoku/>
        <w:overflowPunct/>
        <w:topLinePunct w:val="0"/>
        <w:autoSpaceDE/>
        <w:autoSpaceDN/>
        <w:bidi w:val="0"/>
        <w:adjustRightInd w:val="0"/>
        <w:snapToGrid w:val="0"/>
        <w:spacing w:line="360" w:lineRule="auto"/>
        <w:ind w:right="0" w:rightChars="0" w:firstLine="602"/>
        <w:textAlignment w:val="auto"/>
        <w:outlineLvl w:val="9"/>
        <w:rPr>
          <w:rFonts w:hint="eastAsia" w:ascii="仿宋_GB2312" w:hAnsi="仿宋_GB2312" w:eastAsia="仿宋_GB2312" w:cs="仿宋_GB2312"/>
          <w:bCs/>
          <w:kern w:val="1"/>
          <w:sz w:val="30"/>
          <w:szCs w:val="30"/>
        </w:rPr>
      </w:pPr>
      <w:r>
        <w:rPr>
          <w:rFonts w:hint="eastAsia" w:ascii="仿宋_GB2312" w:hAnsi="仿宋_GB2312" w:eastAsia="仿宋_GB2312" w:cs="仿宋_GB2312"/>
          <w:bCs/>
          <w:kern w:val="1"/>
          <w:sz w:val="30"/>
          <w:szCs w:val="30"/>
        </w:rPr>
        <w:t xml:space="preserve">    33台起重机械（行车）维修维保，维保时间从202</w:t>
      </w:r>
      <w:r>
        <w:rPr>
          <w:rFonts w:hint="eastAsia" w:ascii="仿宋_GB2312" w:hAnsi="仿宋_GB2312" w:eastAsia="仿宋_GB2312" w:cs="仿宋_GB2312"/>
          <w:bCs/>
          <w:kern w:val="1"/>
          <w:sz w:val="30"/>
          <w:szCs w:val="30"/>
          <w:lang w:val="en-US" w:eastAsia="zh-CN"/>
        </w:rPr>
        <w:t>5</w:t>
      </w:r>
      <w:r>
        <w:rPr>
          <w:rFonts w:hint="eastAsia" w:ascii="仿宋_GB2312" w:hAnsi="仿宋_GB2312" w:eastAsia="仿宋_GB2312" w:cs="仿宋_GB2312"/>
          <w:bCs/>
          <w:kern w:val="1"/>
          <w:sz w:val="30"/>
          <w:szCs w:val="30"/>
        </w:rPr>
        <w:t>年8月</w:t>
      </w:r>
      <w:r>
        <w:rPr>
          <w:rFonts w:hint="eastAsia" w:ascii="仿宋_GB2312" w:hAnsi="仿宋_GB2312" w:eastAsia="仿宋_GB2312" w:cs="仿宋_GB2312"/>
          <w:bCs/>
          <w:kern w:val="1"/>
          <w:sz w:val="30"/>
          <w:szCs w:val="30"/>
          <w:lang w:val="en-US" w:eastAsia="zh-CN"/>
        </w:rPr>
        <w:t>31</w:t>
      </w:r>
      <w:r>
        <w:rPr>
          <w:rFonts w:hint="eastAsia" w:ascii="仿宋_GB2312" w:hAnsi="仿宋_GB2312" w:eastAsia="仿宋_GB2312" w:cs="仿宋_GB2312"/>
          <w:bCs/>
          <w:kern w:val="1"/>
          <w:sz w:val="30"/>
          <w:szCs w:val="30"/>
        </w:rPr>
        <w:t>日开始至202</w:t>
      </w:r>
      <w:r>
        <w:rPr>
          <w:rFonts w:hint="eastAsia" w:ascii="仿宋_GB2312" w:hAnsi="仿宋_GB2312" w:eastAsia="仿宋_GB2312" w:cs="仿宋_GB2312"/>
          <w:bCs/>
          <w:kern w:val="1"/>
          <w:sz w:val="30"/>
          <w:szCs w:val="30"/>
          <w:lang w:val="en-US" w:eastAsia="zh-CN"/>
        </w:rPr>
        <w:t>6</w:t>
      </w:r>
      <w:r>
        <w:rPr>
          <w:rFonts w:hint="eastAsia" w:ascii="仿宋_GB2312" w:hAnsi="仿宋_GB2312" w:eastAsia="仿宋_GB2312" w:cs="仿宋_GB2312"/>
          <w:bCs/>
          <w:kern w:val="1"/>
          <w:sz w:val="30"/>
          <w:szCs w:val="30"/>
        </w:rPr>
        <w:t>年</w:t>
      </w:r>
      <w:r>
        <w:rPr>
          <w:rFonts w:hint="eastAsia" w:ascii="仿宋_GB2312" w:hAnsi="仿宋_GB2312" w:eastAsia="仿宋_GB2312" w:cs="仿宋_GB2312"/>
          <w:bCs/>
          <w:kern w:val="1"/>
          <w:sz w:val="30"/>
          <w:szCs w:val="30"/>
          <w:lang w:val="en-US" w:eastAsia="zh-CN"/>
        </w:rPr>
        <w:t>8</w:t>
      </w:r>
      <w:r>
        <w:rPr>
          <w:rFonts w:hint="eastAsia" w:ascii="仿宋_GB2312" w:hAnsi="仿宋_GB2312" w:eastAsia="仿宋_GB2312" w:cs="仿宋_GB2312"/>
          <w:bCs/>
          <w:kern w:val="1"/>
          <w:sz w:val="30"/>
          <w:szCs w:val="30"/>
        </w:rPr>
        <w:t>月</w:t>
      </w:r>
      <w:r>
        <w:rPr>
          <w:rFonts w:hint="eastAsia" w:ascii="仿宋_GB2312" w:hAnsi="仿宋_GB2312" w:eastAsia="仿宋_GB2312" w:cs="仿宋_GB2312"/>
          <w:bCs/>
          <w:kern w:val="1"/>
          <w:sz w:val="30"/>
          <w:szCs w:val="30"/>
          <w:lang w:val="en-US" w:eastAsia="zh-CN"/>
        </w:rPr>
        <w:t>30</w:t>
      </w:r>
      <w:r>
        <w:rPr>
          <w:rFonts w:hint="eastAsia" w:ascii="仿宋_GB2312" w:hAnsi="仿宋_GB2312" w:eastAsia="仿宋_GB2312" w:cs="仿宋_GB2312"/>
          <w:bCs/>
          <w:kern w:val="1"/>
          <w:sz w:val="30"/>
          <w:szCs w:val="30"/>
        </w:rPr>
        <w:t xml:space="preserve">日截至。具体维保要求详见技术文件，备件更换由双方出具书面说明后进入结算。       </w:t>
      </w:r>
    </w:p>
    <w:p w14:paraId="0C7F3533">
      <w:pPr>
        <w:keepNext w:val="0"/>
        <w:keepLines w:val="0"/>
        <w:pageBreakBefore w:val="0"/>
        <w:widowControl/>
        <w:kinsoku/>
        <w:overflowPunct/>
        <w:topLinePunct w:val="0"/>
        <w:autoSpaceDE/>
        <w:autoSpaceDN/>
        <w:bidi w:val="0"/>
        <w:adjustRightInd w:val="0"/>
        <w:snapToGrid w:val="0"/>
        <w:spacing w:line="360" w:lineRule="auto"/>
        <w:ind w:right="0" w:rightChars="0" w:firstLine="602"/>
        <w:textAlignment w:val="auto"/>
        <w:outlineLvl w:val="9"/>
        <w:rPr>
          <w:rFonts w:hint="eastAsia" w:ascii="仿宋_GB2312" w:hAnsi="仿宋_GB2312" w:eastAsia="仿宋_GB2312" w:cs="仿宋_GB2312"/>
          <w:bCs/>
          <w:kern w:val="1"/>
          <w:sz w:val="30"/>
          <w:szCs w:val="30"/>
        </w:rPr>
      </w:pPr>
      <w:r>
        <w:rPr>
          <w:rFonts w:hint="eastAsia" w:ascii="仿宋_GB2312" w:hAnsi="仿宋_GB2312" w:eastAsia="仿宋_GB2312" w:cs="仿宋_GB2312"/>
          <w:bCs/>
          <w:kern w:val="1"/>
          <w:sz w:val="30"/>
          <w:szCs w:val="30"/>
          <w:lang w:val="en-US" w:eastAsia="zh-CN"/>
        </w:rPr>
        <w:t>2.</w:t>
      </w:r>
      <w:r>
        <w:rPr>
          <w:rFonts w:hint="eastAsia" w:ascii="仿宋_GB2312" w:hAnsi="仿宋_GB2312" w:eastAsia="仿宋_GB2312" w:cs="仿宋_GB2312"/>
          <w:bCs/>
          <w:kern w:val="1"/>
          <w:sz w:val="30"/>
          <w:szCs w:val="30"/>
        </w:rPr>
        <w:t>技术要求：</w:t>
      </w:r>
    </w:p>
    <w:p w14:paraId="6A09B9EC">
      <w:pPr>
        <w:keepNext w:val="0"/>
        <w:keepLines w:val="0"/>
        <w:pageBreakBefore w:val="0"/>
        <w:widowControl/>
        <w:kinsoku/>
        <w:overflowPunct/>
        <w:topLinePunct w:val="0"/>
        <w:autoSpaceDE/>
        <w:autoSpaceDN/>
        <w:bidi w:val="0"/>
        <w:adjustRightInd w:val="0"/>
        <w:snapToGrid w:val="0"/>
        <w:spacing w:line="360" w:lineRule="auto"/>
        <w:ind w:right="0" w:rightChars="0" w:firstLine="602"/>
        <w:textAlignment w:val="auto"/>
        <w:outlineLvl w:val="9"/>
        <w:rPr>
          <w:rFonts w:hint="eastAsia" w:ascii="仿宋_GB2312" w:hAnsi="仿宋_GB2312" w:eastAsia="仿宋_GB2312" w:cs="仿宋_GB2312"/>
          <w:bCs/>
          <w:kern w:val="1"/>
          <w:sz w:val="30"/>
          <w:szCs w:val="30"/>
        </w:rPr>
      </w:pPr>
      <w:r>
        <w:rPr>
          <w:rFonts w:hint="eastAsia" w:ascii="仿宋_GB2312" w:hAnsi="仿宋_GB2312" w:eastAsia="仿宋_GB2312" w:cs="仿宋_GB2312"/>
          <w:bCs/>
          <w:kern w:val="1"/>
          <w:sz w:val="30"/>
          <w:szCs w:val="30"/>
        </w:rPr>
        <w:t>详见附件</w:t>
      </w:r>
      <w:r>
        <w:rPr>
          <w:rFonts w:hint="eastAsia" w:ascii="仿宋_GB2312" w:hAnsi="仿宋_GB2312" w:eastAsia="仿宋_GB2312" w:cs="仿宋_GB2312"/>
          <w:bCs/>
          <w:kern w:val="1"/>
          <w:sz w:val="30"/>
          <w:szCs w:val="30"/>
          <w:lang w:val="en-US" w:eastAsia="zh-CN"/>
        </w:rPr>
        <w:t>2</w:t>
      </w:r>
      <w:r>
        <w:rPr>
          <w:rFonts w:hint="eastAsia" w:ascii="仿宋_GB2312" w:hAnsi="仿宋_GB2312" w:eastAsia="仿宋_GB2312" w:cs="仿宋_GB2312"/>
          <w:bCs/>
          <w:kern w:val="1"/>
          <w:sz w:val="30"/>
          <w:szCs w:val="30"/>
        </w:rPr>
        <w:t xml:space="preserve">：起重机械（行车）维保技术文件             </w:t>
      </w:r>
    </w:p>
    <w:p w14:paraId="48A39A13">
      <w:pPr>
        <w:keepNext w:val="0"/>
        <w:keepLines w:val="0"/>
        <w:pageBreakBefore w:val="0"/>
        <w:widowControl/>
        <w:kinsoku/>
        <w:overflowPunct/>
        <w:topLinePunct w:val="0"/>
        <w:autoSpaceDE/>
        <w:autoSpaceDN/>
        <w:bidi w:val="0"/>
        <w:adjustRightInd w:val="0"/>
        <w:snapToGrid w:val="0"/>
        <w:spacing w:line="360" w:lineRule="auto"/>
        <w:ind w:right="0" w:rightChars="0" w:firstLine="602"/>
        <w:textAlignment w:val="auto"/>
        <w:outlineLvl w:val="9"/>
        <w:rPr>
          <w:rFonts w:hint="eastAsia" w:ascii="仿宋_GB2312" w:hAnsi="仿宋_GB2312" w:eastAsia="仿宋_GB2312" w:cs="仿宋_GB2312"/>
          <w:bCs/>
          <w:color w:val="auto"/>
          <w:kern w:val="0"/>
          <w:sz w:val="30"/>
          <w:szCs w:val="30"/>
          <w:lang w:val="en-US" w:eastAsia="zh-CN"/>
        </w:rPr>
      </w:pPr>
      <w:r>
        <w:rPr>
          <w:rFonts w:hint="eastAsia" w:ascii="仿宋_GB2312" w:hAnsi="仿宋_GB2312" w:eastAsia="仿宋_GB2312" w:cs="仿宋_GB2312"/>
          <w:bCs/>
          <w:color w:val="auto"/>
          <w:sz w:val="30"/>
          <w:szCs w:val="30"/>
        </w:rPr>
        <w:t>（二）</w:t>
      </w:r>
      <w:r>
        <w:rPr>
          <w:rFonts w:hint="eastAsia" w:ascii="仿宋_GB2312" w:hAnsi="仿宋_GB2312" w:eastAsia="仿宋_GB2312" w:cs="仿宋_GB2312"/>
          <w:bCs/>
          <w:color w:val="auto"/>
          <w:sz w:val="30"/>
          <w:szCs w:val="30"/>
          <w:lang w:eastAsia="zh-CN"/>
        </w:rPr>
        <w:t>采购</w:t>
      </w:r>
      <w:r>
        <w:rPr>
          <w:rFonts w:hint="eastAsia" w:ascii="仿宋_GB2312" w:hAnsi="仿宋_GB2312" w:eastAsia="仿宋_GB2312" w:cs="仿宋_GB2312"/>
          <w:bCs/>
          <w:color w:val="auto"/>
          <w:kern w:val="0"/>
          <w:sz w:val="30"/>
          <w:szCs w:val="30"/>
          <w:lang w:val="en-US" w:eastAsia="zh-CN"/>
        </w:rPr>
        <w:t>要求：</w:t>
      </w:r>
    </w:p>
    <w:p w14:paraId="05CFDA35">
      <w:pPr>
        <w:numPr>
          <w:ilvl w:val="0"/>
          <w:numId w:val="1"/>
        </w:numPr>
        <w:adjustRightInd w:val="0"/>
        <w:snapToGrid w:val="0"/>
        <w:spacing w:line="360" w:lineRule="auto"/>
        <w:ind w:firstLine="600" w:firstLineChars="200"/>
        <w:jc w:val="left"/>
        <w:outlineLvl w:val="9"/>
        <w:rPr>
          <w:rFonts w:hint="eastAsia" w:ascii="仿宋_GB2312" w:hAnsi="仿宋_GB2312" w:eastAsia="仿宋_GB2312" w:cs="仿宋_GB2312"/>
          <w:bCs/>
          <w:color w:val="auto"/>
          <w:kern w:val="1"/>
          <w:sz w:val="30"/>
          <w:szCs w:val="30"/>
          <w:u w:val="none"/>
        </w:rPr>
      </w:pPr>
      <w:r>
        <w:rPr>
          <w:rFonts w:hint="eastAsia" w:ascii="仿宋_GB2312" w:hAnsi="仿宋_GB2312" w:eastAsia="仿宋_GB2312" w:cs="仿宋_GB2312"/>
          <w:bCs/>
          <w:color w:val="auto"/>
          <w:kern w:val="0"/>
          <w:sz w:val="30"/>
          <w:szCs w:val="30"/>
          <w:lang w:val="en-US" w:eastAsia="zh-CN"/>
        </w:rPr>
        <w:t>签订合同前需根据维修保养的实际情况，结合采购文件中技术文件中的要求，制定实际维修方案，经双方确认后实施。</w:t>
      </w:r>
    </w:p>
    <w:p w14:paraId="7023B297">
      <w:pPr>
        <w:numPr>
          <w:ilvl w:val="0"/>
          <w:numId w:val="1"/>
        </w:numPr>
        <w:adjustRightInd w:val="0"/>
        <w:snapToGrid w:val="0"/>
        <w:spacing w:line="360" w:lineRule="auto"/>
        <w:ind w:firstLine="600" w:firstLineChars="200"/>
        <w:jc w:val="left"/>
        <w:outlineLvl w:val="9"/>
        <w:rPr>
          <w:rFonts w:hint="eastAsia" w:ascii="仿宋_GB2312" w:hAnsi="仿宋_GB2312" w:eastAsia="仿宋_GB2312" w:cs="仿宋_GB2312"/>
          <w:bCs/>
          <w:color w:val="auto"/>
          <w:kern w:val="1"/>
          <w:sz w:val="30"/>
          <w:szCs w:val="30"/>
          <w:u w:val="none"/>
        </w:rPr>
      </w:pPr>
      <w:r>
        <w:rPr>
          <w:rFonts w:hint="eastAsia" w:ascii="仿宋_GB2312" w:hAnsi="仿宋_GB2312" w:eastAsia="仿宋_GB2312" w:cs="仿宋_GB2312"/>
          <w:bCs/>
          <w:color w:val="auto"/>
          <w:kern w:val="0"/>
          <w:sz w:val="30"/>
          <w:szCs w:val="30"/>
          <w:lang w:val="en-US" w:eastAsia="zh-CN"/>
        </w:rPr>
        <w:t xml:space="preserve">报价人应具备良好的售后服务能力.在日常生产中，24小时内接到我司通知后，需在2个小时内指派专业维修人员（须具有5年以上相关工作经验）到达故障设备现场对设备进行维修，并在要求时间内维修完毕（且包含夜间故障维修）。起吊重大设备时，必须安排人无偿到场；        </w:t>
      </w:r>
      <w:r>
        <w:rPr>
          <w:rFonts w:hint="eastAsia" w:ascii="仿宋_GB2312" w:hAnsi="仿宋_GB2312" w:eastAsia="仿宋_GB2312" w:cs="仿宋_GB2312"/>
          <w:bCs/>
          <w:color w:val="auto"/>
          <w:kern w:val="1"/>
          <w:sz w:val="30"/>
          <w:szCs w:val="30"/>
          <w:u w:val="none"/>
          <w:lang w:val="en-US" w:eastAsia="zh-CN"/>
        </w:rPr>
        <w:t xml:space="preserve">               </w:t>
      </w:r>
    </w:p>
    <w:p w14:paraId="5F402E6E">
      <w:pPr>
        <w:adjustRightInd w:val="0"/>
        <w:snapToGrid w:val="0"/>
        <w:spacing w:line="360" w:lineRule="auto"/>
        <w:ind w:left="617" w:leftChars="284" w:hanging="21" w:hangingChars="7"/>
        <w:jc w:val="left"/>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三、</w:t>
      </w:r>
      <w:r>
        <w:rPr>
          <w:rFonts w:hint="eastAsia" w:ascii="仿宋_GB2312" w:hAnsi="仿宋_GB2312" w:eastAsia="仿宋_GB2312" w:cs="仿宋_GB2312"/>
          <w:b/>
          <w:color w:val="auto"/>
          <w:sz w:val="30"/>
          <w:szCs w:val="30"/>
          <w:lang w:eastAsia="zh-CN"/>
        </w:rPr>
        <w:t>报价</w:t>
      </w:r>
      <w:r>
        <w:rPr>
          <w:rFonts w:hint="eastAsia" w:ascii="仿宋_GB2312" w:hAnsi="仿宋_GB2312" w:eastAsia="仿宋_GB2312" w:cs="仿宋_GB2312"/>
          <w:b/>
          <w:color w:val="auto"/>
          <w:sz w:val="30"/>
          <w:szCs w:val="30"/>
        </w:rPr>
        <w:t>人资质与要求：</w:t>
      </w:r>
    </w:p>
    <w:p w14:paraId="590C17C6">
      <w:pPr>
        <w:pStyle w:val="2"/>
        <w:keepNext w:val="0"/>
        <w:keepLines w:val="0"/>
        <w:pageBreakBefore w:val="0"/>
        <w:widowControl w:val="0"/>
        <w:kinsoku/>
        <w:overflowPunct/>
        <w:topLinePunct w:val="0"/>
        <w:autoSpaceDE/>
        <w:autoSpaceDN/>
        <w:bidi w:val="0"/>
        <w:adjustRightInd w:val="0"/>
        <w:snapToGrid w:val="0"/>
        <w:spacing w:after="0" w:line="360" w:lineRule="auto"/>
        <w:ind w:right="0" w:rightChars="0"/>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
          <w:color w:val="auto"/>
          <w:sz w:val="30"/>
          <w:szCs w:val="30"/>
          <w:lang w:val="en-US" w:eastAsia="zh-CN"/>
        </w:rPr>
        <w:t xml:space="preserve">    </w:t>
      </w:r>
      <w:r>
        <w:rPr>
          <w:rFonts w:hint="eastAsia" w:ascii="仿宋_GB2312" w:hAnsi="仿宋_GB2312" w:eastAsia="仿宋_GB2312" w:cs="仿宋_GB2312"/>
          <w:bCs/>
          <w:color w:val="auto"/>
          <w:sz w:val="30"/>
          <w:szCs w:val="30"/>
        </w:rPr>
        <w:t>（一）</w:t>
      </w:r>
      <w:r>
        <w:rPr>
          <w:rFonts w:hint="eastAsia" w:ascii="仿宋_GB2312" w:hAnsi="仿宋_GB2312" w:eastAsia="仿宋_GB2312" w:cs="仿宋_GB2312"/>
          <w:bCs/>
          <w:color w:val="auto"/>
          <w:sz w:val="30"/>
          <w:szCs w:val="30"/>
          <w:lang w:eastAsia="zh-CN"/>
        </w:rPr>
        <w:t>报价</w:t>
      </w:r>
      <w:r>
        <w:rPr>
          <w:rFonts w:hint="eastAsia" w:ascii="仿宋_GB2312" w:hAnsi="仿宋_GB2312" w:eastAsia="仿宋_GB2312" w:cs="仿宋_GB2312"/>
          <w:bCs/>
          <w:color w:val="auto"/>
          <w:sz w:val="30"/>
          <w:szCs w:val="30"/>
        </w:rPr>
        <w:t>人必须具备中华人民共和国境内生产或经营应具备的合法资质</w:t>
      </w:r>
      <w:r>
        <w:rPr>
          <w:rFonts w:hint="eastAsia" w:ascii="仿宋_GB2312" w:hAnsi="仿宋_GB2312" w:eastAsia="仿宋_GB2312" w:cs="仿宋_GB2312"/>
          <w:bCs/>
          <w:color w:val="auto"/>
          <w:sz w:val="30"/>
          <w:szCs w:val="30"/>
          <w:lang w:eastAsia="zh-CN"/>
        </w:rPr>
        <w:t>；</w:t>
      </w:r>
    </w:p>
    <w:p w14:paraId="494FFE5B">
      <w:pPr>
        <w:keepNext w:val="0"/>
        <w:keepLines w:val="0"/>
        <w:pageBreakBefore w:val="0"/>
        <w:widowControl w:val="0"/>
        <w:kinsoku/>
        <w:overflowPunct/>
        <w:topLinePunct w:val="0"/>
        <w:autoSpaceDE/>
        <w:autoSpaceDN/>
        <w:bidi w:val="0"/>
        <w:adjustRightInd w:val="0"/>
        <w:snapToGrid w:val="0"/>
        <w:spacing w:line="360" w:lineRule="auto"/>
        <w:ind w:right="0" w:rightChars="0" w:firstLine="579" w:firstLineChars="193"/>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eastAsia="zh-CN"/>
        </w:rPr>
        <w:t>二</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sz w:val="30"/>
          <w:szCs w:val="30"/>
        </w:rPr>
        <w:t>不接受被列入失信被执行人、重大违法案件当事人</w:t>
      </w:r>
      <w:r>
        <w:rPr>
          <w:rFonts w:hint="eastAsia" w:ascii="仿宋_GB2312" w:hAnsi="仿宋_GB2312" w:eastAsia="仿宋_GB2312" w:cs="仿宋_GB2312"/>
          <w:bCs/>
          <w:color w:val="auto"/>
          <w:sz w:val="30"/>
          <w:szCs w:val="30"/>
          <w:lang w:eastAsia="zh-CN"/>
        </w:rPr>
        <w:t>报价</w:t>
      </w:r>
      <w:r>
        <w:rPr>
          <w:rFonts w:hint="eastAsia" w:ascii="仿宋_GB2312" w:hAnsi="仿宋_GB2312" w:eastAsia="仿宋_GB2312" w:cs="仿宋_GB2312"/>
          <w:bCs/>
          <w:color w:val="auto"/>
          <w:sz w:val="30"/>
          <w:szCs w:val="30"/>
        </w:rPr>
        <w:t>；</w:t>
      </w:r>
    </w:p>
    <w:p w14:paraId="6EAA6EF1">
      <w:pPr>
        <w:keepNext w:val="0"/>
        <w:keepLines w:val="0"/>
        <w:pageBreakBefore w:val="0"/>
        <w:widowControl w:val="0"/>
        <w:kinsoku/>
        <w:overflowPunct/>
        <w:topLinePunct w:val="0"/>
        <w:autoSpaceDE/>
        <w:autoSpaceDN/>
        <w:bidi w:val="0"/>
        <w:adjustRightInd w:val="0"/>
        <w:snapToGrid w:val="0"/>
        <w:spacing w:line="360" w:lineRule="auto"/>
        <w:ind w:right="0" w:rightChars="0"/>
        <w:jc w:val="left"/>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 xml:space="preserve">  </w:t>
      </w:r>
      <w:r>
        <w:rPr>
          <w:rFonts w:hint="eastAsia" w:ascii="仿宋_GB2312" w:hAnsi="仿宋_GB2312" w:eastAsia="仿宋_GB2312" w:cs="仿宋_GB2312"/>
          <w:bCs/>
          <w:color w:val="auto"/>
          <w:sz w:val="30"/>
          <w:szCs w:val="30"/>
          <w:lang w:val="en-US" w:eastAsia="zh-CN"/>
        </w:rPr>
        <w:t xml:space="preserve"> </w:t>
      </w:r>
      <w:r>
        <w:rPr>
          <w:rFonts w:hint="eastAsia" w:ascii="仿宋_GB2312" w:hAnsi="仿宋_GB2312" w:eastAsia="仿宋_GB2312" w:cs="仿宋_GB2312"/>
          <w:bCs/>
          <w:color w:val="auto"/>
          <w:sz w:val="30"/>
          <w:szCs w:val="30"/>
        </w:rPr>
        <w:t xml:space="preserve"> </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eastAsia="zh-CN"/>
        </w:rPr>
        <w:t>三</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人应</w:t>
      </w:r>
      <w:r>
        <w:rPr>
          <w:rFonts w:hint="eastAsia" w:ascii="仿宋_GB2312" w:hAnsi="仿宋_GB2312" w:eastAsia="仿宋_GB2312" w:cs="仿宋_GB2312"/>
          <w:bCs/>
          <w:color w:val="auto"/>
          <w:sz w:val="30"/>
          <w:szCs w:val="30"/>
        </w:rPr>
        <w:t>具备良好的售后服务能力，要求电话联系后</w:t>
      </w:r>
      <w:r>
        <w:rPr>
          <w:rFonts w:hint="eastAsia" w:ascii="仿宋_GB2312" w:hAnsi="仿宋_GB2312" w:eastAsia="仿宋_GB2312" w:cs="仿宋_GB2312"/>
          <w:bCs/>
          <w:color w:val="auto"/>
          <w:sz w:val="30"/>
          <w:szCs w:val="30"/>
          <w:u w:val="single"/>
          <w:lang w:val="en-US" w:eastAsia="zh-CN"/>
        </w:rPr>
        <w:t>2</w:t>
      </w:r>
      <w:r>
        <w:rPr>
          <w:rFonts w:hint="eastAsia" w:ascii="仿宋_GB2312" w:hAnsi="仿宋_GB2312" w:eastAsia="仿宋_GB2312" w:cs="仿宋_GB2312"/>
          <w:bCs/>
          <w:color w:val="auto"/>
          <w:sz w:val="30"/>
          <w:szCs w:val="30"/>
        </w:rPr>
        <w:t>小时内必须给予回复，明确解决方案；</w:t>
      </w:r>
    </w:p>
    <w:p w14:paraId="2C5A3891">
      <w:pPr>
        <w:keepNext w:val="0"/>
        <w:keepLines w:val="0"/>
        <w:pageBreakBefore w:val="0"/>
        <w:widowControl w:val="0"/>
        <w:kinsoku/>
        <w:overflowPunct/>
        <w:topLinePunct w:val="0"/>
        <w:autoSpaceDE/>
        <w:autoSpaceDN/>
        <w:bidi w:val="0"/>
        <w:adjustRightInd w:val="0"/>
        <w:snapToGrid w:val="0"/>
        <w:spacing w:line="360" w:lineRule="auto"/>
        <w:ind w:right="0" w:rightChars="0"/>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 xml:space="preserve"> </w:t>
      </w:r>
      <w:r>
        <w:rPr>
          <w:rFonts w:hint="eastAsia" w:ascii="仿宋_GB2312" w:hAnsi="仿宋_GB2312" w:eastAsia="仿宋_GB2312" w:cs="仿宋_GB2312"/>
          <w:bCs/>
          <w:color w:val="auto"/>
          <w:sz w:val="30"/>
          <w:szCs w:val="30"/>
          <w:lang w:val="en-US" w:eastAsia="zh-CN"/>
        </w:rPr>
        <w:t xml:space="preserve"> </w:t>
      </w:r>
      <w:r>
        <w:rPr>
          <w:rFonts w:hint="eastAsia" w:ascii="仿宋_GB2312" w:hAnsi="仿宋_GB2312" w:eastAsia="仿宋_GB2312" w:cs="仿宋_GB2312"/>
          <w:bCs/>
          <w:color w:val="auto"/>
          <w:sz w:val="30"/>
          <w:szCs w:val="30"/>
        </w:rPr>
        <w:t xml:space="preserve">  （</w:t>
      </w:r>
      <w:r>
        <w:rPr>
          <w:rFonts w:hint="eastAsia" w:ascii="仿宋_GB2312" w:hAnsi="仿宋_GB2312" w:eastAsia="仿宋_GB2312" w:cs="仿宋_GB2312"/>
          <w:bCs/>
          <w:color w:val="auto"/>
          <w:sz w:val="30"/>
          <w:szCs w:val="30"/>
          <w:lang w:val="en-US" w:eastAsia="zh-CN"/>
        </w:rPr>
        <w:t>四</w:t>
      </w:r>
      <w:r>
        <w:rPr>
          <w:rFonts w:hint="eastAsia" w:ascii="仿宋_GB2312" w:hAnsi="仿宋_GB2312" w:eastAsia="仿宋_GB2312" w:cs="仿宋_GB2312"/>
          <w:bCs/>
          <w:color w:val="auto"/>
          <w:sz w:val="30"/>
          <w:szCs w:val="30"/>
        </w:rPr>
        <w:t>）</w:t>
      </w:r>
      <w:r>
        <w:rPr>
          <w:rFonts w:hint="eastAsia" w:ascii="仿宋_GB2312" w:hAnsi="仿宋_GB2312" w:eastAsia="仿宋_GB2312" w:cs="仿宋_GB2312"/>
          <w:bCs/>
          <w:color w:val="auto"/>
          <w:sz w:val="30"/>
          <w:szCs w:val="30"/>
          <w:lang w:val="en-US" w:eastAsia="zh-CN"/>
        </w:rPr>
        <w:t>报价</w:t>
      </w:r>
      <w:r>
        <w:rPr>
          <w:rFonts w:hint="eastAsia" w:ascii="仿宋_GB2312" w:hAnsi="仿宋_GB2312" w:eastAsia="仿宋_GB2312" w:cs="仿宋_GB2312"/>
          <w:bCs/>
          <w:color w:val="auto"/>
          <w:sz w:val="30"/>
          <w:szCs w:val="30"/>
        </w:rPr>
        <w:t>人所供产品引起的知识产权方面的纠纷，由</w:t>
      </w:r>
      <w:r>
        <w:rPr>
          <w:rFonts w:hint="eastAsia" w:ascii="仿宋_GB2312" w:hAnsi="仿宋_GB2312" w:eastAsia="仿宋_GB2312" w:cs="仿宋_GB2312"/>
          <w:bCs/>
          <w:color w:val="auto"/>
          <w:sz w:val="30"/>
          <w:szCs w:val="30"/>
          <w:lang w:val="en-US" w:eastAsia="zh-CN"/>
        </w:rPr>
        <w:t>报价人</w:t>
      </w:r>
      <w:r>
        <w:rPr>
          <w:rFonts w:hint="eastAsia" w:ascii="仿宋_GB2312" w:hAnsi="仿宋_GB2312" w:eastAsia="仿宋_GB2312" w:cs="仿宋_GB2312"/>
          <w:bCs/>
          <w:color w:val="auto"/>
          <w:sz w:val="30"/>
          <w:szCs w:val="30"/>
        </w:rPr>
        <w:t>承担一切后果，</w:t>
      </w:r>
      <w:r>
        <w:rPr>
          <w:rFonts w:hint="eastAsia" w:ascii="仿宋_GB2312" w:hAnsi="仿宋_GB2312" w:eastAsia="仿宋_GB2312" w:cs="仿宋_GB2312"/>
          <w:bCs/>
          <w:color w:val="auto"/>
          <w:sz w:val="30"/>
          <w:szCs w:val="30"/>
          <w:lang w:val="en-US" w:eastAsia="zh-CN"/>
        </w:rPr>
        <w:t>采购</w:t>
      </w:r>
      <w:r>
        <w:rPr>
          <w:rFonts w:hint="eastAsia" w:ascii="仿宋_GB2312" w:hAnsi="仿宋_GB2312" w:eastAsia="仿宋_GB2312" w:cs="仿宋_GB2312"/>
          <w:bCs/>
          <w:color w:val="auto"/>
          <w:sz w:val="30"/>
          <w:szCs w:val="30"/>
        </w:rPr>
        <w:t>人不承担任何责任；</w:t>
      </w:r>
    </w:p>
    <w:p w14:paraId="4AFC80F3">
      <w:pPr>
        <w:pStyle w:val="3"/>
        <w:spacing w:line="360" w:lineRule="auto"/>
        <w:ind w:firstLine="600"/>
        <w:outlineLvl w:val="9"/>
        <w:rPr>
          <w:rFonts w:hint="eastAsia" w:ascii="仿宋_GB2312" w:hAnsi="仿宋_GB2312" w:eastAsia="仿宋_GB2312" w:cs="仿宋_GB2312"/>
          <w:bCs/>
          <w:color w:val="auto"/>
          <w:kern w:val="0"/>
          <w:sz w:val="30"/>
          <w:szCs w:val="30"/>
          <w:lang w:val="en-US" w:eastAsia="zh-CN" w:bidi="ar-SA"/>
        </w:rPr>
      </w:pPr>
      <w:r>
        <w:rPr>
          <w:rFonts w:hint="eastAsia" w:ascii="仿宋_GB2312" w:hAnsi="仿宋_GB2312" w:eastAsia="仿宋_GB2312" w:cs="仿宋_GB2312"/>
          <w:bCs/>
          <w:color w:val="auto"/>
          <w:sz w:val="30"/>
          <w:szCs w:val="30"/>
          <w:lang w:val="en-US" w:eastAsia="zh-CN"/>
        </w:rPr>
        <w:t>（五）</w:t>
      </w:r>
      <w:r>
        <w:rPr>
          <w:rFonts w:hint="eastAsia" w:ascii="仿宋_GB2312" w:hAnsi="仿宋_GB2312" w:eastAsia="仿宋_GB2312" w:cs="仿宋_GB2312"/>
          <w:bCs/>
          <w:color w:val="auto"/>
          <w:kern w:val="0"/>
          <w:sz w:val="30"/>
          <w:szCs w:val="30"/>
          <w:lang w:val="en-US" w:eastAsia="zh-CN" w:bidi="ar-SA"/>
        </w:rPr>
        <w:t>不接受被列入索普集团供应商负面清单中的单位报价；</w:t>
      </w:r>
    </w:p>
    <w:p w14:paraId="3BEB41EC">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lang w:val="en-US" w:eastAsia="zh-CN"/>
        </w:rPr>
        <w:t>（六）</w:t>
      </w:r>
      <w:r>
        <w:rPr>
          <w:rFonts w:hint="eastAsia" w:ascii="仿宋_GB2312" w:hAnsi="仿宋_GB2312" w:eastAsia="仿宋_GB2312" w:cs="仿宋_GB2312"/>
          <w:bCs/>
          <w:color w:val="auto"/>
          <w:sz w:val="30"/>
          <w:szCs w:val="30"/>
        </w:rPr>
        <w:t>其他资质要求：1.具备起重机械维修二级或以上资质与维修项目相对应的技术能力，投标时需提供企业营业执照副本、相关资质材料和与维修同类型项目业绩（至少</w:t>
      </w:r>
      <w:r>
        <w:rPr>
          <w:rFonts w:hint="eastAsia" w:ascii="仿宋_GB2312" w:hAnsi="仿宋_GB2312" w:eastAsia="仿宋_GB2312" w:cs="仿宋_GB2312"/>
          <w:bCs/>
          <w:color w:val="auto"/>
          <w:sz w:val="30"/>
          <w:szCs w:val="30"/>
          <w:lang w:val="en-US" w:eastAsia="zh-CN"/>
        </w:rPr>
        <w:t>1</w:t>
      </w:r>
      <w:r>
        <w:rPr>
          <w:rFonts w:hint="eastAsia" w:ascii="仿宋_GB2312" w:hAnsi="仿宋_GB2312" w:eastAsia="仿宋_GB2312" w:cs="仿宋_GB2312"/>
          <w:bCs/>
          <w:color w:val="auto"/>
          <w:sz w:val="30"/>
          <w:szCs w:val="30"/>
        </w:rPr>
        <w:t>家，需提供合同复印件）。在我公司有同类维修业绩的可免提供以上文件。确定</w:t>
      </w:r>
      <w:r>
        <w:rPr>
          <w:rFonts w:hint="eastAsia" w:ascii="仿宋_GB2312" w:hAnsi="仿宋_GB2312" w:eastAsia="仿宋_GB2312" w:cs="仿宋_GB2312"/>
          <w:bCs/>
          <w:color w:val="auto"/>
          <w:sz w:val="30"/>
          <w:szCs w:val="30"/>
          <w:lang w:val="en-US" w:eastAsia="zh-CN"/>
        </w:rPr>
        <w:t>合作单位</w:t>
      </w:r>
      <w:r>
        <w:rPr>
          <w:rFonts w:hint="eastAsia" w:ascii="仿宋_GB2312" w:hAnsi="仿宋_GB2312" w:eastAsia="仿宋_GB2312" w:cs="仿宋_GB2312"/>
          <w:bCs/>
          <w:color w:val="auto"/>
          <w:sz w:val="30"/>
          <w:szCs w:val="30"/>
        </w:rPr>
        <w:t>后，在签订合同前，投标人需提供如下有效资质文件：《营业执照》、《税务登记证》、《组织机构代码证》（或三证合一）、一般纳税人证明材料、来我公司现场施工的单位还需提供工伤保险缴纳证明或人身意外伤害保险或雇主责任险缴纳证明，施工现场做好施工人员的个人防护，施工过程中发生意外伤害由</w:t>
      </w:r>
      <w:r>
        <w:rPr>
          <w:rFonts w:hint="eastAsia" w:ascii="仿宋_GB2312" w:hAnsi="仿宋_GB2312" w:eastAsia="仿宋_GB2312" w:cs="仿宋_GB2312"/>
          <w:bCs/>
          <w:color w:val="auto"/>
          <w:sz w:val="30"/>
          <w:szCs w:val="30"/>
          <w:lang w:val="en-US" w:eastAsia="zh-CN"/>
        </w:rPr>
        <w:t>报价</w:t>
      </w:r>
      <w:r>
        <w:rPr>
          <w:rFonts w:hint="eastAsia" w:ascii="仿宋_GB2312" w:hAnsi="仿宋_GB2312" w:eastAsia="仿宋_GB2312" w:cs="仿宋_GB2312"/>
          <w:bCs/>
          <w:color w:val="auto"/>
          <w:sz w:val="30"/>
          <w:szCs w:val="30"/>
        </w:rPr>
        <w:t>人自行负责等。</w:t>
      </w:r>
    </w:p>
    <w:p w14:paraId="0F0F0A3B">
      <w:pPr>
        <w:keepNext w:val="0"/>
        <w:keepLines w:val="0"/>
        <w:pageBreakBefore w:val="0"/>
        <w:widowControl w:val="0"/>
        <w:kinsoku/>
        <w:overflowPunct/>
        <w:topLinePunct w:val="0"/>
        <w:autoSpaceDE/>
        <w:autoSpaceDN/>
        <w:bidi w:val="0"/>
        <w:adjustRightInd w:val="0"/>
        <w:snapToGrid w:val="0"/>
        <w:spacing w:line="360" w:lineRule="auto"/>
        <w:ind w:right="0" w:rightChars="0"/>
        <w:textAlignment w:val="auto"/>
        <w:outlineLvl w:val="9"/>
        <w:rPr>
          <w:rFonts w:hint="eastAsia" w:ascii="仿宋_GB2312" w:hAnsi="仿宋_GB2312" w:eastAsia="仿宋_GB2312" w:cs="仿宋_GB2312"/>
          <w:bCs/>
          <w:color w:val="auto"/>
          <w:sz w:val="30"/>
          <w:szCs w:val="30"/>
          <w:lang w:val="en-US" w:eastAsia="zh-CN"/>
        </w:rPr>
      </w:pPr>
      <w:r>
        <w:rPr>
          <w:rFonts w:hint="eastAsia" w:ascii="仿宋_GB2312" w:hAnsi="仿宋_GB2312" w:eastAsia="仿宋_GB2312" w:cs="仿宋_GB2312"/>
          <w:bCs/>
          <w:color w:val="auto"/>
          <w:sz w:val="30"/>
          <w:szCs w:val="30"/>
        </w:rPr>
        <w:t>2.如</w:t>
      </w:r>
      <w:r>
        <w:rPr>
          <w:rFonts w:hint="eastAsia" w:ascii="仿宋_GB2312" w:hAnsi="仿宋_GB2312" w:eastAsia="仿宋_GB2312" w:cs="仿宋_GB2312"/>
          <w:bCs/>
          <w:color w:val="auto"/>
          <w:sz w:val="30"/>
          <w:szCs w:val="30"/>
          <w:lang w:val="en-US" w:eastAsia="zh-CN"/>
        </w:rPr>
        <w:t>报价</w:t>
      </w:r>
      <w:r>
        <w:rPr>
          <w:rFonts w:hint="eastAsia" w:ascii="仿宋_GB2312" w:hAnsi="仿宋_GB2312" w:eastAsia="仿宋_GB2312" w:cs="仿宋_GB2312"/>
          <w:bCs/>
          <w:color w:val="auto"/>
          <w:sz w:val="30"/>
          <w:szCs w:val="30"/>
        </w:rPr>
        <w:t>人为代理商，必须具有合法代理资质。代理商必须提供厂家授权的代理证明材料和合法代理资质的验证渠道，以便</w:t>
      </w:r>
      <w:r>
        <w:rPr>
          <w:rFonts w:hint="eastAsia" w:ascii="仿宋_GB2312" w:hAnsi="仿宋_GB2312" w:eastAsia="仿宋_GB2312" w:cs="仿宋_GB2312"/>
          <w:bCs/>
          <w:color w:val="auto"/>
          <w:sz w:val="30"/>
          <w:szCs w:val="30"/>
          <w:lang w:val="en-US" w:eastAsia="zh-CN"/>
        </w:rPr>
        <w:t>采购</w:t>
      </w:r>
      <w:r>
        <w:rPr>
          <w:rFonts w:hint="eastAsia" w:ascii="仿宋_GB2312" w:hAnsi="仿宋_GB2312" w:eastAsia="仿宋_GB2312" w:cs="仿宋_GB2312"/>
          <w:bCs/>
          <w:color w:val="auto"/>
          <w:sz w:val="30"/>
          <w:szCs w:val="30"/>
        </w:rPr>
        <w:t>人验证真伪。（厂家要求必须满足1.条款）。</w:t>
      </w:r>
    </w:p>
    <w:p w14:paraId="59A22DC9">
      <w:pPr>
        <w:pStyle w:val="2"/>
        <w:spacing w:line="360" w:lineRule="auto"/>
        <w:rPr>
          <w:rFonts w:hint="eastAsia" w:ascii="仿宋_GB2312" w:hAnsi="仿宋_GB2312" w:eastAsia="仿宋_GB2312" w:cs="仿宋_GB2312"/>
          <w:b/>
          <w:color w:val="auto"/>
          <w:kern w:val="2"/>
          <w:sz w:val="30"/>
          <w:szCs w:val="30"/>
          <w:lang w:eastAsia="zh-CN"/>
        </w:rPr>
      </w:pPr>
      <w:r>
        <w:rPr>
          <w:rFonts w:hint="eastAsia" w:ascii="仿宋_GB2312" w:hAnsi="仿宋_GB2312" w:eastAsia="仿宋_GB2312" w:cs="仿宋_GB2312"/>
          <w:bCs/>
          <w:color w:val="auto"/>
          <w:sz w:val="30"/>
          <w:szCs w:val="30"/>
          <w:u w:val="none"/>
          <w:lang w:val="en-US" w:eastAsia="zh-CN"/>
        </w:rPr>
        <w:t xml:space="preserve">    </w:t>
      </w:r>
      <w:r>
        <w:rPr>
          <w:rFonts w:hint="eastAsia" w:ascii="仿宋_GB2312" w:hAnsi="仿宋_GB2312" w:eastAsia="仿宋_GB2312" w:cs="仿宋_GB2312"/>
          <w:b/>
          <w:color w:val="auto"/>
          <w:kern w:val="2"/>
          <w:sz w:val="30"/>
          <w:szCs w:val="30"/>
        </w:rPr>
        <w:t>四、</w:t>
      </w:r>
      <w:r>
        <w:rPr>
          <w:rFonts w:hint="eastAsia" w:ascii="仿宋_GB2312" w:hAnsi="仿宋_GB2312" w:eastAsia="仿宋_GB2312" w:cs="仿宋_GB2312"/>
          <w:b/>
          <w:color w:val="auto"/>
          <w:kern w:val="2"/>
          <w:sz w:val="30"/>
          <w:szCs w:val="30"/>
          <w:lang w:eastAsia="zh-CN"/>
        </w:rPr>
        <w:t>报价：</w:t>
      </w:r>
    </w:p>
    <w:p w14:paraId="393C0081">
      <w:pPr>
        <w:adjustRightInd w:val="0"/>
        <w:snapToGrid w:val="0"/>
        <w:spacing w:line="360" w:lineRule="auto"/>
        <w:ind w:firstLine="600" w:firstLineChars="200"/>
        <w:jc w:val="left"/>
        <w:outlineLvl w:val="9"/>
        <w:rPr>
          <w:rFonts w:hint="eastAsia" w:ascii="仿宋_GB2312" w:hAnsi="仿宋_GB2312" w:eastAsia="仿宋_GB2312" w:cs="仿宋_GB2312"/>
          <w:bCs/>
          <w:color w:val="FF0000"/>
          <w:sz w:val="30"/>
          <w:szCs w:val="30"/>
        </w:rPr>
      </w:pPr>
      <w:r>
        <w:rPr>
          <w:rFonts w:hint="eastAsia" w:ascii="仿宋_GB2312" w:hAnsi="仿宋_GB2312" w:eastAsia="仿宋_GB2312" w:cs="仿宋_GB2312"/>
          <w:bCs/>
          <w:color w:val="auto"/>
          <w:kern w:val="1"/>
          <w:sz w:val="30"/>
          <w:szCs w:val="30"/>
        </w:rPr>
        <w:t>（一）</w:t>
      </w:r>
      <w:r>
        <w:rPr>
          <w:rFonts w:hint="eastAsia" w:ascii="仿宋_GB2312" w:hAnsi="仿宋_GB2312" w:eastAsia="仿宋_GB2312" w:cs="仿宋_GB2312"/>
          <w:bCs/>
          <w:color w:val="auto"/>
          <w:kern w:val="1"/>
          <w:sz w:val="30"/>
          <w:szCs w:val="30"/>
          <w:lang w:val="en-US" w:eastAsia="zh-CN"/>
        </w:rPr>
        <w:t>1.</w:t>
      </w:r>
      <w:r>
        <w:rPr>
          <w:rFonts w:hint="eastAsia" w:ascii="仿宋_GB2312" w:hAnsi="仿宋_GB2312" w:eastAsia="仿宋_GB2312" w:cs="仿宋_GB2312"/>
          <w:bCs/>
          <w:color w:val="FF0000"/>
          <w:sz w:val="30"/>
          <w:szCs w:val="30"/>
        </w:rPr>
        <w:t>报价方式：在满足</w:t>
      </w:r>
      <w:r>
        <w:rPr>
          <w:rFonts w:hint="eastAsia" w:ascii="仿宋_GB2312" w:hAnsi="仿宋_GB2312" w:eastAsia="仿宋_GB2312" w:cs="仿宋_GB2312"/>
          <w:bCs/>
          <w:color w:val="FF0000"/>
          <w:sz w:val="30"/>
          <w:szCs w:val="30"/>
          <w:lang w:eastAsia="zh-CN"/>
        </w:rPr>
        <w:t>采购</w:t>
      </w:r>
      <w:r>
        <w:rPr>
          <w:rFonts w:hint="eastAsia" w:ascii="仿宋_GB2312" w:hAnsi="仿宋_GB2312" w:eastAsia="仿宋_GB2312" w:cs="仿宋_GB2312"/>
          <w:bCs/>
          <w:color w:val="FF0000"/>
          <w:sz w:val="30"/>
          <w:szCs w:val="30"/>
        </w:rPr>
        <w:t>人使用要求前提下，</w:t>
      </w:r>
      <w:r>
        <w:rPr>
          <w:rFonts w:hint="eastAsia" w:ascii="仿宋_GB2312" w:hAnsi="仿宋_GB2312" w:eastAsia="仿宋_GB2312" w:cs="仿宋_GB2312"/>
          <w:bCs/>
          <w:color w:val="FF0000"/>
          <w:sz w:val="30"/>
          <w:szCs w:val="30"/>
          <w:lang w:val="en-US" w:eastAsia="zh-CN"/>
        </w:rPr>
        <w:t>报价人根据附件</w:t>
      </w:r>
      <w:bookmarkStart w:id="1" w:name="_GoBack"/>
      <w:bookmarkEnd w:id="1"/>
      <w:r>
        <w:rPr>
          <w:rFonts w:hint="eastAsia" w:ascii="仿宋_GB2312" w:hAnsi="仿宋_GB2312" w:eastAsia="仿宋_GB2312" w:cs="仿宋_GB2312"/>
          <w:bCs/>
          <w:color w:val="FF0000"/>
          <w:sz w:val="30"/>
          <w:szCs w:val="30"/>
          <w:lang w:val="en-US" w:eastAsia="zh-CN"/>
        </w:rPr>
        <w:t>《分项报价单》分别报出维修配件和起重机年度维保的单价和总价，</w:t>
      </w:r>
      <w:r>
        <w:rPr>
          <w:rFonts w:hint="eastAsia" w:ascii="仿宋_GB2312" w:hAnsi="仿宋_GB2312" w:eastAsia="仿宋_GB2312" w:cs="仿宋_GB2312"/>
          <w:bCs/>
          <w:color w:val="FF0000"/>
          <w:sz w:val="30"/>
          <w:szCs w:val="30"/>
        </w:rPr>
        <w:t>如国家税率调整，按合同含税价格/（1+合同约定税率）*（1+国家规定的新税率）调整合同价格开具发票；</w:t>
      </w:r>
    </w:p>
    <w:p w14:paraId="48BD5013">
      <w:pPr>
        <w:adjustRightInd w:val="0"/>
        <w:snapToGrid w:val="0"/>
        <w:spacing w:line="360" w:lineRule="auto"/>
        <w:ind w:firstLine="1200" w:firstLineChars="400"/>
        <w:jc w:val="left"/>
        <w:outlineLvl w:val="9"/>
        <w:rPr>
          <w:rFonts w:hint="default" w:ascii="仿宋_GB2312" w:hAnsi="仿宋_GB2312" w:eastAsia="仿宋_GB2312" w:cs="仿宋_GB2312"/>
          <w:bCs/>
          <w:color w:val="FF0000"/>
          <w:sz w:val="30"/>
          <w:szCs w:val="30"/>
          <w:lang w:val="en-US" w:eastAsia="zh-CN"/>
        </w:rPr>
      </w:pPr>
      <w:r>
        <w:rPr>
          <w:rFonts w:hint="eastAsia" w:ascii="仿宋_GB2312" w:hAnsi="仿宋_GB2312" w:eastAsia="仿宋_GB2312" w:cs="仿宋_GB2312"/>
          <w:bCs/>
          <w:color w:val="FF0000"/>
          <w:sz w:val="30"/>
          <w:szCs w:val="30"/>
          <w:lang w:val="en-US" w:eastAsia="zh-CN"/>
        </w:rPr>
        <w:t>2.报价要求：不可有缺项报价，每项报价金额必须在市场价合理范围内，若出现恶意报价视为无效报价。</w:t>
      </w:r>
    </w:p>
    <w:p w14:paraId="0056E6E3">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（二）付款方式：</w:t>
      </w:r>
      <w:r>
        <w:rPr>
          <w:rFonts w:hint="eastAsia" w:ascii="仿宋_GB2312" w:hAnsi="仿宋_GB2312" w:eastAsia="仿宋_GB2312" w:cs="仿宋_GB2312"/>
          <w:bCs/>
          <w:color w:val="auto"/>
          <w:sz w:val="30"/>
          <w:szCs w:val="30"/>
          <w:lang w:val="en-US" w:eastAsia="zh-CN"/>
        </w:rPr>
        <w:t>维保维修结束验收合格，</w:t>
      </w:r>
      <w:r>
        <w:rPr>
          <w:rFonts w:hint="eastAsia" w:ascii="仿宋_GB2312" w:hAnsi="仿宋_GB2312" w:eastAsia="仿宋_GB2312" w:cs="仿宋_GB2312"/>
          <w:bCs/>
          <w:color w:val="auto"/>
          <w:sz w:val="30"/>
          <w:szCs w:val="30"/>
        </w:rPr>
        <w:t>增值税专用发票到</w:t>
      </w:r>
      <w:r>
        <w:rPr>
          <w:rFonts w:hint="eastAsia" w:ascii="仿宋_GB2312" w:hAnsi="仿宋_GB2312" w:eastAsia="仿宋_GB2312" w:cs="仿宋_GB2312"/>
          <w:bCs/>
          <w:color w:val="auto"/>
          <w:sz w:val="30"/>
          <w:szCs w:val="30"/>
          <w:lang w:val="en-US" w:eastAsia="zh-CN"/>
        </w:rPr>
        <w:t>后</w:t>
      </w:r>
      <w:r>
        <w:rPr>
          <w:rFonts w:hint="eastAsia" w:ascii="仿宋_GB2312" w:hAnsi="仿宋_GB2312" w:eastAsia="仿宋_GB2312" w:cs="仿宋_GB2312"/>
          <w:bCs/>
          <w:color w:val="auto"/>
          <w:sz w:val="30"/>
          <w:szCs w:val="30"/>
        </w:rPr>
        <w:t xml:space="preserve">  30个工作日内支付</w:t>
      </w:r>
      <w:r>
        <w:rPr>
          <w:rFonts w:hint="eastAsia" w:ascii="仿宋_GB2312" w:hAnsi="仿宋_GB2312" w:eastAsia="仿宋_GB2312" w:cs="仿宋_GB2312"/>
          <w:bCs/>
          <w:color w:val="auto"/>
          <w:sz w:val="30"/>
          <w:szCs w:val="30"/>
          <w:lang w:val="en-US" w:eastAsia="zh-CN"/>
        </w:rPr>
        <w:t>70</w:t>
      </w:r>
      <w:r>
        <w:rPr>
          <w:rFonts w:hint="eastAsia" w:ascii="仿宋_GB2312" w:hAnsi="仿宋_GB2312" w:eastAsia="仿宋_GB2312" w:cs="仿宋_GB2312"/>
          <w:bCs/>
          <w:color w:val="auto"/>
          <w:sz w:val="30"/>
          <w:szCs w:val="30"/>
        </w:rPr>
        <w:t>%。余款：3个月质保后付清，</w:t>
      </w:r>
      <w:r>
        <w:rPr>
          <w:rFonts w:hint="eastAsia" w:ascii="仿宋_GB2312" w:hAnsi="仿宋_GB2312" w:eastAsia="仿宋_GB2312" w:cs="仿宋_GB2312"/>
          <w:bCs/>
          <w:color w:val="auto"/>
          <w:sz w:val="30"/>
          <w:szCs w:val="30"/>
          <w:lang w:val="en-US" w:eastAsia="zh-CN"/>
        </w:rPr>
        <w:t>年度维保费用半年支付一次。</w:t>
      </w:r>
      <w:r>
        <w:rPr>
          <w:rFonts w:hint="eastAsia" w:ascii="仿宋_GB2312" w:hAnsi="仿宋_GB2312" w:eastAsia="仿宋_GB2312" w:cs="仿宋_GB2312"/>
          <w:bCs/>
          <w:color w:val="auto"/>
          <w:sz w:val="30"/>
          <w:szCs w:val="30"/>
        </w:rPr>
        <w:t>付款方式为</w:t>
      </w:r>
      <w:r>
        <w:rPr>
          <w:rFonts w:hint="eastAsia" w:ascii="仿宋_GB2312" w:hAnsi="仿宋_GB2312" w:eastAsia="仿宋_GB2312" w:cs="仿宋_GB2312"/>
          <w:bCs/>
          <w:color w:val="auto"/>
          <w:sz w:val="30"/>
          <w:szCs w:val="30"/>
          <w:u w:val="single"/>
        </w:rPr>
        <w:t xml:space="preserve"> </w:t>
      </w:r>
      <w:r>
        <w:rPr>
          <w:rFonts w:hint="eastAsia" w:ascii="仿宋_GB2312" w:hAnsi="仿宋_GB2312" w:eastAsia="仿宋_GB2312" w:cs="仿宋_GB2312"/>
          <w:bCs/>
          <w:color w:val="auto"/>
          <w:sz w:val="30"/>
          <w:szCs w:val="30"/>
          <w:u w:val="single"/>
          <w:lang w:val="en-US" w:eastAsia="zh-CN"/>
        </w:rPr>
        <w:t>承兑</w:t>
      </w:r>
      <w:r>
        <w:rPr>
          <w:rFonts w:hint="eastAsia" w:ascii="仿宋_GB2312" w:hAnsi="仿宋_GB2312" w:eastAsia="仿宋_GB2312" w:cs="仿宋_GB2312"/>
          <w:bCs/>
          <w:color w:val="auto"/>
          <w:sz w:val="30"/>
          <w:szCs w:val="30"/>
          <w:u w:val="single"/>
        </w:rPr>
        <w:t xml:space="preserve">    </w:t>
      </w:r>
      <w:r>
        <w:rPr>
          <w:rFonts w:hint="eastAsia" w:ascii="仿宋_GB2312" w:hAnsi="仿宋_GB2312" w:eastAsia="仿宋_GB2312" w:cs="仿宋_GB2312"/>
          <w:bCs/>
          <w:color w:val="auto"/>
          <w:sz w:val="30"/>
          <w:szCs w:val="30"/>
        </w:rPr>
        <w:t xml:space="preserve"> 。如报价人不接受采购人提出的付款方式，可在线下报价书中明确能够接受的付款方式及付款时间，评标时作为参考。报价为含税价，税率13%</w:t>
      </w:r>
      <w:r>
        <w:rPr>
          <w:rFonts w:hint="eastAsia" w:ascii="仿宋_GB2312" w:hAnsi="仿宋_GB2312" w:eastAsia="仿宋_GB2312" w:cs="仿宋_GB2312"/>
          <w:bCs/>
          <w:color w:val="auto"/>
          <w:sz w:val="30"/>
          <w:szCs w:val="30"/>
          <w:lang w:eastAsia="zh-CN"/>
        </w:rPr>
        <w:t>，</w:t>
      </w:r>
      <w:r>
        <w:rPr>
          <w:rFonts w:hint="eastAsia" w:ascii="仿宋_GB2312" w:hAnsi="仿宋_GB2312" w:eastAsia="仿宋_GB2312" w:cs="仿宋_GB2312"/>
          <w:bCs/>
          <w:color w:val="auto"/>
          <w:sz w:val="30"/>
          <w:szCs w:val="30"/>
        </w:rPr>
        <w:t>如有不同请注明。</w:t>
      </w:r>
    </w:p>
    <w:p w14:paraId="52179E73">
      <w:pPr>
        <w:adjustRightInd w:val="0"/>
        <w:snapToGrid w:val="0"/>
        <w:spacing w:line="360" w:lineRule="auto"/>
        <w:ind w:firstLine="600" w:firstLineChars="200"/>
        <w:jc w:val="left"/>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（三）本项目</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可通过线下方式进行：</w:t>
      </w:r>
    </w:p>
    <w:p w14:paraId="1917E3A3">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kern w:val="1"/>
          <w:sz w:val="30"/>
          <w:szCs w:val="30"/>
          <w:lang w:val="en-US" w:eastAsia="zh-CN"/>
        </w:rPr>
        <w:t>1</w:t>
      </w:r>
      <w:r>
        <w:rPr>
          <w:rFonts w:hint="eastAsia" w:ascii="仿宋_GB2312" w:hAnsi="仿宋_GB2312" w:eastAsia="仿宋_GB2312" w:cs="仿宋_GB2312"/>
          <w:bCs/>
          <w:color w:val="auto"/>
          <w:kern w:val="1"/>
          <w:sz w:val="30"/>
          <w:szCs w:val="30"/>
        </w:rPr>
        <w:t>、采用线下</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应</w:t>
      </w:r>
      <w:r>
        <w:rPr>
          <w:rFonts w:hint="eastAsia" w:ascii="仿宋_GB2312" w:hAnsi="仿宋_GB2312" w:eastAsia="仿宋_GB2312" w:cs="仿宋_GB2312"/>
          <w:bCs/>
          <w:color w:val="auto"/>
          <w:sz w:val="30"/>
          <w:szCs w:val="30"/>
        </w:rPr>
        <w:t>将报价书及相关资料以</w:t>
      </w:r>
      <w:r>
        <w:rPr>
          <w:rFonts w:hint="eastAsia" w:ascii="仿宋_GB2312" w:hAnsi="仿宋_GB2312" w:eastAsia="仿宋_GB2312" w:cs="仿宋_GB2312"/>
          <w:bCs/>
          <w:color w:val="auto"/>
          <w:sz w:val="30"/>
          <w:szCs w:val="30"/>
          <w:lang w:val="en-US" w:eastAsia="zh-CN"/>
        </w:rPr>
        <w:t>文件</w:t>
      </w:r>
      <w:r>
        <w:rPr>
          <w:rFonts w:hint="eastAsia" w:ascii="仿宋_GB2312" w:hAnsi="仿宋_GB2312" w:eastAsia="仿宋_GB2312" w:cs="仿宋_GB2312"/>
          <w:bCs/>
          <w:color w:val="auto"/>
          <w:sz w:val="30"/>
          <w:szCs w:val="30"/>
        </w:rPr>
        <w:t>袋形式送达，</w:t>
      </w:r>
      <w:r>
        <w:rPr>
          <w:rFonts w:hint="eastAsia" w:ascii="仿宋_GB2312" w:hAnsi="仿宋_GB2312" w:eastAsia="仿宋_GB2312" w:cs="仿宋_GB2312"/>
          <w:bCs/>
          <w:color w:val="auto"/>
          <w:sz w:val="30"/>
          <w:szCs w:val="30"/>
          <w:lang w:val="en-US" w:eastAsia="zh-CN"/>
        </w:rPr>
        <w:t>文件</w:t>
      </w:r>
      <w:r>
        <w:rPr>
          <w:rFonts w:hint="eastAsia" w:ascii="仿宋_GB2312" w:hAnsi="仿宋_GB2312" w:eastAsia="仿宋_GB2312" w:cs="仿宋_GB2312"/>
          <w:bCs/>
          <w:color w:val="auto"/>
          <w:sz w:val="30"/>
          <w:szCs w:val="30"/>
        </w:rPr>
        <w:t>袋外包装必须用“封条”密封，封条“格式自定”，另需加盖公章、法人章，填写密封日期；在</w:t>
      </w:r>
      <w:r>
        <w:rPr>
          <w:rFonts w:hint="eastAsia" w:ascii="仿宋_GB2312" w:hAnsi="仿宋_GB2312" w:eastAsia="仿宋_GB2312" w:cs="仿宋_GB2312"/>
          <w:bCs/>
          <w:color w:val="auto"/>
          <w:sz w:val="30"/>
          <w:szCs w:val="30"/>
          <w:lang w:val="en-US" w:eastAsia="zh-CN"/>
        </w:rPr>
        <w:t>文件</w:t>
      </w:r>
      <w:r>
        <w:rPr>
          <w:rFonts w:hint="eastAsia" w:ascii="仿宋_GB2312" w:hAnsi="仿宋_GB2312" w:eastAsia="仿宋_GB2312" w:cs="仿宋_GB2312"/>
          <w:bCs/>
          <w:color w:val="auto"/>
          <w:sz w:val="30"/>
          <w:szCs w:val="30"/>
        </w:rPr>
        <w:t>袋封面上需注明“</w:t>
      </w:r>
      <w:r>
        <w:rPr>
          <w:rFonts w:hint="eastAsia" w:ascii="仿宋_GB2312" w:hAnsi="仿宋_GB2312" w:eastAsia="仿宋_GB2312" w:cs="仿宋_GB2312"/>
          <w:bCs/>
          <w:color w:val="auto"/>
          <w:sz w:val="30"/>
          <w:szCs w:val="30"/>
          <w:lang w:eastAsia="zh-CN"/>
        </w:rPr>
        <w:t>报价</w:t>
      </w:r>
      <w:r>
        <w:rPr>
          <w:rFonts w:hint="eastAsia" w:ascii="仿宋_GB2312" w:hAnsi="仿宋_GB2312" w:eastAsia="仿宋_GB2312" w:cs="仿宋_GB2312"/>
          <w:bCs/>
          <w:color w:val="auto"/>
          <w:sz w:val="30"/>
          <w:szCs w:val="30"/>
        </w:rPr>
        <w:t>项目名称，</w:t>
      </w:r>
      <w:r>
        <w:rPr>
          <w:rFonts w:hint="eastAsia" w:ascii="仿宋_GB2312" w:hAnsi="仿宋_GB2312" w:eastAsia="仿宋_GB2312" w:cs="仿宋_GB2312"/>
          <w:bCs/>
          <w:color w:val="auto"/>
          <w:sz w:val="30"/>
          <w:szCs w:val="30"/>
          <w:lang w:eastAsia="zh-CN"/>
        </w:rPr>
        <w:t>报价</w:t>
      </w:r>
      <w:r>
        <w:rPr>
          <w:rFonts w:hint="eastAsia" w:ascii="仿宋_GB2312" w:hAnsi="仿宋_GB2312" w:eastAsia="仿宋_GB2312" w:cs="仿宋_GB2312"/>
          <w:bCs/>
          <w:color w:val="auto"/>
          <w:sz w:val="30"/>
          <w:szCs w:val="30"/>
        </w:rPr>
        <w:t>方名称、地址、联系人、联系电话”等；</w:t>
      </w:r>
      <w:r>
        <w:rPr>
          <w:rFonts w:hint="eastAsia" w:ascii="仿宋_GB2312" w:hAnsi="仿宋_GB2312" w:eastAsia="仿宋_GB2312" w:cs="仿宋_GB2312"/>
          <w:color w:val="auto"/>
          <w:kern w:val="1"/>
          <w:sz w:val="30"/>
          <w:szCs w:val="30"/>
          <w:lang w:eastAsia="zh-CN"/>
        </w:rPr>
        <w:t>报价</w:t>
      </w:r>
      <w:r>
        <w:rPr>
          <w:rFonts w:hint="eastAsia" w:ascii="仿宋_GB2312" w:hAnsi="仿宋_GB2312" w:eastAsia="仿宋_GB2312" w:cs="仿宋_GB2312"/>
          <w:color w:val="auto"/>
          <w:kern w:val="1"/>
          <w:sz w:val="30"/>
          <w:szCs w:val="30"/>
        </w:rPr>
        <w:t>文件还应包括正本</w:t>
      </w:r>
      <w:r>
        <w:rPr>
          <w:rFonts w:hint="eastAsia" w:ascii="仿宋_GB2312" w:hAnsi="仿宋_GB2312" w:eastAsia="仿宋_GB2312" w:cs="仿宋_GB2312"/>
          <w:color w:val="auto"/>
          <w:kern w:val="1"/>
          <w:sz w:val="30"/>
          <w:szCs w:val="30"/>
          <w:u w:val="single"/>
        </w:rPr>
        <w:t xml:space="preserve">   1  </w:t>
      </w:r>
      <w:r>
        <w:rPr>
          <w:rFonts w:hint="eastAsia" w:ascii="仿宋_GB2312" w:hAnsi="仿宋_GB2312" w:eastAsia="仿宋_GB2312" w:cs="仿宋_GB2312"/>
          <w:color w:val="auto"/>
          <w:kern w:val="1"/>
          <w:sz w:val="30"/>
          <w:szCs w:val="30"/>
        </w:rPr>
        <w:t>份，并要求在</w:t>
      </w:r>
      <w:r>
        <w:rPr>
          <w:rFonts w:hint="eastAsia" w:ascii="仿宋_GB2312" w:hAnsi="仿宋_GB2312" w:eastAsia="仿宋_GB2312" w:cs="仿宋_GB2312"/>
          <w:color w:val="auto"/>
          <w:kern w:val="1"/>
          <w:sz w:val="30"/>
          <w:szCs w:val="30"/>
          <w:lang w:eastAsia="zh-CN"/>
        </w:rPr>
        <w:t>报价</w:t>
      </w:r>
      <w:r>
        <w:rPr>
          <w:rFonts w:hint="eastAsia" w:ascii="仿宋_GB2312" w:hAnsi="仿宋_GB2312" w:eastAsia="仿宋_GB2312" w:cs="仿宋_GB2312"/>
          <w:color w:val="auto"/>
          <w:kern w:val="1"/>
          <w:sz w:val="30"/>
          <w:szCs w:val="30"/>
        </w:rPr>
        <w:t>截止日之前送达，逾期将作为</w:t>
      </w:r>
      <w:r>
        <w:rPr>
          <w:rFonts w:hint="eastAsia" w:ascii="仿宋_GB2312" w:hAnsi="仿宋_GB2312" w:eastAsia="仿宋_GB2312" w:cs="仿宋_GB2312"/>
          <w:color w:val="auto"/>
          <w:kern w:val="1"/>
          <w:sz w:val="30"/>
          <w:szCs w:val="30"/>
          <w:lang w:val="en-US" w:eastAsia="zh-CN"/>
        </w:rPr>
        <w:t>无效报价处</w:t>
      </w:r>
      <w:r>
        <w:rPr>
          <w:rFonts w:hint="eastAsia" w:ascii="仿宋_GB2312" w:hAnsi="仿宋_GB2312" w:eastAsia="仿宋_GB2312" w:cs="仿宋_GB2312"/>
          <w:color w:val="auto"/>
          <w:kern w:val="1"/>
          <w:sz w:val="30"/>
          <w:szCs w:val="30"/>
        </w:rPr>
        <w:t>理。</w:t>
      </w:r>
    </w:p>
    <w:p w14:paraId="2324A9B7">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（四）与本</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有关的一切往来通讯请密封寄：</w:t>
      </w:r>
    </w:p>
    <w:p w14:paraId="7261BE35">
      <w:pPr>
        <w:pStyle w:val="33"/>
        <w:keepNext w:val="0"/>
        <w:keepLines w:val="0"/>
        <w:pageBreakBefore w:val="0"/>
        <w:widowControl w:val="0"/>
        <w:tabs>
          <w:tab w:val="left" w:pos="180"/>
        </w:tabs>
        <w:kinsoku/>
        <w:wordWrap w:val="0"/>
        <w:overflowPunct/>
        <w:topLinePunct w:val="0"/>
        <w:autoSpaceDE/>
        <w:autoSpaceDN/>
        <w:bidi w:val="0"/>
        <w:adjustRightInd w:val="0"/>
        <w:snapToGrid w:val="0"/>
        <w:spacing w:line="360" w:lineRule="auto"/>
        <w:ind w:right="0" w:rightChars="0" w:firstLine="600"/>
        <w:jc w:val="left"/>
        <w:textAlignment w:val="auto"/>
        <w:outlineLvl w:val="9"/>
        <w:rPr>
          <w:rFonts w:hint="default" w:ascii="仿宋_GB2312" w:hAnsi="仿宋_GB2312" w:eastAsia="仿宋_GB2312" w:cs="仿宋_GB2312"/>
          <w:bCs/>
          <w:color w:val="auto"/>
          <w:kern w:val="1"/>
          <w:sz w:val="30"/>
          <w:szCs w:val="30"/>
          <w:lang w:val="en-US" w:eastAsia="zh-CN"/>
        </w:rPr>
      </w:pPr>
      <w:r>
        <w:rPr>
          <w:rFonts w:hint="eastAsia" w:ascii="仿宋_GB2312" w:hAnsi="仿宋_GB2312" w:eastAsia="仿宋_GB2312" w:cs="仿宋_GB2312"/>
          <w:bCs/>
          <w:color w:val="auto"/>
          <w:kern w:val="1"/>
          <w:sz w:val="30"/>
          <w:szCs w:val="30"/>
        </w:rPr>
        <w:t>公司：江苏索普</w:t>
      </w:r>
      <w:r>
        <w:rPr>
          <w:rFonts w:hint="eastAsia" w:ascii="仿宋_GB2312" w:hAnsi="仿宋_GB2312" w:eastAsia="仿宋_GB2312" w:cs="仿宋_GB2312"/>
          <w:bCs/>
          <w:color w:val="auto"/>
          <w:kern w:val="1"/>
          <w:sz w:val="30"/>
          <w:szCs w:val="30"/>
          <w:lang w:val="en-US" w:eastAsia="zh-CN"/>
        </w:rPr>
        <w:t>赛瑞装备制造</w:t>
      </w:r>
      <w:r>
        <w:rPr>
          <w:rFonts w:hint="eastAsia" w:ascii="仿宋_GB2312" w:hAnsi="仿宋_GB2312" w:eastAsia="仿宋_GB2312" w:cs="仿宋_GB2312"/>
          <w:bCs/>
          <w:color w:val="auto"/>
          <w:kern w:val="1"/>
          <w:sz w:val="30"/>
          <w:szCs w:val="30"/>
        </w:rPr>
        <w:t>有限公司</w:t>
      </w:r>
      <w:r>
        <w:rPr>
          <w:rFonts w:hint="eastAsia" w:ascii="仿宋_GB2312" w:hAnsi="仿宋_GB2312" w:eastAsia="仿宋_GB2312" w:cs="仿宋_GB2312"/>
          <w:bCs/>
          <w:color w:val="auto"/>
          <w:kern w:val="1"/>
          <w:sz w:val="30"/>
          <w:szCs w:val="30"/>
          <w:lang w:val="en-US" w:eastAsia="zh-CN"/>
        </w:rPr>
        <w:t>设备保障部</w:t>
      </w:r>
    </w:p>
    <w:p w14:paraId="3DBCC702">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地址：江苏省镇江市京口区求索路</w:t>
      </w:r>
      <w:r>
        <w:rPr>
          <w:rFonts w:hint="eastAsia" w:ascii="仿宋_GB2312" w:hAnsi="仿宋_GB2312" w:eastAsia="仿宋_GB2312" w:cs="仿宋_GB2312"/>
          <w:bCs/>
          <w:color w:val="auto"/>
          <w:kern w:val="1"/>
          <w:sz w:val="30"/>
          <w:szCs w:val="30"/>
          <w:lang w:val="en-US" w:eastAsia="zh-CN"/>
        </w:rPr>
        <w:t>18</w:t>
      </w:r>
      <w:r>
        <w:rPr>
          <w:rFonts w:hint="eastAsia" w:ascii="仿宋_GB2312" w:hAnsi="仿宋_GB2312" w:eastAsia="仿宋_GB2312" w:cs="仿宋_GB2312"/>
          <w:bCs/>
          <w:color w:val="auto"/>
          <w:kern w:val="1"/>
          <w:sz w:val="30"/>
          <w:szCs w:val="30"/>
        </w:rPr>
        <w:t>号</w:t>
      </w:r>
    </w:p>
    <w:p w14:paraId="701BB87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邮编：212006</w:t>
      </w:r>
    </w:p>
    <w:p w14:paraId="4B25D66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lang w:val="en-US" w:eastAsia="zh-CN"/>
        </w:rPr>
      </w:pPr>
      <w:r>
        <w:rPr>
          <w:rFonts w:hint="eastAsia" w:ascii="仿宋_GB2312" w:hAnsi="仿宋_GB2312" w:eastAsia="仿宋_GB2312" w:cs="仿宋_GB2312"/>
          <w:bCs/>
          <w:color w:val="auto"/>
          <w:kern w:val="1"/>
          <w:sz w:val="30"/>
          <w:szCs w:val="30"/>
        </w:rPr>
        <w:t>联系人：</w:t>
      </w:r>
      <w:r>
        <w:rPr>
          <w:rFonts w:hint="eastAsia" w:ascii="仿宋_GB2312" w:hAnsi="仿宋_GB2312" w:eastAsia="仿宋_GB2312" w:cs="仿宋_GB2312"/>
          <w:bCs/>
          <w:color w:val="auto"/>
          <w:kern w:val="1"/>
          <w:sz w:val="30"/>
          <w:szCs w:val="30"/>
          <w:lang w:val="en-US" w:eastAsia="zh-CN"/>
        </w:rPr>
        <w:t>耿爱江</w:t>
      </w:r>
    </w:p>
    <w:p w14:paraId="2F78C980">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600" w:firstLineChars="200"/>
        <w:jc w:val="left"/>
        <w:textAlignment w:val="auto"/>
        <w:outlineLvl w:val="9"/>
        <w:rPr>
          <w:rFonts w:hint="default" w:ascii="仿宋_GB2312" w:hAnsi="仿宋_GB2312" w:eastAsia="仿宋_GB2312" w:cs="仿宋_GB2312"/>
          <w:bCs/>
          <w:color w:val="auto"/>
          <w:kern w:val="1"/>
          <w:sz w:val="30"/>
          <w:szCs w:val="30"/>
          <w:lang w:val="en-US" w:eastAsia="zh-CN"/>
        </w:rPr>
      </w:pPr>
      <w:r>
        <w:rPr>
          <w:rFonts w:hint="eastAsia" w:ascii="仿宋_GB2312" w:hAnsi="仿宋_GB2312" w:eastAsia="仿宋_GB2312" w:cs="仿宋_GB2312"/>
          <w:bCs/>
          <w:color w:val="auto"/>
          <w:kern w:val="1"/>
          <w:sz w:val="30"/>
          <w:szCs w:val="30"/>
        </w:rPr>
        <w:t>联系电话：</w:t>
      </w:r>
      <w:r>
        <w:rPr>
          <w:rFonts w:hint="eastAsia" w:ascii="仿宋_GB2312" w:hAnsi="仿宋_GB2312" w:eastAsia="仿宋_GB2312" w:cs="仿宋_GB2312"/>
          <w:bCs/>
          <w:color w:val="auto"/>
          <w:kern w:val="1"/>
          <w:sz w:val="30"/>
          <w:szCs w:val="30"/>
          <w:lang w:val="en-US" w:eastAsia="zh-CN"/>
        </w:rPr>
        <w:t>18752975881</w:t>
      </w:r>
    </w:p>
    <w:p w14:paraId="0F1125BD">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（五）凡对</w:t>
      </w:r>
      <w:r>
        <w:rPr>
          <w:rFonts w:hint="eastAsia" w:ascii="仿宋_GB2312" w:hAnsi="仿宋_GB2312" w:eastAsia="仿宋_GB2312" w:cs="仿宋_GB2312"/>
          <w:bCs/>
          <w:color w:val="auto"/>
          <w:kern w:val="1"/>
          <w:sz w:val="30"/>
          <w:szCs w:val="30"/>
          <w:lang w:eastAsia="zh-CN"/>
        </w:rPr>
        <w:t>采购</w:t>
      </w:r>
      <w:r>
        <w:rPr>
          <w:rFonts w:hint="eastAsia" w:ascii="仿宋_GB2312" w:hAnsi="仿宋_GB2312" w:eastAsia="仿宋_GB2312" w:cs="仿宋_GB2312"/>
          <w:bCs/>
          <w:color w:val="auto"/>
          <w:kern w:val="1"/>
          <w:sz w:val="30"/>
          <w:szCs w:val="30"/>
        </w:rPr>
        <w:t>文件条款有疑义的，请在</w:t>
      </w:r>
      <w:r>
        <w:rPr>
          <w:rFonts w:hint="eastAsia" w:ascii="仿宋_GB2312" w:hAnsi="仿宋_GB2312" w:eastAsia="仿宋_GB2312" w:cs="仿宋_GB2312"/>
          <w:bCs/>
          <w:color w:val="auto"/>
          <w:kern w:val="1"/>
          <w:sz w:val="30"/>
          <w:szCs w:val="30"/>
          <w:lang w:val="en-US" w:eastAsia="zh-CN"/>
        </w:rPr>
        <w:t>评审</w:t>
      </w:r>
      <w:r>
        <w:rPr>
          <w:rFonts w:hint="eastAsia" w:ascii="仿宋_GB2312" w:hAnsi="仿宋_GB2312" w:eastAsia="仿宋_GB2312" w:cs="仿宋_GB2312"/>
          <w:bCs/>
          <w:color w:val="auto"/>
          <w:kern w:val="1"/>
          <w:sz w:val="30"/>
          <w:szCs w:val="30"/>
        </w:rPr>
        <w:t>前按以下方式联系：</w:t>
      </w:r>
    </w:p>
    <w:p w14:paraId="6F124F29">
      <w:pPr>
        <w:pStyle w:val="33"/>
        <w:keepNext w:val="0"/>
        <w:keepLines w:val="0"/>
        <w:pageBreakBefore w:val="0"/>
        <w:widowControl w:val="0"/>
        <w:tabs>
          <w:tab w:val="left" w:pos="180"/>
        </w:tabs>
        <w:kinsoku/>
        <w:wordWrap w:val="0"/>
        <w:overflowPunct/>
        <w:topLinePunct w:val="0"/>
        <w:autoSpaceDE/>
        <w:autoSpaceDN/>
        <w:bidi w:val="0"/>
        <w:adjustRightInd w:val="0"/>
        <w:snapToGrid w:val="0"/>
        <w:spacing w:line="360" w:lineRule="auto"/>
        <w:ind w:right="0" w:rightChars="0" w:firstLine="600"/>
        <w:jc w:val="left"/>
        <w:textAlignment w:val="auto"/>
        <w:outlineLvl w:val="9"/>
        <w:rPr>
          <w:rFonts w:hint="default" w:ascii="仿宋_GB2312" w:hAnsi="仿宋_GB2312" w:eastAsia="仿宋_GB2312" w:cs="仿宋_GB2312"/>
          <w:bCs/>
          <w:color w:val="auto"/>
          <w:kern w:val="1"/>
          <w:sz w:val="30"/>
          <w:szCs w:val="30"/>
          <w:lang w:val="en-US" w:eastAsia="zh-CN"/>
        </w:rPr>
      </w:pPr>
      <w:r>
        <w:rPr>
          <w:rFonts w:hint="eastAsia" w:ascii="仿宋_GB2312" w:hAnsi="仿宋_GB2312" w:eastAsia="仿宋_GB2312" w:cs="仿宋_GB2312"/>
          <w:bCs/>
          <w:color w:val="auto"/>
          <w:kern w:val="1"/>
          <w:sz w:val="30"/>
          <w:szCs w:val="30"/>
        </w:rPr>
        <w:t>联系单位：江苏索普</w:t>
      </w:r>
      <w:r>
        <w:rPr>
          <w:rFonts w:hint="eastAsia" w:ascii="仿宋_GB2312" w:hAnsi="仿宋_GB2312" w:eastAsia="仿宋_GB2312" w:cs="仿宋_GB2312"/>
          <w:bCs/>
          <w:color w:val="auto"/>
          <w:kern w:val="1"/>
          <w:sz w:val="30"/>
          <w:szCs w:val="30"/>
          <w:lang w:val="en-US" w:eastAsia="zh-CN"/>
        </w:rPr>
        <w:t>赛瑞装备制造</w:t>
      </w:r>
      <w:r>
        <w:rPr>
          <w:rFonts w:hint="eastAsia" w:ascii="仿宋_GB2312" w:hAnsi="仿宋_GB2312" w:eastAsia="仿宋_GB2312" w:cs="仿宋_GB2312"/>
          <w:bCs/>
          <w:color w:val="auto"/>
          <w:kern w:val="1"/>
          <w:sz w:val="30"/>
          <w:szCs w:val="30"/>
        </w:rPr>
        <w:t>有限公司</w:t>
      </w:r>
      <w:r>
        <w:rPr>
          <w:rFonts w:hint="eastAsia" w:ascii="仿宋_GB2312" w:hAnsi="仿宋_GB2312" w:eastAsia="仿宋_GB2312" w:cs="仿宋_GB2312"/>
          <w:bCs/>
          <w:color w:val="auto"/>
          <w:kern w:val="1"/>
          <w:sz w:val="30"/>
          <w:szCs w:val="30"/>
          <w:lang w:val="en-US" w:eastAsia="zh-CN"/>
        </w:rPr>
        <w:t>设备保障部</w:t>
      </w:r>
    </w:p>
    <w:p w14:paraId="527B8DA2">
      <w:pPr>
        <w:keepNext w:val="0"/>
        <w:keepLines w:val="0"/>
        <w:pageBreakBefore w:val="0"/>
        <w:widowControl w:val="0"/>
        <w:kinsoku/>
        <w:overflowPunct/>
        <w:topLinePunct w:val="0"/>
        <w:autoSpaceDE/>
        <w:autoSpaceDN/>
        <w:bidi w:val="0"/>
        <w:adjustRightInd w:val="0"/>
        <w:snapToGrid w:val="0"/>
        <w:spacing w:line="360" w:lineRule="auto"/>
        <w:ind w:right="0" w:rightChars="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 xml:space="preserve">    地址：江苏省镇江市京口区求索路</w:t>
      </w:r>
      <w:r>
        <w:rPr>
          <w:rFonts w:hint="eastAsia" w:ascii="仿宋_GB2312" w:hAnsi="仿宋_GB2312" w:eastAsia="仿宋_GB2312" w:cs="仿宋_GB2312"/>
          <w:bCs/>
          <w:color w:val="auto"/>
          <w:kern w:val="1"/>
          <w:sz w:val="30"/>
          <w:szCs w:val="30"/>
          <w:lang w:val="en-US" w:eastAsia="zh-CN"/>
        </w:rPr>
        <w:t>18</w:t>
      </w:r>
      <w:r>
        <w:rPr>
          <w:rFonts w:hint="eastAsia" w:ascii="仿宋_GB2312" w:hAnsi="仿宋_GB2312" w:eastAsia="仿宋_GB2312" w:cs="仿宋_GB2312"/>
          <w:bCs/>
          <w:color w:val="auto"/>
          <w:kern w:val="1"/>
          <w:sz w:val="30"/>
          <w:szCs w:val="30"/>
        </w:rPr>
        <w:t>号，邮编：212006</w:t>
      </w:r>
    </w:p>
    <w:p w14:paraId="14BECD69">
      <w:pPr>
        <w:adjustRightInd w:val="0"/>
        <w:snapToGrid w:val="0"/>
        <w:spacing w:line="360" w:lineRule="auto"/>
        <w:ind w:firstLine="600" w:firstLineChars="200"/>
        <w:jc w:val="left"/>
        <w:rPr>
          <w:rFonts w:hint="default" w:ascii="仿宋_GB2312" w:hAnsi="仿宋_GB2312" w:eastAsia="仿宋_GB2312" w:cs="仿宋_GB2312"/>
          <w:bCs/>
          <w:color w:val="auto"/>
          <w:kern w:val="1"/>
          <w:sz w:val="30"/>
          <w:szCs w:val="30"/>
          <w:lang w:val="en-US" w:eastAsia="zh-CN"/>
        </w:rPr>
      </w:pPr>
      <w:r>
        <w:rPr>
          <w:rFonts w:hint="eastAsia" w:ascii="仿宋_GB2312" w:hAnsi="仿宋_GB2312" w:eastAsia="仿宋_GB2312" w:cs="仿宋_GB2312"/>
          <w:bCs/>
          <w:color w:val="auto"/>
          <w:kern w:val="1"/>
          <w:sz w:val="30"/>
          <w:szCs w:val="30"/>
          <w:lang w:val="en-US" w:eastAsia="zh-CN"/>
        </w:rPr>
        <w:t>采购业务联系人</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val="en-US" w:eastAsia="zh-CN"/>
        </w:rPr>
        <w:t>耿爱江</w:t>
      </w:r>
      <w:r>
        <w:rPr>
          <w:rFonts w:hint="eastAsia" w:ascii="仿宋_GB2312" w:hAnsi="仿宋_GB2312" w:eastAsia="仿宋_GB2312" w:cs="仿宋_GB2312"/>
          <w:bCs/>
          <w:color w:val="auto"/>
          <w:kern w:val="1"/>
          <w:sz w:val="30"/>
          <w:szCs w:val="30"/>
        </w:rPr>
        <w:t xml:space="preserve"> 电话：</w:t>
      </w:r>
      <w:r>
        <w:rPr>
          <w:rFonts w:hint="eastAsia" w:ascii="仿宋_GB2312" w:hAnsi="仿宋_GB2312" w:eastAsia="仿宋_GB2312" w:cs="仿宋_GB2312"/>
          <w:bCs/>
          <w:color w:val="auto"/>
          <w:kern w:val="1"/>
          <w:sz w:val="30"/>
          <w:szCs w:val="30"/>
          <w:lang w:val="en-US" w:eastAsia="zh-CN"/>
        </w:rPr>
        <w:t>18752975881</w:t>
      </w:r>
    </w:p>
    <w:p w14:paraId="28B8BDFE">
      <w:pPr>
        <w:adjustRightInd w:val="0"/>
        <w:snapToGrid w:val="0"/>
        <w:spacing w:line="360" w:lineRule="auto"/>
        <w:ind w:firstLine="602" w:firstLineChars="200"/>
        <w:jc w:val="left"/>
        <w:rPr>
          <w:rFonts w:hint="eastAsia" w:ascii="仿宋_GB2312" w:hAnsi="仿宋_GB2312" w:eastAsia="仿宋_GB2312" w:cs="仿宋_GB2312"/>
          <w:b/>
          <w:color w:val="auto"/>
          <w:kern w:val="1"/>
          <w:sz w:val="30"/>
          <w:szCs w:val="30"/>
          <w:lang w:eastAsia="zh-CN"/>
        </w:rPr>
      </w:pPr>
      <w:r>
        <w:rPr>
          <w:rFonts w:hint="eastAsia" w:ascii="仿宋_GB2312" w:hAnsi="仿宋_GB2312" w:eastAsia="仿宋_GB2312" w:cs="仿宋_GB2312"/>
          <w:b/>
          <w:color w:val="auto"/>
          <w:kern w:val="1"/>
          <w:sz w:val="30"/>
          <w:szCs w:val="30"/>
        </w:rPr>
        <w:t>五、</w:t>
      </w:r>
      <w:r>
        <w:rPr>
          <w:rFonts w:hint="eastAsia" w:ascii="仿宋" w:hAnsi="仿宋" w:eastAsia="仿宋" w:cs="仿宋"/>
          <w:b/>
          <w:color w:val="auto"/>
          <w:kern w:val="1"/>
          <w:sz w:val="34"/>
          <w:szCs w:val="34"/>
          <w:highlight w:val="none"/>
          <w:lang w:val="en-US" w:eastAsia="zh-CN"/>
        </w:rPr>
        <w:t>报价评审</w:t>
      </w:r>
      <w:r>
        <w:rPr>
          <w:rFonts w:hint="eastAsia" w:ascii="仿宋" w:hAnsi="仿宋" w:eastAsia="仿宋" w:cs="仿宋"/>
          <w:b/>
          <w:color w:val="auto"/>
          <w:kern w:val="1"/>
          <w:sz w:val="34"/>
          <w:szCs w:val="34"/>
          <w:highlight w:val="none"/>
        </w:rPr>
        <w:t>及</w:t>
      </w:r>
      <w:r>
        <w:rPr>
          <w:rFonts w:hint="eastAsia" w:ascii="仿宋" w:hAnsi="仿宋" w:eastAsia="仿宋" w:cs="仿宋"/>
          <w:b/>
          <w:color w:val="auto"/>
          <w:kern w:val="1"/>
          <w:sz w:val="34"/>
          <w:szCs w:val="34"/>
          <w:highlight w:val="none"/>
          <w:lang w:val="en-US" w:eastAsia="zh-CN"/>
        </w:rPr>
        <w:t>无效报价</w:t>
      </w:r>
      <w:r>
        <w:rPr>
          <w:rFonts w:hint="eastAsia" w:ascii="仿宋_GB2312" w:hAnsi="仿宋_GB2312" w:eastAsia="仿宋_GB2312" w:cs="仿宋_GB2312"/>
          <w:b/>
          <w:color w:val="auto"/>
          <w:kern w:val="1"/>
          <w:sz w:val="30"/>
          <w:szCs w:val="30"/>
          <w:lang w:eastAsia="zh-CN"/>
        </w:rPr>
        <w:t>：</w:t>
      </w:r>
    </w:p>
    <w:p w14:paraId="354A085F">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lang w:val="en-US" w:eastAsia="zh-CN"/>
        </w:rPr>
      </w:pPr>
      <w:r>
        <w:rPr>
          <w:rFonts w:hint="eastAsia" w:ascii="仿宋_GB2312" w:hAnsi="仿宋_GB2312" w:eastAsia="仿宋_GB2312" w:cs="仿宋_GB2312"/>
          <w:bCs/>
          <w:color w:val="auto"/>
          <w:kern w:val="1"/>
          <w:sz w:val="30"/>
          <w:szCs w:val="30"/>
        </w:rPr>
        <w:t>（一）</w:t>
      </w:r>
      <w:r>
        <w:rPr>
          <w:rFonts w:hint="eastAsia" w:ascii="仿宋_GB2312" w:hAnsi="仿宋_GB2312" w:eastAsia="仿宋_GB2312" w:cs="仿宋_GB2312"/>
          <w:bCs/>
          <w:color w:val="auto"/>
          <w:kern w:val="1"/>
          <w:sz w:val="30"/>
          <w:szCs w:val="30"/>
          <w:lang w:val="en-US" w:eastAsia="zh-CN"/>
        </w:rPr>
        <w:t>报价评审</w:t>
      </w:r>
    </w:p>
    <w:p w14:paraId="07C8FD38">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本项目由</w:t>
      </w:r>
      <w:r>
        <w:rPr>
          <w:rFonts w:hint="eastAsia" w:ascii="仿宋_GB2312" w:hAnsi="仿宋_GB2312" w:eastAsia="仿宋_GB2312" w:cs="仿宋_GB2312"/>
          <w:bCs/>
          <w:color w:val="auto"/>
          <w:kern w:val="1"/>
          <w:sz w:val="30"/>
          <w:szCs w:val="30"/>
          <w:lang w:val="en-US" w:eastAsia="zh-CN"/>
        </w:rPr>
        <w:t>采购</w:t>
      </w:r>
      <w:r>
        <w:rPr>
          <w:rFonts w:hint="eastAsia" w:ascii="仿宋_GB2312" w:hAnsi="仿宋_GB2312" w:eastAsia="仿宋_GB2312" w:cs="仿宋_GB2312"/>
          <w:bCs/>
          <w:color w:val="auto"/>
          <w:kern w:val="1"/>
          <w:sz w:val="30"/>
          <w:szCs w:val="30"/>
        </w:rPr>
        <w:t>人组织</w:t>
      </w:r>
      <w:r>
        <w:rPr>
          <w:rFonts w:hint="eastAsia" w:ascii="仿宋_GB2312" w:hAnsi="仿宋_GB2312" w:eastAsia="仿宋_GB2312" w:cs="仿宋_GB2312"/>
          <w:bCs/>
          <w:color w:val="auto"/>
          <w:kern w:val="1"/>
          <w:sz w:val="30"/>
          <w:szCs w:val="30"/>
          <w:lang w:val="en-US" w:eastAsia="zh-CN"/>
        </w:rPr>
        <w:t>评审委员会（</w:t>
      </w:r>
      <w:r>
        <w:rPr>
          <w:rFonts w:hint="eastAsia" w:ascii="仿宋_GB2312" w:hAnsi="仿宋_GB2312" w:eastAsia="仿宋_GB2312" w:cs="仿宋_GB2312"/>
          <w:bCs/>
          <w:color w:val="auto"/>
          <w:kern w:val="1"/>
          <w:sz w:val="30"/>
          <w:szCs w:val="30"/>
        </w:rPr>
        <w:t>小组</w:t>
      </w:r>
      <w:r>
        <w:rPr>
          <w:rFonts w:hint="eastAsia" w:ascii="仿宋_GB2312" w:hAnsi="仿宋_GB2312" w:eastAsia="仿宋_GB2312" w:cs="仿宋_GB2312"/>
          <w:bCs/>
          <w:color w:val="auto"/>
          <w:kern w:val="1"/>
          <w:sz w:val="30"/>
          <w:szCs w:val="30"/>
          <w:lang w:val="en-US" w:eastAsia="zh-CN"/>
        </w:rPr>
        <w:t>）</w:t>
      </w:r>
      <w:r>
        <w:rPr>
          <w:rFonts w:hint="eastAsia" w:ascii="仿宋_GB2312" w:hAnsi="仿宋_GB2312" w:eastAsia="仿宋_GB2312" w:cs="仿宋_GB2312"/>
          <w:bCs/>
          <w:color w:val="auto"/>
          <w:kern w:val="1"/>
          <w:sz w:val="30"/>
          <w:szCs w:val="30"/>
        </w:rPr>
        <w:t>负责</w:t>
      </w:r>
      <w:r>
        <w:rPr>
          <w:rFonts w:hint="eastAsia" w:ascii="仿宋_GB2312" w:hAnsi="仿宋_GB2312" w:eastAsia="仿宋_GB2312" w:cs="仿宋_GB2312"/>
          <w:bCs/>
          <w:color w:val="auto"/>
          <w:kern w:val="1"/>
          <w:sz w:val="30"/>
          <w:szCs w:val="30"/>
          <w:lang w:val="en-US" w:eastAsia="zh-CN"/>
        </w:rPr>
        <w:t>报价评审</w:t>
      </w:r>
      <w:r>
        <w:rPr>
          <w:rFonts w:hint="eastAsia" w:ascii="仿宋_GB2312" w:hAnsi="仿宋_GB2312" w:eastAsia="仿宋_GB2312" w:cs="仿宋_GB2312"/>
          <w:bCs/>
          <w:color w:val="auto"/>
          <w:kern w:val="1"/>
          <w:sz w:val="30"/>
          <w:szCs w:val="30"/>
        </w:rPr>
        <w:t>工作，确定最终</w:t>
      </w:r>
      <w:r>
        <w:rPr>
          <w:rFonts w:hint="eastAsia" w:ascii="仿宋_GB2312" w:hAnsi="仿宋_GB2312" w:eastAsia="仿宋_GB2312" w:cs="仿宋_GB2312"/>
          <w:bCs/>
          <w:color w:val="auto"/>
          <w:kern w:val="1"/>
          <w:sz w:val="30"/>
          <w:szCs w:val="30"/>
          <w:lang w:val="en-US" w:eastAsia="zh-CN"/>
        </w:rPr>
        <w:t>中选</w:t>
      </w:r>
      <w:r>
        <w:rPr>
          <w:rFonts w:hint="eastAsia" w:ascii="仿宋_GB2312" w:hAnsi="仿宋_GB2312" w:eastAsia="仿宋_GB2312" w:cs="仿宋_GB2312"/>
          <w:bCs/>
          <w:color w:val="auto"/>
          <w:kern w:val="1"/>
          <w:sz w:val="30"/>
          <w:szCs w:val="30"/>
        </w:rPr>
        <w:t>人。</w:t>
      </w:r>
    </w:p>
    <w:p w14:paraId="6526EE65">
      <w:pPr>
        <w:keepNext w:val="0"/>
        <w:keepLines w:val="0"/>
        <w:pageBreakBefore w:val="0"/>
        <w:widowControl w:val="0"/>
        <w:kinsoku/>
        <w:overflowPunct/>
        <w:topLinePunct w:val="0"/>
        <w:autoSpaceDE/>
        <w:autoSpaceDN/>
        <w:bidi w:val="0"/>
        <w:adjustRightInd w:val="0"/>
        <w:snapToGrid w:val="0"/>
        <w:spacing w:line="360" w:lineRule="auto"/>
        <w:ind w:right="0" w:rightChars="0" w:firstLine="602" w:firstLineChars="200"/>
        <w:jc w:val="left"/>
        <w:textAlignment w:val="auto"/>
        <w:outlineLvl w:val="9"/>
        <w:rPr>
          <w:rFonts w:hint="eastAsia" w:ascii="仿宋_GB2312" w:hAnsi="仿宋_GB2312" w:eastAsia="仿宋_GB2312" w:cs="仿宋_GB2312"/>
          <w:bCs/>
          <w:color w:val="FF0000"/>
          <w:kern w:val="1"/>
          <w:sz w:val="30"/>
          <w:szCs w:val="30"/>
        </w:rPr>
      </w:pPr>
      <w:r>
        <w:rPr>
          <w:rFonts w:hint="eastAsia" w:ascii="仿宋_GB2312" w:hAnsi="仿宋_GB2312" w:eastAsia="仿宋_GB2312" w:cs="仿宋_GB2312"/>
          <w:b/>
          <w:bCs w:val="0"/>
          <w:color w:val="auto"/>
          <w:kern w:val="1"/>
          <w:sz w:val="30"/>
          <w:szCs w:val="30"/>
        </w:rPr>
        <w:t>1、</w:t>
      </w:r>
      <w:r>
        <w:rPr>
          <w:rFonts w:hint="eastAsia" w:ascii="仿宋_GB2312" w:hAnsi="仿宋_GB2312" w:eastAsia="仿宋_GB2312" w:cs="仿宋_GB2312"/>
          <w:bCs/>
          <w:color w:val="FF0000"/>
          <w:kern w:val="1"/>
          <w:sz w:val="30"/>
          <w:szCs w:val="30"/>
        </w:rPr>
        <w:t>在能够满足</w:t>
      </w:r>
      <w:r>
        <w:rPr>
          <w:rFonts w:hint="eastAsia" w:ascii="仿宋_GB2312" w:hAnsi="仿宋_GB2312" w:eastAsia="仿宋_GB2312" w:cs="仿宋_GB2312"/>
          <w:bCs/>
          <w:color w:val="FF0000"/>
          <w:kern w:val="1"/>
          <w:sz w:val="30"/>
          <w:szCs w:val="30"/>
          <w:lang w:val="en-US" w:eastAsia="zh-CN"/>
        </w:rPr>
        <w:t>采购</w:t>
      </w:r>
      <w:r>
        <w:rPr>
          <w:rFonts w:hint="eastAsia" w:ascii="仿宋_GB2312" w:hAnsi="仿宋_GB2312" w:eastAsia="仿宋_GB2312" w:cs="仿宋_GB2312"/>
          <w:bCs/>
          <w:color w:val="FF0000"/>
          <w:kern w:val="1"/>
          <w:sz w:val="30"/>
          <w:szCs w:val="30"/>
        </w:rPr>
        <w:t>人技术要求的</w:t>
      </w:r>
      <w:r>
        <w:rPr>
          <w:rFonts w:hint="eastAsia" w:ascii="仿宋_GB2312" w:hAnsi="仿宋_GB2312" w:eastAsia="仿宋_GB2312" w:cs="仿宋_GB2312"/>
          <w:bCs/>
          <w:color w:val="FF0000"/>
          <w:kern w:val="1"/>
          <w:sz w:val="30"/>
          <w:szCs w:val="30"/>
          <w:lang w:val="en-US" w:eastAsia="zh-CN"/>
        </w:rPr>
        <w:t>报价</w:t>
      </w:r>
      <w:r>
        <w:rPr>
          <w:rFonts w:hint="eastAsia" w:ascii="仿宋_GB2312" w:hAnsi="仿宋_GB2312" w:eastAsia="仿宋_GB2312" w:cs="仿宋_GB2312"/>
          <w:bCs/>
          <w:color w:val="FF0000"/>
          <w:kern w:val="1"/>
          <w:sz w:val="30"/>
          <w:szCs w:val="30"/>
        </w:rPr>
        <w:t>人中选择</w:t>
      </w:r>
      <w:r>
        <w:rPr>
          <w:rFonts w:hint="eastAsia" w:ascii="仿宋_GB2312" w:hAnsi="仿宋_GB2312" w:eastAsia="仿宋_GB2312" w:cs="仿宋_GB2312"/>
          <w:bCs/>
          <w:color w:val="FF0000"/>
          <w:kern w:val="1"/>
          <w:sz w:val="30"/>
          <w:szCs w:val="30"/>
          <w:lang w:val="en-US" w:eastAsia="zh-CN"/>
        </w:rPr>
        <w:t>总价</w:t>
      </w:r>
      <w:r>
        <w:rPr>
          <w:rFonts w:hint="eastAsia" w:ascii="仿宋_GB2312" w:hAnsi="仿宋_GB2312" w:eastAsia="仿宋_GB2312" w:cs="仿宋_GB2312"/>
          <w:bCs/>
          <w:color w:val="FF0000"/>
          <w:kern w:val="1"/>
          <w:sz w:val="30"/>
          <w:szCs w:val="30"/>
        </w:rPr>
        <w:t>最低的一家</w:t>
      </w:r>
      <w:r>
        <w:rPr>
          <w:rFonts w:hint="eastAsia" w:ascii="仿宋_GB2312" w:hAnsi="仿宋_GB2312" w:eastAsia="仿宋_GB2312" w:cs="仿宋_GB2312"/>
          <w:bCs/>
          <w:color w:val="FF0000"/>
          <w:kern w:val="1"/>
          <w:sz w:val="30"/>
          <w:szCs w:val="30"/>
          <w:lang w:val="en-US" w:eastAsia="zh-CN"/>
        </w:rPr>
        <w:t>报价</w:t>
      </w:r>
      <w:r>
        <w:rPr>
          <w:rFonts w:hint="eastAsia" w:ascii="仿宋_GB2312" w:hAnsi="仿宋_GB2312" w:eastAsia="仿宋_GB2312" w:cs="仿宋_GB2312"/>
          <w:bCs/>
          <w:color w:val="FF0000"/>
          <w:kern w:val="1"/>
          <w:sz w:val="30"/>
          <w:szCs w:val="30"/>
        </w:rPr>
        <w:t>人作为</w:t>
      </w:r>
      <w:r>
        <w:rPr>
          <w:rFonts w:hint="eastAsia" w:ascii="仿宋_GB2312" w:hAnsi="仿宋_GB2312" w:eastAsia="仿宋_GB2312" w:cs="仿宋_GB2312"/>
          <w:bCs/>
          <w:color w:val="FF0000"/>
          <w:kern w:val="1"/>
          <w:sz w:val="30"/>
          <w:szCs w:val="30"/>
          <w:lang w:val="en-US" w:eastAsia="zh-CN"/>
        </w:rPr>
        <w:t>成交</w:t>
      </w:r>
      <w:r>
        <w:rPr>
          <w:rFonts w:hint="eastAsia" w:ascii="仿宋_GB2312" w:hAnsi="仿宋_GB2312" w:eastAsia="仿宋_GB2312" w:cs="仿宋_GB2312"/>
          <w:bCs/>
          <w:color w:val="FF0000"/>
          <w:kern w:val="1"/>
          <w:sz w:val="30"/>
          <w:szCs w:val="30"/>
        </w:rPr>
        <w:t>候选人。</w:t>
      </w:r>
    </w:p>
    <w:p w14:paraId="5FE5FF4D">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2、请各</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人保持通讯畅通，便于</w:t>
      </w:r>
      <w:r>
        <w:rPr>
          <w:rFonts w:hint="eastAsia" w:ascii="仿宋_GB2312" w:hAnsi="仿宋_GB2312" w:eastAsia="仿宋_GB2312" w:cs="仿宋_GB2312"/>
          <w:bCs/>
          <w:color w:val="auto"/>
          <w:kern w:val="1"/>
          <w:sz w:val="30"/>
          <w:szCs w:val="30"/>
          <w:lang w:val="en-US" w:eastAsia="zh-CN"/>
        </w:rPr>
        <w:t>评审委员会（</w:t>
      </w:r>
      <w:r>
        <w:rPr>
          <w:rFonts w:hint="eastAsia" w:ascii="仿宋_GB2312" w:hAnsi="仿宋_GB2312" w:eastAsia="仿宋_GB2312" w:cs="仿宋_GB2312"/>
          <w:bCs/>
          <w:color w:val="auto"/>
          <w:kern w:val="1"/>
          <w:sz w:val="30"/>
          <w:szCs w:val="30"/>
        </w:rPr>
        <w:t>小组</w:t>
      </w:r>
      <w:r>
        <w:rPr>
          <w:rFonts w:hint="eastAsia" w:ascii="仿宋_GB2312" w:hAnsi="仿宋_GB2312" w:eastAsia="仿宋_GB2312" w:cs="仿宋_GB2312"/>
          <w:bCs/>
          <w:color w:val="auto"/>
          <w:kern w:val="1"/>
          <w:sz w:val="30"/>
          <w:szCs w:val="30"/>
          <w:lang w:val="en-US" w:eastAsia="zh-CN"/>
        </w:rPr>
        <w:t>）</w:t>
      </w:r>
      <w:r>
        <w:rPr>
          <w:rFonts w:hint="eastAsia" w:ascii="仿宋_GB2312" w:hAnsi="仿宋_GB2312" w:eastAsia="仿宋_GB2312" w:cs="仿宋_GB2312"/>
          <w:color w:val="auto"/>
          <w:kern w:val="1"/>
          <w:sz w:val="30"/>
          <w:szCs w:val="30"/>
        </w:rPr>
        <w:t>在</w:t>
      </w:r>
      <w:r>
        <w:rPr>
          <w:rFonts w:hint="eastAsia" w:ascii="仿宋_GB2312" w:hAnsi="仿宋_GB2312" w:eastAsia="仿宋_GB2312" w:cs="仿宋_GB2312"/>
          <w:color w:val="auto"/>
          <w:kern w:val="1"/>
          <w:sz w:val="30"/>
          <w:szCs w:val="30"/>
          <w:lang w:val="en-US" w:eastAsia="zh-CN"/>
        </w:rPr>
        <w:t>评审</w:t>
      </w:r>
      <w:r>
        <w:rPr>
          <w:rFonts w:hint="eastAsia" w:ascii="仿宋_GB2312" w:hAnsi="仿宋_GB2312" w:eastAsia="仿宋_GB2312" w:cs="仿宋_GB2312"/>
          <w:color w:val="auto"/>
          <w:kern w:val="1"/>
          <w:sz w:val="30"/>
          <w:szCs w:val="30"/>
        </w:rPr>
        <w:t>现场电话联系</w:t>
      </w:r>
      <w:r>
        <w:rPr>
          <w:rFonts w:hint="eastAsia" w:ascii="仿宋_GB2312" w:hAnsi="仿宋_GB2312" w:eastAsia="仿宋_GB2312" w:cs="仿宋_GB2312"/>
          <w:bCs/>
          <w:color w:val="auto"/>
          <w:kern w:val="1"/>
          <w:sz w:val="30"/>
          <w:szCs w:val="30"/>
        </w:rPr>
        <w:t>。</w:t>
      </w:r>
    </w:p>
    <w:p w14:paraId="3705994B">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3、</w:t>
      </w:r>
      <w:r>
        <w:rPr>
          <w:rFonts w:hint="eastAsia" w:ascii="仿宋_GB2312" w:hAnsi="仿宋_GB2312" w:eastAsia="仿宋_GB2312" w:cs="仿宋_GB2312"/>
          <w:bCs/>
          <w:color w:val="auto"/>
          <w:kern w:val="1"/>
          <w:sz w:val="30"/>
          <w:szCs w:val="30"/>
          <w:lang w:val="en-US" w:eastAsia="zh-CN"/>
        </w:rPr>
        <w:t>评审委员会（</w:t>
      </w:r>
      <w:r>
        <w:rPr>
          <w:rFonts w:hint="eastAsia" w:ascii="仿宋_GB2312" w:hAnsi="仿宋_GB2312" w:eastAsia="仿宋_GB2312" w:cs="仿宋_GB2312"/>
          <w:bCs/>
          <w:color w:val="auto"/>
          <w:kern w:val="1"/>
          <w:sz w:val="30"/>
          <w:szCs w:val="30"/>
        </w:rPr>
        <w:t>小组</w:t>
      </w:r>
      <w:r>
        <w:rPr>
          <w:rFonts w:hint="eastAsia" w:ascii="仿宋_GB2312" w:hAnsi="仿宋_GB2312" w:eastAsia="仿宋_GB2312" w:cs="仿宋_GB2312"/>
          <w:bCs/>
          <w:color w:val="auto"/>
          <w:kern w:val="1"/>
          <w:sz w:val="30"/>
          <w:szCs w:val="30"/>
          <w:lang w:val="en-US" w:eastAsia="zh-CN"/>
        </w:rPr>
        <w:t>）</w:t>
      </w:r>
      <w:r>
        <w:rPr>
          <w:rFonts w:hint="eastAsia" w:ascii="仿宋_GB2312" w:hAnsi="仿宋_GB2312" w:eastAsia="仿宋_GB2312" w:cs="仿宋_GB2312"/>
          <w:bCs/>
          <w:color w:val="auto"/>
          <w:kern w:val="1"/>
          <w:sz w:val="30"/>
          <w:szCs w:val="30"/>
        </w:rPr>
        <w:t>不得泄露各</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 xml:space="preserve">人的报价。                                    </w:t>
      </w:r>
    </w:p>
    <w:p w14:paraId="7937DA77">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lang w:val="en-US" w:eastAsia="zh-CN"/>
        </w:rPr>
      </w:pP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val="en-US" w:eastAsia="zh-CN"/>
        </w:rPr>
        <w:t>二</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val="en-US" w:eastAsia="zh-CN"/>
        </w:rPr>
        <w:t>无效报价</w:t>
      </w:r>
    </w:p>
    <w:p w14:paraId="0D158AF6">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lang w:val="en-US" w:eastAsia="zh-CN"/>
        </w:rPr>
      </w:pPr>
      <w:r>
        <w:rPr>
          <w:rFonts w:hint="eastAsia" w:ascii="仿宋_GB2312" w:hAnsi="仿宋_GB2312" w:eastAsia="仿宋_GB2312" w:cs="仿宋_GB2312"/>
          <w:bCs/>
          <w:color w:val="auto"/>
          <w:kern w:val="1"/>
          <w:sz w:val="30"/>
          <w:szCs w:val="30"/>
          <w:lang w:val="en-US" w:eastAsia="zh-CN"/>
        </w:rPr>
        <w:t>1、采购人如发现采购过程中有串通等扰乱采购人经营秩序的恶劣情况，经评审委员会（</w:t>
      </w:r>
      <w:r>
        <w:rPr>
          <w:rFonts w:hint="eastAsia" w:ascii="仿宋_GB2312" w:hAnsi="仿宋_GB2312" w:eastAsia="仿宋_GB2312" w:cs="仿宋_GB2312"/>
          <w:bCs/>
          <w:color w:val="auto"/>
          <w:kern w:val="1"/>
          <w:sz w:val="30"/>
          <w:szCs w:val="30"/>
          <w:lang w:eastAsia="zh-CN"/>
        </w:rPr>
        <w:t>小组</w:t>
      </w:r>
      <w:r>
        <w:rPr>
          <w:rFonts w:hint="eastAsia" w:ascii="仿宋_GB2312" w:hAnsi="仿宋_GB2312" w:eastAsia="仿宋_GB2312" w:cs="仿宋_GB2312"/>
          <w:bCs/>
          <w:color w:val="auto"/>
          <w:kern w:val="1"/>
          <w:sz w:val="30"/>
          <w:szCs w:val="30"/>
          <w:lang w:val="en-US" w:eastAsia="zh-CN"/>
        </w:rPr>
        <w:t>）评定作无效报价处理，并将相关报价单位列入供应商负面清单，一年内不再接受参与报价工作。</w:t>
      </w:r>
    </w:p>
    <w:p w14:paraId="7C9E571C">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lang w:val="en-US" w:eastAsia="zh-CN"/>
        </w:rPr>
        <w:t>2、</w:t>
      </w:r>
      <w:r>
        <w:rPr>
          <w:rFonts w:hint="eastAsia" w:ascii="仿宋_GB2312" w:hAnsi="仿宋_GB2312" w:eastAsia="仿宋_GB2312" w:cs="仿宋_GB2312"/>
          <w:bCs/>
          <w:color w:val="auto"/>
          <w:kern w:val="1"/>
          <w:sz w:val="30"/>
          <w:szCs w:val="30"/>
        </w:rPr>
        <w:t>凡</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人不具备生产经营资质的，或</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文件填写不完整、报价有空项的，或不符合技术要求条款的，或者存在其他不符合</w:t>
      </w:r>
      <w:r>
        <w:rPr>
          <w:rFonts w:hint="eastAsia" w:ascii="仿宋_GB2312" w:hAnsi="仿宋_GB2312" w:eastAsia="仿宋_GB2312" w:cs="仿宋_GB2312"/>
          <w:bCs/>
          <w:color w:val="auto"/>
          <w:kern w:val="1"/>
          <w:sz w:val="30"/>
          <w:szCs w:val="30"/>
          <w:lang w:eastAsia="zh-CN"/>
        </w:rPr>
        <w:t>采购</w:t>
      </w:r>
      <w:r>
        <w:rPr>
          <w:rFonts w:hint="eastAsia" w:ascii="仿宋_GB2312" w:hAnsi="仿宋_GB2312" w:eastAsia="仿宋_GB2312" w:cs="仿宋_GB2312"/>
          <w:bCs/>
          <w:color w:val="auto"/>
          <w:kern w:val="1"/>
          <w:sz w:val="30"/>
          <w:szCs w:val="30"/>
        </w:rPr>
        <w:t>人有关要求的问题，经</w:t>
      </w:r>
      <w:r>
        <w:rPr>
          <w:rFonts w:hint="eastAsia" w:ascii="仿宋_GB2312" w:hAnsi="仿宋_GB2312" w:eastAsia="仿宋_GB2312" w:cs="仿宋_GB2312"/>
          <w:bCs/>
          <w:color w:val="auto"/>
          <w:kern w:val="1"/>
          <w:sz w:val="30"/>
          <w:szCs w:val="30"/>
          <w:lang w:eastAsia="zh-CN"/>
        </w:rPr>
        <w:t>采购</w:t>
      </w:r>
      <w:r>
        <w:rPr>
          <w:rFonts w:hint="eastAsia" w:ascii="仿宋_GB2312" w:hAnsi="仿宋_GB2312" w:eastAsia="仿宋_GB2312" w:cs="仿宋_GB2312"/>
          <w:bCs/>
          <w:color w:val="auto"/>
          <w:kern w:val="1"/>
          <w:sz w:val="30"/>
          <w:szCs w:val="30"/>
        </w:rPr>
        <w:t>人</w:t>
      </w:r>
      <w:r>
        <w:rPr>
          <w:rFonts w:hint="eastAsia" w:ascii="仿宋_GB2312" w:hAnsi="仿宋_GB2312" w:eastAsia="仿宋_GB2312" w:cs="仿宋_GB2312"/>
          <w:bCs/>
          <w:color w:val="auto"/>
          <w:kern w:val="1"/>
          <w:sz w:val="30"/>
          <w:szCs w:val="30"/>
          <w:lang w:val="en-US" w:eastAsia="zh-CN"/>
        </w:rPr>
        <w:t>评审委员会（</w:t>
      </w:r>
      <w:r>
        <w:rPr>
          <w:rFonts w:hint="eastAsia" w:ascii="仿宋_GB2312" w:hAnsi="仿宋_GB2312" w:eastAsia="仿宋_GB2312" w:cs="仿宋_GB2312"/>
          <w:bCs/>
          <w:color w:val="auto"/>
          <w:kern w:val="1"/>
          <w:sz w:val="30"/>
          <w:szCs w:val="30"/>
        </w:rPr>
        <w:t>小组</w:t>
      </w:r>
      <w:r>
        <w:rPr>
          <w:rFonts w:hint="eastAsia" w:ascii="仿宋_GB2312" w:hAnsi="仿宋_GB2312" w:eastAsia="仿宋_GB2312" w:cs="仿宋_GB2312"/>
          <w:bCs/>
          <w:color w:val="auto"/>
          <w:kern w:val="1"/>
          <w:sz w:val="30"/>
          <w:szCs w:val="30"/>
          <w:lang w:val="en-US" w:eastAsia="zh-CN"/>
        </w:rPr>
        <w:t>）</w:t>
      </w:r>
      <w:r>
        <w:rPr>
          <w:rFonts w:hint="eastAsia" w:ascii="仿宋_GB2312" w:hAnsi="仿宋_GB2312" w:eastAsia="仿宋_GB2312" w:cs="仿宋_GB2312"/>
          <w:bCs/>
          <w:color w:val="auto"/>
          <w:kern w:val="1"/>
          <w:sz w:val="30"/>
          <w:szCs w:val="30"/>
        </w:rPr>
        <w:t>评定，可作</w:t>
      </w:r>
      <w:r>
        <w:rPr>
          <w:rFonts w:hint="eastAsia" w:ascii="仿宋_GB2312" w:hAnsi="仿宋_GB2312" w:eastAsia="仿宋_GB2312" w:cs="仿宋_GB2312"/>
          <w:bCs/>
          <w:color w:val="auto"/>
          <w:kern w:val="1"/>
          <w:sz w:val="30"/>
          <w:szCs w:val="30"/>
          <w:lang w:val="en-US" w:eastAsia="zh-CN"/>
        </w:rPr>
        <w:t>无效报价</w:t>
      </w:r>
      <w:r>
        <w:rPr>
          <w:rFonts w:hint="eastAsia" w:ascii="仿宋_GB2312" w:hAnsi="仿宋_GB2312" w:eastAsia="仿宋_GB2312" w:cs="仿宋_GB2312"/>
          <w:bCs/>
          <w:color w:val="auto"/>
          <w:kern w:val="1"/>
          <w:sz w:val="30"/>
          <w:szCs w:val="30"/>
        </w:rPr>
        <w:t>处理。</w:t>
      </w:r>
    </w:p>
    <w:p w14:paraId="71FEAF9B">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FF0000"/>
          <w:kern w:val="1"/>
          <w:sz w:val="30"/>
          <w:szCs w:val="30"/>
        </w:rPr>
      </w:pPr>
      <w:r>
        <w:rPr>
          <w:rFonts w:hint="eastAsia" w:ascii="仿宋_GB2312" w:hAnsi="仿宋_GB2312" w:eastAsia="仿宋_GB2312" w:cs="仿宋_GB2312"/>
          <w:bCs/>
          <w:color w:val="auto"/>
          <w:kern w:val="1"/>
          <w:sz w:val="30"/>
          <w:szCs w:val="30"/>
          <w:lang w:val="en-US" w:eastAsia="zh-CN"/>
        </w:rPr>
        <w:t>3、</w:t>
      </w:r>
      <w:r>
        <w:rPr>
          <w:rFonts w:hint="eastAsia" w:ascii="仿宋_GB2312" w:hAnsi="仿宋_GB2312" w:eastAsia="仿宋_GB2312" w:cs="仿宋_GB2312"/>
          <w:bCs/>
          <w:color w:val="FF0000"/>
          <w:kern w:val="1"/>
          <w:sz w:val="30"/>
          <w:szCs w:val="30"/>
          <w:lang w:eastAsia="zh-CN"/>
        </w:rPr>
        <w:t>报价</w:t>
      </w:r>
      <w:r>
        <w:rPr>
          <w:rFonts w:hint="eastAsia" w:ascii="仿宋_GB2312" w:hAnsi="仿宋_GB2312" w:eastAsia="仿宋_GB2312" w:cs="仿宋_GB2312"/>
          <w:bCs/>
          <w:color w:val="FF0000"/>
          <w:kern w:val="1"/>
          <w:sz w:val="30"/>
          <w:szCs w:val="30"/>
        </w:rPr>
        <w:t>人应</w:t>
      </w:r>
      <w:r>
        <w:rPr>
          <w:rFonts w:hint="eastAsia" w:ascii="仿宋_GB2312" w:hAnsi="仿宋_GB2312" w:eastAsia="仿宋_GB2312" w:cs="仿宋_GB2312"/>
          <w:bCs/>
          <w:color w:val="FF0000"/>
          <w:kern w:val="1"/>
          <w:sz w:val="30"/>
          <w:szCs w:val="30"/>
          <w:lang w:eastAsia="zh-CN"/>
        </w:rPr>
        <w:t>如实</w:t>
      </w:r>
      <w:r>
        <w:rPr>
          <w:rFonts w:hint="eastAsia" w:ascii="仿宋_GB2312" w:hAnsi="仿宋_GB2312" w:eastAsia="仿宋_GB2312" w:cs="仿宋_GB2312"/>
          <w:bCs/>
          <w:color w:val="FF0000"/>
          <w:kern w:val="1"/>
          <w:sz w:val="30"/>
          <w:szCs w:val="30"/>
        </w:rPr>
        <w:t>提供</w:t>
      </w:r>
      <w:r>
        <w:rPr>
          <w:rFonts w:hint="eastAsia" w:ascii="仿宋_GB2312" w:hAnsi="仿宋_GB2312" w:eastAsia="仿宋_GB2312" w:cs="仿宋_GB2312"/>
          <w:bCs/>
          <w:color w:val="FF0000"/>
          <w:kern w:val="1"/>
          <w:sz w:val="30"/>
          <w:szCs w:val="30"/>
          <w:lang w:eastAsia="zh-CN"/>
        </w:rPr>
        <w:t>符合市场规律和自身成本的合理报价</w:t>
      </w:r>
      <w:r>
        <w:rPr>
          <w:rFonts w:hint="eastAsia" w:ascii="仿宋_GB2312" w:hAnsi="仿宋_GB2312" w:eastAsia="仿宋_GB2312" w:cs="仿宋_GB2312"/>
          <w:bCs/>
          <w:color w:val="FF0000"/>
          <w:kern w:val="1"/>
          <w:sz w:val="30"/>
          <w:szCs w:val="30"/>
        </w:rPr>
        <w:t>。如果</w:t>
      </w:r>
      <w:r>
        <w:rPr>
          <w:rFonts w:hint="eastAsia" w:ascii="仿宋_GB2312" w:hAnsi="仿宋_GB2312" w:eastAsia="仿宋_GB2312" w:cs="仿宋_GB2312"/>
          <w:bCs/>
          <w:color w:val="FF0000"/>
          <w:kern w:val="1"/>
          <w:sz w:val="30"/>
          <w:szCs w:val="30"/>
          <w:lang w:eastAsia="zh-CN"/>
        </w:rPr>
        <w:t>报价</w:t>
      </w:r>
      <w:r>
        <w:rPr>
          <w:rFonts w:hint="eastAsia" w:ascii="仿宋_GB2312" w:hAnsi="仿宋_GB2312" w:eastAsia="仿宋_GB2312" w:cs="仿宋_GB2312"/>
          <w:bCs/>
          <w:color w:val="FF0000"/>
          <w:kern w:val="1"/>
          <w:sz w:val="30"/>
          <w:szCs w:val="30"/>
        </w:rPr>
        <w:t>人的报价与市场价格明显偏离</w:t>
      </w:r>
      <w:r>
        <w:rPr>
          <w:rFonts w:hint="eastAsia" w:ascii="仿宋_GB2312" w:hAnsi="仿宋_GB2312" w:eastAsia="仿宋_GB2312" w:cs="仿宋_GB2312"/>
          <w:bCs/>
          <w:color w:val="FF0000"/>
          <w:kern w:val="1"/>
          <w:sz w:val="30"/>
          <w:szCs w:val="30"/>
          <w:lang w:eastAsia="zh-CN"/>
        </w:rPr>
        <w:t>并因此影响了采购活动的公正合理性，损害了采购人的正当利益，经采购人</w:t>
      </w:r>
      <w:r>
        <w:rPr>
          <w:rFonts w:hint="eastAsia" w:ascii="仿宋_GB2312" w:hAnsi="仿宋_GB2312" w:eastAsia="仿宋_GB2312" w:cs="仿宋_GB2312"/>
          <w:bCs/>
          <w:color w:val="FF0000"/>
          <w:kern w:val="1"/>
          <w:sz w:val="30"/>
          <w:szCs w:val="30"/>
          <w:lang w:val="en-US" w:eastAsia="zh-CN"/>
        </w:rPr>
        <w:t>评审委员会（</w:t>
      </w:r>
      <w:r>
        <w:rPr>
          <w:rFonts w:hint="eastAsia" w:ascii="仿宋_GB2312" w:hAnsi="仿宋_GB2312" w:eastAsia="仿宋_GB2312" w:cs="仿宋_GB2312"/>
          <w:bCs/>
          <w:color w:val="FF0000"/>
          <w:kern w:val="1"/>
          <w:sz w:val="30"/>
          <w:szCs w:val="30"/>
          <w:lang w:eastAsia="zh-CN"/>
        </w:rPr>
        <w:t>小组</w:t>
      </w:r>
      <w:r>
        <w:rPr>
          <w:rFonts w:hint="eastAsia" w:ascii="仿宋_GB2312" w:hAnsi="仿宋_GB2312" w:eastAsia="仿宋_GB2312" w:cs="仿宋_GB2312"/>
          <w:bCs/>
          <w:color w:val="FF0000"/>
          <w:kern w:val="1"/>
          <w:sz w:val="30"/>
          <w:szCs w:val="30"/>
          <w:lang w:val="en-US" w:eastAsia="zh-CN"/>
        </w:rPr>
        <w:t>）</w:t>
      </w:r>
      <w:r>
        <w:rPr>
          <w:rFonts w:hint="eastAsia" w:ascii="仿宋_GB2312" w:hAnsi="仿宋_GB2312" w:eastAsia="仿宋_GB2312" w:cs="仿宋_GB2312"/>
          <w:bCs/>
          <w:color w:val="FF0000"/>
          <w:kern w:val="1"/>
          <w:sz w:val="30"/>
          <w:szCs w:val="30"/>
          <w:lang w:eastAsia="zh-CN"/>
        </w:rPr>
        <w:t>评定，可作</w:t>
      </w:r>
      <w:r>
        <w:rPr>
          <w:rFonts w:hint="eastAsia" w:ascii="仿宋_GB2312" w:hAnsi="仿宋_GB2312" w:eastAsia="仿宋_GB2312" w:cs="仿宋_GB2312"/>
          <w:bCs/>
          <w:color w:val="FF0000"/>
          <w:kern w:val="1"/>
          <w:sz w:val="30"/>
          <w:szCs w:val="30"/>
          <w:lang w:val="en-US" w:eastAsia="zh-CN"/>
        </w:rPr>
        <w:t>无效报价</w:t>
      </w:r>
      <w:r>
        <w:rPr>
          <w:rFonts w:hint="eastAsia" w:ascii="仿宋_GB2312" w:hAnsi="仿宋_GB2312" w:eastAsia="仿宋_GB2312" w:cs="仿宋_GB2312"/>
          <w:bCs/>
          <w:color w:val="FF0000"/>
          <w:kern w:val="1"/>
          <w:sz w:val="30"/>
          <w:szCs w:val="30"/>
          <w:lang w:eastAsia="zh-CN"/>
        </w:rPr>
        <w:t>处理</w:t>
      </w:r>
      <w:r>
        <w:rPr>
          <w:rFonts w:hint="eastAsia" w:ascii="仿宋_GB2312" w:hAnsi="仿宋_GB2312" w:eastAsia="仿宋_GB2312" w:cs="仿宋_GB2312"/>
          <w:bCs/>
          <w:color w:val="FF0000"/>
          <w:kern w:val="1"/>
          <w:sz w:val="30"/>
          <w:szCs w:val="30"/>
        </w:rPr>
        <w:t>。</w:t>
      </w:r>
    </w:p>
    <w:p w14:paraId="0E070F9B">
      <w:pPr>
        <w:keepNext w:val="0"/>
        <w:keepLines w:val="0"/>
        <w:pageBreakBefore w:val="0"/>
        <w:widowControl w:val="0"/>
        <w:numPr>
          <w:ilvl w:val="0"/>
          <w:numId w:val="2"/>
        </w:numPr>
        <w:kinsoku/>
        <w:overflowPunct/>
        <w:topLinePunct w:val="0"/>
        <w:autoSpaceDE/>
        <w:autoSpaceDN/>
        <w:bidi w:val="0"/>
        <w:adjustRightInd w:val="0"/>
        <w:snapToGrid w:val="0"/>
        <w:spacing w:line="360" w:lineRule="auto"/>
        <w:ind w:right="0" w:rightChars="0" w:firstLine="602" w:firstLineChars="200"/>
        <w:jc w:val="left"/>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b/>
          <w:color w:val="auto"/>
          <w:kern w:val="1"/>
          <w:sz w:val="30"/>
          <w:szCs w:val="30"/>
        </w:rPr>
        <w:t>其他注意事项：</w:t>
      </w:r>
      <w:r>
        <w:rPr>
          <w:rFonts w:hint="eastAsia" w:ascii="仿宋_GB2312" w:hAnsi="仿宋_GB2312" w:eastAsia="仿宋_GB2312" w:cs="仿宋_GB2312"/>
          <w:color w:val="auto"/>
          <w:sz w:val="30"/>
          <w:szCs w:val="30"/>
        </w:rPr>
        <w:t>　　</w:t>
      </w:r>
    </w:p>
    <w:p w14:paraId="29242CC9">
      <w:pPr>
        <w:tabs>
          <w:tab w:val="left" w:pos="7178"/>
        </w:tabs>
        <w:adjustRightInd w:val="0"/>
        <w:snapToGrid w:val="0"/>
        <w:spacing w:line="360" w:lineRule="auto"/>
        <w:ind w:firstLine="600" w:firstLineChars="200"/>
        <w:jc w:val="left"/>
        <w:rPr>
          <w:rFonts w:hint="eastAsia" w:ascii="仿宋_GB2312" w:hAnsi="仿宋_GB2312" w:eastAsia="仿宋_GB2312" w:cs="仿宋_GB2312"/>
          <w:bCs/>
          <w:color w:val="auto"/>
          <w:kern w:val="1"/>
          <w:sz w:val="30"/>
          <w:szCs w:val="30"/>
          <w:lang w:eastAsia="zh-CN"/>
        </w:rPr>
      </w:pPr>
      <w:r>
        <w:rPr>
          <w:rFonts w:hint="eastAsia" w:ascii="仿宋_GB2312" w:hAnsi="仿宋_GB2312" w:eastAsia="仿宋_GB2312" w:cs="仿宋_GB2312"/>
          <w:bCs/>
          <w:color w:val="auto"/>
          <w:kern w:val="1"/>
          <w:sz w:val="30"/>
          <w:szCs w:val="30"/>
        </w:rPr>
        <w:t>（一）违约责任：</w:t>
      </w:r>
      <w:r>
        <w:rPr>
          <w:rFonts w:hint="eastAsia" w:ascii="仿宋_GB2312" w:hAnsi="仿宋_GB2312" w:eastAsia="仿宋_GB2312" w:cs="仿宋_GB2312"/>
          <w:bCs/>
          <w:color w:val="auto"/>
          <w:kern w:val="1"/>
          <w:sz w:val="30"/>
          <w:szCs w:val="30"/>
          <w:lang w:eastAsia="zh-CN"/>
        </w:rPr>
        <w:tab/>
      </w:r>
    </w:p>
    <w:p w14:paraId="71428105">
      <w:pPr>
        <w:adjustRightInd w:val="0"/>
        <w:snapToGrid w:val="0"/>
        <w:spacing w:line="360" w:lineRule="auto"/>
        <w:ind w:firstLine="600" w:firstLineChars="200"/>
        <w:jc w:val="left"/>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1.如</w:t>
      </w:r>
      <w:r>
        <w:rPr>
          <w:rFonts w:hint="eastAsia" w:ascii="仿宋_GB2312" w:hAnsi="仿宋_GB2312" w:eastAsia="仿宋_GB2312" w:cs="仿宋_GB2312"/>
          <w:bCs/>
          <w:color w:val="auto"/>
          <w:kern w:val="1"/>
          <w:sz w:val="30"/>
          <w:szCs w:val="30"/>
          <w:lang w:val="en-US" w:eastAsia="zh-CN"/>
        </w:rPr>
        <w:t>中选</w:t>
      </w:r>
      <w:r>
        <w:rPr>
          <w:rFonts w:hint="eastAsia" w:ascii="仿宋_GB2312" w:hAnsi="仿宋_GB2312" w:eastAsia="仿宋_GB2312" w:cs="仿宋_GB2312"/>
          <w:bCs/>
          <w:color w:val="auto"/>
          <w:kern w:val="1"/>
          <w:sz w:val="30"/>
          <w:szCs w:val="30"/>
        </w:rPr>
        <w:t>人没有按照规定的时间提供服务，</w:t>
      </w:r>
      <w:r>
        <w:rPr>
          <w:rFonts w:hint="eastAsia" w:ascii="仿宋_GB2312" w:hAnsi="仿宋_GB2312" w:eastAsia="仿宋_GB2312" w:cs="仿宋_GB2312"/>
          <w:bCs/>
          <w:color w:val="auto"/>
          <w:kern w:val="1"/>
          <w:sz w:val="30"/>
          <w:szCs w:val="30"/>
          <w:lang w:val="en-US" w:eastAsia="zh-CN"/>
        </w:rPr>
        <w:t>中选</w:t>
      </w:r>
      <w:r>
        <w:rPr>
          <w:rFonts w:hint="eastAsia" w:ascii="仿宋_GB2312" w:hAnsi="仿宋_GB2312" w:eastAsia="仿宋_GB2312" w:cs="仿宋_GB2312"/>
          <w:bCs/>
          <w:color w:val="auto"/>
          <w:kern w:val="1"/>
          <w:sz w:val="30"/>
          <w:szCs w:val="30"/>
        </w:rPr>
        <w:t>人</w:t>
      </w:r>
      <w:r>
        <w:rPr>
          <w:rFonts w:hint="eastAsia" w:ascii="仿宋_GB2312" w:hAnsi="仿宋_GB2312" w:eastAsia="仿宋_GB2312" w:cs="仿宋_GB2312"/>
          <w:bCs/>
          <w:color w:val="auto"/>
          <w:kern w:val="1"/>
          <w:sz w:val="30"/>
          <w:szCs w:val="30"/>
          <w:lang w:eastAsia="zh-CN"/>
        </w:rPr>
        <w:t>须</w:t>
      </w:r>
      <w:r>
        <w:rPr>
          <w:rFonts w:hint="eastAsia" w:ascii="仿宋_GB2312" w:hAnsi="仿宋_GB2312" w:eastAsia="仿宋_GB2312" w:cs="仿宋_GB2312"/>
          <w:bCs/>
          <w:color w:val="auto"/>
          <w:kern w:val="1"/>
          <w:sz w:val="30"/>
          <w:szCs w:val="30"/>
        </w:rPr>
        <w:t>支付违约金，违约金从</w:t>
      </w:r>
      <w:r>
        <w:rPr>
          <w:rFonts w:hint="eastAsia" w:ascii="仿宋_GB2312" w:hAnsi="仿宋_GB2312" w:eastAsia="仿宋_GB2312" w:cs="仿宋_GB2312"/>
          <w:bCs/>
          <w:color w:val="auto"/>
          <w:kern w:val="1"/>
          <w:sz w:val="30"/>
          <w:szCs w:val="30"/>
          <w:lang w:val="en-US" w:eastAsia="zh-CN"/>
        </w:rPr>
        <w:t>服务款项</w:t>
      </w:r>
      <w:r>
        <w:rPr>
          <w:rFonts w:hint="eastAsia" w:ascii="仿宋_GB2312" w:hAnsi="仿宋_GB2312" w:eastAsia="仿宋_GB2312" w:cs="仿宋_GB2312"/>
          <w:bCs/>
          <w:color w:val="auto"/>
          <w:kern w:val="1"/>
          <w:sz w:val="30"/>
          <w:szCs w:val="30"/>
        </w:rPr>
        <w:t>中扣除，未提供服务的违约金逾期每日按合同总金额的1%计收。未提供服务超过</w:t>
      </w:r>
      <w:r>
        <w:rPr>
          <w:rFonts w:hint="eastAsia" w:ascii="仿宋_GB2312" w:hAnsi="仿宋_GB2312" w:eastAsia="仿宋_GB2312" w:cs="仿宋_GB2312"/>
          <w:bCs/>
          <w:color w:val="auto"/>
          <w:kern w:val="1"/>
          <w:sz w:val="30"/>
          <w:szCs w:val="30"/>
          <w:lang w:val="en-US" w:eastAsia="zh-CN"/>
        </w:rPr>
        <w:t>7</w:t>
      </w:r>
      <w:r>
        <w:rPr>
          <w:rFonts w:hint="eastAsia" w:ascii="仿宋_GB2312" w:hAnsi="仿宋_GB2312" w:eastAsia="仿宋_GB2312" w:cs="仿宋_GB2312"/>
          <w:bCs/>
          <w:color w:val="auto"/>
          <w:kern w:val="1"/>
          <w:sz w:val="30"/>
          <w:szCs w:val="30"/>
        </w:rPr>
        <w:t>日，</w:t>
      </w:r>
      <w:r>
        <w:rPr>
          <w:rFonts w:hint="eastAsia" w:ascii="仿宋_GB2312" w:hAnsi="仿宋_GB2312" w:eastAsia="仿宋_GB2312" w:cs="仿宋_GB2312"/>
          <w:bCs/>
          <w:color w:val="auto"/>
          <w:kern w:val="1"/>
          <w:sz w:val="30"/>
          <w:szCs w:val="30"/>
          <w:lang w:val="en-US" w:eastAsia="zh-CN"/>
        </w:rPr>
        <w:t>采购</w:t>
      </w:r>
      <w:r>
        <w:rPr>
          <w:rFonts w:hint="eastAsia" w:ascii="仿宋_GB2312" w:hAnsi="仿宋_GB2312" w:eastAsia="仿宋_GB2312" w:cs="仿宋_GB2312"/>
          <w:bCs/>
          <w:color w:val="auto"/>
          <w:kern w:val="1"/>
          <w:sz w:val="30"/>
          <w:szCs w:val="30"/>
        </w:rPr>
        <w:t>人有权解除合同,</w:t>
      </w:r>
      <w:r>
        <w:rPr>
          <w:rFonts w:hint="eastAsia" w:ascii="仿宋_GB2312" w:hAnsi="仿宋_GB2312" w:eastAsia="仿宋_GB2312" w:cs="仿宋_GB2312"/>
          <w:bCs/>
          <w:color w:val="auto"/>
          <w:kern w:val="1"/>
          <w:sz w:val="30"/>
          <w:szCs w:val="30"/>
          <w:lang w:val="en-US" w:eastAsia="zh-CN"/>
        </w:rPr>
        <w:t>采购</w:t>
      </w:r>
      <w:r>
        <w:rPr>
          <w:rFonts w:hint="eastAsia" w:ascii="仿宋_GB2312" w:hAnsi="仿宋_GB2312" w:eastAsia="仿宋_GB2312" w:cs="仿宋_GB2312"/>
          <w:bCs/>
          <w:color w:val="auto"/>
          <w:kern w:val="1"/>
          <w:sz w:val="30"/>
          <w:szCs w:val="30"/>
          <w:lang w:eastAsia="zh-CN"/>
        </w:rPr>
        <w:t>人</w:t>
      </w:r>
      <w:r>
        <w:rPr>
          <w:rFonts w:hint="eastAsia" w:ascii="仿宋_GB2312" w:hAnsi="仿宋_GB2312" w:eastAsia="仿宋_GB2312" w:cs="仿宋_GB2312"/>
          <w:bCs/>
          <w:color w:val="auto"/>
          <w:kern w:val="1"/>
          <w:sz w:val="30"/>
          <w:szCs w:val="30"/>
          <w:lang w:val="en-US" w:eastAsia="zh-CN"/>
        </w:rPr>
        <w:t>有权</w:t>
      </w:r>
      <w:r>
        <w:rPr>
          <w:rFonts w:hint="eastAsia" w:ascii="仿宋_GB2312" w:hAnsi="仿宋_GB2312" w:eastAsia="仿宋_GB2312" w:cs="仿宋_GB2312"/>
          <w:bCs/>
          <w:color w:val="auto"/>
          <w:kern w:val="1"/>
          <w:sz w:val="30"/>
          <w:szCs w:val="30"/>
          <w:lang w:eastAsia="zh-CN"/>
        </w:rPr>
        <w:t>要求</w:t>
      </w:r>
      <w:r>
        <w:rPr>
          <w:rFonts w:hint="eastAsia" w:ascii="仿宋_GB2312" w:hAnsi="仿宋_GB2312" w:eastAsia="仿宋_GB2312" w:cs="仿宋_GB2312"/>
          <w:bCs/>
          <w:color w:val="auto"/>
          <w:kern w:val="1"/>
          <w:sz w:val="30"/>
          <w:szCs w:val="30"/>
          <w:lang w:val="en-US" w:eastAsia="zh-CN"/>
        </w:rPr>
        <w:t>中选</w:t>
      </w:r>
      <w:r>
        <w:rPr>
          <w:rFonts w:hint="eastAsia" w:ascii="仿宋_GB2312" w:hAnsi="仿宋_GB2312" w:eastAsia="仿宋_GB2312" w:cs="仿宋_GB2312"/>
          <w:bCs/>
          <w:color w:val="auto"/>
          <w:kern w:val="1"/>
          <w:sz w:val="30"/>
          <w:szCs w:val="30"/>
        </w:rPr>
        <w:t>人</w:t>
      </w:r>
      <w:r>
        <w:rPr>
          <w:rFonts w:hint="eastAsia" w:ascii="仿宋_GB2312" w:hAnsi="仿宋_GB2312" w:eastAsia="仿宋_GB2312" w:cs="仿宋_GB2312"/>
          <w:bCs/>
          <w:color w:val="auto"/>
          <w:kern w:val="1"/>
          <w:sz w:val="30"/>
          <w:szCs w:val="30"/>
          <w:lang w:eastAsia="zh-CN"/>
        </w:rPr>
        <w:t>于</w:t>
      </w:r>
      <w:r>
        <w:rPr>
          <w:rFonts w:hint="eastAsia" w:ascii="仿宋_GB2312" w:hAnsi="仿宋_GB2312" w:eastAsia="仿宋_GB2312" w:cs="仿宋_GB2312"/>
          <w:bCs/>
          <w:color w:val="auto"/>
          <w:kern w:val="1"/>
          <w:sz w:val="30"/>
          <w:szCs w:val="30"/>
        </w:rPr>
        <w:t>五个工作日内返还</w:t>
      </w:r>
      <w:r>
        <w:rPr>
          <w:rFonts w:hint="eastAsia" w:ascii="仿宋_GB2312" w:hAnsi="仿宋_GB2312" w:eastAsia="仿宋_GB2312" w:cs="仿宋_GB2312"/>
          <w:bCs/>
          <w:color w:val="auto"/>
          <w:kern w:val="1"/>
          <w:sz w:val="30"/>
          <w:szCs w:val="30"/>
          <w:lang w:val="en-US" w:eastAsia="zh-CN"/>
        </w:rPr>
        <w:t>采购</w:t>
      </w:r>
      <w:r>
        <w:rPr>
          <w:rFonts w:hint="eastAsia" w:ascii="仿宋_GB2312" w:hAnsi="仿宋_GB2312" w:eastAsia="仿宋_GB2312" w:cs="仿宋_GB2312"/>
          <w:bCs/>
          <w:color w:val="auto"/>
          <w:kern w:val="1"/>
          <w:sz w:val="30"/>
          <w:szCs w:val="30"/>
        </w:rPr>
        <w:t>人合同</w:t>
      </w:r>
      <w:r>
        <w:rPr>
          <w:rFonts w:hint="eastAsia" w:ascii="仿宋_GB2312" w:hAnsi="仿宋_GB2312" w:eastAsia="仿宋_GB2312" w:cs="仿宋_GB2312"/>
          <w:bCs/>
          <w:color w:val="auto"/>
          <w:kern w:val="1"/>
          <w:sz w:val="30"/>
          <w:szCs w:val="30"/>
          <w:lang w:val="en-US" w:eastAsia="zh-CN"/>
        </w:rPr>
        <w:t>相关款项</w:t>
      </w:r>
      <w:r>
        <w:rPr>
          <w:rFonts w:hint="eastAsia" w:ascii="仿宋_GB2312" w:hAnsi="仿宋_GB2312" w:eastAsia="仿宋_GB2312" w:cs="仿宋_GB2312"/>
          <w:bCs/>
          <w:color w:val="auto"/>
          <w:kern w:val="1"/>
          <w:sz w:val="30"/>
          <w:szCs w:val="30"/>
        </w:rPr>
        <w:t>并按合同总额</w:t>
      </w:r>
      <w:r>
        <w:rPr>
          <w:rFonts w:hint="eastAsia" w:ascii="仿宋_GB2312" w:hAnsi="仿宋_GB2312" w:eastAsia="仿宋_GB2312" w:cs="仿宋_GB2312"/>
          <w:bCs/>
          <w:color w:val="auto"/>
          <w:kern w:val="1"/>
          <w:sz w:val="30"/>
          <w:szCs w:val="30"/>
          <w:lang w:eastAsia="zh-CN"/>
        </w:rPr>
        <w:t>的</w:t>
      </w:r>
      <w:r>
        <w:rPr>
          <w:rFonts w:hint="eastAsia" w:ascii="仿宋_GB2312" w:hAnsi="仿宋_GB2312" w:eastAsia="仿宋_GB2312" w:cs="仿宋_GB2312"/>
          <w:bCs/>
          <w:color w:val="auto"/>
          <w:kern w:val="1"/>
          <w:sz w:val="30"/>
          <w:szCs w:val="30"/>
        </w:rPr>
        <w:t>20%</w:t>
      </w:r>
      <w:r>
        <w:rPr>
          <w:rFonts w:hint="eastAsia" w:ascii="仿宋_GB2312" w:hAnsi="仿宋_GB2312" w:eastAsia="仿宋_GB2312" w:cs="仿宋_GB2312"/>
          <w:bCs/>
          <w:color w:val="auto"/>
          <w:kern w:val="1"/>
          <w:sz w:val="30"/>
          <w:szCs w:val="30"/>
          <w:lang w:eastAsia="zh-CN"/>
        </w:rPr>
        <w:t>承担</w:t>
      </w:r>
      <w:r>
        <w:rPr>
          <w:rFonts w:hint="eastAsia" w:ascii="仿宋_GB2312" w:hAnsi="仿宋_GB2312" w:eastAsia="仿宋_GB2312" w:cs="仿宋_GB2312"/>
          <w:bCs/>
          <w:color w:val="auto"/>
          <w:kern w:val="1"/>
          <w:sz w:val="30"/>
          <w:szCs w:val="30"/>
        </w:rPr>
        <w:t>违约责任。</w:t>
      </w:r>
    </w:p>
    <w:p w14:paraId="69177E17">
      <w:pPr>
        <w:adjustRightInd w:val="0"/>
        <w:snapToGrid w:val="0"/>
        <w:spacing w:line="360" w:lineRule="auto"/>
        <w:ind w:firstLine="600" w:firstLineChars="200"/>
        <w:jc w:val="left"/>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2.</w:t>
      </w:r>
      <w:r>
        <w:rPr>
          <w:rFonts w:hint="eastAsia" w:ascii="仿宋_GB2312" w:hAnsi="仿宋_GB2312" w:eastAsia="仿宋_GB2312" w:cs="仿宋_GB2312"/>
          <w:bCs/>
          <w:color w:val="auto"/>
          <w:kern w:val="1"/>
          <w:sz w:val="30"/>
          <w:szCs w:val="30"/>
          <w:lang w:val="en-US" w:eastAsia="zh-CN"/>
        </w:rPr>
        <w:t>中选</w:t>
      </w:r>
      <w:r>
        <w:rPr>
          <w:rFonts w:hint="eastAsia" w:ascii="仿宋_GB2312" w:hAnsi="仿宋_GB2312" w:eastAsia="仿宋_GB2312" w:cs="仿宋_GB2312"/>
          <w:bCs/>
          <w:color w:val="auto"/>
          <w:kern w:val="1"/>
          <w:sz w:val="30"/>
          <w:szCs w:val="30"/>
        </w:rPr>
        <w:t>人</w:t>
      </w:r>
      <w:r>
        <w:rPr>
          <w:rFonts w:hint="eastAsia" w:ascii="仿宋_GB2312" w:hAnsi="仿宋_GB2312" w:eastAsia="仿宋_GB2312" w:cs="仿宋_GB2312"/>
          <w:bCs/>
          <w:color w:val="auto"/>
          <w:kern w:val="1"/>
          <w:sz w:val="30"/>
          <w:szCs w:val="30"/>
          <w:lang w:val="en-US" w:eastAsia="zh-CN"/>
        </w:rPr>
        <w:t>维修保养</w:t>
      </w:r>
      <w:r>
        <w:rPr>
          <w:rFonts w:hint="eastAsia" w:ascii="仿宋_GB2312" w:hAnsi="仿宋_GB2312" w:eastAsia="仿宋_GB2312" w:cs="仿宋_GB2312"/>
          <w:bCs/>
          <w:color w:val="auto"/>
          <w:kern w:val="1"/>
          <w:sz w:val="30"/>
          <w:szCs w:val="30"/>
          <w:lang w:eastAsia="zh-CN"/>
        </w:rPr>
        <w:t>项目完成后</w:t>
      </w:r>
      <w:r>
        <w:rPr>
          <w:rFonts w:hint="eastAsia" w:ascii="仿宋_GB2312" w:hAnsi="仿宋_GB2312" w:eastAsia="仿宋_GB2312" w:cs="仿宋_GB2312"/>
          <w:bCs/>
          <w:color w:val="auto"/>
          <w:kern w:val="1"/>
          <w:sz w:val="30"/>
          <w:szCs w:val="30"/>
        </w:rPr>
        <w:t>，经</w:t>
      </w:r>
      <w:r>
        <w:rPr>
          <w:rFonts w:hint="eastAsia" w:ascii="仿宋_GB2312" w:hAnsi="仿宋_GB2312" w:eastAsia="仿宋_GB2312" w:cs="仿宋_GB2312"/>
          <w:bCs/>
          <w:color w:val="auto"/>
          <w:kern w:val="1"/>
          <w:sz w:val="30"/>
          <w:szCs w:val="30"/>
          <w:lang w:eastAsia="zh-CN"/>
        </w:rPr>
        <w:t>验收</w:t>
      </w:r>
      <w:r>
        <w:rPr>
          <w:rFonts w:hint="eastAsia" w:ascii="仿宋_GB2312" w:hAnsi="仿宋_GB2312" w:eastAsia="仿宋_GB2312" w:cs="仿宋_GB2312"/>
          <w:bCs/>
          <w:color w:val="auto"/>
          <w:kern w:val="1"/>
          <w:sz w:val="30"/>
          <w:szCs w:val="30"/>
        </w:rPr>
        <w:t>不合格的，</w:t>
      </w:r>
      <w:r>
        <w:rPr>
          <w:rFonts w:hint="eastAsia" w:ascii="仿宋_GB2312" w:hAnsi="仿宋_GB2312" w:eastAsia="仿宋_GB2312" w:cs="仿宋_GB2312"/>
          <w:bCs/>
          <w:color w:val="auto"/>
          <w:kern w:val="1"/>
          <w:sz w:val="30"/>
          <w:szCs w:val="30"/>
          <w:lang w:val="en-US" w:eastAsia="zh-CN"/>
        </w:rPr>
        <w:t>采购</w:t>
      </w:r>
      <w:r>
        <w:rPr>
          <w:rFonts w:hint="eastAsia" w:ascii="仿宋_GB2312" w:hAnsi="仿宋_GB2312" w:eastAsia="仿宋_GB2312" w:cs="仿宋_GB2312"/>
          <w:bCs/>
          <w:color w:val="auto"/>
          <w:kern w:val="1"/>
          <w:sz w:val="30"/>
          <w:szCs w:val="30"/>
        </w:rPr>
        <w:t>人可选择以下处理方式：</w:t>
      </w:r>
    </w:p>
    <w:p w14:paraId="7F3AE412">
      <w:pPr>
        <w:adjustRightInd w:val="0"/>
        <w:snapToGrid w:val="0"/>
        <w:spacing w:line="360" w:lineRule="auto"/>
        <w:ind w:firstLine="600" w:firstLineChars="200"/>
        <w:jc w:val="left"/>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（1）</w:t>
      </w:r>
      <w:r>
        <w:rPr>
          <w:rFonts w:hint="eastAsia" w:ascii="仿宋_GB2312" w:hAnsi="仿宋_GB2312" w:eastAsia="仿宋_GB2312" w:cs="仿宋_GB2312"/>
          <w:bCs/>
          <w:color w:val="auto"/>
          <w:kern w:val="1"/>
          <w:sz w:val="30"/>
          <w:szCs w:val="30"/>
          <w:lang w:val="en-US" w:eastAsia="zh-CN"/>
        </w:rPr>
        <w:t>采购</w:t>
      </w:r>
      <w:r>
        <w:rPr>
          <w:rFonts w:hint="eastAsia" w:ascii="仿宋_GB2312" w:hAnsi="仿宋_GB2312" w:eastAsia="仿宋_GB2312" w:cs="仿宋_GB2312"/>
          <w:bCs/>
          <w:color w:val="auto"/>
          <w:kern w:val="1"/>
          <w:sz w:val="30"/>
          <w:szCs w:val="30"/>
        </w:rPr>
        <w:t>人选择</w:t>
      </w:r>
      <w:r>
        <w:rPr>
          <w:rFonts w:hint="eastAsia" w:ascii="仿宋_GB2312" w:hAnsi="仿宋_GB2312" w:eastAsia="仿宋_GB2312" w:cs="仿宋_GB2312"/>
          <w:bCs/>
          <w:color w:val="auto"/>
          <w:kern w:val="1"/>
          <w:sz w:val="30"/>
          <w:szCs w:val="30"/>
          <w:lang w:val="en-US" w:eastAsia="zh-CN"/>
        </w:rPr>
        <w:t>重新维修保养</w:t>
      </w:r>
      <w:r>
        <w:rPr>
          <w:rFonts w:hint="eastAsia" w:ascii="仿宋_GB2312" w:hAnsi="仿宋_GB2312" w:eastAsia="仿宋_GB2312" w:cs="仿宋_GB2312"/>
          <w:bCs/>
          <w:color w:val="auto"/>
          <w:kern w:val="1"/>
          <w:sz w:val="30"/>
          <w:szCs w:val="30"/>
        </w:rPr>
        <w:t>的，</w:t>
      </w:r>
      <w:r>
        <w:rPr>
          <w:rFonts w:hint="eastAsia" w:ascii="仿宋_GB2312" w:hAnsi="仿宋_GB2312" w:eastAsia="仿宋_GB2312" w:cs="仿宋_GB2312"/>
          <w:bCs/>
          <w:color w:val="auto"/>
          <w:kern w:val="1"/>
          <w:sz w:val="30"/>
          <w:szCs w:val="30"/>
          <w:lang w:val="en-US" w:eastAsia="zh-CN"/>
        </w:rPr>
        <w:t>重新维修保养</w:t>
      </w:r>
      <w:r>
        <w:rPr>
          <w:rFonts w:hint="eastAsia" w:ascii="仿宋_GB2312" w:hAnsi="仿宋_GB2312" w:eastAsia="仿宋_GB2312" w:cs="仿宋_GB2312"/>
          <w:bCs/>
          <w:color w:val="auto"/>
          <w:kern w:val="1"/>
          <w:sz w:val="30"/>
          <w:szCs w:val="30"/>
        </w:rPr>
        <w:t>所产生的费用由</w:t>
      </w:r>
      <w:r>
        <w:rPr>
          <w:rFonts w:hint="eastAsia" w:ascii="仿宋_GB2312" w:hAnsi="仿宋_GB2312" w:eastAsia="仿宋_GB2312" w:cs="仿宋_GB2312"/>
          <w:bCs/>
          <w:color w:val="auto"/>
          <w:kern w:val="1"/>
          <w:sz w:val="30"/>
          <w:szCs w:val="30"/>
          <w:lang w:val="en-US" w:eastAsia="zh-CN"/>
        </w:rPr>
        <w:t>中选</w:t>
      </w:r>
      <w:r>
        <w:rPr>
          <w:rFonts w:hint="eastAsia" w:ascii="仿宋_GB2312" w:hAnsi="仿宋_GB2312" w:eastAsia="仿宋_GB2312" w:cs="仿宋_GB2312"/>
          <w:bCs/>
          <w:color w:val="auto"/>
          <w:kern w:val="1"/>
          <w:sz w:val="30"/>
          <w:szCs w:val="30"/>
        </w:rPr>
        <w:t>人承担。经</w:t>
      </w:r>
      <w:r>
        <w:rPr>
          <w:rFonts w:hint="eastAsia" w:ascii="仿宋_GB2312" w:hAnsi="仿宋_GB2312" w:eastAsia="仿宋_GB2312" w:cs="仿宋_GB2312"/>
          <w:bCs/>
          <w:color w:val="auto"/>
          <w:kern w:val="1"/>
          <w:sz w:val="30"/>
          <w:szCs w:val="30"/>
          <w:lang w:val="en-US" w:eastAsia="zh-CN"/>
        </w:rPr>
        <w:t>采购</w:t>
      </w:r>
      <w:r>
        <w:rPr>
          <w:rFonts w:hint="eastAsia" w:ascii="仿宋_GB2312" w:hAnsi="仿宋_GB2312" w:eastAsia="仿宋_GB2312" w:cs="仿宋_GB2312"/>
          <w:bCs/>
          <w:color w:val="auto"/>
          <w:kern w:val="1"/>
          <w:sz w:val="30"/>
          <w:szCs w:val="30"/>
        </w:rPr>
        <w:t>人同意</w:t>
      </w:r>
      <w:r>
        <w:rPr>
          <w:rFonts w:hint="eastAsia" w:ascii="仿宋_GB2312" w:hAnsi="仿宋_GB2312" w:eastAsia="仿宋_GB2312" w:cs="仿宋_GB2312"/>
          <w:bCs/>
          <w:color w:val="auto"/>
          <w:kern w:val="1"/>
          <w:sz w:val="30"/>
          <w:szCs w:val="30"/>
          <w:lang w:val="en-US" w:eastAsia="zh-CN"/>
        </w:rPr>
        <w:t>中选</w:t>
      </w:r>
      <w:r>
        <w:rPr>
          <w:rFonts w:hint="eastAsia" w:ascii="仿宋_GB2312" w:hAnsi="仿宋_GB2312" w:eastAsia="仿宋_GB2312" w:cs="仿宋_GB2312"/>
          <w:bCs/>
          <w:color w:val="auto"/>
          <w:kern w:val="1"/>
          <w:sz w:val="30"/>
          <w:szCs w:val="30"/>
        </w:rPr>
        <w:t>人</w:t>
      </w:r>
      <w:r>
        <w:rPr>
          <w:rFonts w:hint="eastAsia" w:ascii="仿宋_GB2312" w:hAnsi="仿宋_GB2312" w:eastAsia="仿宋_GB2312" w:cs="仿宋_GB2312"/>
          <w:bCs/>
          <w:color w:val="auto"/>
          <w:kern w:val="1"/>
          <w:sz w:val="30"/>
          <w:szCs w:val="30"/>
          <w:lang w:val="en-US" w:eastAsia="zh-CN"/>
        </w:rPr>
        <w:t>重新维修保养</w:t>
      </w:r>
      <w:r>
        <w:rPr>
          <w:rFonts w:hint="eastAsia" w:ascii="仿宋_GB2312" w:hAnsi="仿宋_GB2312" w:eastAsia="仿宋_GB2312" w:cs="仿宋_GB2312"/>
          <w:bCs/>
          <w:color w:val="auto"/>
          <w:kern w:val="1"/>
          <w:sz w:val="30"/>
          <w:szCs w:val="30"/>
        </w:rPr>
        <w:t>的，需在</w:t>
      </w:r>
      <w:r>
        <w:rPr>
          <w:rFonts w:hint="eastAsia" w:ascii="仿宋_GB2312" w:hAnsi="仿宋_GB2312" w:eastAsia="仿宋_GB2312" w:cs="仿宋_GB2312"/>
          <w:bCs/>
          <w:color w:val="auto"/>
          <w:kern w:val="1"/>
          <w:sz w:val="30"/>
          <w:szCs w:val="30"/>
          <w:lang w:val="en-US" w:eastAsia="zh-CN"/>
        </w:rPr>
        <w:t>采购</w:t>
      </w:r>
      <w:r>
        <w:rPr>
          <w:rFonts w:hint="eastAsia" w:ascii="仿宋_GB2312" w:hAnsi="仿宋_GB2312" w:eastAsia="仿宋_GB2312" w:cs="仿宋_GB2312"/>
          <w:bCs/>
          <w:color w:val="auto"/>
          <w:kern w:val="1"/>
          <w:sz w:val="30"/>
          <w:szCs w:val="30"/>
        </w:rPr>
        <w:t>人第一次验收不合格之日起</w:t>
      </w:r>
      <w:r>
        <w:rPr>
          <w:rFonts w:hint="eastAsia" w:ascii="仿宋_GB2312" w:hAnsi="仿宋_GB2312" w:eastAsia="仿宋_GB2312" w:cs="仿宋_GB2312"/>
          <w:bCs/>
          <w:color w:val="auto"/>
          <w:kern w:val="1"/>
          <w:sz w:val="30"/>
          <w:szCs w:val="30"/>
          <w:lang w:eastAsia="zh-CN"/>
        </w:rPr>
        <w:t>在相应的合同</w:t>
      </w:r>
      <w:r>
        <w:rPr>
          <w:rFonts w:hint="eastAsia" w:ascii="仿宋_GB2312" w:hAnsi="仿宋_GB2312" w:eastAsia="仿宋_GB2312" w:cs="仿宋_GB2312"/>
          <w:bCs/>
          <w:color w:val="auto"/>
          <w:kern w:val="1"/>
          <w:sz w:val="30"/>
          <w:szCs w:val="30"/>
          <w:lang w:val="en-US" w:eastAsia="zh-CN"/>
        </w:rPr>
        <w:t>服务</w:t>
      </w:r>
      <w:r>
        <w:rPr>
          <w:rFonts w:hint="eastAsia" w:ascii="仿宋_GB2312" w:hAnsi="仿宋_GB2312" w:eastAsia="仿宋_GB2312" w:cs="仿宋_GB2312"/>
          <w:bCs/>
          <w:color w:val="auto"/>
          <w:kern w:val="1"/>
          <w:sz w:val="30"/>
          <w:szCs w:val="30"/>
          <w:lang w:eastAsia="zh-CN"/>
        </w:rPr>
        <w:t>期</w:t>
      </w:r>
      <w:r>
        <w:rPr>
          <w:rFonts w:hint="eastAsia" w:ascii="仿宋_GB2312" w:hAnsi="仿宋_GB2312" w:eastAsia="仿宋_GB2312" w:cs="仿宋_GB2312"/>
          <w:bCs/>
          <w:color w:val="auto"/>
          <w:kern w:val="1"/>
          <w:sz w:val="30"/>
          <w:szCs w:val="30"/>
        </w:rPr>
        <w:t>内</w:t>
      </w:r>
      <w:r>
        <w:rPr>
          <w:rFonts w:hint="eastAsia" w:ascii="仿宋_GB2312" w:hAnsi="仿宋_GB2312" w:eastAsia="仿宋_GB2312" w:cs="仿宋_GB2312"/>
          <w:bCs/>
          <w:color w:val="auto"/>
          <w:kern w:val="1"/>
          <w:sz w:val="30"/>
          <w:szCs w:val="30"/>
          <w:lang w:val="en-US" w:eastAsia="zh-CN"/>
        </w:rPr>
        <w:t>提供服务</w:t>
      </w:r>
      <w:r>
        <w:rPr>
          <w:rFonts w:hint="eastAsia" w:ascii="仿宋_GB2312" w:hAnsi="仿宋_GB2312" w:eastAsia="仿宋_GB2312" w:cs="仿宋_GB2312"/>
          <w:bCs/>
          <w:color w:val="auto"/>
          <w:kern w:val="1"/>
          <w:sz w:val="30"/>
          <w:szCs w:val="30"/>
        </w:rPr>
        <w:t>，逾期</w:t>
      </w:r>
      <w:r>
        <w:rPr>
          <w:rFonts w:hint="eastAsia" w:ascii="仿宋_GB2312" w:hAnsi="仿宋_GB2312" w:eastAsia="仿宋_GB2312" w:cs="仿宋_GB2312"/>
          <w:bCs/>
          <w:color w:val="auto"/>
          <w:kern w:val="1"/>
          <w:sz w:val="30"/>
          <w:szCs w:val="30"/>
          <w:lang w:val="en-US" w:eastAsia="zh-CN"/>
        </w:rPr>
        <w:t>提供服务</w:t>
      </w:r>
      <w:r>
        <w:rPr>
          <w:rFonts w:hint="eastAsia" w:ascii="仿宋_GB2312" w:hAnsi="仿宋_GB2312" w:eastAsia="仿宋_GB2312" w:cs="仿宋_GB2312"/>
          <w:bCs/>
          <w:color w:val="auto"/>
          <w:kern w:val="1"/>
          <w:sz w:val="30"/>
          <w:szCs w:val="30"/>
        </w:rPr>
        <w:t>的，违约责任参照第1款执行。</w:t>
      </w:r>
    </w:p>
    <w:p w14:paraId="4D845618">
      <w:pPr>
        <w:adjustRightInd w:val="0"/>
        <w:snapToGrid w:val="0"/>
        <w:spacing w:line="360" w:lineRule="auto"/>
        <w:ind w:firstLine="600" w:firstLineChars="200"/>
        <w:jc w:val="left"/>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（2）</w:t>
      </w:r>
      <w:r>
        <w:rPr>
          <w:rFonts w:hint="eastAsia" w:ascii="仿宋_GB2312" w:hAnsi="仿宋_GB2312" w:eastAsia="仿宋_GB2312" w:cs="仿宋_GB2312"/>
          <w:bCs/>
          <w:color w:val="auto"/>
          <w:kern w:val="1"/>
          <w:sz w:val="30"/>
          <w:szCs w:val="30"/>
          <w:lang w:val="en-US" w:eastAsia="zh-CN"/>
        </w:rPr>
        <w:t>采购</w:t>
      </w:r>
      <w:r>
        <w:rPr>
          <w:rFonts w:hint="eastAsia" w:ascii="仿宋_GB2312" w:hAnsi="仿宋_GB2312" w:eastAsia="仿宋_GB2312" w:cs="仿宋_GB2312"/>
          <w:bCs/>
          <w:color w:val="auto"/>
          <w:kern w:val="1"/>
          <w:sz w:val="30"/>
          <w:szCs w:val="30"/>
        </w:rPr>
        <w:t>人选择解除合同的，</w:t>
      </w:r>
      <w:r>
        <w:rPr>
          <w:rFonts w:hint="eastAsia" w:ascii="仿宋_GB2312" w:hAnsi="仿宋_GB2312" w:eastAsia="仿宋_GB2312" w:cs="仿宋_GB2312"/>
          <w:bCs/>
          <w:color w:val="auto"/>
          <w:kern w:val="1"/>
          <w:sz w:val="30"/>
          <w:szCs w:val="30"/>
          <w:lang w:val="en-US" w:eastAsia="zh-CN"/>
        </w:rPr>
        <w:t>中选</w:t>
      </w:r>
      <w:r>
        <w:rPr>
          <w:rFonts w:hint="eastAsia" w:ascii="仿宋_GB2312" w:hAnsi="仿宋_GB2312" w:eastAsia="仿宋_GB2312" w:cs="仿宋_GB2312"/>
          <w:bCs/>
          <w:color w:val="auto"/>
          <w:kern w:val="1"/>
          <w:sz w:val="30"/>
          <w:szCs w:val="30"/>
        </w:rPr>
        <w:t>人需在检验不合格之日起五个工作日内返还买受人合同</w:t>
      </w:r>
      <w:r>
        <w:rPr>
          <w:rFonts w:hint="eastAsia" w:ascii="仿宋_GB2312" w:hAnsi="仿宋_GB2312" w:eastAsia="仿宋_GB2312" w:cs="仿宋_GB2312"/>
          <w:bCs/>
          <w:color w:val="auto"/>
          <w:kern w:val="1"/>
          <w:sz w:val="30"/>
          <w:szCs w:val="30"/>
          <w:lang w:val="en-US" w:eastAsia="zh-CN"/>
        </w:rPr>
        <w:t>相关款项</w:t>
      </w:r>
      <w:r>
        <w:rPr>
          <w:rFonts w:hint="eastAsia" w:ascii="仿宋_GB2312" w:hAnsi="仿宋_GB2312" w:eastAsia="仿宋_GB2312" w:cs="仿宋_GB2312"/>
          <w:bCs/>
          <w:color w:val="auto"/>
          <w:kern w:val="1"/>
          <w:sz w:val="30"/>
          <w:szCs w:val="30"/>
        </w:rPr>
        <w:t>，并赔偿合同总</w:t>
      </w:r>
      <w:r>
        <w:rPr>
          <w:rFonts w:hint="eastAsia" w:ascii="仿宋_GB2312" w:hAnsi="仿宋_GB2312" w:eastAsia="仿宋_GB2312" w:cs="仿宋_GB2312"/>
          <w:bCs/>
          <w:color w:val="auto"/>
          <w:kern w:val="1"/>
          <w:sz w:val="30"/>
          <w:szCs w:val="30"/>
          <w:lang w:val="en-US" w:eastAsia="zh-CN"/>
        </w:rPr>
        <w:t>额</w:t>
      </w:r>
      <w:r>
        <w:rPr>
          <w:rFonts w:hint="eastAsia" w:ascii="仿宋_GB2312" w:hAnsi="仿宋_GB2312" w:eastAsia="仿宋_GB2312" w:cs="仿宋_GB2312"/>
          <w:bCs/>
          <w:color w:val="auto"/>
          <w:kern w:val="1"/>
          <w:sz w:val="30"/>
          <w:szCs w:val="30"/>
        </w:rPr>
        <w:t>的20%违约金给</w:t>
      </w:r>
      <w:r>
        <w:rPr>
          <w:rFonts w:hint="eastAsia" w:ascii="仿宋_GB2312" w:hAnsi="仿宋_GB2312" w:eastAsia="仿宋_GB2312" w:cs="仿宋_GB2312"/>
          <w:bCs/>
          <w:color w:val="auto"/>
          <w:kern w:val="1"/>
          <w:sz w:val="30"/>
          <w:szCs w:val="30"/>
          <w:lang w:val="en-US" w:eastAsia="zh-CN"/>
        </w:rPr>
        <w:t>采购</w:t>
      </w:r>
      <w:r>
        <w:rPr>
          <w:rFonts w:hint="eastAsia" w:ascii="仿宋_GB2312" w:hAnsi="仿宋_GB2312" w:eastAsia="仿宋_GB2312" w:cs="仿宋_GB2312"/>
          <w:bCs/>
          <w:color w:val="auto"/>
          <w:kern w:val="1"/>
          <w:sz w:val="30"/>
          <w:szCs w:val="30"/>
        </w:rPr>
        <w:t>人。</w:t>
      </w:r>
    </w:p>
    <w:p w14:paraId="3E52AAEB">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eastAsia="zh-CN"/>
        </w:rPr>
        <w:t>二</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eastAsia="zh-CN"/>
        </w:rPr>
        <w:t>中选</w:t>
      </w:r>
      <w:r>
        <w:rPr>
          <w:rFonts w:hint="eastAsia" w:ascii="仿宋_GB2312" w:hAnsi="仿宋_GB2312" w:eastAsia="仿宋_GB2312" w:cs="仿宋_GB2312"/>
          <w:bCs/>
          <w:color w:val="auto"/>
          <w:kern w:val="1"/>
          <w:sz w:val="30"/>
          <w:szCs w:val="30"/>
        </w:rPr>
        <w:t>人</w:t>
      </w:r>
      <w:r>
        <w:rPr>
          <w:rFonts w:hint="eastAsia" w:ascii="仿宋_GB2312" w:hAnsi="仿宋_GB2312" w:eastAsia="仿宋_GB2312" w:cs="仿宋_GB2312"/>
          <w:bCs/>
          <w:color w:val="auto"/>
          <w:kern w:val="1"/>
          <w:sz w:val="30"/>
          <w:szCs w:val="30"/>
          <w:lang w:eastAsia="zh-CN"/>
        </w:rPr>
        <w:t>中选</w:t>
      </w:r>
      <w:r>
        <w:rPr>
          <w:rFonts w:hint="eastAsia" w:ascii="仿宋_GB2312" w:hAnsi="仿宋_GB2312" w:eastAsia="仿宋_GB2312" w:cs="仿宋_GB2312"/>
          <w:bCs/>
          <w:color w:val="auto"/>
          <w:kern w:val="1"/>
          <w:sz w:val="30"/>
          <w:szCs w:val="30"/>
        </w:rPr>
        <w:t>以后应严格按照</w:t>
      </w:r>
      <w:r>
        <w:rPr>
          <w:rFonts w:hint="eastAsia" w:ascii="仿宋_GB2312" w:hAnsi="仿宋_GB2312" w:eastAsia="仿宋_GB2312" w:cs="仿宋_GB2312"/>
          <w:bCs/>
          <w:color w:val="auto"/>
          <w:kern w:val="1"/>
          <w:sz w:val="30"/>
          <w:szCs w:val="30"/>
          <w:lang w:val="en-US" w:eastAsia="zh-CN"/>
        </w:rPr>
        <w:t>采购文件</w:t>
      </w:r>
      <w:r>
        <w:rPr>
          <w:rFonts w:hint="eastAsia" w:ascii="仿宋_GB2312" w:hAnsi="仿宋_GB2312" w:eastAsia="仿宋_GB2312" w:cs="仿宋_GB2312"/>
          <w:bCs/>
          <w:color w:val="auto"/>
          <w:kern w:val="1"/>
          <w:sz w:val="30"/>
          <w:szCs w:val="30"/>
        </w:rPr>
        <w:t>约定与</w:t>
      </w:r>
      <w:r>
        <w:rPr>
          <w:rFonts w:hint="eastAsia" w:ascii="仿宋_GB2312" w:hAnsi="仿宋_GB2312" w:eastAsia="仿宋_GB2312" w:cs="仿宋_GB2312"/>
          <w:bCs/>
          <w:color w:val="auto"/>
          <w:kern w:val="1"/>
          <w:sz w:val="30"/>
          <w:szCs w:val="30"/>
          <w:lang w:eastAsia="zh-CN"/>
        </w:rPr>
        <w:t>采购</w:t>
      </w:r>
      <w:r>
        <w:rPr>
          <w:rFonts w:hint="eastAsia" w:ascii="仿宋_GB2312" w:hAnsi="仿宋_GB2312" w:eastAsia="仿宋_GB2312" w:cs="仿宋_GB2312"/>
          <w:bCs/>
          <w:color w:val="auto"/>
          <w:kern w:val="1"/>
          <w:sz w:val="30"/>
          <w:szCs w:val="30"/>
        </w:rPr>
        <w:t>方</w:t>
      </w:r>
      <w:r>
        <w:rPr>
          <w:rFonts w:hint="eastAsia" w:ascii="仿宋_GB2312" w:hAnsi="仿宋_GB2312" w:eastAsia="仿宋_GB2312" w:cs="仿宋_GB2312"/>
          <w:bCs/>
          <w:color w:val="auto"/>
          <w:kern w:val="1"/>
          <w:sz w:val="30"/>
          <w:szCs w:val="30"/>
          <w:lang w:eastAsia="zh-CN"/>
        </w:rPr>
        <w:t>签订</w:t>
      </w:r>
      <w:r>
        <w:rPr>
          <w:rFonts w:hint="eastAsia" w:ascii="仿宋_GB2312" w:hAnsi="仿宋_GB2312" w:eastAsia="仿宋_GB2312" w:cs="仿宋_GB2312"/>
          <w:bCs/>
          <w:color w:val="auto"/>
          <w:kern w:val="1"/>
          <w:sz w:val="30"/>
          <w:szCs w:val="30"/>
        </w:rPr>
        <w:t>供需合同，并按合同约定做好服务工作。对</w:t>
      </w:r>
      <w:r>
        <w:rPr>
          <w:rFonts w:hint="eastAsia" w:ascii="仿宋_GB2312" w:hAnsi="仿宋_GB2312" w:eastAsia="仿宋_GB2312" w:cs="仿宋_GB2312"/>
          <w:bCs/>
          <w:color w:val="auto"/>
          <w:kern w:val="1"/>
          <w:sz w:val="30"/>
          <w:szCs w:val="30"/>
          <w:lang w:eastAsia="zh-CN"/>
        </w:rPr>
        <w:t>中选</w:t>
      </w:r>
      <w:r>
        <w:rPr>
          <w:rFonts w:hint="eastAsia" w:ascii="仿宋_GB2312" w:hAnsi="仿宋_GB2312" w:eastAsia="仿宋_GB2312" w:cs="仿宋_GB2312"/>
          <w:bCs/>
          <w:color w:val="auto"/>
          <w:kern w:val="1"/>
          <w:sz w:val="30"/>
          <w:szCs w:val="30"/>
        </w:rPr>
        <w:t>人所有违背</w:t>
      </w:r>
      <w:r>
        <w:rPr>
          <w:rFonts w:hint="eastAsia" w:ascii="仿宋_GB2312" w:hAnsi="仿宋_GB2312" w:eastAsia="仿宋_GB2312" w:cs="仿宋_GB2312"/>
          <w:bCs/>
          <w:color w:val="auto"/>
          <w:kern w:val="1"/>
          <w:sz w:val="30"/>
          <w:szCs w:val="30"/>
          <w:lang w:val="en-US" w:eastAsia="zh-CN"/>
        </w:rPr>
        <w:t>采购文件</w:t>
      </w:r>
      <w:r>
        <w:rPr>
          <w:rFonts w:hint="eastAsia" w:ascii="仿宋_GB2312" w:hAnsi="仿宋_GB2312" w:eastAsia="仿宋_GB2312" w:cs="仿宋_GB2312"/>
          <w:bCs/>
          <w:color w:val="auto"/>
          <w:kern w:val="1"/>
          <w:sz w:val="30"/>
          <w:szCs w:val="30"/>
        </w:rPr>
        <w:t>及合同约定的行为，</w:t>
      </w:r>
      <w:r>
        <w:rPr>
          <w:rFonts w:hint="eastAsia" w:ascii="仿宋_GB2312" w:hAnsi="仿宋_GB2312" w:eastAsia="仿宋_GB2312" w:cs="仿宋_GB2312"/>
          <w:bCs/>
          <w:color w:val="auto"/>
          <w:kern w:val="1"/>
          <w:sz w:val="30"/>
          <w:szCs w:val="30"/>
          <w:lang w:eastAsia="zh-CN"/>
        </w:rPr>
        <w:t>采购</w:t>
      </w:r>
      <w:r>
        <w:rPr>
          <w:rFonts w:hint="eastAsia" w:ascii="仿宋_GB2312" w:hAnsi="仿宋_GB2312" w:eastAsia="仿宋_GB2312" w:cs="仿宋_GB2312"/>
          <w:bCs/>
          <w:color w:val="auto"/>
          <w:kern w:val="1"/>
          <w:sz w:val="30"/>
          <w:szCs w:val="30"/>
        </w:rPr>
        <w:t>人均可持续保留与</w:t>
      </w:r>
      <w:r>
        <w:rPr>
          <w:rFonts w:hint="eastAsia" w:ascii="仿宋_GB2312" w:hAnsi="仿宋_GB2312" w:eastAsia="仿宋_GB2312" w:cs="仿宋_GB2312"/>
          <w:bCs/>
          <w:color w:val="auto"/>
          <w:kern w:val="1"/>
          <w:sz w:val="30"/>
          <w:szCs w:val="30"/>
          <w:lang w:eastAsia="zh-CN"/>
        </w:rPr>
        <w:t>中选</w:t>
      </w:r>
      <w:r>
        <w:rPr>
          <w:rFonts w:hint="eastAsia" w:ascii="仿宋_GB2312" w:hAnsi="仿宋_GB2312" w:eastAsia="仿宋_GB2312" w:cs="仿宋_GB2312"/>
          <w:bCs/>
          <w:color w:val="auto"/>
          <w:kern w:val="1"/>
          <w:sz w:val="30"/>
          <w:szCs w:val="30"/>
        </w:rPr>
        <w:t>方中止合作的一切权利。　</w:t>
      </w:r>
    </w:p>
    <w:p w14:paraId="4C525CAD">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eastAsia="zh-CN"/>
        </w:rPr>
        <w:t>三</w:t>
      </w:r>
      <w:r>
        <w:rPr>
          <w:rFonts w:hint="eastAsia" w:ascii="仿宋_GB2312" w:hAnsi="仿宋_GB2312" w:eastAsia="仿宋_GB2312" w:cs="仿宋_GB2312"/>
          <w:bCs/>
          <w:color w:val="auto"/>
          <w:kern w:val="1"/>
          <w:sz w:val="30"/>
          <w:szCs w:val="30"/>
        </w:rPr>
        <w:t>）如</w:t>
      </w:r>
      <w:r>
        <w:rPr>
          <w:rFonts w:hint="eastAsia" w:ascii="仿宋_GB2312" w:hAnsi="仿宋_GB2312" w:eastAsia="仿宋_GB2312" w:cs="仿宋_GB2312"/>
          <w:bCs/>
          <w:color w:val="auto"/>
          <w:kern w:val="1"/>
          <w:sz w:val="30"/>
          <w:szCs w:val="30"/>
          <w:lang w:val="en-US" w:eastAsia="zh-CN"/>
        </w:rPr>
        <w:t>中选</w:t>
      </w:r>
      <w:r>
        <w:rPr>
          <w:rFonts w:hint="eastAsia" w:ascii="仿宋_GB2312" w:hAnsi="仿宋_GB2312" w:eastAsia="仿宋_GB2312" w:cs="仿宋_GB2312"/>
          <w:bCs/>
          <w:color w:val="auto"/>
          <w:kern w:val="1"/>
          <w:sz w:val="30"/>
          <w:szCs w:val="30"/>
        </w:rPr>
        <w:t>人不能正常履约，对</w:t>
      </w:r>
      <w:r>
        <w:rPr>
          <w:rFonts w:hint="eastAsia" w:ascii="仿宋_GB2312" w:hAnsi="仿宋_GB2312" w:eastAsia="仿宋_GB2312" w:cs="仿宋_GB2312"/>
          <w:bCs/>
          <w:color w:val="auto"/>
          <w:kern w:val="1"/>
          <w:sz w:val="30"/>
          <w:szCs w:val="30"/>
          <w:lang w:eastAsia="zh-CN"/>
        </w:rPr>
        <w:t>采购</w:t>
      </w:r>
      <w:r>
        <w:rPr>
          <w:rFonts w:hint="eastAsia" w:ascii="仿宋_GB2312" w:hAnsi="仿宋_GB2312" w:eastAsia="仿宋_GB2312" w:cs="仿宋_GB2312"/>
          <w:bCs/>
          <w:color w:val="auto"/>
          <w:kern w:val="1"/>
          <w:sz w:val="30"/>
          <w:szCs w:val="30"/>
        </w:rPr>
        <w:t>人生产经营活动造成影响的，根据</w:t>
      </w:r>
      <w:r>
        <w:rPr>
          <w:rFonts w:hint="eastAsia" w:ascii="仿宋_GB2312" w:hAnsi="仿宋_GB2312" w:eastAsia="仿宋_GB2312" w:cs="仿宋_GB2312"/>
          <w:bCs/>
          <w:color w:val="auto"/>
          <w:kern w:val="1"/>
          <w:sz w:val="30"/>
          <w:szCs w:val="30"/>
          <w:lang w:val="en-US" w:eastAsia="zh-CN"/>
        </w:rPr>
        <w:t>《索普赛瑞供应商负面清单管理规定(2025年修订版)》</w:t>
      </w:r>
      <w:r>
        <w:rPr>
          <w:rFonts w:hint="eastAsia" w:ascii="仿宋_GB2312" w:hAnsi="仿宋_GB2312" w:eastAsia="仿宋_GB2312" w:cs="仿宋_GB2312"/>
          <w:bCs/>
          <w:color w:val="auto"/>
          <w:kern w:val="1"/>
          <w:sz w:val="30"/>
          <w:szCs w:val="30"/>
        </w:rPr>
        <w:t>（详见附件</w:t>
      </w:r>
      <w:r>
        <w:rPr>
          <w:rFonts w:hint="eastAsia" w:ascii="仿宋_GB2312" w:hAnsi="仿宋_GB2312" w:eastAsia="仿宋_GB2312" w:cs="仿宋_GB2312"/>
          <w:bCs/>
          <w:color w:val="auto"/>
          <w:kern w:val="1"/>
          <w:sz w:val="30"/>
          <w:szCs w:val="30"/>
          <w:lang w:val="en-US" w:eastAsia="zh-CN"/>
        </w:rPr>
        <w:t>3</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eastAsia="zh-CN"/>
        </w:rPr>
        <w:t>采购</w:t>
      </w:r>
      <w:r>
        <w:rPr>
          <w:rFonts w:hint="eastAsia" w:ascii="仿宋_GB2312" w:hAnsi="仿宋_GB2312" w:eastAsia="仿宋_GB2312" w:cs="仿宋_GB2312"/>
          <w:bCs/>
          <w:color w:val="auto"/>
          <w:kern w:val="1"/>
          <w:sz w:val="30"/>
          <w:szCs w:val="30"/>
        </w:rPr>
        <w:t>人</w:t>
      </w:r>
      <w:r>
        <w:rPr>
          <w:rFonts w:hint="eastAsia" w:ascii="仿宋_GB2312" w:hAnsi="仿宋_GB2312" w:eastAsia="仿宋_GB2312" w:cs="仿宋_GB2312"/>
          <w:bCs/>
          <w:color w:val="auto"/>
          <w:kern w:val="1"/>
          <w:sz w:val="30"/>
          <w:szCs w:val="30"/>
          <w:lang w:eastAsia="zh-CN"/>
        </w:rPr>
        <w:t>有权</w:t>
      </w:r>
      <w:r>
        <w:rPr>
          <w:rFonts w:hint="eastAsia" w:ascii="仿宋_GB2312" w:hAnsi="仿宋_GB2312" w:eastAsia="仿宋_GB2312" w:cs="仿宋_GB2312"/>
          <w:bCs/>
          <w:color w:val="auto"/>
          <w:kern w:val="1"/>
          <w:sz w:val="30"/>
          <w:szCs w:val="30"/>
        </w:rPr>
        <w:t>对违反</w:t>
      </w:r>
      <w:r>
        <w:rPr>
          <w:rFonts w:hint="eastAsia" w:ascii="仿宋_GB2312" w:hAnsi="仿宋_GB2312" w:eastAsia="仿宋_GB2312" w:cs="仿宋_GB2312"/>
          <w:bCs/>
          <w:color w:val="auto"/>
          <w:kern w:val="1"/>
          <w:sz w:val="30"/>
          <w:szCs w:val="30"/>
          <w:lang w:eastAsia="zh-CN"/>
        </w:rPr>
        <w:t>规定</w:t>
      </w:r>
      <w:r>
        <w:rPr>
          <w:rFonts w:hint="eastAsia" w:ascii="仿宋_GB2312" w:hAnsi="仿宋_GB2312" w:eastAsia="仿宋_GB2312" w:cs="仿宋_GB2312"/>
          <w:bCs/>
          <w:color w:val="auto"/>
          <w:kern w:val="1"/>
          <w:sz w:val="30"/>
          <w:szCs w:val="30"/>
        </w:rPr>
        <w:t>的</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人进行考核扣分</w:t>
      </w:r>
      <w:r>
        <w:rPr>
          <w:rFonts w:hint="eastAsia" w:ascii="仿宋_GB2312" w:hAnsi="仿宋_GB2312" w:eastAsia="仿宋_GB2312" w:cs="仿宋_GB2312"/>
          <w:bCs/>
          <w:color w:val="auto"/>
          <w:kern w:val="1"/>
          <w:sz w:val="30"/>
          <w:szCs w:val="30"/>
          <w:lang w:eastAsia="zh-CN"/>
        </w:rPr>
        <w:t>，对</w:t>
      </w:r>
      <w:r>
        <w:rPr>
          <w:rFonts w:hint="eastAsia" w:ascii="仿宋_GB2312" w:hAnsi="仿宋_GB2312" w:eastAsia="仿宋_GB2312" w:cs="仿宋_GB2312"/>
          <w:bCs/>
          <w:color w:val="auto"/>
          <w:kern w:val="1"/>
          <w:sz w:val="30"/>
          <w:szCs w:val="30"/>
        </w:rPr>
        <w:t>列入负面清单</w:t>
      </w:r>
      <w:r>
        <w:rPr>
          <w:rFonts w:hint="eastAsia" w:ascii="仿宋_GB2312" w:hAnsi="仿宋_GB2312" w:eastAsia="仿宋_GB2312" w:cs="仿宋_GB2312"/>
          <w:bCs/>
          <w:color w:val="auto"/>
          <w:kern w:val="1"/>
          <w:sz w:val="30"/>
          <w:szCs w:val="30"/>
          <w:lang w:eastAsia="zh-CN"/>
        </w:rPr>
        <w:t>的供应商</w:t>
      </w:r>
      <w:r>
        <w:rPr>
          <w:rFonts w:hint="eastAsia" w:ascii="仿宋_GB2312" w:hAnsi="仿宋_GB2312" w:eastAsia="仿宋_GB2312" w:cs="仿宋_GB2312"/>
          <w:bCs/>
          <w:color w:val="auto"/>
          <w:kern w:val="1"/>
          <w:sz w:val="30"/>
          <w:szCs w:val="30"/>
        </w:rPr>
        <w:t>，索普集团</w:t>
      </w:r>
      <w:r>
        <w:rPr>
          <w:rFonts w:hint="eastAsia" w:ascii="仿宋_GB2312" w:hAnsi="仿宋_GB2312" w:eastAsia="仿宋_GB2312" w:cs="仿宋_GB2312"/>
          <w:bCs/>
          <w:color w:val="auto"/>
          <w:kern w:val="1"/>
          <w:sz w:val="30"/>
          <w:szCs w:val="30"/>
          <w:lang w:eastAsia="zh-CN"/>
        </w:rPr>
        <w:t>本部</w:t>
      </w:r>
      <w:r>
        <w:rPr>
          <w:rFonts w:hint="eastAsia" w:ascii="仿宋_GB2312" w:hAnsi="仿宋_GB2312" w:eastAsia="仿宋_GB2312" w:cs="仿宋_GB2312"/>
          <w:bCs/>
          <w:color w:val="auto"/>
          <w:kern w:val="1"/>
          <w:sz w:val="30"/>
          <w:szCs w:val="30"/>
        </w:rPr>
        <w:t>及</w:t>
      </w:r>
      <w:r>
        <w:rPr>
          <w:rFonts w:hint="eastAsia" w:ascii="仿宋_GB2312" w:hAnsi="仿宋_GB2312" w:eastAsia="仿宋_GB2312" w:cs="仿宋_GB2312"/>
          <w:bCs/>
          <w:color w:val="auto"/>
          <w:kern w:val="1"/>
          <w:sz w:val="30"/>
          <w:szCs w:val="30"/>
          <w:lang w:eastAsia="zh-CN"/>
        </w:rPr>
        <w:t>各</w:t>
      </w:r>
      <w:r>
        <w:rPr>
          <w:rFonts w:hint="eastAsia" w:ascii="仿宋_GB2312" w:hAnsi="仿宋_GB2312" w:eastAsia="仿宋_GB2312" w:cs="仿宋_GB2312"/>
          <w:bCs/>
          <w:color w:val="auto"/>
          <w:kern w:val="1"/>
          <w:sz w:val="30"/>
          <w:szCs w:val="30"/>
        </w:rPr>
        <w:t>分子公司将不接受其</w:t>
      </w:r>
      <w:r>
        <w:rPr>
          <w:rFonts w:hint="eastAsia" w:ascii="仿宋_GB2312" w:hAnsi="仿宋_GB2312" w:eastAsia="仿宋_GB2312" w:cs="仿宋_GB2312"/>
          <w:bCs/>
          <w:color w:val="auto"/>
          <w:kern w:val="1"/>
          <w:sz w:val="30"/>
          <w:szCs w:val="30"/>
          <w:lang w:eastAsia="zh-CN"/>
        </w:rPr>
        <w:t>报价，产生</w:t>
      </w:r>
      <w:r>
        <w:rPr>
          <w:rFonts w:hint="eastAsia" w:ascii="仿宋_GB2312" w:hAnsi="仿宋_GB2312" w:eastAsia="仿宋_GB2312" w:cs="仿宋_GB2312"/>
          <w:bCs/>
          <w:color w:val="auto"/>
          <w:kern w:val="1"/>
          <w:sz w:val="30"/>
          <w:szCs w:val="30"/>
        </w:rPr>
        <w:t>严重影响的，</w:t>
      </w:r>
      <w:r>
        <w:rPr>
          <w:rFonts w:hint="eastAsia" w:ascii="仿宋_GB2312" w:hAnsi="仿宋_GB2312" w:eastAsia="仿宋_GB2312" w:cs="仿宋_GB2312"/>
          <w:bCs/>
          <w:color w:val="auto"/>
          <w:kern w:val="1"/>
          <w:sz w:val="30"/>
          <w:szCs w:val="30"/>
          <w:lang w:eastAsia="zh-CN"/>
        </w:rPr>
        <w:t>采购</w:t>
      </w:r>
      <w:r>
        <w:rPr>
          <w:rFonts w:hint="eastAsia" w:ascii="仿宋_GB2312" w:hAnsi="仿宋_GB2312" w:eastAsia="仿宋_GB2312" w:cs="仿宋_GB2312"/>
          <w:bCs/>
          <w:color w:val="auto"/>
          <w:kern w:val="1"/>
          <w:sz w:val="30"/>
          <w:szCs w:val="30"/>
        </w:rPr>
        <w:t>人将依法追究</w:t>
      </w:r>
      <w:r>
        <w:rPr>
          <w:rFonts w:hint="eastAsia" w:ascii="仿宋_GB2312" w:hAnsi="仿宋_GB2312" w:eastAsia="仿宋_GB2312" w:cs="仿宋_GB2312"/>
          <w:bCs/>
          <w:color w:val="auto"/>
          <w:kern w:val="1"/>
          <w:sz w:val="30"/>
          <w:szCs w:val="30"/>
          <w:lang w:eastAsia="zh-CN"/>
        </w:rPr>
        <w:t>报价人</w:t>
      </w:r>
      <w:r>
        <w:rPr>
          <w:rFonts w:hint="eastAsia" w:ascii="仿宋_GB2312" w:hAnsi="仿宋_GB2312" w:eastAsia="仿宋_GB2312" w:cs="仿宋_GB2312"/>
          <w:bCs/>
          <w:color w:val="auto"/>
          <w:kern w:val="1"/>
          <w:sz w:val="30"/>
          <w:szCs w:val="30"/>
        </w:rPr>
        <w:t>法律责任。索普集团供应商负面清单的公示地址为：www.sopo.com.cn。</w:t>
      </w:r>
    </w:p>
    <w:p w14:paraId="4473EA87">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val="en-US" w:eastAsia="zh-CN"/>
        </w:rPr>
        <w:t>四</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人应详细阅读本</w:t>
      </w:r>
      <w:r>
        <w:rPr>
          <w:rFonts w:hint="eastAsia" w:ascii="仿宋_GB2312" w:hAnsi="仿宋_GB2312" w:eastAsia="仿宋_GB2312" w:cs="仿宋_GB2312"/>
          <w:bCs/>
          <w:color w:val="auto"/>
          <w:kern w:val="1"/>
          <w:sz w:val="30"/>
          <w:szCs w:val="30"/>
          <w:lang w:eastAsia="zh-CN"/>
        </w:rPr>
        <w:t>采购</w:t>
      </w:r>
      <w:r>
        <w:rPr>
          <w:rFonts w:hint="eastAsia" w:ascii="仿宋_GB2312" w:hAnsi="仿宋_GB2312" w:eastAsia="仿宋_GB2312" w:cs="仿宋_GB2312"/>
          <w:bCs/>
          <w:color w:val="auto"/>
          <w:kern w:val="1"/>
          <w:sz w:val="30"/>
          <w:szCs w:val="30"/>
        </w:rPr>
        <w:t>书，参与</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即视为对本</w:t>
      </w:r>
      <w:r>
        <w:rPr>
          <w:rFonts w:hint="eastAsia" w:ascii="仿宋_GB2312" w:hAnsi="仿宋_GB2312" w:eastAsia="仿宋_GB2312" w:cs="仿宋_GB2312"/>
          <w:bCs/>
          <w:color w:val="auto"/>
          <w:kern w:val="1"/>
          <w:sz w:val="30"/>
          <w:szCs w:val="30"/>
          <w:lang w:eastAsia="zh-CN"/>
        </w:rPr>
        <w:t>采购</w:t>
      </w:r>
      <w:r>
        <w:rPr>
          <w:rFonts w:hint="eastAsia" w:ascii="仿宋_GB2312" w:hAnsi="仿宋_GB2312" w:eastAsia="仿宋_GB2312" w:cs="仿宋_GB2312"/>
          <w:bCs/>
          <w:color w:val="auto"/>
          <w:kern w:val="1"/>
          <w:sz w:val="30"/>
          <w:szCs w:val="30"/>
        </w:rPr>
        <w:t>书所列之条款均表示接受。</w:t>
      </w:r>
    </w:p>
    <w:p w14:paraId="33F21273">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val="en-US" w:eastAsia="zh-CN"/>
        </w:rPr>
        <w:t>五</w:t>
      </w:r>
      <w:r>
        <w:rPr>
          <w:rFonts w:hint="eastAsia" w:ascii="仿宋_GB2312" w:hAnsi="仿宋_GB2312" w:eastAsia="仿宋_GB2312" w:cs="仿宋_GB2312"/>
          <w:bCs/>
          <w:color w:val="auto"/>
          <w:kern w:val="1"/>
          <w:sz w:val="30"/>
          <w:szCs w:val="30"/>
        </w:rPr>
        <w:t>）本次</w:t>
      </w:r>
      <w:r>
        <w:rPr>
          <w:rFonts w:hint="eastAsia" w:ascii="仿宋_GB2312" w:hAnsi="仿宋_GB2312" w:eastAsia="仿宋_GB2312" w:cs="仿宋_GB2312"/>
          <w:bCs/>
          <w:color w:val="auto"/>
          <w:kern w:val="1"/>
          <w:sz w:val="30"/>
          <w:szCs w:val="30"/>
          <w:lang w:val="en-US" w:eastAsia="zh-CN"/>
        </w:rPr>
        <w:t>采购</w:t>
      </w:r>
      <w:r>
        <w:rPr>
          <w:rFonts w:hint="eastAsia" w:ascii="仿宋_GB2312" w:hAnsi="仿宋_GB2312" w:eastAsia="仿宋_GB2312" w:cs="仿宋_GB2312"/>
          <w:bCs/>
          <w:color w:val="auto"/>
          <w:kern w:val="1"/>
          <w:sz w:val="30"/>
          <w:szCs w:val="30"/>
        </w:rPr>
        <w:t>解释权归江苏索普</w:t>
      </w:r>
      <w:r>
        <w:rPr>
          <w:rFonts w:hint="eastAsia" w:ascii="仿宋_GB2312" w:hAnsi="仿宋_GB2312" w:eastAsia="仿宋_GB2312" w:cs="仿宋_GB2312"/>
          <w:bCs/>
          <w:color w:val="auto"/>
          <w:kern w:val="1"/>
          <w:sz w:val="30"/>
          <w:szCs w:val="30"/>
          <w:lang w:val="en-US" w:eastAsia="zh-CN"/>
        </w:rPr>
        <w:t>赛瑞装备制造</w:t>
      </w:r>
      <w:r>
        <w:rPr>
          <w:rFonts w:hint="eastAsia" w:ascii="仿宋_GB2312" w:hAnsi="仿宋_GB2312" w:eastAsia="仿宋_GB2312" w:cs="仿宋_GB2312"/>
          <w:bCs/>
          <w:color w:val="auto"/>
          <w:kern w:val="1"/>
          <w:sz w:val="30"/>
          <w:szCs w:val="30"/>
        </w:rPr>
        <w:t>有限公司所有</w:t>
      </w:r>
      <w:r>
        <w:rPr>
          <w:rFonts w:hint="eastAsia" w:ascii="仿宋_GB2312" w:hAnsi="仿宋_GB2312" w:eastAsia="仿宋_GB2312" w:cs="仿宋_GB2312"/>
          <w:bCs/>
          <w:color w:val="auto"/>
          <w:kern w:val="2"/>
          <w:sz w:val="30"/>
          <w:szCs w:val="30"/>
        </w:rPr>
        <w:t>。</w:t>
      </w:r>
    </w:p>
    <w:p w14:paraId="27AF81FE">
      <w:pPr>
        <w:keepNext w:val="0"/>
        <w:keepLines w:val="0"/>
        <w:pageBreakBefore w:val="0"/>
        <w:widowControl w:val="0"/>
        <w:kinsoku/>
        <w:overflowPunct/>
        <w:topLinePunct w:val="0"/>
        <w:autoSpaceDE/>
        <w:autoSpaceDN/>
        <w:bidi w:val="0"/>
        <w:adjustRightInd w:val="0"/>
        <w:snapToGrid w:val="0"/>
        <w:spacing w:line="360" w:lineRule="auto"/>
        <w:ind w:right="0" w:rightChars="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 xml:space="preserve">    </w:t>
      </w:r>
      <w:r>
        <w:rPr>
          <w:rFonts w:hint="eastAsia" w:ascii="仿宋_GB2312" w:hAnsi="仿宋_GB2312" w:eastAsia="仿宋_GB2312" w:cs="仿宋_GB2312"/>
          <w:bCs/>
          <w:color w:val="auto"/>
          <w:w w:val="80"/>
          <w:kern w:val="1"/>
          <w:sz w:val="30"/>
          <w:szCs w:val="30"/>
        </w:rPr>
        <w:t>（</w:t>
      </w:r>
      <w:r>
        <w:rPr>
          <w:rFonts w:hint="eastAsia" w:ascii="仿宋_GB2312" w:hAnsi="仿宋_GB2312" w:eastAsia="仿宋_GB2312" w:cs="仿宋_GB2312"/>
          <w:bCs/>
          <w:color w:val="auto"/>
          <w:w w:val="80"/>
          <w:kern w:val="1"/>
          <w:sz w:val="30"/>
          <w:szCs w:val="30"/>
          <w:lang w:val="en-US" w:eastAsia="zh-CN"/>
        </w:rPr>
        <w:t>六</w:t>
      </w:r>
      <w:r>
        <w:rPr>
          <w:rFonts w:hint="eastAsia" w:ascii="仿宋_GB2312" w:hAnsi="仿宋_GB2312" w:eastAsia="仿宋_GB2312" w:cs="仿宋_GB2312"/>
          <w:bCs/>
          <w:color w:val="auto"/>
          <w:w w:val="80"/>
          <w:kern w:val="1"/>
          <w:sz w:val="30"/>
          <w:szCs w:val="30"/>
        </w:rPr>
        <w:t>）本次</w:t>
      </w:r>
      <w:r>
        <w:rPr>
          <w:rFonts w:hint="eastAsia" w:ascii="仿宋_GB2312" w:hAnsi="仿宋_GB2312" w:eastAsia="仿宋_GB2312" w:cs="仿宋_GB2312"/>
          <w:bCs/>
          <w:color w:val="auto"/>
          <w:w w:val="80"/>
          <w:kern w:val="1"/>
          <w:sz w:val="30"/>
          <w:szCs w:val="30"/>
          <w:lang w:eastAsia="zh-CN"/>
        </w:rPr>
        <w:t>采购中选</w:t>
      </w:r>
      <w:r>
        <w:rPr>
          <w:rFonts w:hint="eastAsia" w:ascii="仿宋_GB2312" w:hAnsi="仿宋_GB2312" w:eastAsia="仿宋_GB2312" w:cs="仿宋_GB2312"/>
          <w:bCs/>
          <w:color w:val="auto"/>
          <w:w w:val="80"/>
          <w:kern w:val="1"/>
          <w:sz w:val="30"/>
          <w:szCs w:val="30"/>
        </w:rPr>
        <w:t>信息公示网</w:t>
      </w:r>
      <w:r>
        <w:rPr>
          <w:rFonts w:hint="eastAsia" w:ascii="仿宋_GB2312" w:hAnsi="仿宋_GB2312" w:eastAsia="仿宋_GB2312" w:cs="仿宋_GB2312"/>
          <w:bCs/>
          <w:color w:val="auto"/>
          <w:w w:val="80"/>
          <w:kern w:val="1"/>
          <w:sz w:val="30"/>
          <w:szCs w:val="30"/>
          <w:lang w:eastAsia="zh-CN"/>
        </w:rPr>
        <w:t>址</w:t>
      </w:r>
      <w:r>
        <w:rPr>
          <w:rFonts w:hint="eastAsia" w:ascii="仿宋_GB2312" w:hAnsi="仿宋_GB2312" w:eastAsia="仿宋_GB2312" w:cs="仿宋_GB2312"/>
          <w:bCs/>
          <w:color w:val="auto"/>
          <w:w w:val="80"/>
          <w:kern w:val="1"/>
          <w:sz w:val="30"/>
          <w:szCs w:val="30"/>
          <w:u w:val="none"/>
        </w:rPr>
        <w:fldChar w:fldCharType="begin"/>
      </w:r>
      <w:r>
        <w:rPr>
          <w:rFonts w:hint="eastAsia" w:ascii="仿宋_GB2312" w:hAnsi="仿宋_GB2312" w:eastAsia="仿宋_GB2312" w:cs="仿宋_GB2312"/>
          <w:bCs/>
          <w:color w:val="auto"/>
          <w:w w:val="80"/>
          <w:kern w:val="1"/>
          <w:sz w:val="30"/>
          <w:szCs w:val="30"/>
          <w:u w:val="none"/>
        </w:rPr>
        <w:instrText xml:space="preserve"> HYPERLINK "http://www.sopo.com.cn/list/91-93.html。" </w:instrText>
      </w:r>
      <w:r>
        <w:rPr>
          <w:rFonts w:hint="eastAsia" w:ascii="仿宋_GB2312" w:hAnsi="仿宋_GB2312" w:eastAsia="仿宋_GB2312" w:cs="仿宋_GB2312"/>
          <w:bCs/>
          <w:color w:val="auto"/>
          <w:w w:val="80"/>
          <w:kern w:val="1"/>
          <w:sz w:val="30"/>
          <w:szCs w:val="30"/>
          <w:u w:val="none"/>
        </w:rPr>
        <w:fldChar w:fldCharType="separate"/>
      </w:r>
      <w:r>
        <w:rPr>
          <w:rStyle w:val="17"/>
          <w:rFonts w:hint="eastAsia" w:ascii="仿宋_GB2312" w:hAnsi="仿宋_GB2312" w:eastAsia="仿宋_GB2312" w:cs="仿宋_GB2312"/>
          <w:bCs/>
          <w:color w:val="auto"/>
          <w:w w:val="80"/>
          <w:kern w:val="1"/>
          <w:sz w:val="30"/>
          <w:szCs w:val="30"/>
          <w:u w:val="none"/>
        </w:rPr>
        <w:t>http://www.sopo.com.cn/list/91-93.html</w:t>
      </w:r>
      <w:r>
        <w:rPr>
          <w:rStyle w:val="17"/>
          <w:rFonts w:hint="eastAsia" w:ascii="仿宋_GB2312" w:hAnsi="仿宋_GB2312" w:eastAsia="仿宋_GB2312" w:cs="仿宋_GB2312"/>
          <w:bCs/>
          <w:color w:val="auto"/>
          <w:w w:val="80"/>
          <w:kern w:val="1"/>
          <w:sz w:val="30"/>
          <w:szCs w:val="30"/>
          <w:u w:val="none"/>
          <w:lang w:eastAsia="zh-CN"/>
        </w:rPr>
        <w:t>。</w:t>
      </w:r>
      <w:r>
        <w:rPr>
          <w:rFonts w:hint="eastAsia" w:ascii="仿宋_GB2312" w:hAnsi="仿宋_GB2312" w:eastAsia="仿宋_GB2312" w:cs="仿宋_GB2312"/>
          <w:bCs/>
          <w:color w:val="auto"/>
          <w:w w:val="80"/>
          <w:kern w:val="1"/>
          <w:sz w:val="30"/>
          <w:szCs w:val="30"/>
          <w:u w:val="none"/>
        </w:rPr>
        <w:fldChar w:fldCharType="end"/>
      </w:r>
    </w:p>
    <w:p w14:paraId="75ABD9AD">
      <w:pPr>
        <w:pStyle w:val="2"/>
        <w:spacing w:line="360" w:lineRule="auto"/>
        <w:rPr>
          <w:rFonts w:hint="eastAsia" w:ascii="仿宋_GB2312" w:hAnsi="仿宋_GB2312" w:eastAsia="仿宋_GB2312" w:cs="仿宋_GB2312"/>
          <w:color w:val="auto"/>
          <w:sz w:val="30"/>
          <w:szCs w:val="30"/>
        </w:rPr>
      </w:pPr>
    </w:p>
    <w:p w14:paraId="0443A17A">
      <w:pPr>
        <w:pStyle w:val="4"/>
        <w:pageBreakBefore/>
        <w:widowControl w:val="0"/>
        <w:kinsoku/>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报价函</w:t>
      </w:r>
    </w:p>
    <w:p w14:paraId="6075E15E">
      <w:pPr>
        <w:keepNext w:val="0"/>
        <w:keepLines w:val="0"/>
        <w:pageBreakBefore w:val="0"/>
        <w:widowControl w:val="0"/>
        <w:tabs>
          <w:tab w:val="left" w:pos="180"/>
        </w:tabs>
        <w:kinsoku/>
        <w:wordWrap w:val="0"/>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eastAsia="仿宋_GB2312" w:cs="仿宋_GB2312"/>
          <w:kern w:val="1"/>
          <w:sz w:val="30"/>
          <w:szCs w:val="30"/>
        </w:rPr>
      </w:pPr>
      <w:r>
        <w:rPr>
          <w:rFonts w:hint="eastAsia" w:ascii="仿宋_GB2312" w:hAnsi="仿宋_GB2312" w:eastAsia="仿宋_GB2312" w:cs="仿宋_GB2312"/>
          <w:kern w:val="1"/>
          <w:sz w:val="30"/>
          <w:szCs w:val="30"/>
        </w:rPr>
        <w:t>江苏索普</w:t>
      </w:r>
      <w:r>
        <w:rPr>
          <w:rFonts w:hint="eastAsia" w:ascii="仿宋_GB2312" w:hAnsi="仿宋_GB2312" w:eastAsia="仿宋_GB2312" w:cs="仿宋_GB2312"/>
          <w:kern w:val="1"/>
          <w:sz w:val="30"/>
          <w:szCs w:val="30"/>
          <w:lang w:val="en-US" w:eastAsia="zh-CN"/>
        </w:rPr>
        <w:t>赛瑞装备制造</w:t>
      </w:r>
      <w:r>
        <w:rPr>
          <w:rFonts w:hint="eastAsia" w:ascii="仿宋_GB2312" w:hAnsi="仿宋_GB2312" w:eastAsia="仿宋_GB2312" w:cs="仿宋_GB2312"/>
          <w:kern w:val="1"/>
          <w:sz w:val="30"/>
          <w:szCs w:val="30"/>
        </w:rPr>
        <w:t>有限公司：</w:t>
      </w:r>
    </w:p>
    <w:p w14:paraId="0DF83957">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600" w:firstLineChars="200"/>
        <w:jc w:val="left"/>
        <w:textAlignment w:val="auto"/>
        <w:outlineLvl w:val="9"/>
        <w:rPr>
          <w:rFonts w:hint="eastAsia" w:ascii="仿宋_GB2312" w:hAnsi="仿宋_GB2312" w:eastAsia="仿宋_GB2312" w:cs="仿宋_GB2312"/>
          <w:color w:val="auto"/>
          <w:kern w:val="1"/>
          <w:sz w:val="30"/>
          <w:szCs w:val="30"/>
        </w:rPr>
      </w:pPr>
      <w:r>
        <w:rPr>
          <w:rFonts w:hint="eastAsia" w:ascii="仿宋_GB2312" w:hAnsi="仿宋_GB2312" w:eastAsia="仿宋_GB2312" w:cs="仿宋_GB2312"/>
          <w:color w:val="auto"/>
          <w:kern w:val="1"/>
          <w:sz w:val="30"/>
          <w:szCs w:val="30"/>
          <w:u w:val="single"/>
        </w:rPr>
        <w:t>(</w:t>
      </w:r>
      <w:r>
        <w:rPr>
          <w:rFonts w:hint="eastAsia" w:ascii="仿宋_GB2312" w:hAnsi="仿宋_GB2312" w:eastAsia="仿宋_GB2312" w:cs="仿宋_GB2312"/>
          <w:color w:val="auto"/>
          <w:kern w:val="1"/>
          <w:sz w:val="30"/>
          <w:szCs w:val="30"/>
          <w:u w:val="single"/>
          <w:lang w:eastAsia="zh-CN"/>
        </w:rPr>
        <w:t>报价</w:t>
      </w:r>
      <w:r>
        <w:rPr>
          <w:rFonts w:hint="eastAsia" w:ascii="仿宋_GB2312" w:hAnsi="仿宋_GB2312" w:eastAsia="仿宋_GB2312" w:cs="仿宋_GB2312"/>
          <w:color w:val="auto"/>
          <w:kern w:val="1"/>
          <w:sz w:val="30"/>
          <w:szCs w:val="30"/>
          <w:u w:val="single"/>
        </w:rPr>
        <w:t>单位全称)</w:t>
      </w:r>
      <w:r>
        <w:rPr>
          <w:rFonts w:hint="eastAsia" w:ascii="仿宋_GB2312" w:hAnsi="仿宋_GB2312" w:eastAsia="仿宋_GB2312" w:cs="仿宋_GB2312"/>
          <w:color w:val="auto"/>
          <w:kern w:val="1"/>
          <w:sz w:val="30"/>
          <w:szCs w:val="30"/>
        </w:rPr>
        <w:t>授权</w:t>
      </w:r>
      <w:r>
        <w:rPr>
          <w:rFonts w:hint="eastAsia" w:ascii="仿宋_GB2312" w:hAnsi="仿宋_GB2312" w:eastAsia="仿宋_GB2312" w:cs="仿宋_GB2312"/>
          <w:color w:val="auto"/>
          <w:kern w:val="1"/>
          <w:sz w:val="30"/>
          <w:szCs w:val="30"/>
          <w:u w:val="single"/>
        </w:rPr>
        <w:t>(全权代表姓名)(职务、职称)</w:t>
      </w:r>
      <w:r>
        <w:rPr>
          <w:rFonts w:hint="eastAsia" w:ascii="仿宋_GB2312" w:hAnsi="仿宋_GB2312" w:eastAsia="仿宋_GB2312" w:cs="仿宋_GB2312"/>
          <w:color w:val="auto"/>
          <w:kern w:val="1"/>
          <w:sz w:val="30"/>
          <w:szCs w:val="30"/>
        </w:rPr>
        <w:t>为全权代表，参加贵方组织的</w:t>
      </w:r>
      <w:r>
        <w:rPr>
          <w:rFonts w:hint="eastAsia" w:ascii="仿宋_GB2312" w:hAnsi="仿宋_GB2312" w:eastAsia="仿宋_GB2312" w:cs="仿宋_GB2312"/>
          <w:color w:val="auto"/>
          <w:kern w:val="1"/>
          <w:sz w:val="30"/>
          <w:szCs w:val="30"/>
          <w:lang w:eastAsia="zh-CN"/>
        </w:rPr>
        <w:t>采购</w:t>
      </w:r>
      <w:r>
        <w:rPr>
          <w:rFonts w:hint="eastAsia" w:ascii="仿宋_GB2312" w:hAnsi="仿宋_GB2312" w:eastAsia="仿宋_GB2312" w:cs="仿宋_GB2312"/>
          <w:color w:val="auto"/>
          <w:kern w:val="1"/>
          <w:sz w:val="30"/>
          <w:szCs w:val="30"/>
        </w:rPr>
        <w:t>有关活动，并对该项目进行</w:t>
      </w:r>
      <w:r>
        <w:rPr>
          <w:rFonts w:hint="eastAsia" w:ascii="仿宋_GB2312" w:hAnsi="仿宋_GB2312" w:eastAsia="仿宋_GB2312" w:cs="仿宋_GB2312"/>
          <w:color w:val="auto"/>
          <w:kern w:val="1"/>
          <w:sz w:val="30"/>
          <w:szCs w:val="30"/>
          <w:lang w:eastAsia="zh-CN"/>
        </w:rPr>
        <w:t>报价</w:t>
      </w:r>
      <w:r>
        <w:rPr>
          <w:rFonts w:hint="eastAsia" w:ascii="仿宋_GB2312" w:hAnsi="仿宋_GB2312" w:eastAsia="仿宋_GB2312" w:cs="仿宋_GB2312"/>
          <w:color w:val="auto"/>
          <w:kern w:val="1"/>
          <w:sz w:val="30"/>
          <w:szCs w:val="30"/>
        </w:rPr>
        <w:t>。</w:t>
      </w:r>
    </w:p>
    <w:p w14:paraId="45AA0C47">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600" w:firstLineChars="200"/>
        <w:jc w:val="left"/>
        <w:textAlignment w:val="auto"/>
        <w:outlineLvl w:val="9"/>
        <w:rPr>
          <w:rFonts w:hint="eastAsia" w:ascii="仿宋_GB2312" w:hAnsi="仿宋_GB2312" w:eastAsia="仿宋_GB2312" w:cs="仿宋_GB2312"/>
          <w:b/>
          <w:color w:val="auto"/>
          <w:kern w:val="1"/>
          <w:sz w:val="30"/>
          <w:szCs w:val="30"/>
        </w:rPr>
      </w:pPr>
      <w:r>
        <w:rPr>
          <w:rFonts w:hint="eastAsia" w:ascii="仿宋_GB2312" w:hAnsi="仿宋_GB2312" w:eastAsia="仿宋_GB2312" w:cs="仿宋_GB2312"/>
          <w:color w:val="auto"/>
          <w:kern w:val="1"/>
          <w:sz w:val="30"/>
          <w:szCs w:val="30"/>
        </w:rPr>
        <w:t>1、</w:t>
      </w:r>
      <w:r>
        <w:rPr>
          <w:rFonts w:hint="eastAsia" w:ascii="仿宋_GB2312" w:hAnsi="仿宋_GB2312" w:eastAsia="仿宋_GB2312" w:cs="仿宋_GB2312"/>
          <w:color w:val="auto"/>
          <w:kern w:val="1"/>
          <w:sz w:val="30"/>
          <w:szCs w:val="30"/>
          <w:lang w:eastAsia="zh-CN"/>
        </w:rPr>
        <w:t>报价</w:t>
      </w:r>
      <w:r>
        <w:rPr>
          <w:rFonts w:hint="eastAsia" w:ascii="仿宋_GB2312" w:hAnsi="仿宋_GB2312" w:eastAsia="仿宋_GB2312" w:cs="仿宋_GB2312"/>
          <w:color w:val="auto"/>
          <w:kern w:val="1"/>
          <w:sz w:val="30"/>
          <w:szCs w:val="30"/>
        </w:rPr>
        <w:t>项目的总</w:t>
      </w:r>
      <w:r>
        <w:rPr>
          <w:rFonts w:hint="eastAsia" w:ascii="仿宋_GB2312" w:hAnsi="仿宋_GB2312" w:eastAsia="仿宋_GB2312" w:cs="仿宋_GB2312"/>
          <w:color w:val="auto"/>
          <w:kern w:val="1"/>
          <w:sz w:val="30"/>
          <w:szCs w:val="30"/>
          <w:lang w:eastAsia="zh-CN"/>
        </w:rPr>
        <w:t>报价</w:t>
      </w:r>
      <w:r>
        <w:rPr>
          <w:rFonts w:hint="eastAsia" w:ascii="仿宋_GB2312" w:hAnsi="仿宋_GB2312" w:eastAsia="仿宋_GB2312" w:cs="仿宋_GB2312"/>
          <w:color w:val="auto"/>
          <w:kern w:val="1"/>
          <w:sz w:val="30"/>
          <w:szCs w:val="30"/>
        </w:rPr>
        <w:t>价（含税）为</w:t>
      </w:r>
      <w:r>
        <w:rPr>
          <w:rFonts w:hint="eastAsia" w:ascii="仿宋_GB2312" w:hAnsi="仿宋_GB2312" w:eastAsia="仿宋_GB2312" w:cs="仿宋_GB2312"/>
          <w:color w:val="auto"/>
          <w:kern w:val="1"/>
          <w:sz w:val="30"/>
          <w:szCs w:val="30"/>
          <w:u w:val="single"/>
        </w:rPr>
        <w:softHyphen/>
      </w:r>
      <w:r>
        <w:rPr>
          <w:rFonts w:hint="eastAsia" w:ascii="仿宋_GB2312" w:hAnsi="仿宋_GB2312" w:eastAsia="仿宋_GB2312" w:cs="仿宋_GB2312"/>
          <w:color w:val="auto"/>
          <w:kern w:val="1"/>
          <w:sz w:val="30"/>
          <w:szCs w:val="30"/>
          <w:u w:val="single"/>
        </w:rPr>
        <w:t xml:space="preserve">       </w:t>
      </w:r>
      <w:r>
        <w:rPr>
          <w:rFonts w:hint="eastAsia" w:ascii="仿宋_GB2312" w:hAnsi="仿宋_GB2312" w:eastAsia="仿宋_GB2312" w:cs="仿宋_GB2312"/>
          <w:color w:val="auto"/>
          <w:kern w:val="1"/>
          <w:sz w:val="30"/>
          <w:szCs w:val="30"/>
        </w:rPr>
        <w:t>(大写)：</w:t>
      </w:r>
      <w:r>
        <w:rPr>
          <w:rFonts w:hint="eastAsia" w:ascii="仿宋_GB2312" w:hAnsi="仿宋_GB2312" w:eastAsia="仿宋_GB2312" w:cs="仿宋_GB2312"/>
          <w:color w:val="auto"/>
          <w:kern w:val="1"/>
          <w:sz w:val="30"/>
          <w:szCs w:val="30"/>
          <w:u w:val="single"/>
        </w:rPr>
        <w:t xml:space="preserve">      </w:t>
      </w:r>
      <w:r>
        <w:rPr>
          <w:rFonts w:hint="eastAsia" w:ascii="仿宋_GB2312" w:hAnsi="仿宋_GB2312" w:eastAsia="仿宋_GB2312" w:cs="仿宋_GB2312"/>
          <w:color w:val="auto"/>
          <w:kern w:val="1"/>
          <w:sz w:val="30"/>
          <w:szCs w:val="30"/>
        </w:rPr>
        <w:t>元人民币</w:t>
      </w:r>
      <w:r>
        <w:rPr>
          <w:rFonts w:hint="eastAsia" w:ascii="仿宋_GB2312" w:hAnsi="仿宋_GB2312" w:eastAsia="仿宋_GB2312" w:cs="仿宋_GB2312"/>
          <w:color w:val="auto"/>
          <w:kern w:val="1"/>
          <w:sz w:val="30"/>
          <w:szCs w:val="30"/>
          <w:lang w:eastAsia="zh-CN"/>
        </w:rPr>
        <w:t>，</w:t>
      </w:r>
      <w:r>
        <w:rPr>
          <w:rFonts w:hint="eastAsia" w:ascii="仿宋_GB2312" w:hAnsi="仿宋_GB2312" w:eastAsia="仿宋_GB2312" w:cs="仿宋_GB2312"/>
          <w:color w:val="auto"/>
          <w:kern w:val="1"/>
          <w:sz w:val="30"/>
          <w:szCs w:val="30"/>
        </w:rPr>
        <w:t>税率</w:t>
      </w:r>
      <w:r>
        <w:rPr>
          <w:rFonts w:hint="eastAsia" w:ascii="仿宋_GB2312" w:hAnsi="仿宋_GB2312" w:eastAsia="仿宋_GB2312" w:cs="仿宋_GB2312"/>
          <w:color w:val="auto"/>
          <w:kern w:val="1"/>
          <w:sz w:val="30"/>
          <w:szCs w:val="30"/>
          <w:u w:val="single"/>
        </w:rPr>
        <w:t xml:space="preserve">       </w:t>
      </w:r>
      <w:r>
        <w:rPr>
          <w:rFonts w:hint="eastAsia" w:ascii="仿宋_GB2312" w:hAnsi="仿宋_GB2312" w:eastAsia="仿宋_GB2312" w:cs="仿宋_GB2312"/>
          <w:color w:val="auto"/>
          <w:kern w:val="1"/>
          <w:sz w:val="30"/>
          <w:szCs w:val="30"/>
        </w:rPr>
        <w:t>%</w:t>
      </w:r>
      <w:r>
        <w:rPr>
          <w:rFonts w:hint="eastAsia" w:ascii="仿宋_GB2312" w:hAnsi="仿宋_GB2312" w:eastAsia="仿宋_GB2312" w:cs="仿宋_GB2312"/>
          <w:color w:val="auto"/>
          <w:kern w:val="1"/>
          <w:sz w:val="30"/>
          <w:szCs w:val="30"/>
          <w:lang w:eastAsia="zh-CN"/>
        </w:rPr>
        <w:t>；</w:t>
      </w:r>
      <w:r>
        <w:rPr>
          <w:rFonts w:hint="eastAsia" w:ascii="仿宋_GB2312" w:hAnsi="仿宋_GB2312" w:eastAsia="仿宋_GB2312" w:cs="仿宋_GB2312"/>
          <w:color w:val="auto"/>
          <w:kern w:val="1"/>
          <w:sz w:val="30"/>
          <w:szCs w:val="30"/>
          <w:u w:val="single"/>
          <w:lang w:val="en-US" w:eastAsia="zh-CN"/>
        </w:rPr>
        <w:t>分项报价详见附件1《分项报价单》</w:t>
      </w:r>
      <w:r>
        <w:rPr>
          <w:rFonts w:hint="eastAsia" w:ascii="仿宋_GB2312" w:hAnsi="仿宋_GB2312" w:eastAsia="仿宋_GB2312" w:cs="仿宋_GB2312"/>
          <w:color w:val="FF0000"/>
          <w:kern w:val="1"/>
          <w:sz w:val="30"/>
          <w:szCs w:val="30"/>
        </w:rPr>
        <w:t>；</w:t>
      </w:r>
    </w:p>
    <w:p w14:paraId="16B694CE">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600" w:firstLineChars="200"/>
        <w:jc w:val="left"/>
        <w:textAlignment w:val="auto"/>
        <w:outlineLvl w:val="9"/>
        <w:rPr>
          <w:rFonts w:hint="eastAsia" w:ascii="仿宋_GB2312" w:hAnsi="仿宋_GB2312" w:eastAsia="仿宋_GB2312" w:cs="仿宋_GB2312"/>
          <w:color w:val="auto"/>
          <w:kern w:val="1"/>
          <w:sz w:val="30"/>
          <w:szCs w:val="30"/>
        </w:rPr>
      </w:pPr>
      <w:r>
        <w:rPr>
          <w:rFonts w:hint="eastAsia" w:ascii="仿宋_GB2312" w:hAnsi="仿宋_GB2312" w:eastAsia="仿宋_GB2312" w:cs="仿宋_GB2312"/>
          <w:color w:val="auto"/>
          <w:kern w:val="1"/>
          <w:sz w:val="30"/>
          <w:szCs w:val="30"/>
        </w:rPr>
        <w:t>2、我方保证遵守</w:t>
      </w:r>
      <w:r>
        <w:rPr>
          <w:rFonts w:hint="eastAsia" w:ascii="仿宋_GB2312" w:hAnsi="仿宋_GB2312" w:eastAsia="仿宋_GB2312" w:cs="仿宋_GB2312"/>
          <w:color w:val="auto"/>
          <w:kern w:val="1"/>
          <w:sz w:val="30"/>
          <w:szCs w:val="30"/>
          <w:lang w:eastAsia="zh-CN"/>
        </w:rPr>
        <w:t>采购</w:t>
      </w:r>
      <w:r>
        <w:rPr>
          <w:rFonts w:hint="eastAsia" w:ascii="仿宋_GB2312" w:hAnsi="仿宋_GB2312" w:eastAsia="仿宋_GB2312" w:cs="仿宋_GB2312"/>
          <w:color w:val="auto"/>
          <w:kern w:val="1"/>
          <w:sz w:val="30"/>
          <w:szCs w:val="30"/>
        </w:rPr>
        <w:t>文件中的全部规定；</w:t>
      </w:r>
    </w:p>
    <w:p w14:paraId="0F2252AE">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3、我方保证忠实地执行双方签订的合同,并承担合同规定的责任义务；</w:t>
      </w:r>
    </w:p>
    <w:p w14:paraId="61CE9926">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color w:val="auto"/>
          <w:sz w:val="30"/>
          <w:szCs w:val="30"/>
          <w:shd w:val="clear" w:color="auto" w:fill="FFFFFF"/>
        </w:rPr>
        <w:t>4、我方已详细审查全部</w:t>
      </w:r>
      <w:r>
        <w:rPr>
          <w:rFonts w:hint="eastAsia" w:ascii="仿宋_GB2312" w:hAnsi="仿宋_GB2312" w:eastAsia="仿宋_GB2312" w:cs="仿宋_GB2312"/>
          <w:color w:val="auto"/>
          <w:sz w:val="30"/>
          <w:szCs w:val="30"/>
          <w:shd w:val="clear" w:color="auto" w:fill="FFFFFF"/>
          <w:lang w:eastAsia="zh-CN"/>
        </w:rPr>
        <w:t>采购</w:t>
      </w:r>
      <w:r>
        <w:rPr>
          <w:rFonts w:hint="eastAsia" w:ascii="仿宋_GB2312" w:hAnsi="仿宋_GB2312" w:eastAsia="仿宋_GB2312" w:cs="仿宋_GB2312"/>
          <w:color w:val="auto"/>
          <w:sz w:val="30"/>
          <w:szCs w:val="30"/>
          <w:shd w:val="clear" w:color="auto" w:fill="FFFFFF"/>
        </w:rPr>
        <w:t>文件，包括</w:t>
      </w:r>
      <w:r>
        <w:rPr>
          <w:rFonts w:hint="eastAsia" w:ascii="仿宋_GB2312" w:hAnsi="仿宋_GB2312" w:eastAsia="仿宋_GB2312" w:cs="仿宋_GB2312"/>
          <w:color w:val="auto"/>
          <w:sz w:val="30"/>
          <w:szCs w:val="30"/>
          <w:shd w:val="clear" w:color="auto" w:fill="FFFFFF"/>
          <w:lang w:eastAsia="zh-CN"/>
        </w:rPr>
        <w:t>采购</w:t>
      </w:r>
      <w:r>
        <w:rPr>
          <w:rFonts w:hint="eastAsia" w:ascii="仿宋_GB2312" w:hAnsi="仿宋_GB2312" w:eastAsia="仿宋_GB2312" w:cs="仿宋_GB2312"/>
          <w:color w:val="auto"/>
          <w:sz w:val="30"/>
          <w:szCs w:val="30"/>
          <w:shd w:val="clear" w:color="auto" w:fill="FFFFFF"/>
        </w:rPr>
        <w:t>文件的补充文件（如有）。我方完全理解并同意放弃对这方面有不明及误解的权力，同时完全接受</w:t>
      </w:r>
      <w:r>
        <w:rPr>
          <w:rFonts w:hint="eastAsia" w:ascii="仿宋_GB2312" w:hAnsi="仿宋_GB2312" w:eastAsia="仿宋_GB2312" w:cs="仿宋_GB2312"/>
          <w:color w:val="auto"/>
          <w:sz w:val="30"/>
          <w:szCs w:val="30"/>
          <w:shd w:val="clear" w:color="auto" w:fill="FFFFFF"/>
          <w:lang w:eastAsia="zh-CN"/>
        </w:rPr>
        <w:t>采购</w:t>
      </w:r>
      <w:r>
        <w:rPr>
          <w:rFonts w:hint="eastAsia" w:ascii="仿宋_GB2312" w:hAnsi="仿宋_GB2312" w:eastAsia="仿宋_GB2312" w:cs="仿宋_GB2312"/>
          <w:color w:val="auto"/>
          <w:sz w:val="30"/>
          <w:szCs w:val="30"/>
          <w:shd w:val="clear" w:color="auto" w:fill="FFFFFF"/>
        </w:rPr>
        <w:t>文件所有条款。如果</w:t>
      </w:r>
      <w:r>
        <w:rPr>
          <w:rFonts w:hint="eastAsia" w:ascii="仿宋_GB2312" w:hAnsi="仿宋_GB2312" w:eastAsia="仿宋_GB2312" w:cs="仿宋_GB2312"/>
          <w:color w:val="auto"/>
          <w:sz w:val="30"/>
          <w:szCs w:val="30"/>
          <w:shd w:val="clear" w:color="auto" w:fill="FFFFFF"/>
          <w:lang w:eastAsia="zh-CN"/>
        </w:rPr>
        <w:t>采购</w:t>
      </w:r>
      <w:r>
        <w:rPr>
          <w:rFonts w:hint="eastAsia" w:ascii="仿宋_GB2312" w:hAnsi="仿宋_GB2312" w:eastAsia="仿宋_GB2312" w:cs="仿宋_GB2312"/>
          <w:color w:val="auto"/>
          <w:sz w:val="30"/>
          <w:szCs w:val="30"/>
          <w:shd w:val="clear" w:color="auto" w:fill="FFFFFF"/>
        </w:rPr>
        <w:t>文件有相互矛盾之处，我方同意按</w:t>
      </w:r>
      <w:r>
        <w:rPr>
          <w:rFonts w:hint="eastAsia" w:ascii="仿宋_GB2312" w:hAnsi="仿宋_GB2312" w:eastAsia="仿宋_GB2312" w:cs="仿宋_GB2312"/>
          <w:color w:val="auto"/>
          <w:sz w:val="30"/>
          <w:szCs w:val="30"/>
          <w:shd w:val="clear" w:color="auto" w:fill="FFFFFF"/>
          <w:lang w:eastAsia="zh-CN"/>
        </w:rPr>
        <w:t>采购</w:t>
      </w:r>
      <w:r>
        <w:rPr>
          <w:rFonts w:hint="eastAsia" w:ascii="仿宋_GB2312" w:hAnsi="仿宋_GB2312" w:eastAsia="仿宋_GB2312" w:cs="仿宋_GB2312"/>
          <w:color w:val="auto"/>
          <w:sz w:val="30"/>
          <w:szCs w:val="30"/>
          <w:shd w:val="clear" w:color="auto" w:fill="FFFFFF"/>
        </w:rPr>
        <w:t>方的解释处理；</w:t>
      </w:r>
    </w:p>
    <w:p w14:paraId="41C8F9B2">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600" w:firstLineChars="200"/>
        <w:jc w:val="left"/>
        <w:textAlignment w:val="auto"/>
        <w:outlineLvl w:val="9"/>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bCs/>
          <w:color w:val="auto"/>
          <w:kern w:val="1"/>
          <w:sz w:val="30"/>
          <w:szCs w:val="30"/>
        </w:rPr>
        <w:t>5、愿意向贵方提供任何与该项</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有关的数据、情况和技术资料，</w:t>
      </w:r>
      <w:r>
        <w:rPr>
          <w:rFonts w:hint="eastAsia" w:ascii="仿宋_GB2312" w:hAnsi="仿宋_GB2312" w:eastAsia="仿宋_GB2312" w:cs="仿宋_GB2312"/>
          <w:color w:val="auto"/>
          <w:sz w:val="30"/>
          <w:szCs w:val="30"/>
          <w:shd w:val="clear" w:color="auto" w:fill="FFFFFF"/>
        </w:rPr>
        <w:t>完全理解贵方不一定接受最低价的报价或收到的任何报价。</w:t>
      </w:r>
    </w:p>
    <w:p w14:paraId="5B264331">
      <w:pPr>
        <w:pStyle w:val="2"/>
        <w:keepNext w:val="0"/>
        <w:keepLines w:val="0"/>
        <w:pageBreakBefore w:val="0"/>
        <w:widowControl w:val="0"/>
        <w:kinsoku/>
        <w:overflowPunct/>
        <w:topLinePunct w:val="0"/>
        <w:autoSpaceDE/>
        <w:autoSpaceDN/>
        <w:bidi w:val="0"/>
        <w:spacing w:line="560" w:lineRule="exact"/>
        <w:ind w:firstLine="600" w:firstLineChars="200"/>
        <w:textAlignment w:val="auto"/>
        <w:rPr>
          <w:rFonts w:hint="eastAsia" w:ascii="仿宋_GB2312" w:hAnsi="仿宋_GB2312" w:eastAsia="仿宋_GB2312" w:cs="仿宋_GB2312"/>
          <w:color w:val="auto"/>
          <w:kern w:val="1"/>
          <w:sz w:val="30"/>
          <w:szCs w:val="30"/>
          <w:u w:val="none"/>
          <w:lang w:val="en-US" w:eastAsia="zh-CN"/>
        </w:rPr>
      </w:pPr>
      <w:r>
        <w:rPr>
          <w:rFonts w:hint="eastAsia" w:ascii="仿宋_GB2312" w:hAnsi="仿宋_GB2312" w:eastAsia="仿宋_GB2312" w:cs="仿宋_GB2312"/>
          <w:color w:val="auto"/>
          <w:sz w:val="30"/>
          <w:szCs w:val="30"/>
          <w:shd w:val="clear" w:color="auto" w:fill="FFFFFF"/>
          <w:lang w:val="en-US" w:eastAsia="zh-CN"/>
        </w:rPr>
        <w:t>6、</w:t>
      </w:r>
      <w:r>
        <w:rPr>
          <w:rFonts w:hint="eastAsia" w:ascii="仿宋_GB2312" w:hAnsi="仿宋_GB2312" w:eastAsia="仿宋_GB2312" w:cs="仿宋_GB2312"/>
          <w:bCs/>
          <w:color w:val="auto"/>
          <w:kern w:val="1"/>
          <w:sz w:val="30"/>
          <w:szCs w:val="30"/>
        </w:rPr>
        <w:t>对</w:t>
      </w:r>
      <w:r>
        <w:rPr>
          <w:rFonts w:hint="eastAsia" w:ascii="仿宋_GB2312" w:hAnsi="仿宋_GB2312" w:eastAsia="仿宋_GB2312" w:cs="仿宋_GB2312"/>
          <w:color w:val="auto"/>
          <w:sz w:val="30"/>
          <w:szCs w:val="30"/>
          <w:shd w:val="clear" w:color="auto" w:fill="FFFFFF"/>
        </w:rPr>
        <w:t>自主公开</w:t>
      </w:r>
      <w:r>
        <w:rPr>
          <w:rFonts w:hint="eastAsia" w:ascii="仿宋_GB2312" w:hAnsi="仿宋_GB2312" w:eastAsia="仿宋_GB2312" w:cs="仿宋_GB2312"/>
          <w:color w:val="auto"/>
          <w:sz w:val="30"/>
          <w:szCs w:val="30"/>
          <w:shd w:val="clear" w:color="auto" w:fill="FFFFFF"/>
          <w:lang w:eastAsia="zh-CN"/>
        </w:rPr>
        <w:t>采购</w:t>
      </w:r>
      <w:r>
        <w:rPr>
          <w:rFonts w:hint="eastAsia" w:ascii="仿宋_GB2312" w:hAnsi="仿宋_GB2312" w:eastAsia="仿宋_GB2312" w:cs="仿宋_GB2312"/>
          <w:color w:val="auto"/>
          <w:sz w:val="30"/>
          <w:szCs w:val="30"/>
          <w:shd w:val="clear" w:color="auto" w:fill="FFFFFF"/>
        </w:rPr>
        <w:t>文件</w:t>
      </w:r>
      <w:r>
        <w:rPr>
          <w:rFonts w:hint="eastAsia" w:ascii="仿宋_GB2312" w:hAnsi="仿宋_GB2312" w:eastAsia="仿宋_GB2312" w:cs="仿宋_GB2312"/>
          <w:bCs/>
          <w:color w:val="auto"/>
          <w:kern w:val="1"/>
          <w:sz w:val="30"/>
          <w:szCs w:val="30"/>
        </w:rPr>
        <w:t>的不接受项</w:t>
      </w:r>
      <w:r>
        <w:rPr>
          <w:rFonts w:hint="eastAsia" w:ascii="仿宋_GB2312" w:hAnsi="仿宋_GB2312" w:eastAsia="仿宋_GB2312" w:cs="仿宋_GB2312"/>
          <w:bCs/>
          <w:color w:val="auto"/>
          <w:kern w:val="1"/>
          <w:sz w:val="30"/>
          <w:szCs w:val="30"/>
          <w:lang w:eastAsia="zh-CN"/>
        </w:rPr>
        <w:t>（技术要求及报价人资质要求除外）</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color w:val="auto"/>
          <w:kern w:val="1"/>
          <w:sz w:val="30"/>
          <w:szCs w:val="30"/>
          <w:u w:val="single"/>
        </w:rPr>
        <w:t xml:space="preserve">                                   </w:t>
      </w:r>
      <w:r>
        <w:rPr>
          <w:rFonts w:hint="eastAsia" w:ascii="仿宋_GB2312" w:hAnsi="仿宋_GB2312" w:eastAsia="仿宋_GB2312" w:cs="仿宋_GB2312"/>
          <w:color w:val="auto"/>
          <w:kern w:val="1"/>
          <w:sz w:val="30"/>
          <w:szCs w:val="30"/>
          <w:u w:val="single"/>
          <w:lang w:val="en-US" w:eastAsia="zh-CN"/>
        </w:rPr>
        <w:t xml:space="preserve"> </w:t>
      </w:r>
      <w:r>
        <w:rPr>
          <w:rFonts w:hint="eastAsia" w:ascii="仿宋_GB2312" w:hAnsi="仿宋_GB2312" w:eastAsia="仿宋_GB2312" w:cs="仿宋_GB2312"/>
          <w:color w:val="auto"/>
          <w:kern w:val="1"/>
          <w:sz w:val="30"/>
          <w:szCs w:val="30"/>
          <w:u w:val="none"/>
          <w:lang w:val="en-US" w:eastAsia="zh-CN"/>
        </w:rPr>
        <w:t>。</w:t>
      </w:r>
    </w:p>
    <w:p w14:paraId="7658C45A">
      <w:pPr>
        <w:pStyle w:val="2"/>
        <w:keepNext w:val="0"/>
        <w:keepLines w:val="0"/>
        <w:pageBreakBefore w:val="0"/>
        <w:widowControl w:val="0"/>
        <w:kinsoku/>
        <w:overflowPunct/>
        <w:topLinePunct w:val="0"/>
        <w:autoSpaceDE/>
        <w:autoSpaceDN/>
        <w:bidi w:val="0"/>
        <w:spacing w:line="560" w:lineRule="exact"/>
        <w:textAlignment w:val="auto"/>
        <w:rPr>
          <w:rFonts w:hint="eastAsia" w:ascii="仿宋_GB2312" w:hAnsi="仿宋_GB2312" w:eastAsia="仿宋_GB2312" w:cs="仿宋_GB2312"/>
          <w:kern w:val="1"/>
          <w:sz w:val="30"/>
          <w:szCs w:val="30"/>
        </w:rPr>
      </w:pPr>
      <w:r>
        <w:rPr>
          <w:rFonts w:hint="eastAsia" w:ascii="仿宋_GB2312" w:hAnsi="仿宋_GB2312" w:eastAsia="仿宋_GB2312" w:cs="仿宋_GB2312"/>
          <w:kern w:val="1"/>
          <w:sz w:val="30"/>
          <w:szCs w:val="30"/>
        </w:rPr>
        <w:t>全权代表（签字）：</w:t>
      </w:r>
    </w:p>
    <w:p w14:paraId="308DF85C">
      <w:pPr>
        <w:keepNext w:val="0"/>
        <w:keepLines w:val="0"/>
        <w:pageBreakBefore w:val="0"/>
        <w:widowControl w:val="0"/>
        <w:kinsoku/>
        <w:wordWrap w:val="0"/>
        <w:overflowPunct/>
        <w:topLinePunct w:val="0"/>
        <w:autoSpaceDE/>
        <w:autoSpaceDN/>
        <w:bidi w:val="0"/>
        <w:adjustRightInd w:val="0"/>
        <w:snapToGrid w:val="0"/>
        <w:spacing w:before="156" w:beforeLines="50" w:line="560" w:lineRule="exact"/>
        <w:ind w:left="0" w:leftChars="0" w:right="0" w:rightChars="0"/>
        <w:jc w:val="left"/>
        <w:textAlignment w:val="auto"/>
        <w:outlineLvl w:val="9"/>
        <w:rPr>
          <w:rFonts w:hint="eastAsia" w:ascii="仿宋_GB2312" w:hAnsi="仿宋_GB2312" w:eastAsia="仿宋_GB2312" w:cs="仿宋_GB2312"/>
          <w:kern w:val="1"/>
          <w:sz w:val="30"/>
          <w:szCs w:val="30"/>
        </w:rPr>
      </w:pPr>
      <w:r>
        <w:rPr>
          <w:rFonts w:hint="eastAsia" w:ascii="仿宋_GB2312" w:hAnsi="仿宋_GB2312" w:eastAsia="仿宋_GB2312" w:cs="仿宋_GB2312"/>
          <w:kern w:val="1"/>
          <w:sz w:val="30"/>
          <w:szCs w:val="30"/>
        </w:rPr>
        <w:t>联系电话：</w:t>
      </w:r>
    </w:p>
    <w:p w14:paraId="1F6FFE78">
      <w:pPr>
        <w:keepNext w:val="0"/>
        <w:keepLines w:val="0"/>
        <w:pageBreakBefore w:val="0"/>
        <w:widowControl w:val="0"/>
        <w:kinsoku/>
        <w:wordWrap w:val="0"/>
        <w:overflowPunct/>
        <w:topLinePunct w:val="0"/>
        <w:autoSpaceDE/>
        <w:autoSpaceDN/>
        <w:bidi w:val="0"/>
        <w:adjustRightInd w:val="0"/>
        <w:snapToGrid w:val="0"/>
        <w:spacing w:before="156" w:beforeLines="50" w:line="560" w:lineRule="exact"/>
        <w:ind w:left="0" w:leftChars="0" w:right="0" w:rightChars="0"/>
        <w:jc w:val="left"/>
        <w:textAlignment w:val="auto"/>
        <w:outlineLvl w:val="9"/>
        <w:rPr>
          <w:rFonts w:hint="eastAsia" w:ascii="仿宋_GB2312" w:hAnsi="仿宋_GB2312" w:eastAsia="仿宋_GB2312" w:cs="仿宋_GB2312"/>
          <w:kern w:val="1"/>
          <w:sz w:val="30"/>
          <w:szCs w:val="30"/>
        </w:rPr>
      </w:pPr>
      <w:r>
        <w:rPr>
          <w:rFonts w:hint="eastAsia" w:ascii="仿宋_GB2312" w:hAnsi="仿宋_GB2312" w:eastAsia="仿宋_GB2312" w:cs="仿宋_GB2312"/>
          <w:kern w:val="1"/>
          <w:sz w:val="30"/>
          <w:szCs w:val="30"/>
          <w:lang w:eastAsia="zh-CN"/>
        </w:rPr>
        <w:t>报价</w:t>
      </w:r>
      <w:r>
        <w:rPr>
          <w:rFonts w:hint="eastAsia" w:ascii="仿宋_GB2312" w:hAnsi="仿宋_GB2312" w:eastAsia="仿宋_GB2312" w:cs="仿宋_GB2312"/>
          <w:kern w:val="1"/>
          <w:sz w:val="30"/>
          <w:szCs w:val="30"/>
        </w:rPr>
        <w:t>单位（盖章）：</w:t>
      </w:r>
    </w:p>
    <w:p w14:paraId="2D0E01D1">
      <w:pPr>
        <w:keepNext w:val="0"/>
        <w:keepLines w:val="0"/>
        <w:pageBreakBefore w:val="0"/>
        <w:widowControl w:val="0"/>
        <w:kinsoku/>
        <w:wordWrap w:val="0"/>
        <w:overflowPunct/>
        <w:topLinePunct w:val="0"/>
        <w:autoSpaceDE/>
        <w:autoSpaceDN/>
        <w:bidi w:val="0"/>
        <w:adjustRightInd w:val="0"/>
        <w:snapToGrid w:val="0"/>
        <w:spacing w:before="156" w:beforeLines="50" w:line="560" w:lineRule="exact"/>
        <w:jc w:val="left"/>
        <w:textAlignment w:val="auto"/>
        <w:rPr>
          <w:rFonts w:hint="eastAsia" w:ascii="仿宋_GB2312" w:hAnsi="仿宋_GB2312" w:eastAsia="仿宋_GB2312" w:cs="仿宋_GB2312"/>
          <w:kern w:val="1"/>
          <w:sz w:val="30"/>
          <w:szCs w:val="30"/>
        </w:rPr>
      </w:pPr>
      <w:r>
        <w:rPr>
          <w:rFonts w:hint="eastAsia" w:ascii="仿宋_GB2312" w:hAnsi="仿宋_GB2312" w:eastAsia="仿宋_GB2312" w:cs="仿宋_GB2312"/>
          <w:kern w:val="1"/>
          <w:sz w:val="30"/>
          <w:szCs w:val="30"/>
        </w:rPr>
        <w:t>日期：</w:t>
      </w:r>
    </w:p>
    <w:p w14:paraId="254E1E3A">
      <w:pPr>
        <w:widowControl w:val="0"/>
        <w:kinsoku/>
        <w:wordWrap w:val="0"/>
        <w:overflowPunct/>
        <w:topLinePunct w:val="0"/>
        <w:autoSpaceDE/>
        <w:autoSpaceDN/>
        <w:bidi w:val="0"/>
        <w:adjustRightInd w:val="0"/>
        <w:snapToGrid w:val="0"/>
        <w:spacing w:before="156" w:beforeLines="50" w:line="560" w:lineRule="exact"/>
        <w:jc w:val="left"/>
        <w:textAlignment w:val="auto"/>
        <w:rPr>
          <w:rFonts w:hint="eastAsia" w:ascii="黑体" w:hAnsi="黑体" w:eastAsia="黑体"/>
          <w:sz w:val="36"/>
          <w:szCs w:val="36"/>
          <w:lang w:val="en-US" w:eastAsia="zh-CN"/>
        </w:rPr>
      </w:pPr>
      <w:r>
        <w:rPr>
          <w:rFonts w:hint="eastAsia" w:ascii="黑体" w:hAnsi="黑体" w:eastAsia="黑体" w:cs="黑体"/>
          <w:sz w:val="36"/>
          <w:szCs w:val="36"/>
        </w:rPr>
        <w:t>附件</w:t>
      </w:r>
      <w:r>
        <w:rPr>
          <w:rFonts w:hint="eastAsia" w:ascii="黑体" w:hAnsi="黑体" w:eastAsia="黑体" w:cs="黑体"/>
          <w:sz w:val="36"/>
          <w:szCs w:val="36"/>
          <w:lang w:val="en-US" w:eastAsia="zh-CN"/>
        </w:rPr>
        <w:t>3</w:t>
      </w:r>
    </w:p>
    <w:p w14:paraId="3F59AA15">
      <w:pPr>
        <w:tabs>
          <w:tab w:val="left" w:pos="2565"/>
        </w:tabs>
        <w:spacing w:line="600" w:lineRule="exact"/>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索普赛瑞供应商负面清单管理规定</w:t>
      </w:r>
    </w:p>
    <w:p w14:paraId="33A9A52A">
      <w:pPr>
        <w:tabs>
          <w:tab w:val="left" w:pos="2565"/>
        </w:tabs>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（2025年修订版）</w:t>
      </w:r>
    </w:p>
    <w:p w14:paraId="28B7F988">
      <w:pPr>
        <w:tabs>
          <w:tab w:val="left" w:pos="2565"/>
        </w:tabs>
        <w:adjustRightInd w:val="0"/>
        <w:snapToGrid w:val="0"/>
        <w:spacing w:line="600" w:lineRule="exact"/>
        <w:rPr>
          <w:rFonts w:hint="eastAsia" w:ascii="黑体" w:hAnsi="黑体" w:eastAsia="黑体"/>
          <w:bCs/>
          <w:sz w:val="34"/>
          <w:szCs w:val="34"/>
        </w:rPr>
      </w:pPr>
    </w:p>
    <w:p w14:paraId="018A0ADB">
      <w:pPr>
        <w:tabs>
          <w:tab w:val="left" w:pos="2565"/>
        </w:tabs>
        <w:adjustRightInd w:val="0"/>
        <w:snapToGrid w:val="0"/>
        <w:spacing w:line="600" w:lineRule="exact"/>
        <w:jc w:val="center"/>
        <w:rPr>
          <w:rFonts w:hint="eastAsia" w:ascii="仿宋_GB2312" w:hAnsi="仿宋" w:eastAsia="黑体"/>
          <w:bCs/>
          <w:sz w:val="34"/>
          <w:szCs w:val="34"/>
        </w:rPr>
      </w:pPr>
      <w:r>
        <w:rPr>
          <w:rFonts w:hint="eastAsia" w:ascii="黑体" w:hAnsi="黑体" w:eastAsia="黑体"/>
          <w:bCs/>
          <w:sz w:val="34"/>
          <w:szCs w:val="34"/>
        </w:rPr>
        <w:t>第一章 总则</w:t>
      </w:r>
    </w:p>
    <w:p w14:paraId="0E9EBF17">
      <w:pPr>
        <w:tabs>
          <w:tab w:val="left" w:pos="2565"/>
        </w:tabs>
        <w:adjustRightInd w:val="0"/>
        <w:snapToGrid w:val="0"/>
        <w:spacing w:line="600" w:lineRule="exact"/>
        <w:ind w:firstLine="683" w:firstLineChars="200"/>
        <w:rPr>
          <w:rFonts w:hint="eastAsia" w:ascii="仿宋_GB2312" w:hAnsi="仿宋" w:eastAsia="仿宋_GB2312"/>
          <w:bCs/>
          <w:sz w:val="34"/>
          <w:szCs w:val="34"/>
        </w:rPr>
      </w:pPr>
      <w:r>
        <w:rPr>
          <w:rFonts w:hint="eastAsia" w:ascii="仿宋_GB2312" w:hAnsi="楷体" w:eastAsia="仿宋_GB2312"/>
          <w:b/>
          <w:sz w:val="34"/>
          <w:szCs w:val="34"/>
        </w:rPr>
        <w:t>第一条</w:t>
      </w:r>
      <w:r>
        <w:rPr>
          <w:rFonts w:hint="eastAsia" w:ascii="仿宋_GB2312" w:hAnsi="楷体" w:eastAsia="仿宋_GB2312"/>
          <w:bCs/>
          <w:sz w:val="34"/>
          <w:szCs w:val="34"/>
        </w:rPr>
        <w:t xml:space="preserve"> 凡按国家标准及相关准则或规定组织生产销售的产品供应商及承包商，证照齐全且资质满足公司采购要求的</w:t>
      </w:r>
      <w:r>
        <w:rPr>
          <w:rFonts w:hint="eastAsia" w:ascii="仿宋_GB2312" w:hAnsi="仿宋_GB2312" w:eastAsia="仿宋_GB2312" w:cs="仿宋_GB2312"/>
          <w:sz w:val="34"/>
          <w:szCs w:val="34"/>
        </w:rPr>
        <w:t>（采购和外协加工受压元件的材料，需要经公司相关部门考察认定）</w:t>
      </w:r>
      <w:r>
        <w:rPr>
          <w:rFonts w:hint="eastAsia" w:ascii="仿宋_GB2312" w:hAnsi="楷体" w:eastAsia="仿宋_GB2312"/>
          <w:bCs/>
          <w:sz w:val="34"/>
          <w:szCs w:val="34"/>
        </w:rPr>
        <w:t>，均可参与公司组织的公开采购商务活动。</w:t>
      </w:r>
    </w:p>
    <w:p w14:paraId="5B6403C7">
      <w:pPr>
        <w:tabs>
          <w:tab w:val="left" w:pos="2565"/>
        </w:tabs>
        <w:adjustRightInd w:val="0"/>
        <w:snapToGrid w:val="0"/>
        <w:spacing w:line="600" w:lineRule="exact"/>
        <w:ind w:firstLine="683" w:firstLineChars="200"/>
        <w:jc w:val="left"/>
        <w:rPr>
          <w:rFonts w:hint="eastAsia" w:ascii="黑体" w:hAnsi="黑体" w:eastAsia="黑体"/>
          <w:bCs/>
          <w:sz w:val="34"/>
          <w:szCs w:val="34"/>
        </w:rPr>
      </w:pPr>
      <w:r>
        <w:rPr>
          <w:rFonts w:hint="eastAsia" w:ascii="仿宋_GB2312" w:hAnsi="楷体" w:eastAsia="仿宋_GB2312"/>
          <w:b/>
          <w:sz w:val="34"/>
          <w:szCs w:val="34"/>
        </w:rPr>
        <w:t>第二条</w:t>
      </w:r>
      <w:r>
        <w:rPr>
          <w:rFonts w:hint="eastAsia" w:ascii="仿宋_GB2312" w:hAnsi="楷体" w:eastAsia="仿宋_GB2312"/>
          <w:bCs/>
          <w:sz w:val="34"/>
          <w:szCs w:val="34"/>
        </w:rPr>
        <w:t xml:space="preserve"> </w:t>
      </w:r>
      <w:r>
        <w:rPr>
          <w:rFonts w:hint="eastAsia" w:eastAsia="仿宋_GB2312"/>
          <w:bCs/>
          <w:sz w:val="34"/>
          <w:szCs w:val="34"/>
        </w:rPr>
        <w:t>本制度适用于索普赛瑞各部门。</w:t>
      </w:r>
      <w:r>
        <w:rPr>
          <w:rFonts w:hint="eastAsia" w:ascii="黑体" w:hAnsi="黑体" w:eastAsia="黑体"/>
          <w:bCs/>
          <w:sz w:val="34"/>
          <w:szCs w:val="34"/>
        </w:rPr>
        <w:t xml:space="preserve"> </w:t>
      </w:r>
    </w:p>
    <w:p w14:paraId="5C7A1246">
      <w:pPr>
        <w:tabs>
          <w:tab w:val="left" w:pos="2565"/>
        </w:tabs>
        <w:adjustRightInd w:val="0"/>
        <w:snapToGrid w:val="0"/>
        <w:spacing w:line="600" w:lineRule="exact"/>
        <w:ind w:firstLine="683" w:firstLineChars="200"/>
        <w:rPr>
          <w:rFonts w:ascii="Segoe UI" w:hAnsi="Segoe UI" w:eastAsia="Segoe UI" w:cs="Segoe UI"/>
          <w:sz w:val="22"/>
          <w:szCs w:val="22"/>
          <w:shd w:val="clear" w:color="auto" w:fill="FDFDFE"/>
        </w:rPr>
      </w:pPr>
      <w:r>
        <w:rPr>
          <w:rFonts w:hint="eastAsia" w:ascii="仿宋_GB2312" w:hAnsi="楷体" w:eastAsia="仿宋_GB2312"/>
          <w:b/>
          <w:sz w:val="34"/>
          <w:szCs w:val="34"/>
        </w:rPr>
        <w:t xml:space="preserve">第三条 </w:t>
      </w:r>
      <w:r>
        <w:rPr>
          <w:rFonts w:hint="eastAsia" w:ascii="黑体" w:hAnsi="黑体" w:eastAsia="黑体"/>
          <w:bCs/>
          <w:sz w:val="34"/>
          <w:szCs w:val="34"/>
        </w:rPr>
        <w:t xml:space="preserve"> </w:t>
      </w:r>
      <w:r>
        <w:rPr>
          <w:rFonts w:hint="eastAsia" w:ascii="仿宋_GB2312" w:hAnsi="仿宋" w:eastAsia="仿宋_GB2312"/>
          <w:bCs/>
          <w:sz w:val="34"/>
          <w:szCs w:val="34"/>
        </w:rPr>
        <w:t>集团供应商负面清单管理采取共享机制，由全集团共同参与构建并统一使用，确保全集团采购活动中负面清单供应商范围一致。</w:t>
      </w:r>
    </w:p>
    <w:p w14:paraId="5586FB1A">
      <w:pPr>
        <w:tabs>
          <w:tab w:val="left" w:pos="2565"/>
        </w:tabs>
        <w:adjustRightInd w:val="0"/>
        <w:snapToGrid w:val="0"/>
        <w:spacing w:line="600" w:lineRule="exact"/>
        <w:jc w:val="center"/>
        <w:rPr>
          <w:rFonts w:hint="eastAsia" w:ascii="仿宋_GB2312" w:hAnsi="仿宋" w:eastAsia="仿宋_GB2312"/>
          <w:bCs/>
          <w:sz w:val="34"/>
          <w:szCs w:val="34"/>
        </w:rPr>
      </w:pPr>
      <w:r>
        <w:rPr>
          <w:rFonts w:hint="eastAsia" w:ascii="黑体" w:hAnsi="黑体" w:eastAsia="黑体"/>
          <w:bCs/>
          <w:sz w:val="34"/>
          <w:szCs w:val="34"/>
        </w:rPr>
        <w:t>第二章 管理职责</w:t>
      </w:r>
    </w:p>
    <w:p w14:paraId="786BF620">
      <w:pPr>
        <w:tabs>
          <w:tab w:val="left" w:pos="2565"/>
        </w:tabs>
        <w:adjustRightInd w:val="0"/>
        <w:snapToGrid w:val="0"/>
        <w:spacing w:line="600" w:lineRule="exact"/>
        <w:ind w:firstLine="683" w:firstLineChars="200"/>
        <w:rPr>
          <w:rFonts w:hint="eastAsia" w:ascii="仿宋_GB2312" w:hAnsi="仿宋" w:eastAsia="仿宋_GB2312"/>
          <w:bCs/>
          <w:sz w:val="34"/>
          <w:szCs w:val="34"/>
        </w:rPr>
      </w:pPr>
      <w:r>
        <w:rPr>
          <w:rFonts w:hint="eastAsia" w:ascii="仿宋_GB2312" w:hAnsi="楷体" w:eastAsia="仿宋_GB2312"/>
          <w:b/>
          <w:sz w:val="34"/>
          <w:szCs w:val="34"/>
        </w:rPr>
        <w:t>第四条</w:t>
      </w:r>
      <w:r>
        <w:rPr>
          <w:rFonts w:hint="eastAsia" w:ascii="仿宋_GB2312" w:hAnsi="仿宋" w:eastAsia="仿宋_GB2312"/>
          <w:bCs/>
          <w:sz w:val="34"/>
          <w:szCs w:val="34"/>
        </w:rPr>
        <w:t xml:space="preserve">  各采购发起部门拥有对负面清单供应商进行考核评价及解除的权限，负面清单供应商的增减变动须报集团商务合作部公示后生效执行。</w:t>
      </w:r>
    </w:p>
    <w:p w14:paraId="18DEE272">
      <w:pPr>
        <w:tabs>
          <w:tab w:val="left" w:pos="2565"/>
        </w:tabs>
        <w:adjustRightInd w:val="0"/>
        <w:snapToGrid w:val="0"/>
        <w:spacing w:line="600" w:lineRule="exact"/>
        <w:ind w:firstLine="683" w:firstLineChars="200"/>
        <w:rPr>
          <w:rFonts w:ascii="仿宋" w:hAnsi="仿宋" w:eastAsia="仿宋"/>
          <w:bCs/>
          <w:sz w:val="34"/>
          <w:szCs w:val="34"/>
        </w:rPr>
      </w:pPr>
      <w:r>
        <w:rPr>
          <w:rFonts w:hint="eastAsia" w:ascii="仿宋_GB2312" w:hAnsi="楷体" w:eastAsia="仿宋_GB2312"/>
          <w:b/>
          <w:sz w:val="34"/>
          <w:szCs w:val="34"/>
        </w:rPr>
        <w:t xml:space="preserve">第五条 </w:t>
      </w:r>
      <w:r>
        <w:rPr>
          <w:rFonts w:hint="eastAsia" w:ascii="仿宋_GB2312" w:hAnsi="仿宋" w:eastAsia="仿宋_GB2312"/>
          <w:bCs/>
          <w:sz w:val="34"/>
          <w:szCs w:val="34"/>
        </w:rPr>
        <w:t xml:space="preserve"> 负面清单管理工作由商务合作部负责，各部门在采购、合同履约、物资使用等环节中产生的供应商考核意见，须报给商务合作部汇总，并实时报送集团商务合作部汇总管理，确保清单动态更新与信息共享。</w:t>
      </w:r>
    </w:p>
    <w:p w14:paraId="08248A68">
      <w:pPr>
        <w:spacing w:line="600" w:lineRule="exact"/>
        <w:jc w:val="center"/>
        <w:rPr>
          <w:rFonts w:hint="eastAsia" w:ascii="黑体" w:hAnsi="黑体" w:eastAsia="黑体"/>
          <w:bCs/>
          <w:sz w:val="34"/>
          <w:szCs w:val="34"/>
        </w:rPr>
      </w:pPr>
      <w:r>
        <w:rPr>
          <w:rFonts w:hint="eastAsia" w:ascii="黑体" w:hAnsi="黑体" w:eastAsia="黑体"/>
          <w:bCs/>
          <w:sz w:val="34"/>
          <w:szCs w:val="34"/>
        </w:rPr>
        <w:t>第三章　供应商分级管理</w:t>
      </w:r>
    </w:p>
    <w:p w14:paraId="759B4850">
      <w:pPr>
        <w:tabs>
          <w:tab w:val="left" w:pos="2565"/>
        </w:tabs>
        <w:adjustRightInd w:val="0"/>
        <w:snapToGrid w:val="0"/>
        <w:spacing w:line="600" w:lineRule="exact"/>
        <w:ind w:firstLine="683" w:firstLineChars="200"/>
        <w:rPr>
          <w:rFonts w:hint="eastAsia" w:ascii="仿宋_GB2312" w:hAnsi="楷体" w:eastAsia="仿宋_GB2312"/>
          <w:bCs/>
          <w:sz w:val="34"/>
          <w:szCs w:val="34"/>
        </w:rPr>
      </w:pPr>
      <w:r>
        <w:rPr>
          <w:rFonts w:hint="eastAsia" w:ascii="仿宋_GB2312" w:hAnsi="楷体" w:eastAsia="仿宋_GB2312"/>
          <w:b/>
          <w:sz w:val="34"/>
          <w:szCs w:val="34"/>
        </w:rPr>
        <w:t xml:space="preserve">第六条  </w:t>
      </w:r>
      <w:r>
        <w:rPr>
          <w:rFonts w:hint="eastAsia" w:ascii="仿宋_GB2312" w:hAnsi="楷体" w:eastAsia="仿宋_GB2312"/>
          <w:bCs/>
          <w:sz w:val="34"/>
          <w:szCs w:val="34"/>
        </w:rPr>
        <w:t>根据考核扣分及违规严重性，将供应商分为以下三类管理：</w:t>
      </w:r>
    </w:p>
    <w:p w14:paraId="4B7C6FA0">
      <w:pPr>
        <w:tabs>
          <w:tab w:val="left" w:pos="2565"/>
        </w:tabs>
        <w:adjustRightInd w:val="0"/>
        <w:snapToGrid w:val="0"/>
        <w:spacing w:line="600" w:lineRule="exact"/>
        <w:ind w:firstLine="680" w:firstLineChars="200"/>
        <w:rPr>
          <w:rFonts w:hint="eastAsia" w:ascii="仿宋_GB2312" w:hAnsi="楷体" w:eastAsia="仿宋_GB2312"/>
          <w:bCs/>
          <w:sz w:val="34"/>
          <w:szCs w:val="34"/>
        </w:rPr>
      </w:pPr>
      <w:r>
        <w:rPr>
          <w:rFonts w:hint="eastAsia" w:ascii="仿宋_GB2312" w:hAnsi="楷体" w:eastAsia="仿宋_GB2312"/>
          <w:bCs/>
          <w:sz w:val="34"/>
          <w:szCs w:val="34"/>
        </w:rPr>
        <w:t>（一）合格供应商</w:t>
      </w:r>
    </w:p>
    <w:p w14:paraId="42327616">
      <w:pPr>
        <w:tabs>
          <w:tab w:val="left" w:pos="2565"/>
        </w:tabs>
        <w:adjustRightInd w:val="0"/>
        <w:snapToGrid w:val="0"/>
        <w:spacing w:line="600" w:lineRule="exact"/>
        <w:ind w:firstLine="680" w:firstLineChars="200"/>
        <w:rPr>
          <w:rFonts w:hint="eastAsia" w:ascii="仿宋_GB2312" w:hAnsi="楷体" w:eastAsia="仿宋_GB2312"/>
          <w:bCs/>
          <w:sz w:val="34"/>
          <w:szCs w:val="34"/>
        </w:rPr>
      </w:pPr>
      <w:r>
        <w:rPr>
          <w:rFonts w:hint="eastAsia" w:ascii="仿宋_GB2312" w:hAnsi="楷体" w:eastAsia="仿宋_GB2312"/>
          <w:bCs/>
          <w:sz w:val="34"/>
          <w:szCs w:val="34"/>
        </w:rPr>
        <w:t>1.考核标准：滚动周期扣分（一年内）＜10分。</w:t>
      </w:r>
    </w:p>
    <w:p w14:paraId="5029AB51">
      <w:pPr>
        <w:tabs>
          <w:tab w:val="left" w:pos="2565"/>
        </w:tabs>
        <w:adjustRightInd w:val="0"/>
        <w:snapToGrid w:val="0"/>
        <w:spacing w:line="600" w:lineRule="exact"/>
        <w:ind w:firstLine="680" w:firstLineChars="200"/>
        <w:rPr>
          <w:rFonts w:hint="eastAsia" w:ascii="仿宋_GB2312" w:hAnsi="楷体" w:eastAsia="仿宋_GB2312"/>
          <w:bCs/>
          <w:sz w:val="34"/>
          <w:szCs w:val="34"/>
        </w:rPr>
      </w:pPr>
      <w:r>
        <w:rPr>
          <w:rFonts w:hint="eastAsia" w:ascii="仿宋_GB2312" w:hAnsi="楷体" w:eastAsia="仿宋_GB2312"/>
          <w:bCs/>
          <w:sz w:val="34"/>
          <w:szCs w:val="34"/>
        </w:rPr>
        <w:t>2.管理措施：可正常参与公司公开采购及合作，扣分自首次扣除满一年自动清零。</w:t>
      </w:r>
    </w:p>
    <w:p w14:paraId="7E625CB2">
      <w:pPr>
        <w:tabs>
          <w:tab w:val="left" w:pos="2565"/>
        </w:tabs>
        <w:adjustRightInd w:val="0"/>
        <w:snapToGrid w:val="0"/>
        <w:spacing w:line="600" w:lineRule="exact"/>
        <w:ind w:firstLine="680" w:firstLineChars="200"/>
        <w:rPr>
          <w:rFonts w:hint="eastAsia" w:ascii="仿宋_GB2312" w:hAnsi="楷体" w:eastAsia="仿宋_GB2312"/>
          <w:bCs/>
          <w:sz w:val="34"/>
          <w:szCs w:val="34"/>
        </w:rPr>
      </w:pPr>
      <w:r>
        <w:rPr>
          <w:rFonts w:hint="eastAsia" w:ascii="仿宋_GB2312" w:hAnsi="楷体" w:eastAsia="仿宋_GB2312"/>
          <w:bCs/>
          <w:sz w:val="34"/>
          <w:szCs w:val="34"/>
        </w:rPr>
        <w:t>（二）暂停合作供应商</w:t>
      </w:r>
    </w:p>
    <w:p w14:paraId="32024DF4">
      <w:pPr>
        <w:tabs>
          <w:tab w:val="left" w:pos="2565"/>
        </w:tabs>
        <w:adjustRightInd w:val="0"/>
        <w:snapToGrid w:val="0"/>
        <w:spacing w:line="600" w:lineRule="exact"/>
        <w:ind w:firstLine="680" w:firstLineChars="200"/>
        <w:rPr>
          <w:rFonts w:hint="eastAsia" w:ascii="仿宋_GB2312" w:hAnsi="楷体" w:eastAsia="仿宋_GB2312"/>
          <w:bCs/>
          <w:sz w:val="34"/>
          <w:szCs w:val="34"/>
        </w:rPr>
      </w:pPr>
      <w:r>
        <w:rPr>
          <w:rFonts w:hint="eastAsia" w:ascii="仿宋_GB2312" w:hAnsi="楷体" w:eastAsia="仿宋_GB2312"/>
          <w:bCs/>
          <w:sz w:val="34"/>
          <w:szCs w:val="34"/>
        </w:rPr>
        <w:t>1.考核标准：同一</w:t>
      </w:r>
      <w:r>
        <w:rPr>
          <w:rFonts w:hint="eastAsia" w:ascii="仿宋_GB2312" w:hAnsi="仿宋" w:eastAsia="仿宋_GB2312"/>
          <w:bCs/>
          <w:sz w:val="34"/>
          <w:szCs w:val="34"/>
        </w:rPr>
        <w:t>单位对同一供应商一年内的考核扣分累计</w:t>
      </w:r>
      <w:r>
        <w:rPr>
          <w:rFonts w:hint="eastAsia" w:ascii="仿宋_GB2312" w:hAnsi="楷体" w:eastAsia="仿宋_GB2312"/>
          <w:bCs/>
          <w:sz w:val="34"/>
          <w:szCs w:val="34"/>
        </w:rPr>
        <w:t>≥10分；</w:t>
      </w:r>
      <w:r>
        <w:rPr>
          <w:rFonts w:hint="eastAsia" w:ascii="仿宋_GB2312" w:hAnsi="仿宋" w:eastAsia="仿宋_GB2312"/>
          <w:bCs/>
          <w:sz w:val="34"/>
          <w:szCs w:val="34"/>
        </w:rPr>
        <w:t>不同单位对同一供应商一年内的考核扣分累计</w:t>
      </w:r>
      <w:r>
        <w:rPr>
          <w:rFonts w:hint="eastAsia" w:ascii="仿宋_GB2312" w:hAnsi="楷体" w:eastAsia="仿宋_GB2312"/>
          <w:bCs/>
          <w:sz w:val="34"/>
          <w:szCs w:val="34"/>
        </w:rPr>
        <w:t>≥15分。</w:t>
      </w:r>
    </w:p>
    <w:p w14:paraId="0C3C187B">
      <w:pPr>
        <w:tabs>
          <w:tab w:val="left" w:pos="2565"/>
        </w:tabs>
        <w:adjustRightInd w:val="0"/>
        <w:snapToGrid w:val="0"/>
        <w:spacing w:line="600" w:lineRule="exact"/>
        <w:ind w:firstLine="680" w:firstLineChars="200"/>
      </w:pPr>
      <w:r>
        <w:rPr>
          <w:rFonts w:hint="eastAsia" w:ascii="仿宋_GB2312" w:hAnsi="楷体" w:eastAsia="仿宋_GB2312"/>
          <w:bCs/>
          <w:sz w:val="34"/>
          <w:szCs w:val="34"/>
        </w:rPr>
        <w:t>2.管理措施：一年内停止与其产生新的合作。建立到期提示机制，到期前一个月内考核部门应主动告知相应供应商，并同步开放整改材料提交通道。</w:t>
      </w:r>
    </w:p>
    <w:p w14:paraId="5E2126C7">
      <w:pPr>
        <w:tabs>
          <w:tab w:val="left" w:pos="2565"/>
        </w:tabs>
        <w:adjustRightInd w:val="0"/>
        <w:snapToGrid w:val="0"/>
        <w:spacing w:line="600" w:lineRule="exact"/>
        <w:ind w:firstLine="680" w:firstLineChars="200"/>
        <w:rPr>
          <w:rFonts w:ascii="仿宋_GB2312" w:hAnsi="楷体" w:eastAsia="仿宋_GB2312"/>
          <w:bCs/>
          <w:sz w:val="34"/>
          <w:szCs w:val="34"/>
        </w:rPr>
      </w:pPr>
      <w:r>
        <w:rPr>
          <w:rFonts w:hint="eastAsia" w:ascii="仿宋_GB2312" w:hAnsi="楷体" w:eastAsia="仿宋_GB2312"/>
          <w:bCs/>
          <w:sz w:val="34"/>
          <w:szCs w:val="34"/>
        </w:rPr>
        <w:t>3.评审优先级：在采购评审过程中，同等情况下应优先选择未曾被列入暂停合作供应商清单的供应商。</w:t>
      </w:r>
    </w:p>
    <w:p w14:paraId="0A6AFEF9">
      <w:pPr>
        <w:tabs>
          <w:tab w:val="left" w:pos="2565"/>
        </w:tabs>
        <w:adjustRightInd w:val="0"/>
        <w:snapToGrid w:val="0"/>
        <w:spacing w:line="600" w:lineRule="exact"/>
        <w:ind w:firstLine="680" w:firstLineChars="200"/>
        <w:rPr>
          <w:rFonts w:hint="eastAsia" w:ascii="仿宋_GB2312" w:hAnsi="楷体" w:eastAsia="仿宋_GB2312"/>
          <w:bCs/>
          <w:sz w:val="34"/>
          <w:szCs w:val="34"/>
        </w:rPr>
      </w:pPr>
      <w:r>
        <w:rPr>
          <w:rFonts w:hint="eastAsia" w:ascii="仿宋_GB2312" w:hAnsi="楷体" w:eastAsia="仿宋_GB2312"/>
          <w:bCs/>
          <w:sz w:val="34"/>
          <w:szCs w:val="34"/>
        </w:rPr>
        <w:t>（三）禁止合作供应商</w:t>
      </w:r>
    </w:p>
    <w:p w14:paraId="761E2258">
      <w:pPr>
        <w:tabs>
          <w:tab w:val="left" w:pos="2565"/>
        </w:tabs>
        <w:adjustRightInd w:val="0"/>
        <w:snapToGrid w:val="0"/>
        <w:spacing w:line="600" w:lineRule="exact"/>
        <w:ind w:firstLine="680" w:firstLineChars="200"/>
        <w:rPr>
          <w:rFonts w:hint="eastAsia" w:ascii="仿宋_GB2312" w:hAnsi="楷体" w:eastAsia="仿宋_GB2312"/>
          <w:bCs/>
          <w:sz w:val="34"/>
          <w:szCs w:val="34"/>
        </w:rPr>
      </w:pPr>
      <w:r>
        <w:rPr>
          <w:rFonts w:hint="eastAsia" w:ascii="仿宋_GB2312" w:hAnsi="楷体" w:eastAsia="仿宋_GB2312"/>
          <w:bCs/>
          <w:sz w:val="34"/>
          <w:szCs w:val="34"/>
        </w:rPr>
        <w:t>1.考核标准：供应商发生以下恶意行为的，将直接列入禁止合作供应商清单：</w:t>
      </w:r>
    </w:p>
    <w:p w14:paraId="335E3F60">
      <w:pPr>
        <w:tabs>
          <w:tab w:val="left" w:pos="2565"/>
        </w:tabs>
        <w:adjustRightInd w:val="0"/>
        <w:snapToGrid w:val="0"/>
        <w:spacing w:line="600" w:lineRule="exact"/>
        <w:ind w:firstLine="680" w:firstLineChars="200"/>
        <w:rPr>
          <w:rFonts w:hint="eastAsia" w:ascii="仿宋_GB2312" w:hAnsi="楷体" w:eastAsia="仿宋_GB2312"/>
          <w:bCs/>
          <w:sz w:val="34"/>
          <w:szCs w:val="34"/>
        </w:rPr>
      </w:pPr>
      <w:r>
        <w:rPr>
          <w:rFonts w:hint="eastAsia" w:ascii="仿宋_GB2312" w:hAnsi="楷体" w:eastAsia="仿宋_GB2312"/>
          <w:bCs/>
          <w:sz w:val="34"/>
          <w:szCs w:val="34"/>
        </w:rPr>
        <w:t>（1）主观恶意且对公司生产经营活动造成重大损害的；</w:t>
      </w:r>
    </w:p>
    <w:p w14:paraId="310881CC">
      <w:pPr>
        <w:tabs>
          <w:tab w:val="left" w:pos="2565"/>
        </w:tabs>
        <w:adjustRightInd w:val="0"/>
        <w:snapToGrid w:val="0"/>
        <w:spacing w:line="600" w:lineRule="exact"/>
        <w:ind w:firstLine="680" w:firstLineChars="200"/>
        <w:rPr>
          <w:rFonts w:hint="eastAsia" w:ascii="仿宋_GB2312" w:hAnsi="仿宋" w:eastAsia="仿宋_GB2312"/>
          <w:bCs/>
          <w:sz w:val="34"/>
          <w:szCs w:val="34"/>
        </w:rPr>
      </w:pPr>
      <w:r>
        <w:rPr>
          <w:rFonts w:hint="eastAsia" w:ascii="仿宋_GB2312" w:hAnsi="楷体" w:eastAsia="仿宋_GB2312"/>
          <w:bCs/>
          <w:sz w:val="34"/>
          <w:szCs w:val="34"/>
        </w:rPr>
        <w:t>（2）</w:t>
      </w:r>
      <w:r>
        <w:rPr>
          <w:rFonts w:hint="eastAsia" w:ascii="仿宋_GB2312" w:hAnsi="仿宋" w:eastAsia="仿宋_GB2312"/>
          <w:bCs/>
          <w:sz w:val="34"/>
          <w:szCs w:val="34"/>
        </w:rPr>
        <w:t>恶意法律诉讼起诉我公司最终被法院裁定为败诉的；</w:t>
      </w:r>
    </w:p>
    <w:p w14:paraId="79CC1D69">
      <w:pPr>
        <w:adjustRightInd w:val="0"/>
        <w:snapToGrid w:val="0"/>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（3）</w:t>
      </w:r>
      <w:r>
        <w:rPr>
          <w:rFonts w:hint="eastAsia" w:ascii="仿宋_GB2312" w:hAnsi="楷体" w:eastAsia="仿宋_GB2312"/>
          <w:bCs/>
          <w:sz w:val="34"/>
          <w:szCs w:val="34"/>
        </w:rPr>
        <w:t>两次列入暂停合作供应商的；</w:t>
      </w:r>
    </w:p>
    <w:p w14:paraId="3C62A3D5">
      <w:pPr>
        <w:tabs>
          <w:tab w:val="left" w:pos="2565"/>
        </w:tabs>
        <w:adjustRightInd w:val="0"/>
        <w:snapToGrid w:val="0"/>
        <w:spacing w:line="600" w:lineRule="exact"/>
        <w:ind w:firstLine="680" w:firstLineChars="200"/>
        <w:rPr>
          <w:rFonts w:hint="eastAsia" w:ascii="仿宋_GB2312" w:hAnsi="楷体" w:eastAsia="仿宋_GB2312"/>
          <w:bCs/>
          <w:sz w:val="34"/>
          <w:szCs w:val="34"/>
        </w:rPr>
      </w:pPr>
      <w:r>
        <w:rPr>
          <w:rFonts w:hint="eastAsia" w:ascii="仿宋_GB2312" w:hAnsi="楷体" w:eastAsia="仿宋_GB2312"/>
          <w:bCs/>
          <w:sz w:val="34"/>
          <w:szCs w:val="34"/>
        </w:rPr>
        <w:t>（4）</w:t>
      </w:r>
      <w:r>
        <w:rPr>
          <w:rFonts w:hint="eastAsia" w:ascii="仿宋_GB2312" w:hAnsi="仿宋" w:eastAsia="仿宋_GB2312"/>
          <w:bCs/>
          <w:sz w:val="34"/>
          <w:szCs w:val="34"/>
        </w:rPr>
        <w:t>违反廉政协议，滋生腐败现象的；</w:t>
      </w:r>
    </w:p>
    <w:p w14:paraId="42F31674">
      <w:pPr>
        <w:pStyle w:val="5"/>
        <w:adjustRightInd w:val="0"/>
        <w:snapToGrid w:val="0"/>
        <w:spacing w:beforeAutospacing="0" w:afterAutospacing="0" w:line="600" w:lineRule="exact"/>
        <w:ind w:firstLine="680" w:firstLineChars="200"/>
        <w:rPr>
          <w:rFonts w:hint="default"/>
        </w:rPr>
      </w:pPr>
      <w:r>
        <w:rPr>
          <w:rFonts w:ascii="仿宋_GB2312" w:hAnsi="楷体" w:eastAsia="仿宋_GB2312"/>
          <w:b w:val="0"/>
          <w:bCs/>
          <w:sz w:val="34"/>
          <w:szCs w:val="34"/>
        </w:rPr>
        <w:t>（5）存在其他严重侵害公司利益行为的。</w:t>
      </w:r>
    </w:p>
    <w:p w14:paraId="1937676B">
      <w:pPr>
        <w:tabs>
          <w:tab w:val="left" w:pos="2565"/>
        </w:tabs>
        <w:adjustRightInd w:val="0"/>
        <w:snapToGrid w:val="0"/>
        <w:spacing w:line="600" w:lineRule="exact"/>
        <w:ind w:firstLine="680" w:firstLineChars="200"/>
        <w:rPr>
          <w:rFonts w:hint="eastAsia" w:ascii="仿宋_GB2312" w:hAnsi="楷体" w:eastAsia="仿宋_GB2312"/>
          <w:bCs/>
          <w:sz w:val="34"/>
          <w:szCs w:val="34"/>
        </w:rPr>
      </w:pPr>
      <w:r>
        <w:rPr>
          <w:rFonts w:hint="eastAsia" w:ascii="仿宋_GB2312" w:hAnsi="楷体" w:eastAsia="仿宋_GB2312"/>
          <w:bCs/>
          <w:sz w:val="34"/>
          <w:szCs w:val="34"/>
        </w:rPr>
        <w:t>2.管理措施：原则上永久禁止合作。</w:t>
      </w:r>
    </w:p>
    <w:p w14:paraId="798B1D0C">
      <w:pPr>
        <w:spacing w:line="600" w:lineRule="exact"/>
        <w:jc w:val="center"/>
        <w:rPr>
          <w:rFonts w:ascii="黑体" w:hAnsi="黑体" w:eastAsia="黑体"/>
          <w:bCs/>
          <w:sz w:val="34"/>
          <w:szCs w:val="34"/>
        </w:rPr>
      </w:pPr>
      <w:r>
        <w:rPr>
          <w:rFonts w:hint="eastAsia" w:ascii="黑体" w:hAnsi="黑体" w:eastAsia="黑体"/>
          <w:bCs/>
          <w:sz w:val="34"/>
          <w:szCs w:val="34"/>
        </w:rPr>
        <w:t>第四章 积分考核细则</w:t>
      </w:r>
    </w:p>
    <w:p w14:paraId="40D98425">
      <w:pPr>
        <w:spacing w:line="600" w:lineRule="exact"/>
        <w:ind w:firstLine="683" w:firstLineChars="200"/>
        <w:rPr>
          <w:rFonts w:hint="eastAsia" w:ascii="仿宋_GB2312" w:hAnsi="楷体" w:eastAsia="仿宋_GB2312"/>
          <w:bCs/>
          <w:sz w:val="34"/>
          <w:szCs w:val="34"/>
        </w:rPr>
      </w:pPr>
      <w:r>
        <w:rPr>
          <w:rFonts w:hint="eastAsia" w:ascii="仿宋_GB2312" w:hAnsi="楷体" w:eastAsia="仿宋_GB2312"/>
          <w:b/>
          <w:sz w:val="34"/>
          <w:szCs w:val="34"/>
        </w:rPr>
        <w:t xml:space="preserve">第七条 </w:t>
      </w:r>
      <w:r>
        <w:rPr>
          <w:rFonts w:hint="eastAsia" w:ascii="仿宋_GB2312" w:hAnsi="楷体" w:eastAsia="仿宋_GB2312"/>
          <w:bCs/>
          <w:sz w:val="34"/>
          <w:szCs w:val="34"/>
        </w:rPr>
        <w:t>供应商的积分考核主要包括供货质量、交货周期、售后服务、资质信誉等方面，每项各10分，各相关部门均可提出书面考核意见。商务合作部负责对各相关部门提出的考核意见进行收集汇总，并及时公示。</w:t>
      </w:r>
    </w:p>
    <w:p w14:paraId="01B4CA9E">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（一）质量方面</w:t>
      </w:r>
    </w:p>
    <w:p w14:paraId="38B7D7E1">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1.所供产品出现质量问题，未对公司造成影响，单次扣1-3分。</w:t>
      </w:r>
    </w:p>
    <w:p w14:paraId="33651BD7">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2.所供产品出现质量问题，对公司造成了一定影响，单次扣3-5分。</w:t>
      </w:r>
    </w:p>
    <w:p w14:paraId="7F54040F">
      <w:pPr>
        <w:spacing w:line="600" w:lineRule="exact"/>
        <w:ind w:firstLine="680"/>
        <w:rPr>
          <w:rFonts w:hint="eastAsia" w:ascii="仿宋_GB2312" w:hAnsi="仿宋" w:eastAsia="仿宋_GB2312"/>
          <w:bCs/>
          <w:sz w:val="34"/>
          <w:szCs w:val="34"/>
        </w:rPr>
      </w:pPr>
      <w:r>
        <w:rPr>
          <w:rFonts w:hint="eastAsia" w:ascii="仿宋_GB2312" w:hAnsi="仿宋" w:eastAsia="仿宋_GB2312"/>
          <w:bCs/>
          <w:sz w:val="34"/>
          <w:szCs w:val="34"/>
        </w:rPr>
        <w:t>3.所供产品出现质量问题，对公司造成了严重影响，单次扣5-10分。</w:t>
      </w:r>
    </w:p>
    <w:p w14:paraId="19D7E48D">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4.所供产品故意隐瞒质量缺陷或以次充好，单次扣10分。</w:t>
      </w:r>
    </w:p>
    <w:p w14:paraId="1D0E32F0">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（二）交货方面</w:t>
      </w:r>
    </w:p>
    <w:p w14:paraId="5CA053DB">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1.交货时无质检报告或合格证等必要资料的，单次扣1-3分。</w:t>
      </w:r>
    </w:p>
    <w:p w14:paraId="4006ECA8">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2.交货时未按规定包装的，单次扣1-3分。</w:t>
      </w:r>
    </w:p>
    <w:p w14:paraId="2A304511">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3.延期交货，但未对公司造成影响，单次扣1-3分；造成一定影响，单次扣3-5分；造成严重影响，单次扣5-10分。</w:t>
      </w:r>
    </w:p>
    <w:p w14:paraId="20619BA4">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（三）售后方面</w:t>
      </w:r>
    </w:p>
    <w:p w14:paraId="228C5981">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1.对我公司的售后服务要求不能及时响应，单次扣1-3分；已造成一定影响，单次扣3-5分；造成严重影响，单次扣5-10分。</w:t>
      </w:r>
    </w:p>
    <w:p w14:paraId="2DC531CB">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2.售后人员不能及时解决问题，单次扣1-3分。</w:t>
      </w:r>
    </w:p>
    <w:p w14:paraId="2D9D39E6">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3.在质保期之内，拒绝按合同提供售后服务，单次扣5-10分。</w:t>
      </w:r>
    </w:p>
    <w:p w14:paraId="5D02C3DB">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（四）资信方面</w:t>
      </w:r>
    </w:p>
    <w:p w14:paraId="096C57CC">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1.未提供询价书要求的资质文件、不满足询价书资质要求、报价与技术要求不符等，单次扣1～3 分。   </w:t>
      </w:r>
    </w:p>
    <w:p w14:paraId="19D9F8AC">
      <w:pPr>
        <w:spacing w:line="600" w:lineRule="exact"/>
        <w:ind w:firstLine="680" w:firstLineChars="200"/>
        <w:rPr>
          <w:rFonts w:hint="eastAsia" w:ascii="仿宋_GB2312" w:hAnsi="仿宋" w:eastAsia="仿宋_GB2312"/>
          <w:bCs/>
          <w:sz w:val="34"/>
          <w:szCs w:val="34"/>
        </w:rPr>
      </w:pPr>
      <w:r>
        <w:rPr>
          <w:rFonts w:hint="eastAsia" w:ascii="仿宋_GB2312" w:hAnsi="仿宋" w:eastAsia="仿宋_GB2312"/>
          <w:bCs/>
          <w:sz w:val="34"/>
          <w:szCs w:val="34"/>
        </w:rPr>
        <w:t>2.中选之后因报价、参数错误等原因，报价人放弃成交，单次扣3-5分。</w:t>
      </w:r>
    </w:p>
    <w:p w14:paraId="7215A82D">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3.中选之后拒绝签订合同或拒绝履行合同，单次扣5-10分。</w:t>
      </w:r>
    </w:p>
    <w:p w14:paraId="46058B22">
      <w:pPr>
        <w:spacing w:line="600" w:lineRule="exact"/>
        <w:ind w:firstLine="680"/>
        <w:rPr>
          <w:rFonts w:hint="eastAsia" w:ascii="仿宋_GB2312" w:hAnsi="仿宋" w:eastAsia="仿宋_GB2312"/>
          <w:bCs/>
          <w:sz w:val="34"/>
          <w:szCs w:val="34"/>
        </w:rPr>
      </w:pPr>
      <w:r>
        <w:rPr>
          <w:rFonts w:hint="eastAsia" w:ascii="仿宋_GB2312" w:hAnsi="仿宋" w:eastAsia="仿宋_GB2312"/>
          <w:bCs/>
          <w:sz w:val="34"/>
          <w:szCs w:val="34"/>
        </w:rPr>
        <w:t>4.无正当理由未及时开具发票给我方或未按合同约定价格开票，单次扣1-3分。</w:t>
      </w:r>
    </w:p>
    <w:p w14:paraId="0A5AFD35">
      <w:pPr>
        <w:spacing w:line="600" w:lineRule="exact"/>
        <w:ind w:firstLine="680"/>
        <w:rPr>
          <w:rFonts w:ascii="仿宋_GB2312" w:hAnsi="仿宋" w:eastAsia="仿宋_GB2312"/>
          <w:bCs/>
          <w:sz w:val="34"/>
          <w:szCs w:val="34"/>
        </w:rPr>
      </w:pPr>
      <w:r>
        <w:rPr>
          <w:rFonts w:hint="eastAsia" w:ascii="仿宋_GB2312" w:hAnsi="仿宋" w:eastAsia="仿宋_GB2312"/>
          <w:bCs/>
          <w:sz w:val="34"/>
          <w:szCs w:val="34"/>
        </w:rPr>
        <w:t>5.未按照《江苏索普(集团)有限公司工程造价审计管理制度》要求提供工程结算资料，或未按规定进行工程结算确认的，单次扣1-3分。</w:t>
      </w:r>
    </w:p>
    <w:p w14:paraId="36FF70D2">
      <w:pPr>
        <w:spacing w:line="600" w:lineRule="exact"/>
        <w:ind w:firstLine="680"/>
        <w:rPr>
          <w:rFonts w:hint="eastAsia" w:ascii="仿宋_GB2312" w:hAnsi="仿宋" w:eastAsia="仿宋_GB2312"/>
          <w:bCs/>
          <w:sz w:val="34"/>
          <w:szCs w:val="34"/>
        </w:rPr>
      </w:pPr>
      <w:r>
        <w:rPr>
          <w:rFonts w:hint="eastAsia" w:ascii="仿宋_GB2312" w:hAnsi="仿宋" w:eastAsia="仿宋_GB2312"/>
          <w:bCs/>
          <w:sz w:val="34"/>
          <w:szCs w:val="34"/>
        </w:rPr>
        <w:t>6.报价人经核实资质造假或因知识产权引起纠纷，单次扣6-10分。</w:t>
      </w:r>
    </w:p>
    <w:p w14:paraId="3536E4F3">
      <w:pPr>
        <w:spacing w:line="600" w:lineRule="exact"/>
        <w:ind w:firstLine="680"/>
        <w:rPr>
          <w:rFonts w:hint="eastAsia" w:ascii="仿宋_GB2312" w:hAnsi="仿宋" w:eastAsia="仿宋_GB2312"/>
          <w:bCs/>
          <w:sz w:val="34"/>
          <w:szCs w:val="34"/>
        </w:rPr>
      </w:pPr>
      <w:r>
        <w:rPr>
          <w:rFonts w:hint="eastAsia" w:ascii="仿宋_GB2312" w:hAnsi="仿宋" w:eastAsia="仿宋_GB2312"/>
          <w:bCs/>
          <w:sz w:val="34"/>
          <w:szCs w:val="34"/>
        </w:rPr>
        <w:t>7.报价低于成本价且无合理说明扰乱公开采购秩序,单次扣10 分。</w:t>
      </w:r>
    </w:p>
    <w:p w14:paraId="0B51BAA6">
      <w:pPr>
        <w:spacing w:line="600" w:lineRule="exact"/>
        <w:ind w:firstLine="642"/>
        <w:rPr>
          <w:rFonts w:hint="eastAsia" w:ascii="仿宋_GB2312" w:hAnsi="仿宋" w:eastAsia="仿宋_GB2312"/>
          <w:bCs/>
          <w:sz w:val="34"/>
          <w:szCs w:val="34"/>
        </w:rPr>
      </w:pPr>
      <w:r>
        <w:rPr>
          <w:rFonts w:hint="eastAsia" w:ascii="仿宋_GB2312" w:hAnsi="楷体" w:eastAsia="仿宋_GB2312"/>
          <w:b/>
          <w:sz w:val="34"/>
          <w:szCs w:val="34"/>
        </w:rPr>
        <w:t xml:space="preserve">第八条 </w:t>
      </w:r>
      <w:r>
        <w:rPr>
          <w:rFonts w:hint="eastAsia" w:ascii="仿宋_GB2312" w:hAnsi="仿宋" w:eastAsia="仿宋_GB2312"/>
          <w:bCs/>
          <w:sz w:val="34"/>
          <w:szCs w:val="34"/>
        </w:rPr>
        <w:t>关于无效投诉的处理办法</w:t>
      </w:r>
    </w:p>
    <w:p w14:paraId="023AE569">
      <w:pPr>
        <w:spacing w:line="600" w:lineRule="exact"/>
        <w:ind w:firstLine="641"/>
        <w:rPr>
          <w:rFonts w:hint="eastAsia" w:ascii="仿宋_GB2312" w:hAnsi="仿宋" w:eastAsia="仿宋_GB2312"/>
          <w:bCs/>
          <w:sz w:val="34"/>
          <w:szCs w:val="34"/>
        </w:rPr>
      </w:pPr>
      <w:r>
        <w:rPr>
          <w:rFonts w:hint="eastAsia" w:ascii="仿宋_GB2312" w:hAnsi="仿宋" w:eastAsia="仿宋_GB2312"/>
          <w:bCs/>
          <w:sz w:val="34"/>
          <w:szCs w:val="34"/>
        </w:rPr>
        <w:t>报价人如对评审结果存有异议，可向监管部门提起投诉。但为了维护公开采购工作的严肃性，报价人所提出的投诉一旦被公司认定为无效投诉，单次扣除投诉人3分；如果报价人仍不接受解释且采取重复投诉，甚至出现捏造事实、无理取闹、聚众围堵、恶意诽谤等严重扰乱公司生产经营秩序的恶劣行为，可再扣除投诉人5-10分；报价人对同一事件进行重复的无效投诉，或一年内累计无效投诉达三次以上（含三次），均直接列入暂停交易清单，情节严重的可直接列入禁止交易供应商清单。</w:t>
      </w:r>
    </w:p>
    <w:p w14:paraId="59862552">
      <w:pPr>
        <w:adjustRightInd w:val="0"/>
        <w:snapToGrid w:val="0"/>
        <w:spacing w:line="600" w:lineRule="exact"/>
        <w:ind w:right="210" w:rightChars="100"/>
        <w:jc w:val="center"/>
        <w:rPr>
          <w:rFonts w:hint="eastAsia" w:ascii="黑体" w:hAnsi="黑体" w:eastAsia="黑体" w:cs="仿宋"/>
          <w:bCs/>
          <w:sz w:val="34"/>
          <w:szCs w:val="34"/>
        </w:rPr>
      </w:pPr>
      <w:r>
        <w:rPr>
          <w:rFonts w:hint="eastAsia" w:ascii="黑体" w:hAnsi="黑体" w:eastAsia="黑体" w:cs="仿宋"/>
          <w:bCs/>
          <w:sz w:val="34"/>
          <w:szCs w:val="34"/>
        </w:rPr>
        <w:t>第五章  重要事项</w:t>
      </w:r>
    </w:p>
    <w:p w14:paraId="55C7A0FE">
      <w:pPr>
        <w:pStyle w:val="5"/>
        <w:adjustRightInd w:val="0"/>
        <w:snapToGrid w:val="0"/>
        <w:spacing w:beforeAutospacing="0" w:afterAutospacing="0" w:line="600" w:lineRule="exact"/>
        <w:ind w:firstLine="683" w:firstLineChars="200"/>
        <w:rPr>
          <w:rFonts w:ascii="仿宋_GB2312" w:hAnsi="仿宋" w:eastAsia="仿宋_GB2312"/>
          <w:b w:val="0"/>
          <w:bCs/>
          <w:kern w:val="2"/>
          <w:sz w:val="34"/>
          <w:szCs w:val="34"/>
        </w:rPr>
      </w:pPr>
      <w:r>
        <w:rPr>
          <w:rFonts w:ascii="仿宋_GB2312" w:hAnsi="仿宋" w:eastAsia="仿宋_GB2312"/>
          <w:kern w:val="2"/>
          <w:sz w:val="34"/>
          <w:szCs w:val="34"/>
        </w:rPr>
        <w:t>第九条</w:t>
      </w:r>
      <w:r>
        <w:rPr>
          <w:rFonts w:ascii="仿宋_GB2312" w:hAnsi="仿宋" w:eastAsia="仿宋_GB2312"/>
          <w:b w:val="0"/>
          <w:bCs/>
          <w:kern w:val="2"/>
          <w:sz w:val="34"/>
          <w:szCs w:val="34"/>
        </w:rPr>
        <w:t xml:space="preserve">  为确保集团内部供应商管理的一致性和高效性，各部门应统一按照集团公司制定的供应商管理要求严格执行。</w:t>
      </w:r>
    </w:p>
    <w:p w14:paraId="472F9554">
      <w:pPr>
        <w:adjustRightInd w:val="0"/>
        <w:snapToGrid w:val="0"/>
        <w:spacing w:line="600" w:lineRule="exact"/>
        <w:ind w:firstLine="683" w:firstLineChars="200"/>
        <w:rPr>
          <w:rFonts w:hint="eastAsia" w:ascii="仿宋_GB2312" w:hAnsi="仿宋" w:eastAsia="仿宋_GB2312"/>
          <w:bCs/>
          <w:sz w:val="34"/>
          <w:szCs w:val="34"/>
        </w:rPr>
      </w:pPr>
      <w:r>
        <w:rPr>
          <w:rFonts w:hint="eastAsia" w:ascii="仿宋_GB2312" w:hAnsi="仿宋" w:eastAsia="仿宋_GB2312"/>
          <w:b/>
          <w:sz w:val="34"/>
          <w:szCs w:val="34"/>
        </w:rPr>
        <w:t>第十条</w:t>
      </w:r>
      <w:r>
        <w:rPr>
          <w:rFonts w:hint="eastAsia" w:ascii="仿宋_GB2312" w:hAnsi="仿宋" w:eastAsia="仿宋_GB2312"/>
          <w:bCs/>
          <w:sz w:val="34"/>
          <w:szCs w:val="34"/>
        </w:rPr>
        <w:t xml:space="preserve">  各部门将供应商纳入负面清单时应秉持审慎原则，需建立在事实调查与证据收集基础之上，确保决定的合理性与公正性。</w:t>
      </w:r>
    </w:p>
    <w:p w14:paraId="6F089EDC">
      <w:pPr>
        <w:adjustRightInd w:val="0"/>
        <w:snapToGrid w:val="0"/>
        <w:spacing w:line="600" w:lineRule="exact"/>
        <w:ind w:firstLine="683" w:firstLineChars="200"/>
        <w:rPr>
          <w:rFonts w:hint="eastAsia" w:ascii="仿宋_GB2312" w:hAnsi="仿宋" w:eastAsia="仿宋_GB2312"/>
          <w:bCs/>
          <w:sz w:val="34"/>
          <w:szCs w:val="34"/>
        </w:rPr>
      </w:pPr>
      <w:r>
        <w:rPr>
          <w:rFonts w:hint="eastAsia" w:ascii="仿宋_GB2312" w:hAnsi="仿宋" w:eastAsia="仿宋_GB2312"/>
          <w:b/>
          <w:sz w:val="34"/>
          <w:szCs w:val="34"/>
        </w:rPr>
        <w:t>第十一条</w:t>
      </w:r>
      <w:r>
        <w:rPr>
          <w:rFonts w:hint="eastAsia" w:ascii="仿宋_GB2312" w:hAnsi="仿宋" w:eastAsia="仿宋_GB2312"/>
          <w:bCs/>
          <w:sz w:val="34"/>
          <w:szCs w:val="34"/>
        </w:rPr>
        <w:t xml:space="preserve">  原则上不得与禁止合作的供应商恢复合作关系。如确因生产需要恢复合作的，须经相关审批流程后方可实施。</w:t>
      </w:r>
    </w:p>
    <w:p w14:paraId="216F7DB8">
      <w:pPr>
        <w:adjustRightInd w:val="0"/>
        <w:snapToGrid w:val="0"/>
        <w:spacing w:line="600" w:lineRule="exact"/>
        <w:ind w:firstLine="683" w:firstLineChars="200"/>
        <w:rPr>
          <w:rFonts w:hint="eastAsia" w:ascii="仿宋_GB2312" w:hAnsi="仿宋" w:eastAsia="仿宋_GB2312"/>
          <w:bCs/>
          <w:sz w:val="34"/>
          <w:szCs w:val="34"/>
        </w:rPr>
      </w:pPr>
      <w:r>
        <w:rPr>
          <w:rFonts w:hint="eastAsia" w:ascii="仿宋_GB2312" w:hAnsi="仿宋" w:eastAsia="仿宋_GB2312"/>
          <w:b/>
          <w:sz w:val="34"/>
          <w:szCs w:val="34"/>
        </w:rPr>
        <w:t>第十二条</w:t>
      </w:r>
      <w:r>
        <w:rPr>
          <w:rFonts w:hint="eastAsia" w:ascii="仿宋_GB2312" w:hAnsi="仿宋" w:eastAsia="仿宋_GB2312"/>
          <w:bCs/>
          <w:sz w:val="34"/>
          <w:szCs w:val="34"/>
        </w:rPr>
        <w:t xml:space="preserve">  暂停合作供应商考核满一年后，如主动申请经公司审议符合移出暂停合作清单条件的，各部门无正当理由不得拒绝或拖延将其移出负面清单。</w:t>
      </w:r>
    </w:p>
    <w:p w14:paraId="471BAB3B">
      <w:pPr>
        <w:adjustRightInd w:val="0"/>
        <w:snapToGrid w:val="0"/>
        <w:spacing w:line="600" w:lineRule="exact"/>
        <w:ind w:firstLine="683" w:firstLineChars="200"/>
        <w:rPr>
          <w:rFonts w:ascii="仿宋_GB2312" w:hAnsi="仿宋" w:eastAsia="仿宋_GB2312"/>
          <w:bCs/>
          <w:sz w:val="34"/>
          <w:szCs w:val="34"/>
        </w:rPr>
      </w:pPr>
      <w:r>
        <w:rPr>
          <w:rFonts w:hint="eastAsia" w:ascii="仿宋_GB2312" w:hAnsi="仿宋" w:eastAsia="仿宋_GB2312"/>
          <w:b/>
          <w:sz w:val="34"/>
          <w:szCs w:val="34"/>
        </w:rPr>
        <w:t>第十三条</w:t>
      </w:r>
      <w:r>
        <w:rPr>
          <w:rFonts w:hint="eastAsia" w:ascii="仿宋_GB2312" w:hAnsi="仿宋" w:eastAsia="仿宋_GB2312"/>
          <w:bCs/>
          <w:sz w:val="34"/>
          <w:szCs w:val="34"/>
        </w:rPr>
        <w:t xml:space="preserve">  如果被暂停合作供应商未能提供有效整改材料或一年内不能完成整改的，相关单位可将其列入禁止合作供应商清单，不再与其开展合作。</w:t>
      </w:r>
    </w:p>
    <w:p w14:paraId="22614CE6">
      <w:pPr>
        <w:adjustRightInd w:val="0"/>
        <w:snapToGrid w:val="0"/>
        <w:spacing w:line="600" w:lineRule="exact"/>
        <w:ind w:firstLine="683" w:firstLineChars="200"/>
        <w:rPr>
          <w:rFonts w:hint="eastAsia" w:ascii="仿宋_GB2312" w:hAnsi="仿宋" w:eastAsia="仿宋_GB2312"/>
          <w:bCs/>
          <w:sz w:val="34"/>
          <w:szCs w:val="34"/>
        </w:rPr>
      </w:pPr>
      <w:r>
        <w:rPr>
          <w:rFonts w:hint="eastAsia" w:ascii="仿宋_GB2312" w:hAnsi="仿宋" w:eastAsia="仿宋_GB2312"/>
          <w:b/>
          <w:sz w:val="34"/>
          <w:szCs w:val="34"/>
        </w:rPr>
        <w:t xml:space="preserve">第十四条 </w:t>
      </w:r>
      <w:r>
        <w:rPr>
          <w:rFonts w:hint="eastAsia" w:ascii="仿宋_GB2312" w:hAnsi="仿宋" w:eastAsia="仿宋_GB2312"/>
          <w:bCs/>
          <w:sz w:val="34"/>
          <w:szCs w:val="34"/>
        </w:rPr>
        <w:t xml:space="preserve"> 各单位、各部门需真实、准确地记录供应商的考核结果，并按照要求及时报送供应商考核信息至集团商务合作部，确保信息及时、透明。</w:t>
      </w:r>
    </w:p>
    <w:p w14:paraId="52AE2B6D">
      <w:pPr>
        <w:adjustRightInd w:val="0"/>
        <w:snapToGrid w:val="0"/>
        <w:spacing w:line="600" w:lineRule="exact"/>
        <w:ind w:firstLine="683" w:firstLineChars="200"/>
        <w:rPr>
          <w:rFonts w:ascii="仿宋_GB2312" w:hAnsi="仿宋" w:eastAsia="仿宋_GB2312"/>
          <w:bCs/>
          <w:sz w:val="34"/>
          <w:szCs w:val="34"/>
        </w:rPr>
      </w:pPr>
      <w:r>
        <w:rPr>
          <w:rFonts w:hint="eastAsia" w:ascii="仿宋_GB2312" w:hAnsi="仿宋" w:eastAsia="仿宋_GB2312"/>
          <w:b/>
          <w:sz w:val="34"/>
          <w:szCs w:val="34"/>
        </w:rPr>
        <w:t>第十五条</w:t>
      </w:r>
      <w:r>
        <w:rPr>
          <w:rFonts w:hint="eastAsia" w:ascii="仿宋_GB2312" w:hAnsi="仿宋" w:eastAsia="仿宋_GB2312"/>
          <w:bCs/>
          <w:sz w:val="34"/>
          <w:szCs w:val="34"/>
        </w:rPr>
        <w:t xml:space="preserve">  对于严重侵害我公司利益的供应商，除按照供应商管理制度进行正常考核外，对于存在违法违规行为的供应商，应依法追究其法律责任，包括但不限于通过法律途径索赔、向相关监管机构举报等。</w:t>
      </w:r>
    </w:p>
    <w:p w14:paraId="25C9F475">
      <w:pPr>
        <w:adjustRightInd w:val="0"/>
        <w:snapToGrid w:val="0"/>
        <w:spacing w:line="600" w:lineRule="exact"/>
        <w:ind w:right="210" w:rightChars="100"/>
        <w:jc w:val="center"/>
        <w:rPr>
          <w:rFonts w:hint="eastAsia" w:ascii="黑体" w:hAnsi="黑体" w:eastAsia="黑体" w:cs="仿宋"/>
          <w:bCs/>
          <w:sz w:val="34"/>
          <w:szCs w:val="34"/>
        </w:rPr>
      </w:pPr>
      <w:r>
        <w:rPr>
          <w:rFonts w:hint="eastAsia" w:ascii="黑体" w:hAnsi="黑体" w:eastAsia="黑体" w:cs="仿宋"/>
          <w:bCs/>
          <w:sz w:val="34"/>
          <w:szCs w:val="34"/>
        </w:rPr>
        <w:t>第六章  附则</w:t>
      </w:r>
    </w:p>
    <w:p w14:paraId="6A007B0C">
      <w:pPr>
        <w:spacing w:line="600" w:lineRule="exact"/>
        <w:ind w:firstLine="642"/>
        <w:rPr>
          <w:rFonts w:hint="eastAsia" w:ascii="仿宋_GB2312" w:hAnsi="仿宋" w:eastAsia="仿宋_GB2312"/>
          <w:bCs/>
          <w:sz w:val="34"/>
          <w:szCs w:val="34"/>
        </w:rPr>
      </w:pPr>
      <w:r>
        <w:rPr>
          <w:rFonts w:hint="eastAsia" w:ascii="仿宋_GB2312" w:hAnsi="楷体" w:eastAsia="仿宋_GB2312"/>
          <w:b/>
          <w:sz w:val="34"/>
          <w:szCs w:val="34"/>
        </w:rPr>
        <w:t xml:space="preserve">第十六条 </w:t>
      </w:r>
      <w:r>
        <w:rPr>
          <w:rFonts w:hint="eastAsia" w:ascii="仿宋_GB2312" w:hAnsi="仿宋" w:eastAsia="仿宋_GB2312"/>
          <w:bCs/>
          <w:sz w:val="34"/>
          <w:szCs w:val="34"/>
        </w:rPr>
        <w:t>各部门、各单位应努力按照公开、公平、公正的原则，做好供应商负面清单的考核和管理工作。</w:t>
      </w:r>
    </w:p>
    <w:p w14:paraId="5997AAAA">
      <w:pPr>
        <w:spacing w:line="600" w:lineRule="exact"/>
        <w:ind w:firstLine="642"/>
        <w:rPr>
          <w:rFonts w:hint="eastAsia" w:ascii="仿宋_GB2312" w:hAnsi="仿宋" w:eastAsia="仿宋_GB2312"/>
          <w:bCs/>
          <w:sz w:val="34"/>
          <w:szCs w:val="34"/>
        </w:rPr>
      </w:pPr>
      <w:r>
        <w:rPr>
          <w:rFonts w:hint="eastAsia" w:ascii="仿宋_GB2312" w:hAnsi="楷体" w:eastAsia="仿宋_GB2312"/>
          <w:b/>
          <w:sz w:val="34"/>
          <w:szCs w:val="34"/>
        </w:rPr>
        <w:t xml:space="preserve">第十七条 </w:t>
      </w:r>
      <w:r>
        <w:rPr>
          <w:rFonts w:hint="eastAsia" w:ascii="仿宋_GB2312" w:hAnsi="仿宋" w:eastAsia="仿宋_GB2312"/>
          <w:bCs/>
          <w:sz w:val="34"/>
          <w:szCs w:val="34"/>
        </w:rPr>
        <w:t>不同单位对同一供应商12个月内的考核扣分累计达到15分及以上的，由集团商务合作部将其列为暂停合作供应商。</w:t>
      </w:r>
    </w:p>
    <w:p w14:paraId="091F86D9">
      <w:pPr>
        <w:spacing w:line="600" w:lineRule="exact"/>
        <w:ind w:firstLine="683" w:firstLineChars="200"/>
        <w:jc w:val="left"/>
        <w:rPr>
          <w:rFonts w:hint="eastAsia" w:ascii="仿宋_GB2312" w:hAnsi="楷体" w:eastAsia="仿宋_GB2312"/>
          <w:bCs/>
          <w:sz w:val="34"/>
          <w:szCs w:val="34"/>
        </w:rPr>
      </w:pPr>
      <w:r>
        <w:rPr>
          <w:rFonts w:hint="eastAsia" w:ascii="仿宋_GB2312" w:hAnsi="楷体" w:eastAsia="仿宋_GB2312"/>
          <w:b/>
          <w:sz w:val="34"/>
          <w:szCs w:val="34"/>
        </w:rPr>
        <w:t>第十八条</w:t>
      </w:r>
      <w:r>
        <w:rPr>
          <w:rFonts w:hint="eastAsia" w:ascii="仿宋_GB2312" w:hAnsi="楷体" w:eastAsia="仿宋_GB2312"/>
          <w:bCs/>
          <w:sz w:val="34"/>
          <w:szCs w:val="34"/>
        </w:rPr>
        <w:t xml:space="preserve"> 自然人、废旧物资处置单位参照本制度进行管理。</w:t>
      </w:r>
    </w:p>
    <w:p w14:paraId="124BE09B">
      <w:pPr>
        <w:spacing w:line="600" w:lineRule="exact"/>
        <w:ind w:firstLine="683" w:firstLineChars="200"/>
        <w:jc w:val="left"/>
        <w:rPr>
          <w:rFonts w:ascii="仿宋_GB2312" w:hAnsi="楷体" w:eastAsia="仿宋_GB2312"/>
          <w:bCs/>
          <w:sz w:val="34"/>
          <w:szCs w:val="34"/>
        </w:rPr>
      </w:pPr>
      <w:r>
        <w:rPr>
          <w:rFonts w:hint="eastAsia" w:ascii="仿宋_GB2312" w:hAnsi="楷体" w:eastAsia="仿宋_GB2312"/>
          <w:b/>
          <w:sz w:val="34"/>
          <w:szCs w:val="34"/>
        </w:rPr>
        <w:t>第十九条</w:t>
      </w:r>
      <w:r>
        <w:rPr>
          <w:rFonts w:hint="eastAsia" w:ascii="仿宋_GB2312" w:hAnsi="楷体" w:eastAsia="仿宋_GB2312"/>
          <w:bCs/>
          <w:sz w:val="34"/>
          <w:szCs w:val="34"/>
        </w:rPr>
        <w:t xml:space="preserve"> 如某一实际控制人所控制的公司被列入负面清单，该实控人直接或间接控制的所有相关公司也视同列入负面清单。</w:t>
      </w:r>
    </w:p>
    <w:p w14:paraId="0B2A0C00">
      <w:pPr>
        <w:spacing w:line="600" w:lineRule="exact"/>
        <w:ind w:firstLine="683" w:firstLineChars="200"/>
        <w:jc w:val="left"/>
        <w:rPr>
          <w:rFonts w:ascii="仿宋_GB2312" w:hAnsi="楷体" w:eastAsia="仿宋_GB2312"/>
          <w:bCs/>
          <w:sz w:val="34"/>
          <w:szCs w:val="34"/>
        </w:rPr>
      </w:pPr>
      <w:r>
        <w:rPr>
          <w:rFonts w:hint="eastAsia" w:ascii="仿宋_GB2312" w:hAnsi="楷体" w:eastAsia="仿宋_GB2312"/>
          <w:b/>
          <w:sz w:val="34"/>
          <w:szCs w:val="34"/>
        </w:rPr>
        <w:t>第二十条</w:t>
      </w:r>
      <w:r>
        <w:rPr>
          <w:rFonts w:hint="eastAsia" w:ascii="仿宋_GB2312" w:hAnsi="楷体" w:eastAsia="仿宋_GB2312"/>
          <w:bCs/>
          <w:sz w:val="34"/>
          <w:szCs w:val="34"/>
        </w:rPr>
        <w:t xml:space="preserve"> 集团公司开发供应商管理信息系统，实现扣分、清单更新、公示全流程线上化，并与采购系统联动拦截违规供应商。</w:t>
      </w:r>
    </w:p>
    <w:p w14:paraId="4FE9C86C">
      <w:pPr>
        <w:spacing w:line="600" w:lineRule="exact"/>
        <w:jc w:val="left"/>
        <w:rPr>
          <w:rFonts w:hint="eastAsia" w:ascii="仿宋_GB2312" w:hAnsi="仿宋" w:eastAsia="仿宋_GB2312"/>
          <w:bCs/>
          <w:sz w:val="34"/>
          <w:szCs w:val="34"/>
        </w:rPr>
        <w:sectPr>
          <w:headerReference r:id="rId3" w:type="default"/>
          <w:footerReference r:id="rId4" w:type="default"/>
          <w:footerReference r:id="rId5" w:type="even"/>
          <w:pgSz w:w="11906" w:h="16838"/>
          <w:pgMar w:top="1701" w:right="1587" w:bottom="1701" w:left="1587" w:header="851" w:footer="1418" w:gutter="0"/>
          <w:cols w:space="720" w:num="1"/>
          <w:docGrid w:linePitch="312" w:charSpace="0"/>
        </w:sectPr>
      </w:pPr>
      <w:r>
        <w:rPr>
          <w:rFonts w:hint="eastAsia" w:ascii="仿宋_GB2312" w:hAnsi="楷体" w:eastAsia="仿宋_GB2312"/>
          <w:bCs/>
          <w:sz w:val="34"/>
          <w:szCs w:val="34"/>
        </w:rPr>
        <w:t>　</w:t>
      </w:r>
      <w:r>
        <w:rPr>
          <w:rFonts w:hint="eastAsia" w:ascii="仿宋_GB2312" w:hAnsi="楷体" w:eastAsia="仿宋_GB2312"/>
          <w:b/>
          <w:sz w:val="34"/>
          <w:szCs w:val="34"/>
        </w:rPr>
        <w:t>　第二十一条</w:t>
      </w:r>
      <w:r>
        <w:rPr>
          <w:rFonts w:hint="eastAsia" w:ascii="仿宋_GB2312" w:hAnsi="楷体" w:eastAsia="仿宋_GB2312"/>
          <w:bCs/>
          <w:sz w:val="34"/>
          <w:szCs w:val="34"/>
        </w:rPr>
        <w:t xml:space="preserve"> </w:t>
      </w:r>
      <w:r>
        <w:rPr>
          <w:rFonts w:hint="eastAsia" w:ascii="仿宋_GB2312" w:hAnsi="仿宋" w:eastAsia="仿宋_GB2312"/>
          <w:bCs/>
          <w:sz w:val="34"/>
          <w:szCs w:val="34"/>
        </w:rPr>
        <w:t>本规定自颁发之日起生效，由商务合作部负责解释，</w:t>
      </w:r>
      <w:r>
        <w:rPr>
          <w:rFonts w:hint="eastAsia" w:ascii="仿宋_GB2312" w:hAnsi="宋体" w:eastAsia="仿宋_GB2312" w:cs="宋体"/>
          <w:bCs/>
          <w:kern w:val="0"/>
          <w:sz w:val="34"/>
          <w:szCs w:val="34"/>
        </w:rPr>
        <w:t>原《索普赛瑞供应商负面清单管理规定（试行）》</w:t>
      </w:r>
      <w:r>
        <w:rPr>
          <w:rFonts w:hint="eastAsia" w:ascii="仿宋_GB2312" w:eastAsia="仿宋_GB2312"/>
          <w:bCs/>
          <w:sz w:val="34"/>
          <w:szCs w:val="34"/>
        </w:rPr>
        <w:t>（苏索瑞企字〔</w:t>
      </w:r>
      <w:r>
        <w:rPr>
          <w:rFonts w:ascii="仿宋_GB2312" w:eastAsia="仿宋_GB2312"/>
          <w:bCs/>
          <w:sz w:val="34"/>
          <w:szCs w:val="34"/>
        </w:rPr>
        <w:t>20</w:t>
      </w:r>
      <w:r>
        <w:rPr>
          <w:rFonts w:hint="eastAsia" w:ascii="仿宋_GB2312" w:eastAsia="仿宋_GB2312"/>
          <w:bCs/>
          <w:sz w:val="34"/>
          <w:szCs w:val="34"/>
        </w:rPr>
        <w:t>23〕28号）同时废止。</w:t>
      </w:r>
    </w:p>
    <w:p w14:paraId="5BAC3859">
      <w:pPr>
        <w:jc w:val="left"/>
        <w:rPr>
          <w:rFonts w:hint="eastAsia" w:ascii="黑体" w:hAnsi="黑体" w:eastAsia="黑体" w:cs="黑体"/>
          <w:bCs/>
          <w:kern w:val="0"/>
          <w:sz w:val="34"/>
          <w:szCs w:val="34"/>
        </w:rPr>
      </w:pPr>
      <w:r>
        <w:rPr>
          <w:rFonts w:hint="eastAsia" w:ascii="黑体" w:hAnsi="黑体" w:eastAsia="黑体" w:cs="黑体"/>
          <w:bCs/>
          <w:kern w:val="0"/>
          <w:sz w:val="34"/>
          <w:szCs w:val="34"/>
        </w:rPr>
        <w:t>附件2</w:t>
      </w:r>
    </w:p>
    <w:tbl>
      <w:tblPr>
        <w:tblStyle w:val="11"/>
        <w:tblW w:w="9679" w:type="dxa"/>
        <w:tblInd w:w="0" w:type="dxa"/>
        <w:tblLayout w:type="fixed"/>
        <w:tblCellMar>
          <w:top w:w="0" w:type="dxa"/>
          <w:left w:w="108" w:type="dxa"/>
          <w:bottom w:w="0" w:type="dxa"/>
          <w:right w:w="108" w:type="dxa"/>
        </w:tblCellMar>
      </w:tblPr>
      <w:tblGrid>
        <w:gridCol w:w="479"/>
        <w:gridCol w:w="1146"/>
        <w:gridCol w:w="903"/>
        <w:gridCol w:w="617"/>
        <w:gridCol w:w="536"/>
        <w:gridCol w:w="560"/>
        <w:gridCol w:w="478"/>
        <w:gridCol w:w="512"/>
        <w:gridCol w:w="551"/>
        <w:gridCol w:w="629"/>
        <w:gridCol w:w="649"/>
        <w:gridCol w:w="820"/>
        <w:gridCol w:w="848"/>
        <w:gridCol w:w="76"/>
        <w:gridCol w:w="329"/>
        <w:gridCol w:w="546"/>
      </w:tblGrid>
      <w:tr w14:paraId="4835A39D">
        <w:tblPrEx>
          <w:tblCellMar>
            <w:top w:w="0" w:type="dxa"/>
            <w:left w:w="108" w:type="dxa"/>
            <w:bottom w:w="0" w:type="dxa"/>
            <w:right w:w="108" w:type="dxa"/>
          </w:tblCellMar>
        </w:tblPrEx>
        <w:trPr>
          <w:trHeight w:val="896" w:hRule="atLeast"/>
        </w:trPr>
        <w:tc>
          <w:tcPr>
            <w:tcW w:w="7880" w:type="dxa"/>
            <w:gridSpan w:val="12"/>
            <w:tcBorders>
              <w:top w:val="nil"/>
              <w:left w:val="nil"/>
              <w:bottom w:val="nil"/>
              <w:right w:val="nil"/>
            </w:tcBorders>
            <w:noWrap w:val="0"/>
            <w:vAlign w:val="center"/>
          </w:tcPr>
          <w:p w14:paraId="1CF59B04">
            <w:pPr>
              <w:jc w:val="center"/>
              <w:rPr>
                <w:rFonts w:hint="eastAsia"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供应商考核表</w:t>
            </w:r>
          </w:p>
        </w:tc>
        <w:tc>
          <w:tcPr>
            <w:tcW w:w="924" w:type="dxa"/>
            <w:gridSpan w:val="2"/>
            <w:tcBorders>
              <w:top w:val="nil"/>
              <w:left w:val="nil"/>
              <w:bottom w:val="nil"/>
              <w:right w:val="nil"/>
            </w:tcBorders>
            <w:noWrap w:val="0"/>
            <w:vAlign w:val="center"/>
          </w:tcPr>
          <w:p w14:paraId="1C4B02DA">
            <w:pPr>
              <w:jc w:val="center"/>
              <w:rPr>
                <w:rFonts w:hint="eastAsia" w:ascii="方正小标宋简体" w:hAnsi="宋体" w:eastAsia="方正小标宋简体" w:cs="宋体"/>
                <w:bCs/>
                <w:kern w:val="0"/>
                <w:sz w:val="44"/>
                <w:szCs w:val="44"/>
              </w:rPr>
            </w:pPr>
          </w:p>
        </w:tc>
        <w:tc>
          <w:tcPr>
            <w:tcW w:w="875" w:type="dxa"/>
            <w:gridSpan w:val="2"/>
            <w:tcBorders>
              <w:top w:val="nil"/>
              <w:left w:val="nil"/>
              <w:bottom w:val="nil"/>
              <w:right w:val="nil"/>
            </w:tcBorders>
            <w:noWrap w:val="0"/>
            <w:vAlign w:val="center"/>
          </w:tcPr>
          <w:p w14:paraId="2B3BAAA3">
            <w:pPr>
              <w:jc w:val="center"/>
              <w:rPr>
                <w:rFonts w:hint="eastAsia" w:ascii="方正小标宋简体" w:hAnsi="宋体" w:eastAsia="方正小标宋简体" w:cs="宋体"/>
                <w:bCs/>
                <w:kern w:val="0"/>
                <w:sz w:val="44"/>
                <w:szCs w:val="44"/>
              </w:rPr>
            </w:pPr>
          </w:p>
        </w:tc>
      </w:tr>
      <w:tr w14:paraId="2B8CF3D6">
        <w:tblPrEx>
          <w:tblCellMar>
            <w:top w:w="0" w:type="dxa"/>
            <w:left w:w="108" w:type="dxa"/>
            <w:bottom w:w="0" w:type="dxa"/>
            <w:right w:w="108" w:type="dxa"/>
          </w:tblCellMar>
        </w:tblPrEx>
        <w:trPr>
          <w:trHeight w:val="299" w:hRule="atLeast"/>
        </w:trPr>
        <w:tc>
          <w:tcPr>
            <w:tcW w:w="7880" w:type="dxa"/>
            <w:gridSpan w:val="12"/>
            <w:tcBorders>
              <w:top w:val="nil"/>
              <w:left w:val="nil"/>
              <w:bottom w:val="nil"/>
              <w:right w:val="nil"/>
            </w:tcBorders>
            <w:noWrap w:val="0"/>
            <w:vAlign w:val="center"/>
          </w:tcPr>
          <w:p w14:paraId="5180A325">
            <w:pPr>
              <w:jc w:val="left"/>
              <w:rPr>
                <w:rFonts w:hint="eastAsia" w:ascii="宋体" w:hAnsi="宋体" w:cs="宋体"/>
                <w:bCs/>
                <w:kern w:val="0"/>
                <w:sz w:val="24"/>
                <w:szCs w:val="24"/>
              </w:rPr>
            </w:pPr>
            <w:r>
              <w:rPr>
                <w:rFonts w:hint="eastAsia" w:ascii="宋体" w:hAnsi="宋体" w:cs="宋体"/>
                <w:bCs/>
                <w:kern w:val="0"/>
                <w:sz w:val="24"/>
                <w:szCs w:val="24"/>
              </w:rPr>
              <w:t xml:space="preserve">                                                                      　 时间：    年   月   日                                                           </w:t>
            </w:r>
          </w:p>
        </w:tc>
        <w:tc>
          <w:tcPr>
            <w:tcW w:w="924" w:type="dxa"/>
            <w:gridSpan w:val="2"/>
            <w:tcBorders>
              <w:top w:val="nil"/>
              <w:left w:val="nil"/>
              <w:bottom w:val="nil"/>
              <w:right w:val="nil"/>
            </w:tcBorders>
            <w:noWrap w:val="0"/>
            <w:vAlign w:val="center"/>
          </w:tcPr>
          <w:p w14:paraId="6DA95AAC">
            <w:pPr>
              <w:jc w:val="left"/>
              <w:rPr>
                <w:rFonts w:hint="eastAsia" w:ascii="宋体" w:hAnsi="宋体" w:cs="宋体"/>
                <w:bCs/>
                <w:kern w:val="0"/>
                <w:sz w:val="24"/>
                <w:szCs w:val="24"/>
              </w:rPr>
            </w:pPr>
          </w:p>
        </w:tc>
        <w:tc>
          <w:tcPr>
            <w:tcW w:w="875" w:type="dxa"/>
            <w:gridSpan w:val="2"/>
            <w:tcBorders>
              <w:top w:val="nil"/>
              <w:left w:val="nil"/>
              <w:bottom w:val="nil"/>
              <w:right w:val="nil"/>
            </w:tcBorders>
            <w:noWrap w:val="0"/>
            <w:vAlign w:val="center"/>
          </w:tcPr>
          <w:p w14:paraId="6198AA38">
            <w:pPr>
              <w:jc w:val="left"/>
              <w:rPr>
                <w:rFonts w:hint="eastAsia" w:ascii="宋体" w:hAnsi="宋体" w:cs="宋体"/>
                <w:bCs/>
                <w:kern w:val="0"/>
                <w:sz w:val="24"/>
                <w:szCs w:val="24"/>
              </w:rPr>
            </w:pPr>
          </w:p>
        </w:tc>
      </w:tr>
      <w:tr w14:paraId="48CD564D">
        <w:tblPrEx>
          <w:tblCellMar>
            <w:top w:w="0" w:type="dxa"/>
            <w:left w:w="108" w:type="dxa"/>
            <w:bottom w:w="0" w:type="dxa"/>
            <w:right w:w="108" w:type="dxa"/>
          </w:tblCellMar>
        </w:tblPrEx>
        <w:trPr>
          <w:gridAfter w:val="1"/>
          <w:wAfter w:w="546" w:type="dxa"/>
          <w:trHeight w:val="486" w:hRule="atLeast"/>
        </w:trPr>
        <w:tc>
          <w:tcPr>
            <w:tcW w:w="479" w:type="dxa"/>
            <w:vMerge w:val="restart"/>
            <w:tcBorders>
              <w:top w:val="single" w:color="auto" w:sz="4" w:space="0"/>
              <w:left w:val="single" w:color="auto" w:sz="4" w:space="0"/>
              <w:right w:val="single" w:color="auto" w:sz="4" w:space="0"/>
            </w:tcBorders>
            <w:noWrap w:val="0"/>
            <w:vAlign w:val="center"/>
          </w:tcPr>
          <w:p w14:paraId="580B8B39">
            <w:pPr>
              <w:jc w:val="center"/>
              <w:rPr>
                <w:rFonts w:ascii="宋体" w:hAnsi="宋体" w:cs="宋体"/>
                <w:bCs/>
                <w:kern w:val="0"/>
                <w:sz w:val="24"/>
                <w:szCs w:val="24"/>
              </w:rPr>
            </w:pPr>
            <w:r>
              <w:rPr>
                <w:rFonts w:hint="eastAsia" w:ascii="宋体" w:hAnsi="宋体" w:cs="宋体"/>
                <w:bCs/>
                <w:kern w:val="0"/>
                <w:sz w:val="24"/>
                <w:szCs w:val="24"/>
              </w:rPr>
              <w:t>序号</w:t>
            </w:r>
          </w:p>
        </w:tc>
        <w:tc>
          <w:tcPr>
            <w:tcW w:w="1146" w:type="dxa"/>
            <w:vMerge w:val="restart"/>
            <w:tcBorders>
              <w:top w:val="single" w:color="auto" w:sz="4" w:space="0"/>
              <w:left w:val="single" w:color="auto" w:sz="4" w:space="0"/>
              <w:right w:val="single" w:color="auto" w:sz="4" w:space="0"/>
            </w:tcBorders>
            <w:noWrap w:val="0"/>
            <w:vAlign w:val="center"/>
          </w:tcPr>
          <w:p w14:paraId="2091EADB">
            <w:pPr>
              <w:jc w:val="center"/>
              <w:rPr>
                <w:rFonts w:ascii="宋体" w:hAnsi="宋体" w:cs="宋体"/>
                <w:bCs/>
                <w:kern w:val="0"/>
                <w:sz w:val="24"/>
                <w:szCs w:val="24"/>
              </w:rPr>
            </w:pPr>
            <w:r>
              <w:rPr>
                <w:rFonts w:hint="eastAsia" w:ascii="宋体" w:hAnsi="宋体" w:cs="宋体"/>
                <w:bCs/>
                <w:kern w:val="0"/>
                <w:sz w:val="24"/>
                <w:szCs w:val="24"/>
              </w:rPr>
              <w:t>企业名称</w:t>
            </w:r>
          </w:p>
        </w:tc>
        <w:tc>
          <w:tcPr>
            <w:tcW w:w="903" w:type="dxa"/>
            <w:vMerge w:val="restart"/>
            <w:tcBorders>
              <w:top w:val="single" w:color="auto" w:sz="4" w:space="0"/>
              <w:left w:val="single" w:color="auto" w:sz="4" w:space="0"/>
              <w:right w:val="single" w:color="auto" w:sz="4" w:space="0"/>
            </w:tcBorders>
            <w:noWrap w:val="0"/>
            <w:vAlign w:val="center"/>
          </w:tcPr>
          <w:p w14:paraId="26ECD50F">
            <w:pPr>
              <w:jc w:val="center"/>
              <w:rPr>
                <w:rFonts w:ascii="宋体" w:hAnsi="宋体" w:cs="宋体"/>
                <w:bCs/>
                <w:kern w:val="0"/>
                <w:sz w:val="24"/>
                <w:szCs w:val="24"/>
              </w:rPr>
            </w:pPr>
            <w:r>
              <w:rPr>
                <w:rFonts w:hint="eastAsia" w:ascii="宋体" w:hAnsi="宋体" w:cs="宋体"/>
                <w:bCs/>
                <w:kern w:val="0"/>
                <w:sz w:val="24"/>
                <w:szCs w:val="24"/>
              </w:rPr>
              <w:t>供货产品</w:t>
            </w:r>
          </w:p>
        </w:tc>
        <w:tc>
          <w:tcPr>
            <w:tcW w:w="3254" w:type="dxa"/>
            <w:gridSpan w:val="6"/>
            <w:tcBorders>
              <w:top w:val="single" w:color="auto" w:sz="4" w:space="0"/>
              <w:left w:val="single" w:color="auto" w:sz="4" w:space="0"/>
              <w:bottom w:val="single" w:color="auto" w:sz="4" w:space="0"/>
              <w:right w:val="single" w:color="auto" w:sz="4" w:space="0"/>
            </w:tcBorders>
            <w:noWrap w:val="0"/>
            <w:vAlign w:val="center"/>
          </w:tcPr>
          <w:p w14:paraId="44739F46">
            <w:pPr>
              <w:jc w:val="center"/>
              <w:rPr>
                <w:rFonts w:ascii="宋体" w:hAnsi="宋体" w:cs="宋体"/>
                <w:bCs/>
                <w:kern w:val="0"/>
                <w:sz w:val="24"/>
                <w:szCs w:val="24"/>
              </w:rPr>
            </w:pPr>
            <w:r>
              <w:rPr>
                <w:rFonts w:hint="eastAsia" w:ascii="宋体" w:hAnsi="宋体" w:cs="宋体"/>
                <w:bCs/>
                <w:kern w:val="0"/>
                <w:sz w:val="24"/>
                <w:szCs w:val="24"/>
              </w:rPr>
              <w:t>考核扣分</w:t>
            </w:r>
          </w:p>
        </w:tc>
        <w:tc>
          <w:tcPr>
            <w:tcW w:w="629" w:type="dxa"/>
            <w:vMerge w:val="restart"/>
            <w:tcBorders>
              <w:top w:val="single" w:color="auto" w:sz="4" w:space="0"/>
              <w:left w:val="single" w:color="auto" w:sz="4" w:space="0"/>
              <w:bottom w:val="single" w:color="auto" w:sz="4" w:space="0"/>
              <w:right w:val="single" w:color="auto" w:sz="4" w:space="0"/>
            </w:tcBorders>
            <w:noWrap w:val="0"/>
            <w:vAlign w:val="center"/>
          </w:tcPr>
          <w:p w14:paraId="7502B7E9">
            <w:pPr>
              <w:jc w:val="center"/>
              <w:rPr>
                <w:rFonts w:hint="eastAsia" w:ascii="宋体" w:hAnsi="宋体" w:cs="宋体"/>
                <w:bCs/>
                <w:kern w:val="0"/>
                <w:sz w:val="24"/>
                <w:szCs w:val="24"/>
              </w:rPr>
            </w:pPr>
            <w:r>
              <w:rPr>
                <w:rFonts w:hint="eastAsia" w:ascii="宋体" w:hAnsi="宋体" w:cs="宋体"/>
                <w:bCs/>
                <w:kern w:val="0"/>
                <w:sz w:val="24"/>
                <w:szCs w:val="24"/>
              </w:rPr>
              <w:t>扣分时间</w:t>
            </w:r>
          </w:p>
        </w:tc>
        <w:tc>
          <w:tcPr>
            <w:tcW w:w="2317" w:type="dxa"/>
            <w:gridSpan w:val="3"/>
            <w:tcBorders>
              <w:top w:val="single" w:color="auto" w:sz="4" w:space="0"/>
              <w:left w:val="single" w:color="auto" w:sz="4" w:space="0"/>
              <w:bottom w:val="single" w:color="auto" w:sz="4" w:space="0"/>
              <w:right w:val="single" w:color="auto" w:sz="4" w:space="0"/>
            </w:tcBorders>
            <w:noWrap w:val="0"/>
            <w:vAlign w:val="center"/>
          </w:tcPr>
          <w:p w14:paraId="3AC80281">
            <w:pPr>
              <w:jc w:val="center"/>
              <w:rPr>
                <w:rFonts w:hint="eastAsia" w:ascii="宋体" w:hAnsi="宋体" w:cs="宋体"/>
                <w:bCs/>
                <w:kern w:val="0"/>
                <w:sz w:val="24"/>
                <w:szCs w:val="24"/>
              </w:rPr>
            </w:pPr>
            <w:r>
              <w:rPr>
                <w:rFonts w:hint="eastAsia" w:ascii="宋体" w:hAnsi="宋体" w:cs="宋体"/>
                <w:bCs/>
                <w:kern w:val="0"/>
                <w:sz w:val="24"/>
                <w:szCs w:val="24"/>
              </w:rPr>
              <w:t>总体评估</w:t>
            </w:r>
          </w:p>
        </w:tc>
        <w:tc>
          <w:tcPr>
            <w:tcW w:w="405" w:type="dxa"/>
            <w:gridSpan w:val="2"/>
            <w:vMerge w:val="restart"/>
            <w:tcBorders>
              <w:top w:val="single" w:color="auto" w:sz="4" w:space="0"/>
              <w:left w:val="single" w:color="auto" w:sz="4" w:space="0"/>
              <w:right w:val="single" w:color="auto" w:sz="4" w:space="0"/>
            </w:tcBorders>
            <w:noWrap w:val="0"/>
            <w:vAlign w:val="center"/>
          </w:tcPr>
          <w:p w14:paraId="0E1C290F">
            <w:pPr>
              <w:jc w:val="center"/>
              <w:rPr>
                <w:rFonts w:hint="eastAsia" w:ascii="宋体" w:hAnsi="宋体" w:cs="宋体"/>
                <w:bCs/>
                <w:kern w:val="0"/>
                <w:sz w:val="24"/>
                <w:szCs w:val="24"/>
              </w:rPr>
            </w:pPr>
            <w:r>
              <w:rPr>
                <w:rFonts w:hint="eastAsia" w:ascii="宋体" w:hAnsi="宋体" w:cs="宋体"/>
                <w:bCs/>
                <w:kern w:val="0"/>
                <w:sz w:val="24"/>
                <w:szCs w:val="24"/>
              </w:rPr>
              <w:t>备注</w:t>
            </w:r>
          </w:p>
        </w:tc>
      </w:tr>
      <w:tr w14:paraId="5CFB9F02">
        <w:tblPrEx>
          <w:tblCellMar>
            <w:top w:w="0" w:type="dxa"/>
            <w:left w:w="108" w:type="dxa"/>
            <w:bottom w:w="0" w:type="dxa"/>
            <w:right w:w="108" w:type="dxa"/>
          </w:tblCellMar>
        </w:tblPrEx>
        <w:trPr>
          <w:gridAfter w:val="1"/>
          <w:wAfter w:w="546" w:type="dxa"/>
          <w:trHeight w:val="607" w:hRule="atLeast"/>
        </w:trPr>
        <w:tc>
          <w:tcPr>
            <w:tcW w:w="479" w:type="dxa"/>
            <w:vMerge w:val="continue"/>
            <w:tcBorders>
              <w:left w:val="single" w:color="auto" w:sz="4" w:space="0"/>
              <w:bottom w:val="single" w:color="auto" w:sz="4" w:space="0"/>
              <w:right w:val="single" w:color="auto" w:sz="4" w:space="0"/>
            </w:tcBorders>
            <w:noWrap w:val="0"/>
            <w:vAlign w:val="center"/>
          </w:tcPr>
          <w:p w14:paraId="6BABF011">
            <w:pPr>
              <w:jc w:val="center"/>
              <w:rPr>
                <w:rFonts w:ascii="宋体" w:hAnsi="宋体" w:cs="宋体"/>
                <w:bCs/>
                <w:kern w:val="0"/>
                <w:sz w:val="24"/>
                <w:szCs w:val="24"/>
              </w:rPr>
            </w:pPr>
          </w:p>
        </w:tc>
        <w:tc>
          <w:tcPr>
            <w:tcW w:w="1146" w:type="dxa"/>
            <w:vMerge w:val="continue"/>
            <w:tcBorders>
              <w:left w:val="single" w:color="auto" w:sz="4" w:space="0"/>
              <w:bottom w:val="single" w:color="auto" w:sz="4" w:space="0"/>
              <w:right w:val="single" w:color="auto" w:sz="4" w:space="0"/>
            </w:tcBorders>
            <w:noWrap w:val="0"/>
            <w:vAlign w:val="center"/>
          </w:tcPr>
          <w:p w14:paraId="42D97068">
            <w:pPr>
              <w:jc w:val="center"/>
              <w:rPr>
                <w:rFonts w:ascii="宋体" w:hAnsi="宋体" w:cs="宋体"/>
                <w:bCs/>
                <w:kern w:val="0"/>
                <w:sz w:val="24"/>
                <w:szCs w:val="24"/>
              </w:rPr>
            </w:pPr>
          </w:p>
        </w:tc>
        <w:tc>
          <w:tcPr>
            <w:tcW w:w="903" w:type="dxa"/>
            <w:vMerge w:val="continue"/>
            <w:tcBorders>
              <w:left w:val="single" w:color="auto" w:sz="4" w:space="0"/>
              <w:bottom w:val="single" w:color="auto" w:sz="4" w:space="0"/>
              <w:right w:val="single" w:color="auto" w:sz="4" w:space="0"/>
            </w:tcBorders>
            <w:noWrap w:val="0"/>
            <w:vAlign w:val="center"/>
          </w:tcPr>
          <w:p w14:paraId="4AFFC5A5">
            <w:pPr>
              <w:jc w:val="center"/>
              <w:rPr>
                <w:rFonts w:ascii="宋体" w:hAnsi="宋体" w:cs="宋体"/>
                <w:bCs/>
                <w:kern w:val="0"/>
                <w:sz w:val="24"/>
                <w:szCs w:val="24"/>
              </w:rPr>
            </w:pPr>
          </w:p>
        </w:tc>
        <w:tc>
          <w:tcPr>
            <w:tcW w:w="617" w:type="dxa"/>
            <w:tcBorders>
              <w:top w:val="single" w:color="auto" w:sz="4" w:space="0"/>
              <w:left w:val="nil"/>
              <w:bottom w:val="single" w:color="auto" w:sz="4" w:space="0"/>
              <w:right w:val="single" w:color="auto" w:sz="4" w:space="0"/>
            </w:tcBorders>
            <w:noWrap w:val="0"/>
            <w:vAlign w:val="center"/>
          </w:tcPr>
          <w:p w14:paraId="2218BEDA">
            <w:pPr>
              <w:jc w:val="center"/>
              <w:rPr>
                <w:rFonts w:ascii="宋体" w:hAnsi="宋体" w:cs="宋体"/>
                <w:bCs/>
                <w:kern w:val="0"/>
                <w:sz w:val="24"/>
                <w:szCs w:val="24"/>
              </w:rPr>
            </w:pPr>
            <w:r>
              <w:rPr>
                <w:rFonts w:hint="eastAsia" w:ascii="宋体" w:hAnsi="宋体" w:cs="宋体"/>
                <w:bCs/>
                <w:kern w:val="0"/>
                <w:sz w:val="24"/>
                <w:szCs w:val="24"/>
              </w:rPr>
              <w:t>质量</w:t>
            </w:r>
          </w:p>
        </w:tc>
        <w:tc>
          <w:tcPr>
            <w:tcW w:w="536" w:type="dxa"/>
            <w:tcBorders>
              <w:top w:val="single" w:color="auto" w:sz="4" w:space="0"/>
              <w:left w:val="nil"/>
              <w:bottom w:val="single" w:color="auto" w:sz="4" w:space="0"/>
              <w:right w:val="single" w:color="auto" w:sz="4" w:space="0"/>
            </w:tcBorders>
            <w:noWrap w:val="0"/>
            <w:vAlign w:val="center"/>
          </w:tcPr>
          <w:p w14:paraId="1DEA71A1">
            <w:pPr>
              <w:jc w:val="center"/>
              <w:rPr>
                <w:rFonts w:ascii="宋体" w:hAnsi="宋体" w:cs="宋体"/>
                <w:bCs/>
                <w:kern w:val="0"/>
                <w:sz w:val="24"/>
                <w:szCs w:val="24"/>
              </w:rPr>
            </w:pPr>
            <w:r>
              <w:rPr>
                <w:rFonts w:hint="eastAsia" w:ascii="宋体" w:hAnsi="宋体" w:cs="宋体"/>
                <w:bCs/>
                <w:kern w:val="0"/>
                <w:sz w:val="24"/>
                <w:szCs w:val="24"/>
              </w:rPr>
              <w:t>交货</w:t>
            </w:r>
          </w:p>
        </w:tc>
        <w:tc>
          <w:tcPr>
            <w:tcW w:w="560" w:type="dxa"/>
            <w:tcBorders>
              <w:top w:val="single" w:color="auto" w:sz="4" w:space="0"/>
              <w:left w:val="nil"/>
              <w:bottom w:val="single" w:color="auto" w:sz="4" w:space="0"/>
              <w:right w:val="single" w:color="auto" w:sz="4" w:space="0"/>
            </w:tcBorders>
            <w:noWrap w:val="0"/>
            <w:vAlign w:val="center"/>
          </w:tcPr>
          <w:p w14:paraId="06DEDB5D">
            <w:pPr>
              <w:jc w:val="center"/>
              <w:rPr>
                <w:rFonts w:ascii="宋体" w:hAnsi="宋体" w:cs="宋体"/>
                <w:bCs/>
                <w:kern w:val="0"/>
                <w:sz w:val="24"/>
                <w:szCs w:val="24"/>
              </w:rPr>
            </w:pPr>
            <w:r>
              <w:rPr>
                <w:rFonts w:hint="eastAsia" w:ascii="宋体" w:hAnsi="宋体" w:cs="宋体"/>
                <w:bCs/>
                <w:kern w:val="0"/>
                <w:sz w:val="24"/>
                <w:szCs w:val="24"/>
              </w:rPr>
              <w:t>售后</w:t>
            </w:r>
          </w:p>
        </w:tc>
        <w:tc>
          <w:tcPr>
            <w:tcW w:w="478" w:type="dxa"/>
            <w:tcBorders>
              <w:top w:val="single" w:color="auto" w:sz="4" w:space="0"/>
              <w:left w:val="nil"/>
              <w:bottom w:val="single" w:color="auto" w:sz="4" w:space="0"/>
              <w:right w:val="single" w:color="auto" w:sz="4" w:space="0"/>
            </w:tcBorders>
            <w:noWrap w:val="0"/>
            <w:vAlign w:val="center"/>
          </w:tcPr>
          <w:p w14:paraId="7B70BF3C">
            <w:pPr>
              <w:jc w:val="center"/>
              <w:rPr>
                <w:rFonts w:ascii="宋体" w:hAnsi="宋体" w:cs="宋体"/>
                <w:bCs/>
                <w:kern w:val="0"/>
                <w:sz w:val="24"/>
                <w:szCs w:val="24"/>
              </w:rPr>
            </w:pPr>
            <w:r>
              <w:rPr>
                <w:rFonts w:hint="eastAsia" w:ascii="宋体" w:hAnsi="宋体" w:cs="宋体"/>
                <w:bCs/>
                <w:kern w:val="0"/>
                <w:sz w:val="24"/>
                <w:szCs w:val="24"/>
              </w:rPr>
              <w:t>资信</w:t>
            </w:r>
          </w:p>
        </w:tc>
        <w:tc>
          <w:tcPr>
            <w:tcW w:w="512" w:type="dxa"/>
            <w:tcBorders>
              <w:top w:val="single" w:color="auto" w:sz="4" w:space="0"/>
              <w:left w:val="nil"/>
              <w:bottom w:val="single" w:color="auto" w:sz="4" w:space="0"/>
              <w:right w:val="single" w:color="auto" w:sz="4" w:space="0"/>
            </w:tcBorders>
            <w:noWrap w:val="0"/>
            <w:vAlign w:val="center"/>
          </w:tcPr>
          <w:p w14:paraId="3D391627">
            <w:pPr>
              <w:jc w:val="center"/>
              <w:rPr>
                <w:rFonts w:hint="eastAsia" w:ascii="宋体" w:hAnsi="宋体" w:cs="宋体"/>
                <w:bCs/>
                <w:kern w:val="0"/>
                <w:sz w:val="24"/>
                <w:szCs w:val="24"/>
              </w:rPr>
            </w:pPr>
            <w:r>
              <w:rPr>
                <w:rFonts w:hint="eastAsia" w:ascii="宋体" w:hAnsi="宋体" w:cs="宋体"/>
                <w:bCs/>
                <w:kern w:val="0"/>
                <w:sz w:val="24"/>
                <w:szCs w:val="24"/>
              </w:rPr>
              <w:t>其他</w:t>
            </w:r>
          </w:p>
        </w:tc>
        <w:tc>
          <w:tcPr>
            <w:tcW w:w="551" w:type="dxa"/>
            <w:tcBorders>
              <w:top w:val="single" w:color="auto" w:sz="4" w:space="0"/>
              <w:left w:val="nil"/>
              <w:bottom w:val="single" w:color="auto" w:sz="4" w:space="0"/>
              <w:right w:val="single" w:color="auto" w:sz="4" w:space="0"/>
            </w:tcBorders>
            <w:noWrap w:val="0"/>
            <w:vAlign w:val="center"/>
          </w:tcPr>
          <w:p w14:paraId="3D738442">
            <w:pPr>
              <w:jc w:val="center"/>
              <w:rPr>
                <w:rFonts w:ascii="宋体" w:hAnsi="宋体" w:cs="宋体"/>
                <w:bCs/>
                <w:kern w:val="0"/>
                <w:sz w:val="24"/>
                <w:szCs w:val="24"/>
              </w:rPr>
            </w:pPr>
            <w:r>
              <w:rPr>
                <w:rFonts w:hint="eastAsia" w:ascii="宋体" w:hAnsi="宋体" w:cs="宋体"/>
                <w:bCs/>
                <w:kern w:val="0"/>
                <w:sz w:val="24"/>
                <w:szCs w:val="24"/>
              </w:rPr>
              <w:t>累计</w:t>
            </w:r>
          </w:p>
        </w:tc>
        <w:tc>
          <w:tcPr>
            <w:tcW w:w="629" w:type="dxa"/>
            <w:vMerge w:val="continue"/>
            <w:tcBorders>
              <w:top w:val="single" w:color="auto" w:sz="4" w:space="0"/>
              <w:left w:val="nil"/>
              <w:bottom w:val="single" w:color="auto" w:sz="4" w:space="0"/>
              <w:right w:val="single" w:color="auto" w:sz="4" w:space="0"/>
            </w:tcBorders>
            <w:noWrap w:val="0"/>
            <w:vAlign w:val="center"/>
          </w:tcPr>
          <w:p w14:paraId="0264DB68">
            <w:pPr>
              <w:jc w:val="center"/>
              <w:rPr>
                <w:rFonts w:ascii="宋体" w:hAnsi="宋体" w:cs="宋体"/>
                <w:bCs/>
                <w:kern w:val="0"/>
                <w:sz w:val="24"/>
                <w:szCs w:val="24"/>
              </w:rPr>
            </w:pPr>
          </w:p>
        </w:tc>
        <w:tc>
          <w:tcPr>
            <w:tcW w:w="649" w:type="dxa"/>
            <w:tcBorders>
              <w:top w:val="single" w:color="auto" w:sz="4" w:space="0"/>
              <w:left w:val="single" w:color="auto" w:sz="4" w:space="0"/>
              <w:bottom w:val="single" w:color="auto" w:sz="4" w:space="0"/>
              <w:right w:val="single" w:color="auto" w:sz="4" w:space="0"/>
            </w:tcBorders>
            <w:noWrap w:val="0"/>
            <w:vAlign w:val="center"/>
          </w:tcPr>
          <w:p w14:paraId="54548A75">
            <w:pPr>
              <w:jc w:val="center"/>
              <w:rPr>
                <w:rFonts w:hint="eastAsia" w:ascii="宋体" w:hAnsi="宋体" w:cs="宋体"/>
                <w:bCs/>
                <w:kern w:val="0"/>
                <w:sz w:val="24"/>
                <w:szCs w:val="24"/>
              </w:rPr>
            </w:pPr>
            <w:r>
              <w:rPr>
                <w:rFonts w:hint="eastAsia" w:ascii="宋体" w:hAnsi="宋体" w:cs="宋体"/>
                <w:bCs/>
                <w:kern w:val="0"/>
                <w:sz w:val="24"/>
                <w:szCs w:val="24"/>
              </w:rPr>
              <w:t>合格供应商</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29C3077A">
            <w:pPr>
              <w:jc w:val="center"/>
              <w:rPr>
                <w:rFonts w:ascii="宋体" w:hAnsi="宋体" w:cs="宋体"/>
                <w:bCs/>
                <w:kern w:val="0"/>
                <w:sz w:val="24"/>
                <w:szCs w:val="24"/>
              </w:rPr>
            </w:pPr>
            <w:r>
              <w:rPr>
                <w:rFonts w:hint="eastAsia" w:ascii="宋体" w:hAnsi="宋体" w:cs="宋体"/>
                <w:bCs/>
                <w:kern w:val="0"/>
                <w:sz w:val="24"/>
                <w:szCs w:val="24"/>
              </w:rPr>
              <w:t>暂停合作供应商</w:t>
            </w:r>
          </w:p>
        </w:tc>
        <w:tc>
          <w:tcPr>
            <w:tcW w:w="848" w:type="dxa"/>
            <w:tcBorders>
              <w:top w:val="single" w:color="auto" w:sz="4" w:space="0"/>
              <w:left w:val="nil"/>
              <w:bottom w:val="single" w:color="auto" w:sz="4" w:space="0"/>
              <w:right w:val="single" w:color="auto" w:sz="4" w:space="0"/>
            </w:tcBorders>
            <w:noWrap w:val="0"/>
            <w:vAlign w:val="center"/>
          </w:tcPr>
          <w:p w14:paraId="30C73924">
            <w:pPr>
              <w:jc w:val="center"/>
              <w:rPr>
                <w:rFonts w:hint="eastAsia" w:ascii="宋体" w:hAnsi="宋体" w:cs="宋体"/>
                <w:bCs/>
                <w:kern w:val="0"/>
                <w:sz w:val="24"/>
                <w:szCs w:val="24"/>
              </w:rPr>
            </w:pPr>
            <w:r>
              <w:rPr>
                <w:rFonts w:hint="eastAsia" w:ascii="宋体" w:hAnsi="宋体" w:cs="宋体"/>
                <w:bCs/>
                <w:kern w:val="0"/>
                <w:sz w:val="24"/>
                <w:szCs w:val="24"/>
              </w:rPr>
              <w:t>禁止合作供应商</w:t>
            </w:r>
          </w:p>
        </w:tc>
        <w:tc>
          <w:tcPr>
            <w:tcW w:w="405" w:type="dxa"/>
            <w:gridSpan w:val="2"/>
            <w:vMerge w:val="continue"/>
            <w:tcBorders>
              <w:left w:val="single" w:color="auto" w:sz="4" w:space="0"/>
              <w:bottom w:val="single" w:color="auto" w:sz="4" w:space="0"/>
              <w:right w:val="single" w:color="auto" w:sz="4" w:space="0"/>
            </w:tcBorders>
            <w:noWrap w:val="0"/>
            <w:vAlign w:val="center"/>
          </w:tcPr>
          <w:p w14:paraId="076CC626">
            <w:pPr>
              <w:jc w:val="center"/>
              <w:rPr>
                <w:rFonts w:hint="eastAsia" w:ascii="宋体" w:hAnsi="宋体" w:cs="宋体"/>
                <w:bCs/>
                <w:kern w:val="0"/>
                <w:sz w:val="24"/>
                <w:szCs w:val="24"/>
              </w:rPr>
            </w:pPr>
          </w:p>
        </w:tc>
      </w:tr>
      <w:tr w14:paraId="3602F168">
        <w:tblPrEx>
          <w:tblCellMar>
            <w:top w:w="0" w:type="dxa"/>
            <w:left w:w="108" w:type="dxa"/>
            <w:bottom w:w="0" w:type="dxa"/>
            <w:right w:w="108" w:type="dxa"/>
          </w:tblCellMar>
        </w:tblPrEx>
        <w:trPr>
          <w:gridAfter w:val="1"/>
          <w:wAfter w:w="546" w:type="dxa"/>
          <w:trHeight w:val="308" w:hRule="atLeast"/>
        </w:trPr>
        <w:tc>
          <w:tcPr>
            <w:tcW w:w="479" w:type="dxa"/>
            <w:tcBorders>
              <w:top w:val="nil"/>
              <w:left w:val="single" w:color="auto" w:sz="4" w:space="0"/>
              <w:bottom w:val="single" w:color="auto" w:sz="4" w:space="0"/>
              <w:right w:val="single" w:color="auto" w:sz="4" w:space="0"/>
            </w:tcBorders>
            <w:noWrap w:val="0"/>
            <w:vAlign w:val="center"/>
          </w:tcPr>
          <w:p w14:paraId="18F739FD">
            <w:pPr>
              <w:jc w:val="center"/>
              <w:rPr>
                <w:rFonts w:ascii="Arial" w:hAnsi="Arial" w:cs="Arial"/>
                <w:bCs/>
                <w:kern w:val="0"/>
                <w:sz w:val="24"/>
                <w:szCs w:val="24"/>
              </w:rPr>
            </w:pPr>
          </w:p>
        </w:tc>
        <w:tc>
          <w:tcPr>
            <w:tcW w:w="1146" w:type="dxa"/>
            <w:tcBorders>
              <w:top w:val="nil"/>
              <w:left w:val="nil"/>
              <w:bottom w:val="single" w:color="auto" w:sz="4" w:space="0"/>
              <w:right w:val="single" w:color="auto" w:sz="4" w:space="0"/>
            </w:tcBorders>
            <w:noWrap w:val="0"/>
            <w:vAlign w:val="center"/>
          </w:tcPr>
          <w:p w14:paraId="4B8022D0">
            <w:pPr>
              <w:jc w:val="center"/>
              <w:rPr>
                <w:rFonts w:ascii="Arial" w:hAnsi="Arial" w:cs="Arial"/>
                <w:bCs/>
                <w:kern w:val="0"/>
                <w:sz w:val="24"/>
                <w:szCs w:val="24"/>
              </w:rPr>
            </w:pPr>
          </w:p>
        </w:tc>
        <w:tc>
          <w:tcPr>
            <w:tcW w:w="903" w:type="dxa"/>
            <w:tcBorders>
              <w:top w:val="nil"/>
              <w:left w:val="nil"/>
              <w:bottom w:val="single" w:color="auto" w:sz="4" w:space="0"/>
              <w:right w:val="single" w:color="auto" w:sz="4" w:space="0"/>
            </w:tcBorders>
            <w:noWrap w:val="0"/>
            <w:vAlign w:val="center"/>
          </w:tcPr>
          <w:p w14:paraId="548C10E1">
            <w:pPr>
              <w:jc w:val="center"/>
              <w:rPr>
                <w:rFonts w:ascii="Calibri" w:hAnsi="Calibri" w:cs="宋体"/>
                <w:bCs/>
                <w:kern w:val="0"/>
                <w:sz w:val="24"/>
                <w:szCs w:val="24"/>
              </w:rPr>
            </w:pPr>
          </w:p>
        </w:tc>
        <w:tc>
          <w:tcPr>
            <w:tcW w:w="617" w:type="dxa"/>
            <w:tcBorders>
              <w:top w:val="nil"/>
              <w:left w:val="nil"/>
              <w:bottom w:val="single" w:color="auto" w:sz="4" w:space="0"/>
              <w:right w:val="single" w:color="auto" w:sz="4" w:space="0"/>
            </w:tcBorders>
            <w:noWrap w:val="0"/>
            <w:vAlign w:val="center"/>
          </w:tcPr>
          <w:p w14:paraId="1F916AC4">
            <w:pPr>
              <w:jc w:val="center"/>
              <w:rPr>
                <w:rFonts w:ascii="Calibri" w:hAnsi="Calibri" w:cs="宋体"/>
                <w:bCs/>
                <w:kern w:val="0"/>
                <w:sz w:val="24"/>
                <w:szCs w:val="24"/>
              </w:rPr>
            </w:pPr>
          </w:p>
        </w:tc>
        <w:tc>
          <w:tcPr>
            <w:tcW w:w="536" w:type="dxa"/>
            <w:tcBorders>
              <w:top w:val="nil"/>
              <w:left w:val="nil"/>
              <w:bottom w:val="single" w:color="auto" w:sz="4" w:space="0"/>
              <w:right w:val="single" w:color="auto" w:sz="4" w:space="0"/>
            </w:tcBorders>
            <w:noWrap w:val="0"/>
            <w:vAlign w:val="center"/>
          </w:tcPr>
          <w:p w14:paraId="64BA56EA">
            <w:pPr>
              <w:jc w:val="center"/>
              <w:rPr>
                <w:rFonts w:ascii="Calibri" w:hAnsi="Calibri" w:cs="宋体"/>
                <w:bCs/>
                <w:kern w:val="0"/>
                <w:sz w:val="24"/>
                <w:szCs w:val="24"/>
              </w:rPr>
            </w:pPr>
          </w:p>
        </w:tc>
        <w:tc>
          <w:tcPr>
            <w:tcW w:w="560" w:type="dxa"/>
            <w:tcBorders>
              <w:top w:val="nil"/>
              <w:left w:val="nil"/>
              <w:bottom w:val="single" w:color="auto" w:sz="4" w:space="0"/>
              <w:right w:val="single" w:color="auto" w:sz="4" w:space="0"/>
            </w:tcBorders>
            <w:noWrap w:val="0"/>
            <w:vAlign w:val="center"/>
          </w:tcPr>
          <w:p w14:paraId="52DDD311">
            <w:pPr>
              <w:jc w:val="center"/>
              <w:rPr>
                <w:rFonts w:ascii="Calibri" w:hAnsi="Calibri" w:cs="宋体"/>
                <w:bCs/>
                <w:kern w:val="0"/>
                <w:sz w:val="24"/>
                <w:szCs w:val="24"/>
              </w:rPr>
            </w:pPr>
          </w:p>
        </w:tc>
        <w:tc>
          <w:tcPr>
            <w:tcW w:w="478" w:type="dxa"/>
            <w:tcBorders>
              <w:top w:val="nil"/>
              <w:left w:val="nil"/>
              <w:bottom w:val="single" w:color="auto" w:sz="4" w:space="0"/>
              <w:right w:val="single" w:color="auto" w:sz="4" w:space="0"/>
            </w:tcBorders>
            <w:noWrap w:val="0"/>
            <w:vAlign w:val="center"/>
          </w:tcPr>
          <w:p w14:paraId="4652C84E">
            <w:pPr>
              <w:jc w:val="center"/>
              <w:rPr>
                <w:rFonts w:ascii="Calibri" w:hAnsi="Calibri" w:cs="宋体"/>
                <w:bCs/>
                <w:kern w:val="0"/>
                <w:sz w:val="24"/>
                <w:szCs w:val="24"/>
              </w:rPr>
            </w:pPr>
          </w:p>
        </w:tc>
        <w:tc>
          <w:tcPr>
            <w:tcW w:w="512" w:type="dxa"/>
            <w:tcBorders>
              <w:top w:val="single" w:color="auto" w:sz="4" w:space="0"/>
              <w:left w:val="single" w:color="auto" w:sz="4" w:space="0"/>
              <w:bottom w:val="single" w:color="auto" w:sz="4" w:space="0"/>
              <w:right w:val="single" w:color="auto" w:sz="4" w:space="0"/>
            </w:tcBorders>
            <w:noWrap w:val="0"/>
            <w:vAlign w:val="center"/>
          </w:tcPr>
          <w:p w14:paraId="272BF127">
            <w:pPr>
              <w:jc w:val="center"/>
              <w:rPr>
                <w:rFonts w:ascii="Calibri" w:hAnsi="Calibri" w:cs="宋体"/>
                <w:bCs/>
                <w:kern w:val="0"/>
                <w:sz w:val="24"/>
                <w:szCs w:val="24"/>
              </w:rPr>
            </w:pPr>
          </w:p>
        </w:tc>
        <w:tc>
          <w:tcPr>
            <w:tcW w:w="551" w:type="dxa"/>
            <w:tcBorders>
              <w:top w:val="single" w:color="auto" w:sz="4" w:space="0"/>
              <w:left w:val="single" w:color="auto" w:sz="4" w:space="0"/>
              <w:bottom w:val="single" w:color="auto" w:sz="4" w:space="0"/>
              <w:right w:val="single" w:color="auto" w:sz="4" w:space="0"/>
            </w:tcBorders>
            <w:noWrap w:val="0"/>
            <w:vAlign w:val="center"/>
          </w:tcPr>
          <w:p w14:paraId="177A3803">
            <w:pPr>
              <w:jc w:val="center"/>
              <w:rPr>
                <w:rFonts w:ascii="Calibri" w:hAnsi="Calibri" w:cs="宋体"/>
                <w:bCs/>
                <w:kern w:val="0"/>
                <w:sz w:val="24"/>
                <w:szCs w:val="24"/>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2F38FF22">
            <w:pPr>
              <w:jc w:val="center"/>
              <w:rPr>
                <w:rFonts w:hint="eastAsia" w:ascii="宋体" w:hAnsi="宋体" w:cs="宋体"/>
                <w:bCs/>
                <w:kern w:val="0"/>
                <w:sz w:val="24"/>
                <w:szCs w:val="24"/>
              </w:rPr>
            </w:pPr>
          </w:p>
        </w:tc>
        <w:tc>
          <w:tcPr>
            <w:tcW w:w="649" w:type="dxa"/>
            <w:tcBorders>
              <w:top w:val="single" w:color="auto" w:sz="4" w:space="0"/>
              <w:left w:val="nil"/>
              <w:bottom w:val="single" w:color="auto" w:sz="4" w:space="0"/>
              <w:right w:val="single" w:color="auto" w:sz="4" w:space="0"/>
            </w:tcBorders>
            <w:noWrap w:val="0"/>
            <w:vAlign w:val="center"/>
          </w:tcPr>
          <w:p w14:paraId="0CDC281F">
            <w:pPr>
              <w:jc w:val="center"/>
              <w:rPr>
                <w:rFonts w:ascii="Calibri" w:hAnsi="Calibri" w:cs="宋体"/>
                <w:bCs/>
                <w:kern w:val="0"/>
                <w:sz w:val="24"/>
                <w:szCs w:val="24"/>
              </w:rPr>
            </w:pPr>
          </w:p>
        </w:tc>
        <w:tc>
          <w:tcPr>
            <w:tcW w:w="820" w:type="dxa"/>
            <w:tcBorders>
              <w:top w:val="single" w:color="auto" w:sz="4" w:space="0"/>
              <w:left w:val="nil"/>
              <w:bottom w:val="single" w:color="auto" w:sz="4" w:space="0"/>
              <w:right w:val="single" w:color="auto" w:sz="4" w:space="0"/>
            </w:tcBorders>
            <w:noWrap w:val="0"/>
            <w:vAlign w:val="center"/>
          </w:tcPr>
          <w:p w14:paraId="038260C3">
            <w:pPr>
              <w:jc w:val="center"/>
              <w:rPr>
                <w:rFonts w:ascii="Calibri" w:hAnsi="Calibri" w:cs="宋体"/>
                <w:bCs/>
                <w:kern w:val="0"/>
                <w:sz w:val="24"/>
                <w:szCs w:val="24"/>
              </w:rPr>
            </w:pPr>
          </w:p>
        </w:tc>
        <w:tc>
          <w:tcPr>
            <w:tcW w:w="848" w:type="dxa"/>
            <w:tcBorders>
              <w:top w:val="nil"/>
              <w:left w:val="nil"/>
              <w:bottom w:val="single" w:color="auto" w:sz="4" w:space="0"/>
              <w:right w:val="single" w:color="auto" w:sz="4" w:space="0"/>
            </w:tcBorders>
            <w:noWrap w:val="0"/>
            <w:vAlign w:val="center"/>
          </w:tcPr>
          <w:p w14:paraId="6D205448">
            <w:pPr>
              <w:jc w:val="center"/>
              <w:rPr>
                <w:rFonts w:ascii="Calibri" w:hAnsi="Calibri" w:cs="宋体"/>
                <w:bCs/>
                <w:kern w:val="0"/>
                <w:sz w:val="24"/>
                <w:szCs w:val="24"/>
              </w:rPr>
            </w:pPr>
          </w:p>
        </w:tc>
        <w:tc>
          <w:tcPr>
            <w:tcW w:w="405" w:type="dxa"/>
            <w:gridSpan w:val="2"/>
            <w:tcBorders>
              <w:top w:val="nil"/>
              <w:left w:val="nil"/>
              <w:bottom w:val="single" w:color="auto" w:sz="4" w:space="0"/>
              <w:right w:val="single" w:color="auto" w:sz="4" w:space="0"/>
            </w:tcBorders>
            <w:noWrap w:val="0"/>
            <w:vAlign w:val="center"/>
          </w:tcPr>
          <w:p w14:paraId="737D29AC">
            <w:pPr>
              <w:jc w:val="center"/>
              <w:rPr>
                <w:rFonts w:ascii="Calibri" w:hAnsi="Calibri" w:cs="宋体"/>
                <w:bCs/>
                <w:kern w:val="0"/>
                <w:sz w:val="24"/>
                <w:szCs w:val="24"/>
              </w:rPr>
            </w:pPr>
          </w:p>
        </w:tc>
      </w:tr>
      <w:tr w14:paraId="5F49E593">
        <w:tblPrEx>
          <w:tblCellMar>
            <w:top w:w="0" w:type="dxa"/>
            <w:left w:w="108" w:type="dxa"/>
            <w:bottom w:w="0" w:type="dxa"/>
            <w:right w:w="108" w:type="dxa"/>
          </w:tblCellMar>
        </w:tblPrEx>
        <w:trPr>
          <w:gridAfter w:val="1"/>
          <w:wAfter w:w="546" w:type="dxa"/>
          <w:trHeight w:val="338" w:hRule="atLeast"/>
        </w:trPr>
        <w:tc>
          <w:tcPr>
            <w:tcW w:w="479" w:type="dxa"/>
            <w:tcBorders>
              <w:top w:val="nil"/>
              <w:left w:val="single" w:color="auto" w:sz="4" w:space="0"/>
              <w:bottom w:val="single" w:color="auto" w:sz="4" w:space="0"/>
              <w:right w:val="single" w:color="auto" w:sz="4" w:space="0"/>
            </w:tcBorders>
            <w:noWrap w:val="0"/>
            <w:vAlign w:val="center"/>
          </w:tcPr>
          <w:p w14:paraId="2D0069BA">
            <w:pPr>
              <w:jc w:val="center"/>
              <w:rPr>
                <w:rFonts w:ascii="Arial" w:hAnsi="Arial" w:cs="Arial"/>
                <w:bCs/>
                <w:kern w:val="0"/>
                <w:sz w:val="24"/>
                <w:szCs w:val="24"/>
              </w:rPr>
            </w:pPr>
          </w:p>
        </w:tc>
        <w:tc>
          <w:tcPr>
            <w:tcW w:w="1146" w:type="dxa"/>
            <w:tcBorders>
              <w:top w:val="nil"/>
              <w:left w:val="nil"/>
              <w:bottom w:val="single" w:color="auto" w:sz="4" w:space="0"/>
              <w:right w:val="single" w:color="auto" w:sz="4" w:space="0"/>
            </w:tcBorders>
            <w:noWrap w:val="0"/>
            <w:vAlign w:val="center"/>
          </w:tcPr>
          <w:p w14:paraId="4B00D1C0">
            <w:pPr>
              <w:jc w:val="center"/>
              <w:rPr>
                <w:rFonts w:ascii="Arial" w:hAnsi="Arial" w:cs="Arial"/>
                <w:bCs/>
                <w:kern w:val="0"/>
                <w:sz w:val="24"/>
                <w:szCs w:val="24"/>
              </w:rPr>
            </w:pPr>
          </w:p>
        </w:tc>
        <w:tc>
          <w:tcPr>
            <w:tcW w:w="903" w:type="dxa"/>
            <w:tcBorders>
              <w:top w:val="nil"/>
              <w:left w:val="nil"/>
              <w:bottom w:val="single" w:color="auto" w:sz="4" w:space="0"/>
              <w:right w:val="single" w:color="auto" w:sz="4" w:space="0"/>
            </w:tcBorders>
            <w:noWrap w:val="0"/>
            <w:vAlign w:val="center"/>
          </w:tcPr>
          <w:p w14:paraId="754CFE7F">
            <w:pPr>
              <w:jc w:val="center"/>
              <w:rPr>
                <w:rFonts w:ascii="Calibri" w:hAnsi="Calibri" w:cs="宋体"/>
                <w:bCs/>
                <w:kern w:val="0"/>
                <w:sz w:val="24"/>
                <w:szCs w:val="24"/>
              </w:rPr>
            </w:pPr>
          </w:p>
        </w:tc>
        <w:tc>
          <w:tcPr>
            <w:tcW w:w="617" w:type="dxa"/>
            <w:tcBorders>
              <w:top w:val="nil"/>
              <w:left w:val="nil"/>
              <w:bottom w:val="single" w:color="auto" w:sz="4" w:space="0"/>
              <w:right w:val="single" w:color="auto" w:sz="4" w:space="0"/>
            </w:tcBorders>
            <w:noWrap w:val="0"/>
            <w:vAlign w:val="center"/>
          </w:tcPr>
          <w:p w14:paraId="393D827D">
            <w:pPr>
              <w:jc w:val="center"/>
              <w:rPr>
                <w:rFonts w:ascii="Calibri" w:hAnsi="Calibri" w:cs="宋体"/>
                <w:bCs/>
                <w:kern w:val="0"/>
                <w:sz w:val="24"/>
                <w:szCs w:val="24"/>
              </w:rPr>
            </w:pPr>
          </w:p>
        </w:tc>
        <w:tc>
          <w:tcPr>
            <w:tcW w:w="536" w:type="dxa"/>
            <w:tcBorders>
              <w:top w:val="nil"/>
              <w:left w:val="nil"/>
              <w:bottom w:val="single" w:color="auto" w:sz="4" w:space="0"/>
              <w:right w:val="single" w:color="auto" w:sz="4" w:space="0"/>
            </w:tcBorders>
            <w:noWrap w:val="0"/>
            <w:vAlign w:val="center"/>
          </w:tcPr>
          <w:p w14:paraId="664FB30B">
            <w:pPr>
              <w:jc w:val="center"/>
              <w:rPr>
                <w:rFonts w:ascii="Calibri" w:hAnsi="Calibri" w:cs="宋体"/>
                <w:bCs/>
                <w:kern w:val="0"/>
                <w:sz w:val="24"/>
                <w:szCs w:val="24"/>
              </w:rPr>
            </w:pPr>
          </w:p>
        </w:tc>
        <w:tc>
          <w:tcPr>
            <w:tcW w:w="560" w:type="dxa"/>
            <w:tcBorders>
              <w:top w:val="nil"/>
              <w:left w:val="nil"/>
              <w:bottom w:val="single" w:color="auto" w:sz="4" w:space="0"/>
              <w:right w:val="single" w:color="auto" w:sz="4" w:space="0"/>
            </w:tcBorders>
            <w:noWrap w:val="0"/>
            <w:vAlign w:val="center"/>
          </w:tcPr>
          <w:p w14:paraId="79400B73">
            <w:pPr>
              <w:jc w:val="center"/>
              <w:rPr>
                <w:rFonts w:ascii="Calibri" w:hAnsi="Calibri" w:cs="宋体"/>
                <w:bCs/>
                <w:kern w:val="0"/>
                <w:sz w:val="24"/>
                <w:szCs w:val="24"/>
              </w:rPr>
            </w:pPr>
          </w:p>
        </w:tc>
        <w:tc>
          <w:tcPr>
            <w:tcW w:w="478" w:type="dxa"/>
            <w:tcBorders>
              <w:top w:val="nil"/>
              <w:left w:val="nil"/>
              <w:bottom w:val="single" w:color="auto" w:sz="4" w:space="0"/>
              <w:right w:val="single" w:color="auto" w:sz="4" w:space="0"/>
            </w:tcBorders>
            <w:noWrap w:val="0"/>
            <w:vAlign w:val="center"/>
          </w:tcPr>
          <w:p w14:paraId="5C245DC8">
            <w:pPr>
              <w:jc w:val="center"/>
              <w:rPr>
                <w:rFonts w:ascii="Calibri" w:hAnsi="Calibri" w:cs="宋体"/>
                <w:bCs/>
                <w:kern w:val="0"/>
                <w:sz w:val="24"/>
                <w:szCs w:val="24"/>
              </w:rPr>
            </w:pPr>
          </w:p>
        </w:tc>
        <w:tc>
          <w:tcPr>
            <w:tcW w:w="512" w:type="dxa"/>
            <w:tcBorders>
              <w:top w:val="single" w:color="auto" w:sz="4" w:space="0"/>
              <w:left w:val="single" w:color="auto" w:sz="4" w:space="0"/>
              <w:bottom w:val="single" w:color="auto" w:sz="4" w:space="0"/>
              <w:right w:val="single" w:color="auto" w:sz="4" w:space="0"/>
            </w:tcBorders>
            <w:noWrap w:val="0"/>
            <w:vAlign w:val="center"/>
          </w:tcPr>
          <w:p w14:paraId="333874F4">
            <w:pPr>
              <w:jc w:val="center"/>
              <w:rPr>
                <w:rFonts w:ascii="Calibri" w:hAnsi="Calibri" w:cs="宋体"/>
                <w:bCs/>
                <w:kern w:val="0"/>
                <w:sz w:val="24"/>
                <w:szCs w:val="24"/>
              </w:rPr>
            </w:pPr>
          </w:p>
        </w:tc>
        <w:tc>
          <w:tcPr>
            <w:tcW w:w="551" w:type="dxa"/>
            <w:tcBorders>
              <w:top w:val="single" w:color="auto" w:sz="4" w:space="0"/>
              <w:left w:val="single" w:color="auto" w:sz="4" w:space="0"/>
              <w:bottom w:val="single" w:color="auto" w:sz="4" w:space="0"/>
              <w:right w:val="single" w:color="auto" w:sz="4" w:space="0"/>
            </w:tcBorders>
            <w:noWrap w:val="0"/>
            <w:vAlign w:val="center"/>
          </w:tcPr>
          <w:p w14:paraId="6F3EE25D">
            <w:pPr>
              <w:jc w:val="center"/>
              <w:rPr>
                <w:rFonts w:ascii="Calibri" w:hAnsi="Calibri" w:cs="宋体"/>
                <w:bCs/>
                <w:kern w:val="0"/>
                <w:sz w:val="24"/>
                <w:szCs w:val="24"/>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447CCF85">
            <w:pPr>
              <w:jc w:val="center"/>
              <w:rPr>
                <w:rFonts w:hint="eastAsia" w:ascii="宋体" w:hAnsi="宋体" w:cs="宋体"/>
                <w:bCs/>
                <w:kern w:val="0"/>
                <w:sz w:val="24"/>
                <w:szCs w:val="24"/>
              </w:rPr>
            </w:pPr>
          </w:p>
        </w:tc>
        <w:tc>
          <w:tcPr>
            <w:tcW w:w="649" w:type="dxa"/>
            <w:tcBorders>
              <w:top w:val="nil"/>
              <w:left w:val="nil"/>
              <w:bottom w:val="single" w:color="auto" w:sz="4" w:space="0"/>
              <w:right w:val="single" w:color="auto" w:sz="4" w:space="0"/>
            </w:tcBorders>
            <w:noWrap w:val="0"/>
            <w:vAlign w:val="center"/>
          </w:tcPr>
          <w:p w14:paraId="7C408F19">
            <w:pPr>
              <w:jc w:val="center"/>
              <w:rPr>
                <w:rFonts w:ascii="Calibri" w:hAnsi="Calibri" w:cs="宋体"/>
                <w:bCs/>
                <w:kern w:val="0"/>
                <w:sz w:val="24"/>
                <w:szCs w:val="24"/>
              </w:rPr>
            </w:pPr>
          </w:p>
        </w:tc>
        <w:tc>
          <w:tcPr>
            <w:tcW w:w="820" w:type="dxa"/>
            <w:tcBorders>
              <w:top w:val="nil"/>
              <w:left w:val="nil"/>
              <w:bottom w:val="single" w:color="auto" w:sz="4" w:space="0"/>
              <w:right w:val="single" w:color="auto" w:sz="4" w:space="0"/>
            </w:tcBorders>
            <w:noWrap w:val="0"/>
            <w:vAlign w:val="center"/>
          </w:tcPr>
          <w:p w14:paraId="06303FC8">
            <w:pPr>
              <w:jc w:val="center"/>
              <w:rPr>
                <w:rFonts w:ascii="Calibri" w:hAnsi="Calibri" w:cs="宋体"/>
                <w:bCs/>
                <w:kern w:val="0"/>
                <w:sz w:val="24"/>
                <w:szCs w:val="24"/>
              </w:rPr>
            </w:pPr>
          </w:p>
        </w:tc>
        <w:tc>
          <w:tcPr>
            <w:tcW w:w="848" w:type="dxa"/>
            <w:tcBorders>
              <w:top w:val="nil"/>
              <w:left w:val="nil"/>
              <w:bottom w:val="single" w:color="auto" w:sz="4" w:space="0"/>
              <w:right w:val="single" w:color="auto" w:sz="4" w:space="0"/>
            </w:tcBorders>
            <w:noWrap w:val="0"/>
            <w:vAlign w:val="center"/>
          </w:tcPr>
          <w:p w14:paraId="405037E9">
            <w:pPr>
              <w:jc w:val="center"/>
              <w:rPr>
                <w:rFonts w:ascii="Calibri" w:hAnsi="Calibri" w:cs="宋体"/>
                <w:bCs/>
                <w:kern w:val="0"/>
                <w:sz w:val="24"/>
                <w:szCs w:val="24"/>
              </w:rPr>
            </w:pPr>
          </w:p>
        </w:tc>
        <w:tc>
          <w:tcPr>
            <w:tcW w:w="405" w:type="dxa"/>
            <w:gridSpan w:val="2"/>
            <w:tcBorders>
              <w:top w:val="nil"/>
              <w:left w:val="nil"/>
              <w:bottom w:val="single" w:color="auto" w:sz="4" w:space="0"/>
              <w:right w:val="single" w:color="auto" w:sz="4" w:space="0"/>
            </w:tcBorders>
            <w:noWrap w:val="0"/>
            <w:vAlign w:val="center"/>
          </w:tcPr>
          <w:p w14:paraId="3A50DB4C">
            <w:pPr>
              <w:jc w:val="center"/>
              <w:rPr>
                <w:rFonts w:ascii="Calibri" w:hAnsi="Calibri" w:cs="宋体"/>
                <w:bCs/>
                <w:kern w:val="0"/>
                <w:sz w:val="24"/>
                <w:szCs w:val="24"/>
              </w:rPr>
            </w:pPr>
          </w:p>
        </w:tc>
      </w:tr>
      <w:tr w14:paraId="50F3BCEA">
        <w:tblPrEx>
          <w:tblCellMar>
            <w:top w:w="0" w:type="dxa"/>
            <w:left w:w="108" w:type="dxa"/>
            <w:bottom w:w="0" w:type="dxa"/>
            <w:right w:w="108" w:type="dxa"/>
          </w:tblCellMar>
        </w:tblPrEx>
        <w:trPr>
          <w:gridAfter w:val="1"/>
          <w:wAfter w:w="546" w:type="dxa"/>
          <w:trHeight w:val="308" w:hRule="atLeast"/>
        </w:trPr>
        <w:tc>
          <w:tcPr>
            <w:tcW w:w="479" w:type="dxa"/>
            <w:tcBorders>
              <w:top w:val="nil"/>
              <w:left w:val="single" w:color="auto" w:sz="4" w:space="0"/>
              <w:bottom w:val="single" w:color="auto" w:sz="4" w:space="0"/>
              <w:right w:val="single" w:color="auto" w:sz="4" w:space="0"/>
            </w:tcBorders>
            <w:noWrap w:val="0"/>
            <w:vAlign w:val="center"/>
          </w:tcPr>
          <w:p w14:paraId="6AD9C81C">
            <w:pPr>
              <w:jc w:val="center"/>
              <w:rPr>
                <w:rFonts w:ascii="Arial" w:hAnsi="Arial" w:cs="Arial"/>
                <w:bCs/>
                <w:kern w:val="0"/>
                <w:sz w:val="24"/>
                <w:szCs w:val="24"/>
              </w:rPr>
            </w:pPr>
          </w:p>
        </w:tc>
        <w:tc>
          <w:tcPr>
            <w:tcW w:w="1146" w:type="dxa"/>
            <w:tcBorders>
              <w:top w:val="nil"/>
              <w:left w:val="nil"/>
              <w:bottom w:val="single" w:color="auto" w:sz="4" w:space="0"/>
              <w:right w:val="single" w:color="auto" w:sz="4" w:space="0"/>
            </w:tcBorders>
            <w:noWrap w:val="0"/>
            <w:vAlign w:val="center"/>
          </w:tcPr>
          <w:p w14:paraId="240B1AAB">
            <w:pPr>
              <w:jc w:val="center"/>
              <w:rPr>
                <w:rFonts w:ascii="Arial" w:hAnsi="Arial" w:cs="Arial"/>
                <w:bCs/>
                <w:kern w:val="0"/>
                <w:sz w:val="24"/>
                <w:szCs w:val="24"/>
              </w:rPr>
            </w:pPr>
          </w:p>
        </w:tc>
        <w:tc>
          <w:tcPr>
            <w:tcW w:w="903" w:type="dxa"/>
            <w:tcBorders>
              <w:top w:val="nil"/>
              <w:left w:val="nil"/>
              <w:bottom w:val="single" w:color="auto" w:sz="4" w:space="0"/>
              <w:right w:val="single" w:color="auto" w:sz="4" w:space="0"/>
            </w:tcBorders>
            <w:noWrap w:val="0"/>
            <w:vAlign w:val="center"/>
          </w:tcPr>
          <w:p w14:paraId="65E715D9">
            <w:pPr>
              <w:jc w:val="center"/>
              <w:rPr>
                <w:rFonts w:ascii="Calibri" w:hAnsi="Calibri" w:cs="宋体"/>
                <w:bCs/>
                <w:kern w:val="0"/>
                <w:sz w:val="24"/>
                <w:szCs w:val="24"/>
              </w:rPr>
            </w:pPr>
          </w:p>
        </w:tc>
        <w:tc>
          <w:tcPr>
            <w:tcW w:w="617" w:type="dxa"/>
            <w:tcBorders>
              <w:top w:val="nil"/>
              <w:left w:val="nil"/>
              <w:bottom w:val="single" w:color="auto" w:sz="4" w:space="0"/>
              <w:right w:val="single" w:color="auto" w:sz="4" w:space="0"/>
            </w:tcBorders>
            <w:noWrap w:val="0"/>
            <w:vAlign w:val="center"/>
          </w:tcPr>
          <w:p w14:paraId="7C2867FF">
            <w:pPr>
              <w:jc w:val="center"/>
              <w:rPr>
                <w:rFonts w:ascii="Calibri" w:hAnsi="Calibri" w:cs="宋体"/>
                <w:bCs/>
                <w:kern w:val="0"/>
                <w:sz w:val="24"/>
                <w:szCs w:val="24"/>
              </w:rPr>
            </w:pPr>
          </w:p>
        </w:tc>
        <w:tc>
          <w:tcPr>
            <w:tcW w:w="536" w:type="dxa"/>
            <w:tcBorders>
              <w:top w:val="nil"/>
              <w:left w:val="nil"/>
              <w:bottom w:val="single" w:color="auto" w:sz="4" w:space="0"/>
              <w:right w:val="single" w:color="auto" w:sz="4" w:space="0"/>
            </w:tcBorders>
            <w:noWrap w:val="0"/>
            <w:vAlign w:val="center"/>
          </w:tcPr>
          <w:p w14:paraId="5078781A">
            <w:pPr>
              <w:jc w:val="center"/>
              <w:rPr>
                <w:rFonts w:ascii="Calibri" w:hAnsi="Calibri" w:cs="宋体"/>
                <w:bCs/>
                <w:kern w:val="0"/>
                <w:sz w:val="24"/>
                <w:szCs w:val="24"/>
              </w:rPr>
            </w:pPr>
          </w:p>
        </w:tc>
        <w:tc>
          <w:tcPr>
            <w:tcW w:w="560" w:type="dxa"/>
            <w:tcBorders>
              <w:top w:val="nil"/>
              <w:left w:val="nil"/>
              <w:bottom w:val="single" w:color="auto" w:sz="4" w:space="0"/>
              <w:right w:val="single" w:color="auto" w:sz="4" w:space="0"/>
            </w:tcBorders>
            <w:noWrap w:val="0"/>
            <w:vAlign w:val="center"/>
          </w:tcPr>
          <w:p w14:paraId="6290615B">
            <w:pPr>
              <w:jc w:val="center"/>
              <w:rPr>
                <w:rFonts w:ascii="Calibri" w:hAnsi="Calibri" w:cs="宋体"/>
                <w:bCs/>
                <w:kern w:val="0"/>
                <w:sz w:val="24"/>
                <w:szCs w:val="24"/>
              </w:rPr>
            </w:pPr>
          </w:p>
        </w:tc>
        <w:tc>
          <w:tcPr>
            <w:tcW w:w="478" w:type="dxa"/>
            <w:tcBorders>
              <w:top w:val="nil"/>
              <w:left w:val="nil"/>
              <w:bottom w:val="single" w:color="auto" w:sz="4" w:space="0"/>
              <w:right w:val="single" w:color="auto" w:sz="4" w:space="0"/>
            </w:tcBorders>
            <w:noWrap w:val="0"/>
            <w:vAlign w:val="center"/>
          </w:tcPr>
          <w:p w14:paraId="26F1F310">
            <w:pPr>
              <w:jc w:val="center"/>
              <w:rPr>
                <w:rFonts w:ascii="Calibri" w:hAnsi="Calibri" w:cs="宋体"/>
                <w:bCs/>
                <w:kern w:val="0"/>
                <w:sz w:val="24"/>
                <w:szCs w:val="24"/>
              </w:rPr>
            </w:pPr>
          </w:p>
        </w:tc>
        <w:tc>
          <w:tcPr>
            <w:tcW w:w="512" w:type="dxa"/>
            <w:tcBorders>
              <w:top w:val="single" w:color="auto" w:sz="4" w:space="0"/>
              <w:left w:val="single" w:color="auto" w:sz="4" w:space="0"/>
              <w:bottom w:val="single" w:color="auto" w:sz="4" w:space="0"/>
              <w:right w:val="single" w:color="auto" w:sz="4" w:space="0"/>
            </w:tcBorders>
            <w:noWrap w:val="0"/>
            <w:vAlign w:val="center"/>
          </w:tcPr>
          <w:p w14:paraId="0388E5B0">
            <w:pPr>
              <w:jc w:val="center"/>
              <w:rPr>
                <w:rFonts w:ascii="Calibri" w:hAnsi="Calibri" w:cs="宋体"/>
                <w:bCs/>
                <w:kern w:val="0"/>
                <w:sz w:val="24"/>
                <w:szCs w:val="24"/>
              </w:rPr>
            </w:pPr>
          </w:p>
        </w:tc>
        <w:tc>
          <w:tcPr>
            <w:tcW w:w="551" w:type="dxa"/>
            <w:tcBorders>
              <w:top w:val="single" w:color="auto" w:sz="4" w:space="0"/>
              <w:left w:val="single" w:color="auto" w:sz="4" w:space="0"/>
              <w:bottom w:val="single" w:color="auto" w:sz="4" w:space="0"/>
              <w:right w:val="single" w:color="auto" w:sz="4" w:space="0"/>
            </w:tcBorders>
            <w:noWrap w:val="0"/>
            <w:vAlign w:val="center"/>
          </w:tcPr>
          <w:p w14:paraId="79E48CBC">
            <w:pPr>
              <w:jc w:val="center"/>
              <w:rPr>
                <w:rFonts w:ascii="Calibri" w:hAnsi="Calibri" w:cs="宋体"/>
                <w:bCs/>
                <w:kern w:val="0"/>
                <w:sz w:val="24"/>
                <w:szCs w:val="24"/>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206AEF62">
            <w:pPr>
              <w:jc w:val="center"/>
              <w:rPr>
                <w:rFonts w:hint="eastAsia" w:ascii="宋体" w:hAnsi="宋体" w:cs="宋体"/>
                <w:bCs/>
                <w:kern w:val="0"/>
                <w:sz w:val="24"/>
                <w:szCs w:val="24"/>
              </w:rPr>
            </w:pPr>
          </w:p>
        </w:tc>
        <w:tc>
          <w:tcPr>
            <w:tcW w:w="649" w:type="dxa"/>
            <w:tcBorders>
              <w:top w:val="nil"/>
              <w:left w:val="nil"/>
              <w:bottom w:val="single" w:color="auto" w:sz="4" w:space="0"/>
              <w:right w:val="single" w:color="auto" w:sz="4" w:space="0"/>
            </w:tcBorders>
            <w:noWrap w:val="0"/>
            <w:vAlign w:val="center"/>
          </w:tcPr>
          <w:p w14:paraId="0F241460">
            <w:pPr>
              <w:jc w:val="center"/>
              <w:rPr>
                <w:rFonts w:ascii="Calibri" w:hAnsi="Calibri" w:cs="宋体"/>
                <w:bCs/>
                <w:kern w:val="0"/>
                <w:sz w:val="24"/>
                <w:szCs w:val="24"/>
              </w:rPr>
            </w:pPr>
          </w:p>
        </w:tc>
        <w:tc>
          <w:tcPr>
            <w:tcW w:w="820" w:type="dxa"/>
            <w:tcBorders>
              <w:top w:val="nil"/>
              <w:left w:val="nil"/>
              <w:bottom w:val="single" w:color="auto" w:sz="4" w:space="0"/>
              <w:right w:val="single" w:color="auto" w:sz="4" w:space="0"/>
            </w:tcBorders>
            <w:noWrap w:val="0"/>
            <w:vAlign w:val="center"/>
          </w:tcPr>
          <w:p w14:paraId="4B0BCBB3">
            <w:pPr>
              <w:jc w:val="center"/>
              <w:rPr>
                <w:rFonts w:ascii="Calibri" w:hAnsi="Calibri" w:cs="宋体"/>
                <w:bCs/>
                <w:kern w:val="0"/>
                <w:sz w:val="24"/>
                <w:szCs w:val="24"/>
              </w:rPr>
            </w:pPr>
          </w:p>
        </w:tc>
        <w:tc>
          <w:tcPr>
            <w:tcW w:w="848" w:type="dxa"/>
            <w:tcBorders>
              <w:top w:val="nil"/>
              <w:left w:val="nil"/>
              <w:bottom w:val="single" w:color="auto" w:sz="4" w:space="0"/>
              <w:right w:val="single" w:color="auto" w:sz="4" w:space="0"/>
            </w:tcBorders>
            <w:noWrap w:val="0"/>
            <w:vAlign w:val="center"/>
          </w:tcPr>
          <w:p w14:paraId="24E8EA7C">
            <w:pPr>
              <w:jc w:val="center"/>
              <w:rPr>
                <w:rFonts w:ascii="Calibri" w:hAnsi="Calibri" w:cs="宋体"/>
                <w:bCs/>
                <w:kern w:val="0"/>
                <w:sz w:val="24"/>
                <w:szCs w:val="24"/>
              </w:rPr>
            </w:pPr>
          </w:p>
        </w:tc>
        <w:tc>
          <w:tcPr>
            <w:tcW w:w="405" w:type="dxa"/>
            <w:gridSpan w:val="2"/>
            <w:tcBorders>
              <w:top w:val="nil"/>
              <w:left w:val="nil"/>
              <w:bottom w:val="single" w:color="auto" w:sz="4" w:space="0"/>
              <w:right w:val="single" w:color="auto" w:sz="4" w:space="0"/>
            </w:tcBorders>
            <w:noWrap w:val="0"/>
            <w:vAlign w:val="center"/>
          </w:tcPr>
          <w:p w14:paraId="46D57C12">
            <w:pPr>
              <w:jc w:val="center"/>
              <w:rPr>
                <w:rFonts w:ascii="Calibri" w:hAnsi="Calibri" w:cs="宋体"/>
                <w:bCs/>
                <w:kern w:val="0"/>
                <w:sz w:val="24"/>
                <w:szCs w:val="24"/>
              </w:rPr>
            </w:pPr>
          </w:p>
        </w:tc>
      </w:tr>
      <w:tr w14:paraId="275BAE67">
        <w:tblPrEx>
          <w:tblCellMar>
            <w:top w:w="0" w:type="dxa"/>
            <w:left w:w="108" w:type="dxa"/>
            <w:bottom w:w="0" w:type="dxa"/>
            <w:right w:w="108" w:type="dxa"/>
          </w:tblCellMar>
        </w:tblPrEx>
        <w:trPr>
          <w:gridAfter w:val="1"/>
          <w:wAfter w:w="546" w:type="dxa"/>
          <w:trHeight w:val="308" w:hRule="atLeast"/>
        </w:trPr>
        <w:tc>
          <w:tcPr>
            <w:tcW w:w="479" w:type="dxa"/>
            <w:tcBorders>
              <w:top w:val="nil"/>
              <w:left w:val="single" w:color="auto" w:sz="4" w:space="0"/>
              <w:bottom w:val="single" w:color="auto" w:sz="4" w:space="0"/>
              <w:right w:val="single" w:color="auto" w:sz="4" w:space="0"/>
            </w:tcBorders>
            <w:noWrap w:val="0"/>
            <w:vAlign w:val="center"/>
          </w:tcPr>
          <w:p w14:paraId="13E0D7C8">
            <w:pPr>
              <w:jc w:val="center"/>
              <w:rPr>
                <w:rFonts w:ascii="Arial" w:hAnsi="Arial" w:cs="Arial"/>
                <w:bCs/>
                <w:kern w:val="0"/>
                <w:sz w:val="24"/>
                <w:szCs w:val="24"/>
              </w:rPr>
            </w:pPr>
          </w:p>
        </w:tc>
        <w:tc>
          <w:tcPr>
            <w:tcW w:w="1146" w:type="dxa"/>
            <w:tcBorders>
              <w:top w:val="nil"/>
              <w:left w:val="nil"/>
              <w:bottom w:val="single" w:color="auto" w:sz="4" w:space="0"/>
              <w:right w:val="single" w:color="auto" w:sz="4" w:space="0"/>
            </w:tcBorders>
            <w:noWrap w:val="0"/>
            <w:vAlign w:val="center"/>
          </w:tcPr>
          <w:p w14:paraId="20BB80B7">
            <w:pPr>
              <w:jc w:val="center"/>
              <w:rPr>
                <w:rFonts w:ascii="Arial" w:hAnsi="Arial" w:cs="Arial"/>
                <w:bCs/>
                <w:kern w:val="0"/>
                <w:sz w:val="24"/>
                <w:szCs w:val="24"/>
              </w:rPr>
            </w:pPr>
          </w:p>
        </w:tc>
        <w:tc>
          <w:tcPr>
            <w:tcW w:w="903" w:type="dxa"/>
            <w:tcBorders>
              <w:top w:val="nil"/>
              <w:left w:val="nil"/>
              <w:bottom w:val="single" w:color="auto" w:sz="4" w:space="0"/>
              <w:right w:val="single" w:color="auto" w:sz="4" w:space="0"/>
            </w:tcBorders>
            <w:noWrap w:val="0"/>
            <w:vAlign w:val="center"/>
          </w:tcPr>
          <w:p w14:paraId="61296C66">
            <w:pPr>
              <w:jc w:val="center"/>
              <w:rPr>
                <w:rFonts w:ascii="Calibri" w:hAnsi="Calibri" w:cs="宋体"/>
                <w:bCs/>
                <w:kern w:val="0"/>
                <w:sz w:val="24"/>
                <w:szCs w:val="24"/>
              </w:rPr>
            </w:pPr>
          </w:p>
        </w:tc>
        <w:tc>
          <w:tcPr>
            <w:tcW w:w="617" w:type="dxa"/>
            <w:tcBorders>
              <w:top w:val="nil"/>
              <w:left w:val="nil"/>
              <w:bottom w:val="single" w:color="auto" w:sz="4" w:space="0"/>
              <w:right w:val="single" w:color="auto" w:sz="4" w:space="0"/>
            </w:tcBorders>
            <w:noWrap w:val="0"/>
            <w:vAlign w:val="center"/>
          </w:tcPr>
          <w:p w14:paraId="23FF04E8">
            <w:pPr>
              <w:jc w:val="center"/>
              <w:rPr>
                <w:rFonts w:ascii="Calibri" w:hAnsi="Calibri" w:cs="宋体"/>
                <w:bCs/>
                <w:kern w:val="0"/>
                <w:sz w:val="24"/>
                <w:szCs w:val="24"/>
              </w:rPr>
            </w:pPr>
          </w:p>
        </w:tc>
        <w:tc>
          <w:tcPr>
            <w:tcW w:w="536" w:type="dxa"/>
            <w:tcBorders>
              <w:top w:val="nil"/>
              <w:left w:val="nil"/>
              <w:bottom w:val="single" w:color="auto" w:sz="4" w:space="0"/>
              <w:right w:val="single" w:color="auto" w:sz="4" w:space="0"/>
            </w:tcBorders>
            <w:noWrap w:val="0"/>
            <w:vAlign w:val="center"/>
          </w:tcPr>
          <w:p w14:paraId="5A1B8FDC">
            <w:pPr>
              <w:jc w:val="center"/>
              <w:rPr>
                <w:rFonts w:ascii="Calibri" w:hAnsi="Calibri" w:cs="宋体"/>
                <w:bCs/>
                <w:kern w:val="0"/>
                <w:sz w:val="24"/>
                <w:szCs w:val="24"/>
              </w:rPr>
            </w:pPr>
          </w:p>
        </w:tc>
        <w:tc>
          <w:tcPr>
            <w:tcW w:w="560" w:type="dxa"/>
            <w:tcBorders>
              <w:top w:val="nil"/>
              <w:left w:val="nil"/>
              <w:bottom w:val="single" w:color="auto" w:sz="4" w:space="0"/>
              <w:right w:val="single" w:color="auto" w:sz="4" w:space="0"/>
            </w:tcBorders>
            <w:noWrap w:val="0"/>
            <w:vAlign w:val="center"/>
          </w:tcPr>
          <w:p w14:paraId="76C31F8F">
            <w:pPr>
              <w:jc w:val="center"/>
              <w:rPr>
                <w:rFonts w:ascii="Calibri" w:hAnsi="Calibri" w:cs="宋体"/>
                <w:bCs/>
                <w:kern w:val="0"/>
                <w:sz w:val="24"/>
                <w:szCs w:val="24"/>
              </w:rPr>
            </w:pPr>
          </w:p>
        </w:tc>
        <w:tc>
          <w:tcPr>
            <w:tcW w:w="478" w:type="dxa"/>
            <w:tcBorders>
              <w:top w:val="nil"/>
              <w:left w:val="nil"/>
              <w:bottom w:val="single" w:color="auto" w:sz="4" w:space="0"/>
              <w:right w:val="single" w:color="auto" w:sz="4" w:space="0"/>
            </w:tcBorders>
            <w:noWrap w:val="0"/>
            <w:vAlign w:val="center"/>
          </w:tcPr>
          <w:p w14:paraId="5ED9EE16">
            <w:pPr>
              <w:jc w:val="center"/>
              <w:rPr>
                <w:rFonts w:ascii="Calibri" w:hAnsi="Calibri" w:cs="宋体"/>
                <w:bCs/>
                <w:kern w:val="0"/>
                <w:sz w:val="24"/>
                <w:szCs w:val="24"/>
              </w:rPr>
            </w:pPr>
          </w:p>
        </w:tc>
        <w:tc>
          <w:tcPr>
            <w:tcW w:w="512" w:type="dxa"/>
            <w:tcBorders>
              <w:top w:val="single" w:color="auto" w:sz="4" w:space="0"/>
              <w:left w:val="single" w:color="auto" w:sz="4" w:space="0"/>
              <w:bottom w:val="single" w:color="auto" w:sz="4" w:space="0"/>
              <w:right w:val="single" w:color="auto" w:sz="4" w:space="0"/>
            </w:tcBorders>
            <w:noWrap w:val="0"/>
            <w:vAlign w:val="center"/>
          </w:tcPr>
          <w:p w14:paraId="5E04D4DB">
            <w:pPr>
              <w:jc w:val="center"/>
              <w:rPr>
                <w:rFonts w:ascii="Calibri" w:hAnsi="Calibri" w:cs="宋体"/>
                <w:bCs/>
                <w:kern w:val="0"/>
                <w:sz w:val="24"/>
                <w:szCs w:val="24"/>
              </w:rPr>
            </w:pPr>
          </w:p>
        </w:tc>
        <w:tc>
          <w:tcPr>
            <w:tcW w:w="551" w:type="dxa"/>
            <w:tcBorders>
              <w:top w:val="single" w:color="auto" w:sz="4" w:space="0"/>
              <w:left w:val="single" w:color="auto" w:sz="4" w:space="0"/>
              <w:bottom w:val="single" w:color="auto" w:sz="4" w:space="0"/>
              <w:right w:val="single" w:color="auto" w:sz="4" w:space="0"/>
            </w:tcBorders>
            <w:noWrap w:val="0"/>
            <w:vAlign w:val="center"/>
          </w:tcPr>
          <w:p w14:paraId="2B58F0BF">
            <w:pPr>
              <w:jc w:val="center"/>
              <w:rPr>
                <w:rFonts w:ascii="Calibri" w:hAnsi="Calibri" w:cs="宋体"/>
                <w:bCs/>
                <w:kern w:val="0"/>
                <w:sz w:val="24"/>
                <w:szCs w:val="24"/>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1B202483">
            <w:pPr>
              <w:jc w:val="center"/>
              <w:rPr>
                <w:rFonts w:hint="eastAsia" w:ascii="宋体" w:hAnsi="宋体" w:cs="宋体"/>
                <w:bCs/>
                <w:kern w:val="0"/>
                <w:sz w:val="24"/>
                <w:szCs w:val="24"/>
              </w:rPr>
            </w:pPr>
          </w:p>
        </w:tc>
        <w:tc>
          <w:tcPr>
            <w:tcW w:w="649" w:type="dxa"/>
            <w:tcBorders>
              <w:top w:val="nil"/>
              <w:left w:val="nil"/>
              <w:bottom w:val="single" w:color="auto" w:sz="4" w:space="0"/>
              <w:right w:val="single" w:color="auto" w:sz="4" w:space="0"/>
            </w:tcBorders>
            <w:noWrap w:val="0"/>
            <w:vAlign w:val="center"/>
          </w:tcPr>
          <w:p w14:paraId="5AD76D31">
            <w:pPr>
              <w:jc w:val="center"/>
              <w:rPr>
                <w:rFonts w:ascii="Calibri" w:hAnsi="Calibri" w:cs="宋体"/>
                <w:bCs/>
                <w:kern w:val="0"/>
                <w:sz w:val="24"/>
                <w:szCs w:val="24"/>
              </w:rPr>
            </w:pPr>
          </w:p>
        </w:tc>
        <w:tc>
          <w:tcPr>
            <w:tcW w:w="820" w:type="dxa"/>
            <w:tcBorders>
              <w:top w:val="nil"/>
              <w:left w:val="nil"/>
              <w:bottom w:val="single" w:color="auto" w:sz="4" w:space="0"/>
              <w:right w:val="single" w:color="auto" w:sz="4" w:space="0"/>
            </w:tcBorders>
            <w:noWrap w:val="0"/>
            <w:vAlign w:val="center"/>
          </w:tcPr>
          <w:p w14:paraId="4020D85A">
            <w:pPr>
              <w:jc w:val="center"/>
              <w:rPr>
                <w:rFonts w:ascii="Calibri" w:hAnsi="Calibri" w:cs="宋体"/>
                <w:bCs/>
                <w:kern w:val="0"/>
                <w:sz w:val="24"/>
                <w:szCs w:val="24"/>
              </w:rPr>
            </w:pPr>
          </w:p>
        </w:tc>
        <w:tc>
          <w:tcPr>
            <w:tcW w:w="848" w:type="dxa"/>
            <w:tcBorders>
              <w:top w:val="nil"/>
              <w:left w:val="nil"/>
              <w:bottom w:val="single" w:color="auto" w:sz="4" w:space="0"/>
              <w:right w:val="single" w:color="auto" w:sz="4" w:space="0"/>
            </w:tcBorders>
            <w:noWrap w:val="0"/>
            <w:vAlign w:val="center"/>
          </w:tcPr>
          <w:p w14:paraId="3B3EAEB2">
            <w:pPr>
              <w:jc w:val="center"/>
              <w:rPr>
                <w:rFonts w:ascii="Calibri" w:hAnsi="Calibri" w:cs="宋体"/>
                <w:bCs/>
                <w:kern w:val="0"/>
                <w:sz w:val="24"/>
                <w:szCs w:val="24"/>
              </w:rPr>
            </w:pPr>
          </w:p>
        </w:tc>
        <w:tc>
          <w:tcPr>
            <w:tcW w:w="405" w:type="dxa"/>
            <w:gridSpan w:val="2"/>
            <w:tcBorders>
              <w:top w:val="nil"/>
              <w:left w:val="nil"/>
              <w:bottom w:val="single" w:color="auto" w:sz="4" w:space="0"/>
              <w:right w:val="single" w:color="auto" w:sz="4" w:space="0"/>
            </w:tcBorders>
            <w:noWrap w:val="0"/>
            <w:vAlign w:val="center"/>
          </w:tcPr>
          <w:p w14:paraId="070E598B">
            <w:pPr>
              <w:jc w:val="center"/>
              <w:rPr>
                <w:rFonts w:ascii="Calibri" w:hAnsi="Calibri" w:cs="宋体"/>
                <w:bCs/>
                <w:kern w:val="0"/>
                <w:sz w:val="24"/>
                <w:szCs w:val="24"/>
              </w:rPr>
            </w:pPr>
          </w:p>
        </w:tc>
      </w:tr>
      <w:tr w14:paraId="247E0CF6">
        <w:tblPrEx>
          <w:tblCellMar>
            <w:top w:w="0" w:type="dxa"/>
            <w:left w:w="108" w:type="dxa"/>
            <w:bottom w:w="0" w:type="dxa"/>
            <w:right w:w="108" w:type="dxa"/>
          </w:tblCellMar>
        </w:tblPrEx>
        <w:trPr>
          <w:gridAfter w:val="1"/>
          <w:wAfter w:w="546" w:type="dxa"/>
          <w:trHeight w:val="308" w:hRule="atLeast"/>
        </w:trPr>
        <w:tc>
          <w:tcPr>
            <w:tcW w:w="479" w:type="dxa"/>
            <w:tcBorders>
              <w:top w:val="nil"/>
              <w:left w:val="single" w:color="auto" w:sz="4" w:space="0"/>
              <w:bottom w:val="single" w:color="auto" w:sz="4" w:space="0"/>
              <w:right w:val="single" w:color="auto" w:sz="4" w:space="0"/>
            </w:tcBorders>
            <w:noWrap w:val="0"/>
            <w:vAlign w:val="center"/>
          </w:tcPr>
          <w:p w14:paraId="3D87C72B">
            <w:pPr>
              <w:jc w:val="center"/>
              <w:rPr>
                <w:rFonts w:ascii="Arial" w:hAnsi="Arial" w:cs="Arial"/>
                <w:bCs/>
                <w:kern w:val="0"/>
                <w:sz w:val="24"/>
                <w:szCs w:val="24"/>
              </w:rPr>
            </w:pPr>
          </w:p>
        </w:tc>
        <w:tc>
          <w:tcPr>
            <w:tcW w:w="1146" w:type="dxa"/>
            <w:tcBorders>
              <w:top w:val="nil"/>
              <w:left w:val="nil"/>
              <w:bottom w:val="single" w:color="auto" w:sz="4" w:space="0"/>
              <w:right w:val="single" w:color="auto" w:sz="4" w:space="0"/>
            </w:tcBorders>
            <w:noWrap w:val="0"/>
            <w:vAlign w:val="center"/>
          </w:tcPr>
          <w:p w14:paraId="36A90B87">
            <w:pPr>
              <w:jc w:val="center"/>
              <w:rPr>
                <w:rFonts w:ascii="Arial" w:hAnsi="Arial" w:cs="Arial"/>
                <w:bCs/>
                <w:kern w:val="0"/>
                <w:sz w:val="24"/>
                <w:szCs w:val="24"/>
              </w:rPr>
            </w:pPr>
          </w:p>
        </w:tc>
        <w:tc>
          <w:tcPr>
            <w:tcW w:w="903" w:type="dxa"/>
            <w:tcBorders>
              <w:top w:val="nil"/>
              <w:left w:val="nil"/>
              <w:bottom w:val="single" w:color="auto" w:sz="4" w:space="0"/>
              <w:right w:val="single" w:color="auto" w:sz="4" w:space="0"/>
            </w:tcBorders>
            <w:noWrap w:val="0"/>
            <w:vAlign w:val="center"/>
          </w:tcPr>
          <w:p w14:paraId="4A68D02C">
            <w:pPr>
              <w:jc w:val="center"/>
              <w:rPr>
                <w:rFonts w:ascii="Calibri" w:hAnsi="Calibri" w:cs="宋体"/>
                <w:bCs/>
                <w:kern w:val="0"/>
                <w:sz w:val="24"/>
                <w:szCs w:val="24"/>
              </w:rPr>
            </w:pPr>
          </w:p>
        </w:tc>
        <w:tc>
          <w:tcPr>
            <w:tcW w:w="617" w:type="dxa"/>
            <w:tcBorders>
              <w:top w:val="nil"/>
              <w:left w:val="nil"/>
              <w:bottom w:val="single" w:color="auto" w:sz="4" w:space="0"/>
              <w:right w:val="single" w:color="auto" w:sz="4" w:space="0"/>
            </w:tcBorders>
            <w:noWrap w:val="0"/>
            <w:vAlign w:val="center"/>
          </w:tcPr>
          <w:p w14:paraId="442765B5">
            <w:pPr>
              <w:jc w:val="center"/>
              <w:rPr>
                <w:rFonts w:ascii="Calibri" w:hAnsi="Calibri" w:cs="宋体"/>
                <w:bCs/>
                <w:kern w:val="0"/>
                <w:sz w:val="24"/>
                <w:szCs w:val="24"/>
              </w:rPr>
            </w:pPr>
          </w:p>
        </w:tc>
        <w:tc>
          <w:tcPr>
            <w:tcW w:w="536" w:type="dxa"/>
            <w:tcBorders>
              <w:top w:val="nil"/>
              <w:left w:val="nil"/>
              <w:bottom w:val="single" w:color="auto" w:sz="4" w:space="0"/>
              <w:right w:val="single" w:color="auto" w:sz="4" w:space="0"/>
            </w:tcBorders>
            <w:noWrap w:val="0"/>
            <w:vAlign w:val="center"/>
          </w:tcPr>
          <w:p w14:paraId="4851452C">
            <w:pPr>
              <w:jc w:val="center"/>
              <w:rPr>
                <w:rFonts w:ascii="Calibri" w:hAnsi="Calibri" w:cs="宋体"/>
                <w:bCs/>
                <w:kern w:val="0"/>
                <w:sz w:val="24"/>
                <w:szCs w:val="24"/>
              </w:rPr>
            </w:pPr>
          </w:p>
        </w:tc>
        <w:tc>
          <w:tcPr>
            <w:tcW w:w="560" w:type="dxa"/>
            <w:tcBorders>
              <w:top w:val="nil"/>
              <w:left w:val="nil"/>
              <w:bottom w:val="single" w:color="auto" w:sz="4" w:space="0"/>
              <w:right w:val="single" w:color="auto" w:sz="4" w:space="0"/>
            </w:tcBorders>
            <w:noWrap w:val="0"/>
            <w:vAlign w:val="center"/>
          </w:tcPr>
          <w:p w14:paraId="390A879E">
            <w:pPr>
              <w:jc w:val="center"/>
              <w:rPr>
                <w:rFonts w:ascii="Calibri" w:hAnsi="Calibri" w:cs="宋体"/>
                <w:bCs/>
                <w:kern w:val="0"/>
                <w:sz w:val="24"/>
                <w:szCs w:val="24"/>
              </w:rPr>
            </w:pPr>
          </w:p>
        </w:tc>
        <w:tc>
          <w:tcPr>
            <w:tcW w:w="478" w:type="dxa"/>
            <w:tcBorders>
              <w:top w:val="nil"/>
              <w:left w:val="nil"/>
              <w:bottom w:val="single" w:color="auto" w:sz="4" w:space="0"/>
              <w:right w:val="single" w:color="auto" w:sz="4" w:space="0"/>
            </w:tcBorders>
            <w:noWrap w:val="0"/>
            <w:vAlign w:val="center"/>
          </w:tcPr>
          <w:p w14:paraId="1C0ADACE">
            <w:pPr>
              <w:jc w:val="center"/>
              <w:rPr>
                <w:rFonts w:ascii="Calibri" w:hAnsi="Calibri" w:cs="宋体"/>
                <w:bCs/>
                <w:kern w:val="0"/>
                <w:sz w:val="24"/>
                <w:szCs w:val="24"/>
              </w:rPr>
            </w:pPr>
          </w:p>
        </w:tc>
        <w:tc>
          <w:tcPr>
            <w:tcW w:w="512" w:type="dxa"/>
            <w:tcBorders>
              <w:top w:val="single" w:color="auto" w:sz="4" w:space="0"/>
              <w:left w:val="single" w:color="auto" w:sz="4" w:space="0"/>
              <w:bottom w:val="single" w:color="auto" w:sz="4" w:space="0"/>
              <w:right w:val="single" w:color="auto" w:sz="4" w:space="0"/>
            </w:tcBorders>
            <w:noWrap w:val="0"/>
            <w:vAlign w:val="center"/>
          </w:tcPr>
          <w:p w14:paraId="3DB46334">
            <w:pPr>
              <w:jc w:val="center"/>
              <w:rPr>
                <w:rFonts w:ascii="Calibri" w:hAnsi="Calibri" w:cs="宋体"/>
                <w:bCs/>
                <w:kern w:val="0"/>
                <w:sz w:val="24"/>
                <w:szCs w:val="24"/>
              </w:rPr>
            </w:pPr>
          </w:p>
        </w:tc>
        <w:tc>
          <w:tcPr>
            <w:tcW w:w="551" w:type="dxa"/>
            <w:tcBorders>
              <w:top w:val="single" w:color="auto" w:sz="4" w:space="0"/>
              <w:left w:val="single" w:color="auto" w:sz="4" w:space="0"/>
              <w:bottom w:val="single" w:color="auto" w:sz="4" w:space="0"/>
              <w:right w:val="single" w:color="auto" w:sz="4" w:space="0"/>
            </w:tcBorders>
            <w:noWrap w:val="0"/>
            <w:vAlign w:val="center"/>
          </w:tcPr>
          <w:p w14:paraId="21886EFA">
            <w:pPr>
              <w:jc w:val="center"/>
              <w:rPr>
                <w:rFonts w:ascii="Calibri" w:hAnsi="Calibri" w:cs="宋体"/>
                <w:bCs/>
                <w:kern w:val="0"/>
                <w:sz w:val="24"/>
                <w:szCs w:val="24"/>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238F3420">
            <w:pPr>
              <w:jc w:val="center"/>
              <w:rPr>
                <w:rFonts w:hint="eastAsia" w:ascii="宋体" w:hAnsi="宋体" w:cs="宋体"/>
                <w:bCs/>
                <w:kern w:val="0"/>
                <w:sz w:val="24"/>
                <w:szCs w:val="24"/>
              </w:rPr>
            </w:pPr>
          </w:p>
        </w:tc>
        <w:tc>
          <w:tcPr>
            <w:tcW w:w="649" w:type="dxa"/>
            <w:tcBorders>
              <w:top w:val="nil"/>
              <w:left w:val="nil"/>
              <w:bottom w:val="single" w:color="auto" w:sz="4" w:space="0"/>
              <w:right w:val="single" w:color="auto" w:sz="4" w:space="0"/>
            </w:tcBorders>
            <w:noWrap w:val="0"/>
            <w:vAlign w:val="center"/>
          </w:tcPr>
          <w:p w14:paraId="3637481A">
            <w:pPr>
              <w:jc w:val="center"/>
              <w:rPr>
                <w:rFonts w:ascii="Calibri" w:hAnsi="Calibri" w:cs="宋体"/>
                <w:bCs/>
                <w:kern w:val="0"/>
                <w:sz w:val="24"/>
                <w:szCs w:val="24"/>
              </w:rPr>
            </w:pPr>
          </w:p>
        </w:tc>
        <w:tc>
          <w:tcPr>
            <w:tcW w:w="820" w:type="dxa"/>
            <w:tcBorders>
              <w:top w:val="nil"/>
              <w:left w:val="nil"/>
              <w:bottom w:val="single" w:color="auto" w:sz="4" w:space="0"/>
              <w:right w:val="single" w:color="auto" w:sz="4" w:space="0"/>
            </w:tcBorders>
            <w:noWrap w:val="0"/>
            <w:vAlign w:val="center"/>
          </w:tcPr>
          <w:p w14:paraId="7C31751B">
            <w:pPr>
              <w:jc w:val="center"/>
              <w:rPr>
                <w:rFonts w:ascii="Calibri" w:hAnsi="Calibri" w:cs="宋体"/>
                <w:bCs/>
                <w:kern w:val="0"/>
                <w:sz w:val="24"/>
                <w:szCs w:val="24"/>
              </w:rPr>
            </w:pPr>
          </w:p>
        </w:tc>
        <w:tc>
          <w:tcPr>
            <w:tcW w:w="848" w:type="dxa"/>
            <w:tcBorders>
              <w:top w:val="nil"/>
              <w:left w:val="nil"/>
              <w:bottom w:val="single" w:color="auto" w:sz="4" w:space="0"/>
              <w:right w:val="single" w:color="auto" w:sz="4" w:space="0"/>
            </w:tcBorders>
            <w:noWrap w:val="0"/>
            <w:vAlign w:val="center"/>
          </w:tcPr>
          <w:p w14:paraId="6621E95C">
            <w:pPr>
              <w:jc w:val="center"/>
              <w:rPr>
                <w:rFonts w:ascii="Calibri" w:hAnsi="Calibri" w:cs="宋体"/>
                <w:bCs/>
                <w:kern w:val="0"/>
                <w:sz w:val="24"/>
                <w:szCs w:val="24"/>
              </w:rPr>
            </w:pPr>
          </w:p>
        </w:tc>
        <w:tc>
          <w:tcPr>
            <w:tcW w:w="405" w:type="dxa"/>
            <w:gridSpan w:val="2"/>
            <w:tcBorders>
              <w:top w:val="nil"/>
              <w:left w:val="nil"/>
              <w:bottom w:val="single" w:color="auto" w:sz="4" w:space="0"/>
              <w:right w:val="single" w:color="auto" w:sz="4" w:space="0"/>
            </w:tcBorders>
            <w:noWrap w:val="0"/>
            <w:vAlign w:val="center"/>
          </w:tcPr>
          <w:p w14:paraId="0F093E8B">
            <w:pPr>
              <w:jc w:val="center"/>
              <w:rPr>
                <w:rFonts w:ascii="Calibri" w:hAnsi="Calibri" w:cs="宋体"/>
                <w:bCs/>
                <w:kern w:val="0"/>
                <w:sz w:val="24"/>
                <w:szCs w:val="24"/>
              </w:rPr>
            </w:pPr>
          </w:p>
        </w:tc>
      </w:tr>
      <w:tr w14:paraId="574C2732">
        <w:tblPrEx>
          <w:tblCellMar>
            <w:top w:w="0" w:type="dxa"/>
            <w:left w:w="108" w:type="dxa"/>
            <w:bottom w:w="0" w:type="dxa"/>
            <w:right w:w="108" w:type="dxa"/>
          </w:tblCellMar>
        </w:tblPrEx>
        <w:trPr>
          <w:gridAfter w:val="1"/>
          <w:wAfter w:w="546" w:type="dxa"/>
          <w:trHeight w:val="308" w:hRule="atLeast"/>
        </w:trPr>
        <w:tc>
          <w:tcPr>
            <w:tcW w:w="479" w:type="dxa"/>
            <w:tcBorders>
              <w:top w:val="nil"/>
              <w:left w:val="single" w:color="auto" w:sz="4" w:space="0"/>
              <w:bottom w:val="single" w:color="auto" w:sz="4" w:space="0"/>
              <w:right w:val="single" w:color="auto" w:sz="4" w:space="0"/>
            </w:tcBorders>
            <w:noWrap w:val="0"/>
            <w:vAlign w:val="center"/>
          </w:tcPr>
          <w:p w14:paraId="2A155870">
            <w:pPr>
              <w:jc w:val="center"/>
              <w:rPr>
                <w:rFonts w:ascii="Arial" w:hAnsi="Arial" w:cs="Arial"/>
                <w:bCs/>
                <w:kern w:val="0"/>
                <w:sz w:val="24"/>
                <w:szCs w:val="24"/>
              </w:rPr>
            </w:pPr>
          </w:p>
        </w:tc>
        <w:tc>
          <w:tcPr>
            <w:tcW w:w="1146" w:type="dxa"/>
            <w:tcBorders>
              <w:top w:val="nil"/>
              <w:left w:val="nil"/>
              <w:bottom w:val="single" w:color="auto" w:sz="4" w:space="0"/>
              <w:right w:val="single" w:color="auto" w:sz="4" w:space="0"/>
            </w:tcBorders>
            <w:noWrap w:val="0"/>
            <w:vAlign w:val="center"/>
          </w:tcPr>
          <w:p w14:paraId="4B9AA297">
            <w:pPr>
              <w:jc w:val="center"/>
              <w:rPr>
                <w:rFonts w:ascii="Arial" w:hAnsi="Arial" w:cs="Arial"/>
                <w:bCs/>
                <w:kern w:val="0"/>
                <w:sz w:val="24"/>
                <w:szCs w:val="24"/>
              </w:rPr>
            </w:pPr>
          </w:p>
        </w:tc>
        <w:tc>
          <w:tcPr>
            <w:tcW w:w="903" w:type="dxa"/>
            <w:tcBorders>
              <w:top w:val="nil"/>
              <w:left w:val="nil"/>
              <w:bottom w:val="single" w:color="auto" w:sz="4" w:space="0"/>
              <w:right w:val="single" w:color="auto" w:sz="4" w:space="0"/>
            </w:tcBorders>
            <w:noWrap w:val="0"/>
            <w:vAlign w:val="center"/>
          </w:tcPr>
          <w:p w14:paraId="010EF5ED">
            <w:pPr>
              <w:jc w:val="center"/>
              <w:rPr>
                <w:rFonts w:ascii="Calibri" w:hAnsi="Calibri" w:cs="宋体"/>
                <w:bCs/>
                <w:kern w:val="0"/>
                <w:sz w:val="24"/>
                <w:szCs w:val="24"/>
              </w:rPr>
            </w:pPr>
          </w:p>
        </w:tc>
        <w:tc>
          <w:tcPr>
            <w:tcW w:w="617" w:type="dxa"/>
            <w:tcBorders>
              <w:top w:val="nil"/>
              <w:left w:val="nil"/>
              <w:bottom w:val="single" w:color="auto" w:sz="4" w:space="0"/>
              <w:right w:val="single" w:color="auto" w:sz="4" w:space="0"/>
            </w:tcBorders>
            <w:noWrap w:val="0"/>
            <w:vAlign w:val="center"/>
          </w:tcPr>
          <w:p w14:paraId="6C978BC3">
            <w:pPr>
              <w:jc w:val="center"/>
              <w:rPr>
                <w:rFonts w:ascii="Calibri" w:hAnsi="Calibri" w:cs="宋体"/>
                <w:bCs/>
                <w:kern w:val="0"/>
                <w:sz w:val="24"/>
                <w:szCs w:val="24"/>
              </w:rPr>
            </w:pPr>
          </w:p>
        </w:tc>
        <w:tc>
          <w:tcPr>
            <w:tcW w:w="536" w:type="dxa"/>
            <w:tcBorders>
              <w:top w:val="nil"/>
              <w:left w:val="nil"/>
              <w:bottom w:val="single" w:color="auto" w:sz="4" w:space="0"/>
              <w:right w:val="single" w:color="auto" w:sz="4" w:space="0"/>
            </w:tcBorders>
            <w:noWrap w:val="0"/>
            <w:vAlign w:val="center"/>
          </w:tcPr>
          <w:p w14:paraId="51B3A1A0">
            <w:pPr>
              <w:jc w:val="center"/>
              <w:rPr>
                <w:rFonts w:ascii="Calibri" w:hAnsi="Calibri" w:cs="宋体"/>
                <w:bCs/>
                <w:kern w:val="0"/>
                <w:sz w:val="24"/>
                <w:szCs w:val="24"/>
              </w:rPr>
            </w:pPr>
          </w:p>
        </w:tc>
        <w:tc>
          <w:tcPr>
            <w:tcW w:w="560" w:type="dxa"/>
            <w:tcBorders>
              <w:top w:val="nil"/>
              <w:left w:val="nil"/>
              <w:bottom w:val="single" w:color="auto" w:sz="4" w:space="0"/>
              <w:right w:val="single" w:color="auto" w:sz="4" w:space="0"/>
            </w:tcBorders>
            <w:noWrap w:val="0"/>
            <w:vAlign w:val="center"/>
          </w:tcPr>
          <w:p w14:paraId="02A211DC">
            <w:pPr>
              <w:jc w:val="center"/>
              <w:rPr>
                <w:rFonts w:ascii="Calibri" w:hAnsi="Calibri" w:cs="宋体"/>
                <w:bCs/>
                <w:kern w:val="0"/>
                <w:sz w:val="24"/>
                <w:szCs w:val="24"/>
              </w:rPr>
            </w:pPr>
          </w:p>
        </w:tc>
        <w:tc>
          <w:tcPr>
            <w:tcW w:w="478" w:type="dxa"/>
            <w:tcBorders>
              <w:top w:val="nil"/>
              <w:left w:val="nil"/>
              <w:bottom w:val="single" w:color="auto" w:sz="4" w:space="0"/>
              <w:right w:val="single" w:color="auto" w:sz="4" w:space="0"/>
            </w:tcBorders>
            <w:noWrap w:val="0"/>
            <w:vAlign w:val="center"/>
          </w:tcPr>
          <w:p w14:paraId="47DB6929">
            <w:pPr>
              <w:jc w:val="center"/>
              <w:rPr>
                <w:rFonts w:ascii="Calibri" w:hAnsi="Calibri" w:cs="宋体"/>
                <w:bCs/>
                <w:kern w:val="0"/>
                <w:sz w:val="24"/>
                <w:szCs w:val="24"/>
              </w:rPr>
            </w:pPr>
          </w:p>
        </w:tc>
        <w:tc>
          <w:tcPr>
            <w:tcW w:w="512" w:type="dxa"/>
            <w:tcBorders>
              <w:top w:val="single" w:color="auto" w:sz="4" w:space="0"/>
              <w:left w:val="single" w:color="auto" w:sz="4" w:space="0"/>
              <w:bottom w:val="single" w:color="auto" w:sz="4" w:space="0"/>
              <w:right w:val="single" w:color="auto" w:sz="4" w:space="0"/>
            </w:tcBorders>
            <w:noWrap w:val="0"/>
            <w:vAlign w:val="center"/>
          </w:tcPr>
          <w:p w14:paraId="7FB5AC79">
            <w:pPr>
              <w:jc w:val="center"/>
              <w:rPr>
                <w:rFonts w:ascii="Calibri" w:hAnsi="Calibri" w:cs="宋体"/>
                <w:bCs/>
                <w:kern w:val="0"/>
                <w:sz w:val="24"/>
                <w:szCs w:val="24"/>
              </w:rPr>
            </w:pPr>
          </w:p>
        </w:tc>
        <w:tc>
          <w:tcPr>
            <w:tcW w:w="551" w:type="dxa"/>
            <w:tcBorders>
              <w:top w:val="single" w:color="auto" w:sz="4" w:space="0"/>
              <w:left w:val="single" w:color="auto" w:sz="4" w:space="0"/>
              <w:bottom w:val="single" w:color="auto" w:sz="4" w:space="0"/>
              <w:right w:val="single" w:color="auto" w:sz="4" w:space="0"/>
            </w:tcBorders>
            <w:noWrap w:val="0"/>
            <w:vAlign w:val="center"/>
          </w:tcPr>
          <w:p w14:paraId="0410B193">
            <w:pPr>
              <w:jc w:val="center"/>
              <w:rPr>
                <w:rFonts w:ascii="Calibri" w:hAnsi="Calibri" w:cs="宋体"/>
                <w:bCs/>
                <w:kern w:val="0"/>
                <w:sz w:val="24"/>
                <w:szCs w:val="24"/>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0FC2EC1F">
            <w:pPr>
              <w:jc w:val="center"/>
              <w:rPr>
                <w:rFonts w:hint="eastAsia" w:ascii="宋体" w:hAnsi="宋体" w:cs="宋体"/>
                <w:bCs/>
                <w:kern w:val="0"/>
                <w:sz w:val="24"/>
                <w:szCs w:val="24"/>
              </w:rPr>
            </w:pPr>
          </w:p>
        </w:tc>
        <w:tc>
          <w:tcPr>
            <w:tcW w:w="649" w:type="dxa"/>
            <w:tcBorders>
              <w:top w:val="nil"/>
              <w:left w:val="nil"/>
              <w:bottom w:val="single" w:color="auto" w:sz="4" w:space="0"/>
              <w:right w:val="single" w:color="auto" w:sz="4" w:space="0"/>
            </w:tcBorders>
            <w:noWrap w:val="0"/>
            <w:vAlign w:val="center"/>
          </w:tcPr>
          <w:p w14:paraId="7D64FD39">
            <w:pPr>
              <w:jc w:val="center"/>
              <w:rPr>
                <w:rFonts w:ascii="Calibri" w:hAnsi="Calibri" w:cs="宋体"/>
                <w:bCs/>
                <w:kern w:val="0"/>
                <w:sz w:val="24"/>
                <w:szCs w:val="24"/>
              </w:rPr>
            </w:pPr>
          </w:p>
        </w:tc>
        <w:tc>
          <w:tcPr>
            <w:tcW w:w="820" w:type="dxa"/>
            <w:tcBorders>
              <w:top w:val="nil"/>
              <w:left w:val="nil"/>
              <w:bottom w:val="single" w:color="auto" w:sz="4" w:space="0"/>
              <w:right w:val="single" w:color="auto" w:sz="4" w:space="0"/>
            </w:tcBorders>
            <w:noWrap w:val="0"/>
            <w:vAlign w:val="center"/>
          </w:tcPr>
          <w:p w14:paraId="59BCAD4B">
            <w:pPr>
              <w:jc w:val="center"/>
              <w:rPr>
                <w:rFonts w:ascii="Calibri" w:hAnsi="Calibri" w:cs="宋体"/>
                <w:bCs/>
                <w:kern w:val="0"/>
                <w:sz w:val="24"/>
                <w:szCs w:val="24"/>
              </w:rPr>
            </w:pPr>
          </w:p>
        </w:tc>
        <w:tc>
          <w:tcPr>
            <w:tcW w:w="848" w:type="dxa"/>
            <w:tcBorders>
              <w:top w:val="nil"/>
              <w:left w:val="nil"/>
              <w:bottom w:val="single" w:color="auto" w:sz="4" w:space="0"/>
              <w:right w:val="single" w:color="auto" w:sz="4" w:space="0"/>
            </w:tcBorders>
            <w:noWrap w:val="0"/>
            <w:vAlign w:val="center"/>
          </w:tcPr>
          <w:p w14:paraId="682A2C4C">
            <w:pPr>
              <w:jc w:val="center"/>
              <w:rPr>
                <w:rFonts w:ascii="Calibri" w:hAnsi="Calibri" w:cs="宋体"/>
                <w:bCs/>
                <w:kern w:val="0"/>
                <w:sz w:val="24"/>
                <w:szCs w:val="24"/>
              </w:rPr>
            </w:pPr>
          </w:p>
        </w:tc>
        <w:tc>
          <w:tcPr>
            <w:tcW w:w="405" w:type="dxa"/>
            <w:gridSpan w:val="2"/>
            <w:tcBorders>
              <w:top w:val="nil"/>
              <w:left w:val="nil"/>
              <w:bottom w:val="single" w:color="auto" w:sz="4" w:space="0"/>
              <w:right w:val="single" w:color="auto" w:sz="4" w:space="0"/>
            </w:tcBorders>
            <w:noWrap w:val="0"/>
            <w:vAlign w:val="center"/>
          </w:tcPr>
          <w:p w14:paraId="65E45E2B">
            <w:pPr>
              <w:jc w:val="center"/>
              <w:rPr>
                <w:rFonts w:ascii="Calibri" w:hAnsi="Calibri" w:cs="宋体"/>
                <w:bCs/>
                <w:kern w:val="0"/>
                <w:sz w:val="24"/>
                <w:szCs w:val="24"/>
              </w:rPr>
            </w:pPr>
          </w:p>
        </w:tc>
      </w:tr>
      <w:tr w14:paraId="1A820DB0">
        <w:tblPrEx>
          <w:tblCellMar>
            <w:top w:w="0" w:type="dxa"/>
            <w:left w:w="108" w:type="dxa"/>
            <w:bottom w:w="0" w:type="dxa"/>
            <w:right w:w="108" w:type="dxa"/>
          </w:tblCellMar>
        </w:tblPrEx>
        <w:trPr>
          <w:gridAfter w:val="1"/>
          <w:wAfter w:w="546" w:type="dxa"/>
          <w:trHeight w:val="308" w:hRule="atLeast"/>
        </w:trPr>
        <w:tc>
          <w:tcPr>
            <w:tcW w:w="479" w:type="dxa"/>
            <w:tcBorders>
              <w:top w:val="nil"/>
              <w:left w:val="single" w:color="auto" w:sz="4" w:space="0"/>
              <w:bottom w:val="single" w:color="auto" w:sz="4" w:space="0"/>
              <w:right w:val="single" w:color="auto" w:sz="4" w:space="0"/>
            </w:tcBorders>
            <w:noWrap w:val="0"/>
            <w:vAlign w:val="center"/>
          </w:tcPr>
          <w:p w14:paraId="2C3F6494">
            <w:pPr>
              <w:jc w:val="center"/>
              <w:rPr>
                <w:rFonts w:ascii="Arial" w:hAnsi="Arial" w:cs="Arial"/>
                <w:bCs/>
                <w:kern w:val="0"/>
                <w:sz w:val="24"/>
                <w:szCs w:val="24"/>
              </w:rPr>
            </w:pPr>
          </w:p>
        </w:tc>
        <w:tc>
          <w:tcPr>
            <w:tcW w:w="1146" w:type="dxa"/>
            <w:tcBorders>
              <w:top w:val="nil"/>
              <w:left w:val="nil"/>
              <w:bottom w:val="single" w:color="auto" w:sz="4" w:space="0"/>
              <w:right w:val="single" w:color="auto" w:sz="4" w:space="0"/>
            </w:tcBorders>
            <w:noWrap w:val="0"/>
            <w:vAlign w:val="center"/>
          </w:tcPr>
          <w:p w14:paraId="2933B033">
            <w:pPr>
              <w:jc w:val="center"/>
              <w:rPr>
                <w:rFonts w:ascii="Arial" w:hAnsi="Arial" w:cs="Arial"/>
                <w:bCs/>
                <w:kern w:val="0"/>
                <w:sz w:val="24"/>
                <w:szCs w:val="24"/>
              </w:rPr>
            </w:pPr>
          </w:p>
        </w:tc>
        <w:tc>
          <w:tcPr>
            <w:tcW w:w="903" w:type="dxa"/>
            <w:tcBorders>
              <w:top w:val="nil"/>
              <w:left w:val="nil"/>
              <w:bottom w:val="single" w:color="auto" w:sz="4" w:space="0"/>
              <w:right w:val="single" w:color="auto" w:sz="4" w:space="0"/>
            </w:tcBorders>
            <w:noWrap w:val="0"/>
            <w:vAlign w:val="center"/>
          </w:tcPr>
          <w:p w14:paraId="6E91233F">
            <w:pPr>
              <w:jc w:val="center"/>
              <w:rPr>
                <w:rFonts w:ascii="Calibri" w:hAnsi="Calibri" w:cs="宋体"/>
                <w:bCs/>
                <w:kern w:val="0"/>
                <w:sz w:val="24"/>
                <w:szCs w:val="24"/>
              </w:rPr>
            </w:pPr>
          </w:p>
        </w:tc>
        <w:tc>
          <w:tcPr>
            <w:tcW w:w="617" w:type="dxa"/>
            <w:tcBorders>
              <w:top w:val="nil"/>
              <w:left w:val="nil"/>
              <w:bottom w:val="single" w:color="auto" w:sz="4" w:space="0"/>
              <w:right w:val="single" w:color="auto" w:sz="4" w:space="0"/>
            </w:tcBorders>
            <w:noWrap w:val="0"/>
            <w:vAlign w:val="center"/>
          </w:tcPr>
          <w:p w14:paraId="5D661708">
            <w:pPr>
              <w:jc w:val="center"/>
              <w:rPr>
                <w:rFonts w:ascii="Calibri" w:hAnsi="Calibri" w:cs="宋体"/>
                <w:bCs/>
                <w:kern w:val="0"/>
                <w:sz w:val="24"/>
                <w:szCs w:val="24"/>
              </w:rPr>
            </w:pPr>
          </w:p>
        </w:tc>
        <w:tc>
          <w:tcPr>
            <w:tcW w:w="536" w:type="dxa"/>
            <w:tcBorders>
              <w:top w:val="nil"/>
              <w:left w:val="nil"/>
              <w:bottom w:val="single" w:color="auto" w:sz="4" w:space="0"/>
              <w:right w:val="single" w:color="auto" w:sz="4" w:space="0"/>
            </w:tcBorders>
            <w:noWrap w:val="0"/>
            <w:vAlign w:val="center"/>
          </w:tcPr>
          <w:p w14:paraId="26BE32C4">
            <w:pPr>
              <w:jc w:val="center"/>
              <w:rPr>
                <w:rFonts w:ascii="Calibri" w:hAnsi="Calibri" w:cs="宋体"/>
                <w:bCs/>
                <w:kern w:val="0"/>
                <w:sz w:val="24"/>
                <w:szCs w:val="24"/>
              </w:rPr>
            </w:pPr>
          </w:p>
        </w:tc>
        <w:tc>
          <w:tcPr>
            <w:tcW w:w="560" w:type="dxa"/>
            <w:tcBorders>
              <w:top w:val="nil"/>
              <w:left w:val="nil"/>
              <w:bottom w:val="single" w:color="auto" w:sz="4" w:space="0"/>
              <w:right w:val="single" w:color="auto" w:sz="4" w:space="0"/>
            </w:tcBorders>
            <w:noWrap w:val="0"/>
            <w:vAlign w:val="center"/>
          </w:tcPr>
          <w:p w14:paraId="4BBE0C8B">
            <w:pPr>
              <w:jc w:val="center"/>
              <w:rPr>
                <w:rFonts w:ascii="Calibri" w:hAnsi="Calibri" w:cs="宋体"/>
                <w:bCs/>
                <w:kern w:val="0"/>
                <w:sz w:val="24"/>
                <w:szCs w:val="24"/>
              </w:rPr>
            </w:pPr>
          </w:p>
        </w:tc>
        <w:tc>
          <w:tcPr>
            <w:tcW w:w="478" w:type="dxa"/>
            <w:tcBorders>
              <w:top w:val="nil"/>
              <w:left w:val="nil"/>
              <w:bottom w:val="single" w:color="auto" w:sz="4" w:space="0"/>
              <w:right w:val="single" w:color="auto" w:sz="4" w:space="0"/>
            </w:tcBorders>
            <w:noWrap w:val="0"/>
            <w:vAlign w:val="center"/>
          </w:tcPr>
          <w:p w14:paraId="5BB2EC2D">
            <w:pPr>
              <w:jc w:val="center"/>
              <w:rPr>
                <w:rFonts w:ascii="Calibri" w:hAnsi="Calibri" w:cs="宋体"/>
                <w:bCs/>
                <w:kern w:val="0"/>
                <w:sz w:val="24"/>
                <w:szCs w:val="24"/>
              </w:rPr>
            </w:pPr>
          </w:p>
        </w:tc>
        <w:tc>
          <w:tcPr>
            <w:tcW w:w="512" w:type="dxa"/>
            <w:tcBorders>
              <w:top w:val="single" w:color="auto" w:sz="4" w:space="0"/>
              <w:left w:val="single" w:color="auto" w:sz="4" w:space="0"/>
              <w:bottom w:val="single" w:color="auto" w:sz="4" w:space="0"/>
              <w:right w:val="single" w:color="auto" w:sz="4" w:space="0"/>
            </w:tcBorders>
            <w:noWrap w:val="0"/>
            <w:vAlign w:val="center"/>
          </w:tcPr>
          <w:p w14:paraId="695AD11D">
            <w:pPr>
              <w:jc w:val="center"/>
              <w:rPr>
                <w:rFonts w:ascii="Calibri" w:hAnsi="Calibri" w:cs="宋体"/>
                <w:bCs/>
                <w:kern w:val="0"/>
                <w:sz w:val="24"/>
                <w:szCs w:val="24"/>
              </w:rPr>
            </w:pPr>
          </w:p>
        </w:tc>
        <w:tc>
          <w:tcPr>
            <w:tcW w:w="551" w:type="dxa"/>
            <w:tcBorders>
              <w:top w:val="single" w:color="auto" w:sz="4" w:space="0"/>
              <w:left w:val="single" w:color="auto" w:sz="4" w:space="0"/>
              <w:bottom w:val="single" w:color="auto" w:sz="4" w:space="0"/>
              <w:right w:val="single" w:color="auto" w:sz="4" w:space="0"/>
            </w:tcBorders>
            <w:noWrap w:val="0"/>
            <w:vAlign w:val="center"/>
          </w:tcPr>
          <w:p w14:paraId="28793097">
            <w:pPr>
              <w:jc w:val="center"/>
              <w:rPr>
                <w:rFonts w:ascii="Calibri" w:hAnsi="Calibri" w:cs="宋体"/>
                <w:bCs/>
                <w:kern w:val="0"/>
                <w:sz w:val="24"/>
                <w:szCs w:val="24"/>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1E625694">
            <w:pPr>
              <w:jc w:val="center"/>
              <w:rPr>
                <w:rFonts w:hint="eastAsia" w:ascii="宋体" w:hAnsi="宋体" w:cs="宋体"/>
                <w:bCs/>
                <w:kern w:val="0"/>
                <w:sz w:val="24"/>
                <w:szCs w:val="24"/>
              </w:rPr>
            </w:pPr>
          </w:p>
        </w:tc>
        <w:tc>
          <w:tcPr>
            <w:tcW w:w="649" w:type="dxa"/>
            <w:tcBorders>
              <w:top w:val="nil"/>
              <w:left w:val="nil"/>
              <w:bottom w:val="single" w:color="auto" w:sz="4" w:space="0"/>
              <w:right w:val="single" w:color="auto" w:sz="4" w:space="0"/>
            </w:tcBorders>
            <w:noWrap w:val="0"/>
            <w:vAlign w:val="center"/>
          </w:tcPr>
          <w:p w14:paraId="76C6B17B">
            <w:pPr>
              <w:jc w:val="center"/>
              <w:rPr>
                <w:rFonts w:ascii="Calibri" w:hAnsi="Calibri" w:cs="宋体"/>
                <w:bCs/>
                <w:kern w:val="0"/>
                <w:sz w:val="24"/>
                <w:szCs w:val="24"/>
              </w:rPr>
            </w:pPr>
          </w:p>
        </w:tc>
        <w:tc>
          <w:tcPr>
            <w:tcW w:w="820" w:type="dxa"/>
            <w:tcBorders>
              <w:top w:val="nil"/>
              <w:left w:val="nil"/>
              <w:bottom w:val="single" w:color="auto" w:sz="4" w:space="0"/>
              <w:right w:val="single" w:color="auto" w:sz="4" w:space="0"/>
            </w:tcBorders>
            <w:noWrap w:val="0"/>
            <w:vAlign w:val="center"/>
          </w:tcPr>
          <w:p w14:paraId="018A24B3">
            <w:pPr>
              <w:jc w:val="center"/>
              <w:rPr>
                <w:rFonts w:ascii="Calibri" w:hAnsi="Calibri" w:cs="宋体"/>
                <w:bCs/>
                <w:kern w:val="0"/>
                <w:sz w:val="24"/>
                <w:szCs w:val="24"/>
              </w:rPr>
            </w:pPr>
          </w:p>
        </w:tc>
        <w:tc>
          <w:tcPr>
            <w:tcW w:w="848" w:type="dxa"/>
            <w:tcBorders>
              <w:top w:val="nil"/>
              <w:left w:val="nil"/>
              <w:bottom w:val="single" w:color="auto" w:sz="4" w:space="0"/>
              <w:right w:val="single" w:color="auto" w:sz="4" w:space="0"/>
            </w:tcBorders>
            <w:noWrap w:val="0"/>
            <w:vAlign w:val="center"/>
          </w:tcPr>
          <w:p w14:paraId="3935FA2A">
            <w:pPr>
              <w:jc w:val="center"/>
              <w:rPr>
                <w:rFonts w:ascii="Calibri" w:hAnsi="Calibri" w:cs="宋体"/>
                <w:bCs/>
                <w:kern w:val="0"/>
                <w:sz w:val="24"/>
                <w:szCs w:val="24"/>
              </w:rPr>
            </w:pPr>
          </w:p>
        </w:tc>
        <w:tc>
          <w:tcPr>
            <w:tcW w:w="405" w:type="dxa"/>
            <w:gridSpan w:val="2"/>
            <w:tcBorders>
              <w:top w:val="nil"/>
              <w:left w:val="nil"/>
              <w:bottom w:val="single" w:color="auto" w:sz="4" w:space="0"/>
              <w:right w:val="single" w:color="auto" w:sz="4" w:space="0"/>
            </w:tcBorders>
            <w:noWrap w:val="0"/>
            <w:vAlign w:val="center"/>
          </w:tcPr>
          <w:p w14:paraId="6F1A2286">
            <w:pPr>
              <w:jc w:val="center"/>
              <w:rPr>
                <w:rFonts w:ascii="Calibri" w:hAnsi="Calibri" w:cs="宋体"/>
                <w:bCs/>
                <w:kern w:val="0"/>
                <w:sz w:val="24"/>
                <w:szCs w:val="24"/>
              </w:rPr>
            </w:pPr>
          </w:p>
        </w:tc>
      </w:tr>
      <w:tr w14:paraId="0372E039">
        <w:tblPrEx>
          <w:tblCellMar>
            <w:top w:w="0" w:type="dxa"/>
            <w:left w:w="108" w:type="dxa"/>
            <w:bottom w:w="0" w:type="dxa"/>
            <w:right w:w="108" w:type="dxa"/>
          </w:tblCellMar>
        </w:tblPrEx>
        <w:trPr>
          <w:gridAfter w:val="1"/>
          <w:wAfter w:w="546" w:type="dxa"/>
          <w:trHeight w:val="308" w:hRule="atLeast"/>
        </w:trPr>
        <w:tc>
          <w:tcPr>
            <w:tcW w:w="479" w:type="dxa"/>
            <w:tcBorders>
              <w:top w:val="nil"/>
              <w:left w:val="single" w:color="auto" w:sz="4" w:space="0"/>
              <w:bottom w:val="single" w:color="auto" w:sz="4" w:space="0"/>
              <w:right w:val="single" w:color="auto" w:sz="4" w:space="0"/>
            </w:tcBorders>
            <w:noWrap w:val="0"/>
            <w:vAlign w:val="center"/>
          </w:tcPr>
          <w:p w14:paraId="64900575">
            <w:pPr>
              <w:jc w:val="center"/>
              <w:rPr>
                <w:rFonts w:ascii="Arial" w:hAnsi="Arial" w:cs="Arial"/>
                <w:bCs/>
                <w:kern w:val="0"/>
                <w:sz w:val="24"/>
                <w:szCs w:val="24"/>
              </w:rPr>
            </w:pPr>
          </w:p>
        </w:tc>
        <w:tc>
          <w:tcPr>
            <w:tcW w:w="1146" w:type="dxa"/>
            <w:tcBorders>
              <w:top w:val="nil"/>
              <w:left w:val="nil"/>
              <w:bottom w:val="single" w:color="auto" w:sz="4" w:space="0"/>
              <w:right w:val="single" w:color="auto" w:sz="4" w:space="0"/>
            </w:tcBorders>
            <w:noWrap w:val="0"/>
            <w:vAlign w:val="center"/>
          </w:tcPr>
          <w:p w14:paraId="2CEB9129">
            <w:pPr>
              <w:jc w:val="center"/>
              <w:rPr>
                <w:rFonts w:ascii="Arial" w:hAnsi="Arial" w:cs="Arial"/>
                <w:bCs/>
                <w:kern w:val="0"/>
                <w:sz w:val="24"/>
                <w:szCs w:val="24"/>
              </w:rPr>
            </w:pPr>
          </w:p>
        </w:tc>
        <w:tc>
          <w:tcPr>
            <w:tcW w:w="903" w:type="dxa"/>
            <w:tcBorders>
              <w:top w:val="nil"/>
              <w:left w:val="nil"/>
              <w:bottom w:val="single" w:color="auto" w:sz="4" w:space="0"/>
              <w:right w:val="single" w:color="auto" w:sz="4" w:space="0"/>
            </w:tcBorders>
            <w:noWrap w:val="0"/>
            <w:vAlign w:val="center"/>
          </w:tcPr>
          <w:p w14:paraId="0D9CB7B8">
            <w:pPr>
              <w:jc w:val="center"/>
              <w:rPr>
                <w:rFonts w:ascii="Calibri" w:hAnsi="Calibri" w:cs="宋体"/>
                <w:bCs/>
                <w:kern w:val="0"/>
                <w:sz w:val="24"/>
                <w:szCs w:val="24"/>
              </w:rPr>
            </w:pPr>
          </w:p>
        </w:tc>
        <w:tc>
          <w:tcPr>
            <w:tcW w:w="617" w:type="dxa"/>
            <w:tcBorders>
              <w:top w:val="nil"/>
              <w:left w:val="nil"/>
              <w:bottom w:val="single" w:color="auto" w:sz="4" w:space="0"/>
              <w:right w:val="single" w:color="auto" w:sz="4" w:space="0"/>
            </w:tcBorders>
            <w:noWrap w:val="0"/>
            <w:vAlign w:val="center"/>
          </w:tcPr>
          <w:p w14:paraId="6EC9F050">
            <w:pPr>
              <w:jc w:val="center"/>
              <w:rPr>
                <w:rFonts w:ascii="Calibri" w:hAnsi="Calibri" w:cs="宋体"/>
                <w:bCs/>
                <w:kern w:val="0"/>
                <w:sz w:val="24"/>
                <w:szCs w:val="24"/>
              </w:rPr>
            </w:pPr>
          </w:p>
        </w:tc>
        <w:tc>
          <w:tcPr>
            <w:tcW w:w="536" w:type="dxa"/>
            <w:tcBorders>
              <w:top w:val="nil"/>
              <w:left w:val="nil"/>
              <w:bottom w:val="single" w:color="auto" w:sz="4" w:space="0"/>
              <w:right w:val="single" w:color="auto" w:sz="4" w:space="0"/>
            </w:tcBorders>
            <w:noWrap w:val="0"/>
            <w:vAlign w:val="center"/>
          </w:tcPr>
          <w:p w14:paraId="036EDDC2">
            <w:pPr>
              <w:jc w:val="center"/>
              <w:rPr>
                <w:rFonts w:ascii="Calibri" w:hAnsi="Calibri" w:cs="宋体"/>
                <w:bCs/>
                <w:kern w:val="0"/>
                <w:sz w:val="24"/>
                <w:szCs w:val="24"/>
              </w:rPr>
            </w:pPr>
          </w:p>
        </w:tc>
        <w:tc>
          <w:tcPr>
            <w:tcW w:w="560" w:type="dxa"/>
            <w:tcBorders>
              <w:top w:val="nil"/>
              <w:left w:val="nil"/>
              <w:bottom w:val="single" w:color="auto" w:sz="4" w:space="0"/>
              <w:right w:val="single" w:color="auto" w:sz="4" w:space="0"/>
            </w:tcBorders>
            <w:noWrap w:val="0"/>
            <w:vAlign w:val="center"/>
          </w:tcPr>
          <w:p w14:paraId="577ED3E9">
            <w:pPr>
              <w:jc w:val="center"/>
              <w:rPr>
                <w:rFonts w:ascii="Calibri" w:hAnsi="Calibri" w:cs="宋体"/>
                <w:bCs/>
                <w:kern w:val="0"/>
                <w:sz w:val="24"/>
                <w:szCs w:val="24"/>
              </w:rPr>
            </w:pPr>
          </w:p>
        </w:tc>
        <w:tc>
          <w:tcPr>
            <w:tcW w:w="478" w:type="dxa"/>
            <w:tcBorders>
              <w:top w:val="nil"/>
              <w:left w:val="nil"/>
              <w:bottom w:val="single" w:color="auto" w:sz="4" w:space="0"/>
              <w:right w:val="single" w:color="auto" w:sz="4" w:space="0"/>
            </w:tcBorders>
            <w:noWrap w:val="0"/>
            <w:vAlign w:val="center"/>
          </w:tcPr>
          <w:p w14:paraId="431E5E02">
            <w:pPr>
              <w:jc w:val="center"/>
              <w:rPr>
                <w:rFonts w:ascii="Calibri" w:hAnsi="Calibri" w:cs="宋体"/>
                <w:bCs/>
                <w:kern w:val="0"/>
                <w:sz w:val="24"/>
                <w:szCs w:val="24"/>
              </w:rPr>
            </w:pPr>
          </w:p>
        </w:tc>
        <w:tc>
          <w:tcPr>
            <w:tcW w:w="512" w:type="dxa"/>
            <w:tcBorders>
              <w:top w:val="single" w:color="auto" w:sz="4" w:space="0"/>
              <w:left w:val="single" w:color="auto" w:sz="4" w:space="0"/>
              <w:bottom w:val="single" w:color="auto" w:sz="4" w:space="0"/>
              <w:right w:val="single" w:color="auto" w:sz="4" w:space="0"/>
            </w:tcBorders>
            <w:noWrap w:val="0"/>
            <w:vAlign w:val="center"/>
          </w:tcPr>
          <w:p w14:paraId="152BCD74">
            <w:pPr>
              <w:jc w:val="center"/>
              <w:rPr>
                <w:rFonts w:ascii="Calibri" w:hAnsi="Calibri" w:cs="宋体"/>
                <w:bCs/>
                <w:kern w:val="0"/>
                <w:sz w:val="24"/>
                <w:szCs w:val="24"/>
              </w:rPr>
            </w:pPr>
          </w:p>
        </w:tc>
        <w:tc>
          <w:tcPr>
            <w:tcW w:w="551" w:type="dxa"/>
            <w:tcBorders>
              <w:top w:val="single" w:color="auto" w:sz="4" w:space="0"/>
              <w:left w:val="single" w:color="auto" w:sz="4" w:space="0"/>
              <w:bottom w:val="single" w:color="auto" w:sz="4" w:space="0"/>
              <w:right w:val="single" w:color="auto" w:sz="4" w:space="0"/>
            </w:tcBorders>
            <w:noWrap w:val="0"/>
            <w:vAlign w:val="center"/>
          </w:tcPr>
          <w:p w14:paraId="4F26A09D">
            <w:pPr>
              <w:jc w:val="center"/>
              <w:rPr>
                <w:rFonts w:ascii="Calibri" w:hAnsi="Calibri" w:cs="宋体"/>
                <w:bCs/>
                <w:kern w:val="0"/>
                <w:sz w:val="24"/>
                <w:szCs w:val="24"/>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219588B9">
            <w:pPr>
              <w:jc w:val="center"/>
              <w:rPr>
                <w:rFonts w:hint="eastAsia" w:ascii="宋体" w:hAnsi="宋体" w:cs="宋体"/>
                <w:bCs/>
                <w:kern w:val="0"/>
                <w:sz w:val="24"/>
                <w:szCs w:val="24"/>
              </w:rPr>
            </w:pPr>
          </w:p>
        </w:tc>
        <w:tc>
          <w:tcPr>
            <w:tcW w:w="649" w:type="dxa"/>
            <w:tcBorders>
              <w:top w:val="nil"/>
              <w:left w:val="nil"/>
              <w:bottom w:val="single" w:color="auto" w:sz="4" w:space="0"/>
              <w:right w:val="single" w:color="auto" w:sz="4" w:space="0"/>
            </w:tcBorders>
            <w:noWrap w:val="0"/>
            <w:vAlign w:val="center"/>
          </w:tcPr>
          <w:p w14:paraId="4CD93A22">
            <w:pPr>
              <w:jc w:val="center"/>
              <w:rPr>
                <w:rFonts w:ascii="Calibri" w:hAnsi="Calibri" w:cs="宋体"/>
                <w:bCs/>
                <w:kern w:val="0"/>
                <w:sz w:val="24"/>
                <w:szCs w:val="24"/>
              </w:rPr>
            </w:pPr>
          </w:p>
        </w:tc>
        <w:tc>
          <w:tcPr>
            <w:tcW w:w="820" w:type="dxa"/>
            <w:tcBorders>
              <w:top w:val="nil"/>
              <w:left w:val="nil"/>
              <w:bottom w:val="single" w:color="auto" w:sz="4" w:space="0"/>
              <w:right w:val="single" w:color="auto" w:sz="4" w:space="0"/>
            </w:tcBorders>
            <w:noWrap w:val="0"/>
            <w:vAlign w:val="center"/>
          </w:tcPr>
          <w:p w14:paraId="3D92D9F8">
            <w:pPr>
              <w:jc w:val="center"/>
              <w:rPr>
                <w:rFonts w:ascii="Calibri" w:hAnsi="Calibri" w:cs="宋体"/>
                <w:bCs/>
                <w:kern w:val="0"/>
                <w:sz w:val="24"/>
                <w:szCs w:val="24"/>
              </w:rPr>
            </w:pPr>
          </w:p>
        </w:tc>
        <w:tc>
          <w:tcPr>
            <w:tcW w:w="848" w:type="dxa"/>
            <w:tcBorders>
              <w:top w:val="nil"/>
              <w:left w:val="nil"/>
              <w:bottom w:val="single" w:color="auto" w:sz="4" w:space="0"/>
              <w:right w:val="single" w:color="auto" w:sz="4" w:space="0"/>
            </w:tcBorders>
            <w:noWrap w:val="0"/>
            <w:vAlign w:val="center"/>
          </w:tcPr>
          <w:p w14:paraId="1C6E1620">
            <w:pPr>
              <w:jc w:val="center"/>
              <w:rPr>
                <w:rFonts w:ascii="Calibri" w:hAnsi="Calibri" w:cs="宋体"/>
                <w:bCs/>
                <w:kern w:val="0"/>
                <w:sz w:val="24"/>
                <w:szCs w:val="24"/>
              </w:rPr>
            </w:pPr>
          </w:p>
        </w:tc>
        <w:tc>
          <w:tcPr>
            <w:tcW w:w="405" w:type="dxa"/>
            <w:gridSpan w:val="2"/>
            <w:tcBorders>
              <w:top w:val="nil"/>
              <w:left w:val="nil"/>
              <w:bottom w:val="single" w:color="auto" w:sz="4" w:space="0"/>
              <w:right w:val="single" w:color="auto" w:sz="4" w:space="0"/>
            </w:tcBorders>
            <w:noWrap w:val="0"/>
            <w:vAlign w:val="center"/>
          </w:tcPr>
          <w:p w14:paraId="09FFBA7C">
            <w:pPr>
              <w:jc w:val="center"/>
              <w:rPr>
                <w:rFonts w:ascii="Calibri" w:hAnsi="Calibri" w:cs="宋体"/>
                <w:bCs/>
                <w:kern w:val="0"/>
                <w:sz w:val="24"/>
                <w:szCs w:val="24"/>
              </w:rPr>
            </w:pPr>
          </w:p>
        </w:tc>
      </w:tr>
      <w:tr w14:paraId="30A27156">
        <w:tblPrEx>
          <w:tblCellMar>
            <w:top w:w="0" w:type="dxa"/>
            <w:left w:w="108" w:type="dxa"/>
            <w:bottom w:w="0" w:type="dxa"/>
            <w:right w:w="108" w:type="dxa"/>
          </w:tblCellMar>
        </w:tblPrEx>
        <w:trPr>
          <w:gridAfter w:val="1"/>
          <w:wAfter w:w="546" w:type="dxa"/>
          <w:trHeight w:val="308" w:hRule="atLeast"/>
        </w:trPr>
        <w:tc>
          <w:tcPr>
            <w:tcW w:w="479" w:type="dxa"/>
            <w:tcBorders>
              <w:top w:val="nil"/>
              <w:left w:val="single" w:color="auto" w:sz="4" w:space="0"/>
              <w:bottom w:val="single" w:color="auto" w:sz="4" w:space="0"/>
              <w:right w:val="single" w:color="auto" w:sz="4" w:space="0"/>
            </w:tcBorders>
            <w:noWrap w:val="0"/>
            <w:vAlign w:val="center"/>
          </w:tcPr>
          <w:p w14:paraId="45C9EA69">
            <w:pPr>
              <w:jc w:val="center"/>
              <w:rPr>
                <w:rFonts w:ascii="Arial" w:hAnsi="Arial" w:cs="Arial"/>
                <w:bCs/>
                <w:kern w:val="0"/>
                <w:sz w:val="24"/>
                <w:szCs w:val="24"/>
              </w:rPr>
            </w:pPr>
          </w:p>
        </w:tc>
        <w:tc>
          <w:tcPr>
            <w:tcW w:w="1146" w:type="dxa"/>
            <w:tcBorders>
              <w:top w:val="nil"/>
              <w:left w:val="nil"/>
              <w:bottom w:val="single" w:color="auto" w:sz="4" w:space="0"/>
              <w:right w:val="single" w:color="auto" w:sz="4" w:space="0"/>
            </w:tcBorders>
            <w:noWrap w:val="0"/>
            <w:vAlign w:val="center"/>
          </w:tcPr>
          <w:p w14:paraId="373DE17F">
            <w:pPr>
              <w:jc w:val="center"/>
              <w:rPr>
                <w:rFonts w:ascii="Arial" w:hAnsi="Arial" w:cs="Arial"/>
                <w:bCs/>
                <w:kern w:val="0"/>
                <w:sz w:val="24"/>
                <w:szCs w:val="24"/>
              </w:rPr>
            </w:pPr>
          </w:p>
        </w:tc>
        <w:tc>
          <w:tcPr>
            <w:tcW w:w="903" w:type="dxa"/>
            <w:tcBorders>
              <w:top w:val="nil"/>
              <w:left w:val="nil"/>
              <w:bottom w:val="single" w:color="auto" w:sz="4" w:space="0"/>
              <w:right w:val="single" w:color="auto" w:sz="4" w:space="0"/>
            </w:tcBorders>
            <w:noWrap w:val="0"/>
            <w:vAlign w:val="center"/>
          </w:tcPr>
          <w:p w14:paraId="31841B20">
            <w:pPr>
              <w:jc w:val="center"/>
              <w:rPr>
                <w:rFonts w:ascii="Calibri" w:hAnsi="Calibri" w:cs="宋体"/>
                <w:bCs/>
                <w:kern w:val="0"/>
                <w:sz w:val="24"/>
                <w:szCs w:val="24"/>
              </w:rPr>
            </w:pPr>
          </w:p>
        </w:tc>
        <w:tc>
          <w:tcPr>
            <w:tcW w:w="617" w:type="dxa"/>
            <w:tcBorders>
              <w:top w:val="nil"/>
              <w:left w:val="nil"/>
              <w:bottom w:val="single" w:color="auto" w:sz="4" w:space="0"/>
              <w:right w:val="single" w:color="auto" w:sz="4" w:space="0"/>
            </w:tcBorders>
            <w:noWrap w:val="0"/>
            <w:vAlign w:val="center"/>
          </w:tcPr>
          <w:p w14:paraId="33FA49BD">
            <w:pPr>
              <w:jc w:val="center"/>
              <w:rPr>
                <w:rFonts w:ascii="Calibri" w:hAnsi="Calibri" w:cs="宋体"/>
                <w:bCs/>
                <w:kern w:val="0"/>
                <w:sz w:val="24"/>
                <w:szCs w:val="24"/>
              </w:rPr>
            </w:pPr>
          </w:p>
        </w:tc>
        <w:tc>
          <w:tcPr>
            <w:tcW w:w="536" w:type="dxa"/>
            <w:tcBorders>
              <w:top w:val="nil"/>
              <w:left w:val="nil"/>
              <w:bottom w:val="single" w:color="auto" w:sz="4" w:space="0"/>
              <w:right w:val="single" w:color="auto" w:sz="4" w:space="0"/>
            </w:tcBorders>
            <w:noWrap w:val="0"/>
            <w:vAlign w:val="center"/>
          </w:tcPr>
          <w:p w14:paraId="040AD853">
            <w:pPr>
              <w:jc w:val="center"/>
              <w:rPr>
                <w:rFonts w:ascii="Calibri" w:hAnsi="Calibri" w:cs="宋体"/>
                <w:bCs/>
                <w:kern w:val="0"/>
                <w:sz w:val="24"/>
                <w:szCs w:val="24"/>
              </w:rPr>
            </w:pPr>
          </w:p>
        </w:tc>
        <w:tc>
          <w:tcPr>
            <w:tcW w:w="560" w:type="dxa"/>
            <w:tcBorders>
              <w:top w:val="nil"/>
              <w:left w:val="nil"/>
              <w:bottom w:val="single" w:color="auto" w:sz="4" w:space="0"/>
              <w:right w:val="single" w:color="auto" w:sz="4" w:space="0"/>
            </w:tcBorders>
            <w:noWrap w:val="0"/>
            <w:vAlign w:val="center"/>
          </w:tcPr>
          <w:p w14:paraId="64E61ABC">
            <w:pPr>
              <w:jc w:val="center"/>
              <w:rPr>
                <w:rFonts w:ascii="Calibri" w:hAnsi="Calibri" w:cs="宋体"/>
                <w:bCs/>
                <w:kern w:val="0"/>
                <w:sz w:val="24"/>
                <w:szCs w:val="24"/>
              </w:rPr>
            </w:pPr>
          </w:p>
        </w:tc>
        <w:tc>
          <w:tcPr>
            <w:tcW w:w="478" w:type="dxa"/>
            <w:tcBorders>
              <w:top w:val="nil"/>
              <w:left w:val="nil"/>
              <w:bottom w:val="single" w:color="auto" w:sz="4" w:space="0"/>
              <w:right w:val="single" w:color="auto" w:sz="4" w:space="0"/>
            </w:tcBorders>
            <w:noWrap w:val="0"/>
            <w:vAlign w:val="center"/>
          </w:tcPr>
          <w:p w14:paraId="4868B41D">
            <w:pPr>
              <w:jc w:val="center"/>
              <w:rPr>
                <w:rFonts w:ascii="Calibri" w:hAnsi="Calibri" w:cs="宋体"/>
                <w:bCs/>
                <w:kern w:val="0"/>
                <w:sz w:val="24"/>
                <w:szCs w:val="24"/>
              </w:rPr>
            </w:pPr>
          </w:p>
        </w:tc>
        <w:tc>
          <w:tcPr>
            <w:tcW w:w="512" w:type="dxa"/>
            <w:tcBorders>
              <w:top w:val="single" w:color="auto" w:sz="4" w:space="0"/>
              <w:left w:val="single" w:color="auto" w:sz="4" w:space="0"/>
              <w:bottom w:val="single" w:color="auto" w:sz="4" w:space="0"/>
              <w:right w:val="single" w:color="auto" w:sz="4" w:space="0"/>
            </w:tcBorders>
            <w:noWrap w:val="0"/>
            <w:vAlign w:val="center"/>
          </w:tcPr>
          <w:p w14:paraId="6B76145E">
            <w:pPr>
              <w:jc w:val="center"/>
              <w:rPr>
                <w:rFonts w:ascii="Calibri" w:hAnsi="Calibri" w:cs="宋体"/>
                <w:bCs/>
                <w:kern w:val="0"/>
                <w:sz w:val="24"/>
                <w:szCs w:val="24"/>
              </w:rPr>
            </w:pPr>
          </w:p>
        </w:tc>
        <w:tc>
          <w:tcPr>
            <w:tcW w:w="551" w:type="dxa"/>
            <w:tcBorders>
              <w:top w:val="single" w:color="auto" w:sz="4" w:space="0"/>
              <w:left w:val="single" w:color="auto" w:sz="4" w:space="0"/>
              <w:bottom w:val="single" w:color="auto" w:sz="4" w:space="0"/>
              <w:right w:val="single" w:color="auto" w:sz="4" w:space="0"/>
            </w:tcBorders>
            <w:noWrap w:val="0"/>
            <w:vAlign w:val="center"/>
          </w:tcPr>
          <w:p w14:paraId="75FD8A38">
            <w:pPr>
              <w:jc w:val="center"/>
              <w:rPr>
                <w:rFonts w:ascii="Calibri" w:hAnsi="Calibri" w:cs="宋体"/>
                <w:bCs/>
                <w:kern w:val="0"/>
                <w:sz w:val="24"/>
                <w:szCs w:val="24"/>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4E5C2A89">
            <w:pPr>
              <w:jc w:val="center"/>
              <w:rPr>
                <w:rFonts w:hint="eastAsia" w:ascii="宋体" w:hAnsi="宋体" w:cs="宋体"/>
                <w:bCs/>
                <w:kern w:val="0"/>
                <w:sz w:val="24"/>
                <w:szCs w:val="24"/>
              </w:rPr>
            </w:pPr>
          </w:p>
        </w:tc>
        <w:tc>
          <w:tcPr>
            <w:tcW w:w="649" w:type="dxa"/>
            <w:tcBorders>
              <w:top w:val="nil"/>
              <w:left w:val="nil"/>
              <w:bottom w:val="single" w:color="auto" w:sz="4" w:space="0"/>
              <w:right w:val="single" w:color="auto" w:sz="4" w:space="0"/>
            </w:tcBorders>
            <w:noWrap w:val="0"/>
            <w:vAlign w:val="center"/>
          </w:tcPr>
          <w:p w14:paraId="7B6C20AA">
            <w:pPr>
              <w:jc w:val="center"/>
              <w:rPr>
                <w:rFonts w:ascii="Calibri" w:hAnsi="Calibri" w:cs="宋体"/>
                <w:bCs/>
                <w:kern w:val="0"/>
                <w:sz w:val="24"/>
                <w:szCs w:val="24"/>
              </w:rPr>
            </w:pPr>
          </w:p>
        </w:tc>
        <w:tc>
          <w:tcPr>
            <w:tcW w:w="820" w:type="dxa"/>
            <w:tcBorders>
              <w:top w:val="nil"/>
              <w:left w:val="nil"/>
              <w:bottom w:val="single" w:color="auto" w:sz="4" w:space="0"/>
              <w:right w:val="single" w:color="auto" w:sz="4" w:space="0"/>
            </w:tcBorders>
            <w:noWrap w:val="0"/>
            <w:vAlign w:val="center"/>
          </w:tcPr>
          <w:p w14:paraId="385D0AF6">
            <w:pPr>
              <w:jc w:val="center"/>
              <w:rPr>
                <w:rFonts w:ascii="Calibri" w:hAnsi="Calibri" w:cs="宋体"/>
                <w:bCs/>
                <w:kern w:val="0"/>
                <w:sz w:val="24"/>
                <w:szCs w:val="24"/>
              </w:rPr>
            </w:pPr>
          </w:p>
        </w:tc>
        <w:tc>
          <w:tcPr>
            <w:tcW w:w="848" w:type="dxa"/>
            <w:tcBorders>
              <w:top w:val="nil"/>
              <w:left w:val="nil"/>
              <w:bottom w:val="single" w:color="auto" w:sz="4" w:space="0"/>
              <w:right w:val="single" w:color="auto" w:sz="4" w:space="0"/>
            </w:tcBorders>
            <w:noWrap w:val="0"/>
            <w:vAlign w:val="center"/>
          </w:tcPr>
          <w:p w14:paraId="4749CF8A">
            <w:pPr>
              <w:jc w:val="center"/>
              <w:rPr>
                <w:rFonts w:ascii="Calibri" w:hAnsi="Calibri" w:cs="宋体"/>
                <w:bCs/>
                <w:kern w:val="0"/>
                <w:sz w:val="24"/>
                <w:szCs w:val="24"/>
              </w:rPr>
            </w:pPr>
          </w:p>
        </w:tc>
        <w:tc>
          <w:tcPr>
            <w:tcW w:w="405" w:type="dxa"/>
            <w:gridSpan w:val="2"/>
            <w:tcBorders>
              <w:top w:val="nil"/>
              <w:left w:val="nil"/>
              <w:bottom w:val="single" w:color="auto" w:sz="4" w:space="0"/>
              <w:right w:val="single" w:color="auto" w:sz="4" w:space="0"/>
            </w:tcBorders>
            <w:noWrap w:val="0"/>
            <w:vAlign w:val="center"/>
          </w:tcPr>
          <w:p w14:paraId="130B22B4">
            <w:pPr>
              <w:jc w:val="center"/>
              <w:rPr>
                <w:rFonts w:ascii="Calibri" w:hAnsi="Calibri" w:cs="宋体"/>
                <w:bCs/>
                <w:kern w:val="0"/>
                <w:sz w:val="24"/>
                <w:szCs w:val="24"/>
              </w:rPr>
            </w:pPr>
          </w:p>
        </w:tc>
      </w:tr>
      <w:tr w14:paraId="4DC9E1A5">
        <w:tblPrEx>
          <w:tblCellMar>
            <w:top w:w="0" w:type="dxa"/>
            <w:left w:w="108" w:type="dxa"/>
            <w:bottom w:w="0" w:type="dxa"/>
            <w:right w:w="108" w:type="dxa"/>
          </w:tblCellMar>
        </w:tblPrEx>
        <w:trPr>
          <w:gridAfter w:val="1"/>
          <w:wAfter w:w="546" w:type="dxa"/>
          <w:trHeight w:val="308" w:hRule="atLeast"/>
        </w:trPr>
        <w:tc>
          <w:tcPr>
            <w:tcW w:w="479" w:type="dxa"/>
            <w:tcBorders>
              <w:top w:val="nil"/>
              <w:left w:val="single" w:color="auto" w:sz="4" w:space="0"/>
              <w:bottom w:val="single" w:color="auto" w:sz="4" w:space="0"/>
              <w:right w:val="single" w:color="auto" w:sz="4" w:space="0"/>
            </w:tcBorders>
            <w:noWrap w:val="0"/>
            <w:vAlign w:val="center"/>
          </w:tcPr>
          <w:p w14:paraId="4D734C5C">
            <w:pPr>
              <w:jc w:val="center"/>
              <w:rPr>
                <w:rFonts w:ascii="Arial" w:hAnsi="Arial" w:cs="Arial"/>
                <w:bCs/>
                <w:kern w:val="0"/>
                <w:sz w:val="24"/>
                <w:szCs w:val="24"/>
              </w:rPr>
            </w:pPr>
          </w:p>
        </w:tc>
        <w:tc>
          <w:tcPr>
            <w:tcW w:w="1146" w:type="dxa"/>
            <w:tcBorders>
              <w:top w:val="nil"/>
              <w:left w:val="nil"/>
              <w:bottom w:val="single" w:color="auto" w:sz="4" w:space="0"/>
              <w:right w:val="single" w:color="auto" w:sz="4" w:space="0"/>
            </w:tcBorders>
            <w:noWrap w:val="0"/>
            <w:vAlign w:val="center"/>
          </w:tcPr>
          <w:p w14:paraId="1365F525">
            <w:pPr>
              <w:jc w:val="center"/>
              <w:rPr>
                <w:rFonts w:ascii="Arial" w:hAnsi="Arial" w:cs="Arial"/>
                <w:bCs/>
                <w:kern w:val="0"/>
                <w:sz w:val="24"/>
                <w:szCs w:val="24"/>
              </w:rPr>
            </w:pPr>
          </w:p>
        </w:tc>
        <w:tc>
          <w:tcPr>
            <w:tcW w:w="903" w:type="dxa"/>
            <w:tcBorders>
              <w:top w:val="nil"/>
              <w:left w:val="nil"/>
              <w:bottom w:val="single" w:color="auto" w:sz="4" w:space="0"/>
              <w:right w:val="single" w:color="auto" w:sz="4" w:space="0"/>
            </w:tcBorders>
            <w:noWrap w:val="0"/>
            <w:vAlign w:val="center"/>
          </w:tcPr>
          <w:p w14:paraId="6C57738A">
            <w:pPr>
              <w:jc w:val="center"/>
              <w:rPr>
                <w:rFonts w:ascii="Calibri" w:hAnsi="Calibri" w:cs="宋体"/>
                <w:bCs/>
                <w:kern w:val="0"/>
                <w:sz w:val="24"/>
                <w:szCs w:val="24"/>
              </w:rPr>
            </w:pPr>
          </w:p>
        </w:tc>
        <w:tc>
          <w:tcPr>
            <w:tcW w:w="617" w:type="dxa"/>
            <w:tcBorders>
              <w:top w:val="nil"/>
              <w:left w:val="nil"/>
              <w:bottom w:val="single" w:color="auto" w:sz="4" w:space="0"/>
              <w:right w:val="single" w:color="auto" w:sz="4" w:space="0"/>
            </w:tcBorders>
            <w:noWrap w:val="0"/>
            <w:vAlign w:val="center"/>
          </w:tcPr>
          <w:p w14:paraId="5533FCFD">
            <w:pPr>
              <w:jc w:val="center"/>
              <w:rPr>
                <w:rFonts w:ascii="Calibri" w:hAnsi="Calibri" w:cs="宋体"/>
                <w:bCs/>
                <w:kern w:val="0"/>
                <w:sz w:val="24"/>
                <w:szCs w:val="24"/>
              </w:rPr>
            </w:pPr>
          </w:p>
        </w:tc>
        <w:tc>
          <w:tcPr>
            <w:tcW w:w="536" w:type="dxa"/>
            <w:tcBorders>
              <w:top w:val="nil"/>
              <w:left w:val="nil"/>
              <w:bottom w:val="single" w:color="auto" w:sz="4" w:space="0"/>
              <w:right w:val="single" w:color="auto" w:sz="4" w:space="0"/>
            </w:tcBorders>
            <w:noWrap w:val="0"/>
            <w:vAlign w:val="center"/>
          </w:tcPr>
          <w:p w14:paraId="77D5EADB">
            <w:pPr>
              <w:jc w:val="center"/>
              <w:rPr>
                <w:rFonts w:ascii="Calibri" w:hAnsi="Calibri" w:cs="宋体"/>
                <w:bCs/>
                <w:kern w:val="0"/>
                <w:sz w:val="24"/>
                <w:szCs w:val="24"/>
              </w:rPr>
            </w:pPr>
          </w:p>
        </w:tc>
        <w:tc>
          <w:tcPr>
            <w:tcW w:w="560" w:type="dxa"/>
            <w:tcBorders>
              <w:top w:val="nil"/>
              <w:left w:val="nil"/>
              <w:bottom w:val="single" w:color="auto" w:sz="4" w:space="0"/>
              <w:right w:val="single" w:color="auto" w:sz="4" w:space="0"/>
            </w:tcBorders>
            <w:noWrap w:val="0"/>
            <w:vAlign w:val="center"/>
          </w:tcPr>
          <w:p w14:paraId="28D4F7FA">
            <w:pPr>
              <w:jc w:val="center"/>
              <w:rPr>
                <w:rFonts w:ascii="Calibri" w:hAnsi="Calibri" w:cs="宋体"/>
                <w:bCs/>
                <w:kern w:val="0"/>
                <w:sz w:val="24"/>
                <w:szCs w:val="24"/>
              </w:rPr>
            </w:pPr>
          </w:p>
        </w:tc>
        <w:tc>
          <w:tcPr>
            <w:tcW w:w="478" w:type="dxa"/>
            <w:tcBorders>
              <w:top w:val="nil"/>
              <w:left w:val="nil"/>
              <w:bottom w:val="single" w:color="auto" w:sz="4" w:space="0"/>
              <w:right w:val="single" w:color="auto" w:sz="4" w:space="0"/>
            </w:tcBorders>
            <w:noWrap w:val="0"/>
            <w:vAlign w:val="center"/>
          </w:tcPr>
          <w:p w14:paraId="6BCB99CE">
            <w:pPr>
              <w:jc w:val="center"/>
              <w:rPr>
                <w:rFonts w:ascii="Calibri" w:hAnsi="Calibri" w:cs="宋体"/>
                <w:bCs/>
                <w:kern w:val="0"/>
                <w:sz w:val="24"/>
                <w:szCs w:val="24"/>
              </w:rPr>
            </w:pPr>
          </w:p>
        </w:tc>
        <w:tc>
          <w:tcPr>
            <w:tcW w:w="512" w:type="dxa"/>
            <w:tcBorders>
              <w:top w:val="single" w:color="auto" w:sz="4" w:space="0"/>
              <w:left w:val="single" w:color="auto" w:sz="4" w:space="0"/>
              <w:bottom w:val="single" w:color="auto" w:sz="4" w:space="0"/>
              <w:right w:val="single" w:color="auto" w:sz="4" w:space="0"/>
            </w:tcBorders>
            <w:noWrap w:val="0"/>
            <w:vAlign w:val="center"/>
          </w:tcPr>
          <w:p w14:paraId="74907140">
            <w:pPr>
              <w:jc w:val="center"/>
              <w:rPr>
                <w:rFonts w:ascii="Calibri" w:hAnsi="Calibri" w:cs="宋体"/>
                <w:bCs/>
                <w:kern w:val="0"/>
                <w:sz w:val="24"/>
                <w:szCs w:val="24"/>
              </w:rPr>
            </w:pPr>
          </w:p>
        </w:tc>
        <w:tc>
          <w:tcPr>
            <w:tcW w:w="551" w:type="dxa"/>
            <w:tcBorders>
              <w:top w:val="single" w:color="auto" w:sz="4" w:space="0"/>
              <w:left w:val="single" w:color="auto" w:sz="4" w:space="0"/>
              <w:bottom w:val="single" w:color="auto" w:sz="4" w:space="0"/>
              <w:right w:val="single" w:color="auto" w:sz="4" w:space="0"/>
            </w:tcBorders>
            <w:noWrap w:val="0"/>
            <w:vAlign w:val="center"/>
          </w:tcPr>
          <w:p w14:paraId="07D9486B">
            <w:pPr>
              <w:jc w:val="center"/>
              <w:rPr>
                <w:rFonts w:ascii="Calibri" w:hAnsi="Calibri" w:cs="宋体"/>
                <w:bCs/>
                <w:kern w:val="0"/>
                <w:sz w:val="24"/>
                <w:szCs w:val="24"/>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3B366347">
            <w:pPr>
              <w:jc w:val="center"/>
              <w:rPr>
                <w:rFonts w:hint="eastAsia" w:ascii="宋体" w:hAnsi="宋体" w:cs="宋体"/>
                <w:bCs/>
                <w:kern w:val="0"/>
                <w:sz w:val="24"/>
                <w:szCs w:val="24"/>
              </w:rPr>
            </w:pPr>
          </w:p>
        </w:tc>
        <w:tc>
          <w:tcPr>
            <w:tcW w:w="649" w:type="dxa"/>
            <w:tcBorders>
              <w:top w:val="nil"/>
              <w:left w:val="nil"/>
              <w:bottom w:val="single" w:color="auto" w:sz="4" w:space="0"/>
              <w:right w:val="single" w:color="auto" w:sz="4" w:space="0"/>
            </w:tcBorders>
            <w:noWrap w:val="0"/>
            <w:vAlign w:val="center"/>
          </w:tcPr>
          <w:p w14:paraId="7CECBCB2">
            <w:pPr>
              <w:jc w:val="center"/>
              <w:rPr>
                <w:rFonts w:ascii="Calibri" w:hAnsi="Calibri" w:cs="宋体"/>
                <w:bCs/>
                <w:kern w:val="0"/>
                <w:sz w:val="24"/>
                <w:szCs w:val="24"/>
              </w:rPr>
            </w:pPr>
          </w:p>
        </w:tc>
        <w:tc>
          <w:tcPr>
            <w:tcW w:w="820" w:type="dxa"/>
            <w:tcBorders>
              <w:top w:val="nil"/>
              <w:left w:val="nil"/>
              <w:bottom w:val="single" w:color="auto" w:sz="4" w:space="0"/>
              <w:right w:val="single" w:color="auto" w:sz="4" w:space="0"/>
            </w:tcBorders>
            <w:noWrap w:val="0"/>
            <w:vAlign w:val="center"/>
          </w:tcPr>
          <w:p w14:paraId="5F061BBA">
            <w:pPr>
              <w:jc w:val="center"/>
              <w:rPr>
                <w:rFonts w:ascii="Calibri" w:hAnsi="Calibri" w:cs="宋体"/>
                <w:bCs/>
                <w:kern w:val="0"/>
                <w:sz w:val="24"/>
                <w:szCs w:val="24"/>
              </w:rPr>
            </w:pPr>
          </w:p>
        </w:tc>
        <w:tc>
          <w:tcPr>
            <w:tcW w:w="848" w:type="dxa"/>
            <w:tcBorders>
              <w:top w:val="nil"/>
              <w:left w:val="nil"/>
              <w:bottom w:val="single" w:color="auto" w:sz="4" w:space="0"/>
              <w:right w:val="single" w:color="auto" w:sz="4" w:space="0"/>
            </w:tcBorders>
            <w:noWrap w:val="0"/>
            <w:vAlign w:val="center"/>
          </w:tcPr>
          <w:p w14:paraId="21272DF0">
            <w:pPr>
              <w:jc w:val="center"/>
              <w:rPr>
                <w:rFonts w:ascii="Calibri" w:hAnsi="Calibri" w:cs="宋体"/>
                <w:bCs/>
                <w:kern w:val="0"/>
                <w:sz w:val="24"/>
                <w:szCs w:val="24"/>
              </w:rPr>
            </w:pPr>
          </w:p>
        </w:tc>
        <w:tc>
          <w:tcPr>
            <w:tcW w:w="405" w:type="dxa"/>
            <w:gridSpan w:val="2"/>
            <w:tcBorders>
              <w:top w:val="nil"/>
              <w:left w:val="nil"/>
              <w:bottom w:val="single" w:color="auto" w:sz="4" w:space="0"/>
              <w:right w:val="single" w:color="auto" w:sz="4" w:space="0"/>
            </w:tcBorders>
            <w:noWrap w:val="0"/>
            <w:vAlign w:val="center"/>
          </w:tcPr>
          <w:p w14:paraId="0B6B7CE7">
            <w:pPr>
              <w:jc w:val="center"/>
              <w:rPr>
                <w:rFonts w:ascii="Calibri" w:hAnsi="Calibri" w:cs="宋体"/>
                <w:bCs/>
                <w:kern w:val="0"/>
                <w:sz w:val="24"/>
                <w:szCs w:val="24"/>
              </w:rPr>
            </w:pPr>
          </w:p>
        </w:tc>
      </w:tr>
      <w:tr w14:paraId="5ABFA4F4">
        <w:tblPrEx>
          <w:tblCellMar>
            <w:top w:w="0" w:type="dxa"/>
            <w:left w:w="108" w:type="dxa"/>
            <w:bottom w:w="0" w:type="dxa"/>
            <w:right w:w="108" w:type="dxa"/>
          </w:tblCellMar>
        </w:tblPrEx>
        <w:trPr>
          <w:gridAfter w:val="1"/>
          <w:wAfter w:w="546" w:type="dxa"/>
          <w:trHeight w:val="308" w:hRule="atLeast"/>
        </w:trPr>
        <w:tc>
          <w:tcPr>
            <w:tcW w:w="479" w:type="dxa"/>
            <w:tcBorders>
              <w:top w:val="nil"/>
              <w:left w:val="single" w:color="auto" w:sz="4" w:space="0"/>
              <w:bottom w:val="single" w:color="auto" w:sz="4" w:space="0"/>
              <w:right w:val="single" w:color="auto" w:sz="4" w:space="0"/>
            </w:tcBorders>
            <w:noWrap w:val="0"/>
            <w:vAlign w:val="center"/>
          </w:tcPr>
          <w:p w14:paraId="3B615B1F">
            <w:pPr>
              <w:jc w:val="center"/>
              <w:rPr>
                <w:rFonts w:ascii="Arial" w:hAnsi="Arial" w:cs="Arial"/>
                <w:bCs/>
                <w:kern w:val="0"/>
                <w:sz w:val="24"/>
                <w:szCs w:val="24"/>
              </w:rPr>
            </w:pPr>
          </w:p>
        </w:tc>
        <w:tc>
          <w:tcPr>
            <w:tcW w:w="1146" w:type="dxa"/>
            <w:tcBorders>
              <w:top w:val="nil"/>
              <w:left w:val="nil"/>
              <w:bottom w:val="single" w:color="auto" w:sz="4" w:space="0"/>
              <w:right w:val="single" w:color="auto" w:sz="4" w:space="0"/>
            </w:tcBorders>
            <w:noWrap w:val="0"/>
            <w:vAlign w:val="center"/>
          </w:tcPr>
          <w:p w14:paraId="24969DCA">
            <w:pPr>
              <w:jc w:val="center"/>
              <w:rPr>
                <w:rFonts w:ascii="Arial" w:hAnsi="Arial" w:cs="Arial"/>
                <w:bCs/>
                <w:kern w:val="0"/>
                <w:sz w:val="24"/>
                <w:szCs w:val="24"/>
              </w:rPr>
            </w:pPr>
          </w:p>
        </w:tc>
        <w:tc>
          <w:tcPr>
            <w:tcW w:w="903" w:type="dxa"/>
            <w:tcBorders>
              <w:top w:val="nil"/>
              <w:left w:val="nil"/>
              <w:bottom w:val="single" w:color="auto" w:sz="4" w:space="0"/>
              <w:right w:val="single" w:color="auto" w:sz="4" w:space="0"/>
            </w:tcBorders>
            <w:noWrap w:val="0"/>
            <w:vAlign w:val="center"/>
          </w:tcPr>
          <w:p w14:paraId="2F3BDBD2">
            <w:pPr>
              <w:jc w:val="center"/>
              <w:rPr>
                <w:rFonts w:ascii="Calibri" w:hAnsi="Calibri" w:cs="宋体"/>
                <w:bCs/>
                <w:kern w:val="0"/>
                <w:sz w:val="24"/>
                <w:szCs w:val="24"/>
              </w:rPr>
            </w:pPr>
          </w:p>
        </w:tc>
        <w:tc>
          <w:tcPr>
            <w:tcW w:w="617" w:type="dxa"/>
            <w:tcBorders>
              <w:top w:val="nil"/>
              <w:left w:val="nil"/>
              <w:bottom w:val="single" w:color="auto" w:sz="4" w:space="0"/>
              <w:right w:val="single" w:color="auto" w:sz="4" w:space="0"/>
            </w:tcBorders>
            <w:noWrap w:val="0"/>
            <w:vAlign w:val="center"/>
          </w:tcPr>
          <w:p w14:paraId="6DD45244">
            <w:pPr>
              <w:jc w:val="center"/>
              <w:rPr>
                <w:rFonts w:ascii="Calibri" w:hAnsi="Calibri" w:cs="宋体"/>
                <w:bCs/>
                <w:kern w:val="0"/>
                <w:sz w:val="24"/>
                <w:szCs w:val="24"/>
              </w:rPr>
            </w:pPr>
          </w:p>
        </w:tc>
        <w:tc>
          <w:tcPr>
            <w:tcW w:w="536" w:type="dxa"/>
            <w:tcBorders>
              <w:top w:val="nil"/>
              <w:left w:val="nil"/>
              <w:bottom w:val="single" w:color="auto" w:sz="4" w:space="0"/>
              <w:right w:val="single" w:color="auto" w:sz="4" w:space="0"/>
            </w:tcBorders>
            <w:noWrap w:val="0"/>
            <w:vAlign w:val="center"/>
          </w:tcPr>
          <w:p w14:paraId="56E0B9C2">
            <w:pPr>
              <w:jc w:val="center"/>
              <w:rPr>
                <w:rFonts w:ascii="Calibri" w:hAnsi="Calibri" w:cs="宋体"/>
                <w:bCs/>
                <w:kern w:val="0"/>
                <w:sz w:val="24"/>
                <w:szCs w:val="24"/>
              </w:rPr>
            </w:pPr>
          </w:p>
        </w:tc>
        <w:tc>
          <w:tcPr>
            <w:tcW w:w="560" w:type="dxa"/>
            <w:tcBorders>
              <w:top w:val="nil"/>
              <w:left w:val="nil"/>
              <w:bottom w:val="single" w:color="auto" w:sz="4" w:space="0"/>
              <w:right w:val="single" w:color="auto" w:sz="4" w:space="0"/>
            </w:tcBorders>
            <w:noWrap w:val="0"/>
            <w:vAlign w:val="center"/>
          </w:tcPr>
          <w:p w14:paraId="115513B6">
            <w:pPr>
              <w:jc w:val="center"/>
              <w:rPr>
                <w:rFonts w:ascii="Calibri" w:hAnsi="Calibri" w:cs="宋体"/>
                <w:bCs/>
                <w:kern w:val="0"/>
                <w:sz w:val="24"/>
                <w:szCs w:val="24"/>
              </w:rPr>
            </w:pPr>
          </w:p>
        </w:tc>
        <w:tc>
          <w:tcPr>
            <w:tcW w:w="478" w:type="dxa"/>
            <w:tcBorders>
              <w:top w:val="nil"/>
              <w:left w:val="nil"/>
              <w:bottom w:val="single" w:color="auto" w:sz="4" w:space="0"/>
              <w:right w:val="single" w:color="auto" w:sz="4" w:space="0"/>
            </w:tcBorders>
            <w:noWrap w:val="0"/>
            <w:vAlign w:val="center"/>
          </w:tcPr>
          <w:p w14:paraId="7758885B">
            <w:pPr>
              <w:jc w:val="center"/>
              <w:rPr>
                <w:rFonts w:ascii="Calibri" w:hAnsi="Calibri" w:cs="宋体"/>
                <w:bCs/>
                <w:kern w:val="0"/>
                <w:sz w:val="24"/>
                <w:szCs w:val="24"/>
              </w:rPr>
            </w:pPr>
          </w:p>
        </w:tc>
        <w:tc>
          <w:tcPr>
            <w:tcW w:w="512" w:type="dxa"/>
            <w:tcBorders>
              <w:top w:val="single" w:color="auto" w:sz="4" w:space="0"/>
              <w:left w:val="single" w:color="auto" w:sz="4" w:space="0"/>
              <w:bottom w:val="single" w:color="auto" w:sz="4" w:space="0"/>
              <w:right w:val="single" w:color="auto" w:sz="4" w:space="0"/>
            </w:tcBorders>
            <w:noWrap w:val="0"/>
            <w:vAlign w:val="center"/>
          </w:tcPr>
          <w:p w14:paraId="082C7C30">
            <w:pPr>
              <w:jc w:val="center"/>
              <w:rPr>
                <w:rFonts w:ascii="Calibri" w:hAnsi="Calibri" w:cs="宋体"/>
                <w:bCs/>
                <w:kern w:val="0"/>
                <w:sz w:val="24"/>
                <w:szCs w:val="24"/>
              </w:rPr>
            </w:pPr>
          </w:p>
        </w:tc>
        <w:tc>
          <w:tcPr>
            <w:tcW w:w="551" w:type="dxa"/>
            <w:tcBorders>
              <w:top w:val="single" w:color="auto" w:sz="4" w:space="0"/>
              <w:left w:val="single" w:color="auto" w:sz="4" w:space="0"/>
              <w:bottom w:val="single" w:color="auto" w:sz="4" w:space="0"/>
              <w:right w:val="single" w:color="auto" w:sz="4" w:space="0"/>
            </w:tcBorders>
            <w:noWrap w:val="0"/>
            <w:vAlign w:val="center"/>
          </w:tcPr>
          <w:p w14:paraId="65630FF5">
            <w:pPr>
              <w:jc w:val="center"/>
              <w:rPr>
                <w:rFonts w:ascii="Calibri" w:hAnsi="Calibri" w:cs="宋体"/>
                <w:bCs/>
                <w:kern w:val="0"/>
                <w:sz w:val="24"/>
                <w:szCs w:val="24"/>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16F6916F">
            <w:pPr>
              <w:jc w:val="center"/>
              <w:rPr>
                <w:rFonts w:hint="eastAsia" w:ascii="宋体" w:hAnsi="宋体" w:cs="宋体"/>
                <w:bCs/>
                <w:kern w:val="0"/>
                <w:sz w:val="24"/>
                <w:szCs w:val="24"/>
              </w:rPr>
            </w:pPr>
          </w:p>
        </w:tc>
        <w:tc>
          <w:tcPr>
            <w:tcW w:w="649" w:type="dxa"/>
            <w:tcBorders>
              <w:top w:val="nil"/>
              <w:left w:val="nil"/>
              <w:bottom w:val="single" w:color="auto" w:sz="4" w:space="0"/>
              <w:right w:val="single" w:color="auto" w:sz="4" w:space="0"/>
            </w:tcBorders>
            <w:noWrap w:val="0"/>
            <w:vAlign w:val="center"/>
          </w:tcPr>
          <w:p w14:paraId="123661AE">
            <w:pPr>
              <w:jc w:val="center"/>
              <w:rPr>
                <w:rFonts w:ascii="Calibri" w:hAnsi="Calibri" w:cs="宋体"/>
                <w:bCs/>
                <w:kern w:val="0"/>
                <w:sz w:val="24"/>
                <w:szCs w:val="24"/>
              </w:rPr>
            </w:pPr>
          </w:p>
        </w:tc>
        <w:tc>
          <w:tcPr>
            <w:tcW w:w="820" w:type="dxa"/>
            <w:tcBorders>
              <w:top w:val="nil"/>
              <w:left w:val="nil"/>
              <w:bottom w:val="single" w:color="auto" w:sz="4" w:space="0"/>
              <w:right w:val="single" w:color="auto" w:sz="4" w:space="0"/>
            </w:tcBorders>
            <w:noWrap w:val="0"/>
            <w:vAlign w:val="center"/>
          </w:tcPr>
          <w:p w14:paraId="2FC4F4DF">
            <w:pPr>
              <w:jc w:val="center"/>
              <w:rPr>
                <w:rFonts w:ascii="Calibri" w:hAnsi="Calibri" w:cs="宋体"/>
                <w:bCs/>
                <w:kern w:val="0"/>
                <w:sz w:val="24"/>
                <w:szCs w:val="24"/>
              </w:rPr>
            </w:pPr>
          </w:p>
        </w:tc>
        <w:tc>
          <w:tcPr>
            <w:tcW w:w="848" w:type="dxa"/>
            <w:tcBorders>
              <w:top w:val="nil"/>
              <w:left w:val="nil"/>
              <w:bottom w:val="single" w:color="auto" w:sz="4" w:space="0"/>
              <w:right w:val="single" w:color="auto" w:sz="4" w:space="0"/>
            </w:tcBorders>
            <w:noWrap w:val="0"/>
            <w:vAlign w:val="center"/>
          </w:tcPr>
          <w:p w14:paraId="3DA5A0E4">
            <w:pPr>
              <w:jc w:val="center"/>
              <w:rPr>
                <w:rFonts w:ascii="Calibri" w:hAnsi="Calibri" w:cs="宋体"/>
                <w:bCs/>
                <w:kern w:val="0"/>
                <w:sz w:val="24"/>
                <w:szCs w:val="24"/>
              </w:rPr>
            </w:pPr>
          </w:p>
        </w:tc>
        <w:tc>
          <w:tcPr>
            <w:tcW w:w="405" w:type="dxa"/>
            <w:gridSpan w:val="2"/>
            <w:tcBorders>
              <w:top w:val="nil"/>
              <w:left w:val="nil"/>
              <w:bottom w:val="single" w:color="auto" w:sz="4" w:space="0"/>
              <w:right w:val="single" w:color="auto" w:sz="4" w:space="0"/>
            </w:tcBorders>
            <w:noWrap w:val="0"/>
            <w:vAlign w:val="center"/>
          </w:tcPr>
          <w:p w14:paraId="7E96BF18">
            <w:pPr>
              <w:jc w:val="center"/>
              <w:rPr>
                <w:rFonts w:ascii="Calibri" w:hAnsi="Calibri" w:cs="宋体"/>
                <w:bCs/>
                <w:kern w:val="0"/>
                <w:sz w:val="24"/>
                <w:szCs w:val="24"/>
              </w:rPr>
            </w:pPr>
          </w:p>
        </w:tc>
      </w:tr>
      <w:tr w14:paraId="5EF2D332">
        <w:tblPrEx>
          <w:tblCellMar>
            <w:top w:w="0" w:type="dxa"/>
            <w:left w:w="108" w:type="dxa"/>
            <w:bottom w:w="0" w:type="dxa"/>
            <w:right w:w="108" w:type="dxa"/>
          </w:tblCellMar>
        </w:tblPrEx>
        <w:trPr>
          <w:gridAfter w:val="1"/>
          <w:wAfter w:w="546" w:type="dxa"/>
          <w:trHeight w:val="308" w:hRule="atLeast"/>
        </w:trPr>
        <w:tc>
          <w:tcPr>
            <w:tcW w:w="479" w:type="dxa"/>
            <w:tcBorders>
              <w:top w:val="nil"/>
              <w:left w:val="single" w:color="auto" w:sz="4" w:space="0"/>
              <w:bottom w:val="single" w:color="auto" w:sz="4" w:space="0"/>
              <w:right w:val="single" w:color="auto" w:sz="4" w:space="0"/>
            </w:tcBorders>
            <w:noWrap w:val="0"/>
            <w:vAlign w:val="center"/>
          </w:tcPr>
          <w:p w14:paraId="1F7A9BA2">
            <w:pPr>
              <w:jc w:val="center"/>
              <w:rPr>
                <w:rFonts w:ascii="Arial" w:hAnsi="Arial" w:cs="Arial"/>
                <w:bCs/>
                <w:kern w:val="0"/>
                <w:sz w:val="24"/>
                <w:szCs w:val="24"/>
              </w:rPr>
            </w:pPr>
          </w:p>
        </w:tc>
        <w:tc>
          <w:tcPr>
            <w:tcW w:w="1146" w:type="dxa"/>
            <w:tcBorders>
              <w:top w:val="nil"/>
              <w:left w:val="nil"/>
              <w:bottom w:val="single" w:color="auto" w:sz="4" w:space="0"/>
              <w:right w:val="single" w:color="auto" w:sz="4" w:space="0"/>
            </w:tcBorders>
            <w:noWrap w:val="0"/>
            <w:vAlign w:val="center"/>
          </w:tcPr>
          <w:p w14:paraId="1CFF0BD7">
            <w:pPr>
              <w:jc w:val="center"/>
              <w:rPr>
                <w:rFonts w:ascii="Arial" w:hAnsi="Arial" w:cs="Arial"/>
                <w:bCs/>
                <w:kern w:val="0"/>
                <w:sz w:val="24"/>
                <w:szCs w:val="24"/>
              </w:rPr>
            </w:pPr>
          </w:p>
        </w:tc>
        <w:tc>
          <w:tcPr>
            <w:tcW w:w="903" w:type="dxa"/>
            <w:tcBorders>
              <w:top w:val="nil"/>
              <w:left w:val="nil"/>
              <w:bottom w:val="single" w:color="auto" w:sz="4" w:space="0"/>
              <w:right w:val="single" w:color="auto" w:sz="4" w:space="0"/>
            </w:tcBorders>
            <w:noWrap w:val="0"/>
            <w:vAlign w:val="center"/>
          </w:tcPr>
          <w:p w14:paraId="31D6EB30">
            <w:pPr>
              <w:jc w:val="center"/>
              <w:rPr>
                <w:rFonts w:ascii="Calibri" w:hAnsi="Calibri" w:cs="宋体"/>
                <w:bCs/>
                <w:kern w:val="0"/>
                <w:sz w:val="24"/>
                <w:szCs w:val="24"/>
              </w:rPr>
            </w:pPr>
          </w:p>
        </w:tc>
        <w:tc>
          <w:tcPr>
            <w:tcW w:w="617" w:type="dxa"/>
            <w:tcBorders>
              <w:top w:val="nil"/>
              <w:left w:val="nil"/>
              <w:bottom w:val="single" w:color="auto" w:sz="4" w:space="0"/>
              <w:right w:val="single" w:color="auto" w:sz="4" w:space="0"/>
            </w:tcBorders>
            <w:noWrap w:val="0"/>
            <w:vAlign w:val="center"/>
          </w:tcPr>
          <w:p w14:paraId="4DC53775">
            <w:pPr>
              <w:jc w:val="center"/>
              <w:rPr>
                <w:rFonts w:ascii="Calibri" w:hAnsi="Calibri" w:cs="宋体"/>
                <w:bCs/>
                <w:kern w:val="0"/>
                <w:sz w:val="24"/>
                <w:szCs w:val="24"/>
              </w:rPr>
            </w:pPr>
          </w:p>
        </w:tc>
        <w:tc>
          <w:tcPr>
            <w:tcW w:w="536" w:type="dxa"/>
            <w:tcBorders>
              <w:top w:val="nil"/>
              <w:left w:val="nil"/>
              <w:bottom w:val="single" w:color="auto" w:sz="4" w:space="0"/>
              <w:right w:val="single" w:color="auto" w:sz="4" w:space="0"/>
            </w:tcBorders>
            <w:noWrap w:val="0"/>
            <w:vAlign w:val="center"/>
          </w:tcPr>
          <w:p w14:paraId="4F3C182C">
            <w:pPr>
              <w:jc w:val="center"/>
              <w:rPr>
                <w:rFonts w:ascii="Calibri" w:hAnsi="Calibri" w:cs="宋体"/>
                <w:bCs/>
                <w:kern w:val="0"/>
                <w:sz w:val="24"/>
                <w:szCs w:val="24"/>
              </w:rPr>
            </w:pPr>
          </w:p>
        </w:tc>
        <w:tc>
          <w:tcPr>
            <w:tcW w:w="560" w:type="dxa"/>
            <w:tcBorders>
              <w:top w:val="nil"/>
              <w:left w:val="nil"/>
              <w:bottom w:val="single" w:color="auto" w:sz="4" w:space="0"/>
              <w:right w:val="single" w:color="auto" w:sz="4" w:space="0"/>
            </w:tcBorders>
            <w:noWrap w:val="0"/>
            <w:vAlign w:val="center"/>
          </w:tcPr>
          <w:p w14:paraId="05B957EB">
            <w:pPr>
              <w:jc w:val="center"/>
              <w:rPr>
                <w:rFonts w:ascii="Calibri" w:hAnsi="Calibri" w:cs="宋体"/>
                <w:bCs/>
                <w:kern w:val="0"/>
                <w:sz w:val="24"/>
                <w:szCs w:val="24"/>
              </w:rPr>
            </w:pPr>
          </w:p>
        </w:tc>
        <w:tc>
          <w:tcPr>
            <w:tcW w:w="478" w:type="dxa"/>
            <w:tcBorders>
              <w:top w:val="nil"/>
              <w:left w:val="nil"/>
              <w:bottom w:val="single" w:color="auto" w:sz="4" w:space="0"/>
              <w:right w:val="single" w:color="auto" w:sz="4" w:space="0"/>
            </w:tcBorders>
            <w:noWrap w:val="0"/>
            <w:vAlign w:val="center"/>
          </w:tcPr>
          <w:p w14:paraId="796C2868">
            <w:pPr>
              <w:jc w:val="center"/>
              <w:rPr>
                <w:rFonts w:ascii="Calibri" w:hAnsi="Calibri" w:cs="宋体"/>
                <w:bCs/>
                <w:kern w:val="0"/>
                <w:sz w:val="24"/>
                <w:szCs w:val="24"/>
              </w:rPr>
            </w:pPr>
          </w:p>
        </w:tc>
        <w:tc>
          <w:tcPr>
            <w:tcW w:w="512" w:type="dxa"/>
            <w:tcBorders>
              <w:top w:val="single" w:color="auto" w:sz="4" w:space="0"/>
              <w:left w:val="single" w:color="auto" w:sz="4" w:space="0"/>
              <w:bottom w:val="single" w:color="auto" w:sz="4" w:space="0"/>
              <w:right w:val="single" w:color="auto" w:sz="4" w:space="0"/>
            </w:tcBorders>
            <w:noWrap w:val="0"/>
            <w:vAlign w:val="center"/>
          </w:tcPr>
          <w:p w14:paraId="6A93E3EB">
            <w:pPr>
              <w:jc w:val="center"/>
              <w:rPr>
                <w:rFonts w:ascii="Calibri" w:hAnsi="Calibri" w:cs="宋体"/>
                <w:bCs/>
                <w:kern w:val="0"/>
                <w:sz w:val="24"/>
                <w:szCs w:val="24"/>
              </w:rPr>
            </w:pPr>
          </w:p>
        </w:tc>
        <w:tc>
          <w:tcPr>
            <w:tcW w:w="551" w:type="dxa"/>
            <w:tcBorders>
              <w:top w:val="single" w:color="auto" w:sz="4" w:space="0"/>
              <w:left w:val="single" w:color="auto" w:sz="4" w:space="0"/>
              <w:bottom w:val="single" w:color="auto" w:sz="4" w:space="0"/>
              <w:right w:val="single" w:color="auto" w:sz="4" w:space="0"/>
            </w:tcBorders>
            <w:noWrap w:val="0"/>
            <w:vAlign w:val="center"/>
          </w:tcPr>
          <w:p w14:paraId="209A6770">
            <w:pPr>
              <w:jc w:val="center"/>
              <w:rPr>
                <w:rFonts w:ascii="Calibri" w:hAnsi="Calibri" w:cs="宋体"/>
                <w:bCs/>
                <w:kern w:val="0"/>
                <w:sz w:val="24"/>
                <w:szCs w:val="24"/>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311EF5ED">
            <w:pPr>
              <w:jc w:val="center"/>
              <w:rPr>
                <w:rFonts w:hint="eastAsia" w:ascii="宋体" w:hAnsi="宋体" w:cs="宋体"/>
                <w:bCs/>
                <w:kern w:val="0"/>
                <w:sz w:val="24"/>
                <w:szCs w:val="24"/>
              </w:rPr>
            </w:pPr>
          </w:p>
        </w:tc>
        <w:tc>
          <w:tcPr>
            <w:tcW w:w="649" w:type="dxa"/>
            <w:tcBorders>
              <w:top w:val="nil"/>
              <w:left w:val="nil"/>
              <w:bottom w:val="single" w:color="auto" w:sz="4" w:space="0"/>
              <w:right w:val="single" w:color="auto" w:sz="4" w:space="0"/>
            </w:tcBorders>
            <w:noWrap w:val="0"/>
            <w:vAlign w:val="center"/>
          </w:tcPr>
          <w:p w14:paraId="5A67CEF9">
            <w:pPr>
              <w:jc w:val="center"/>
              <w:rPr>
                <w:rFonts w:ascii="Calibri" w:hAnsi="Calibri" w:cs="宋体"/>
                <w:bCs/>
                <w:kern w:val="0"/>
                <w:sz w:val="24"/>
                <w:szCs w:val="24"/>
              </w:rPr>
            </w:pPr>
          </w:p>
        </w:tc>
        <w:tc>
          <w:tcPr>
            <w:tcW w:w="820" w:type="dxa"/>
            <w:tcBorders>
              <w:top w:val="nil"/>
              <w:left w:val="nil"/>
              <w:bottom w:val="single" w:color="auto" w:sz="4" w:space="0"/>
              <w:right w:val="single" w:color="auto" w:sz="4" w:space="0"/>
            </w:tcBorders>
            <w:noWrap w:val="0"/>
            <w:vAlign w:val="center"/>
          </w:tcPr>
          <w:p w14:paraId="634C4946">
            <w:pPr>
              <w:jc w:val="center"/>
              <w:rPr>
                <w:rFonts w:ascii="Calibri" w:hAnsi="Calibri" w:cs="宋体"/>
                <w:bCs/>
                <w:kern w:val="0"/>
                <w:sz w:val="24"/>
                <w:szCs w:val="24"/>
              </w:rPr>
            </w:pPr>
          </w:p>
        </w:tc>
        <w:tc>
          <w:tcPr>
            <w:tcW w:w="848" w:type="dxa"/>
            <w:tcBorders>
              <w:top w:val="nil"/>
              <w:left w:val="nil"/>
              <w:bottom w:val="single" w:color="auto" w:sz="4" w:space="0"/>
              <w:right w:val="single" w:color="auto" w:sz="4" w:space="0"/>
            </w:tcBorders>
            <w:noWrap w:val="0"/>
            <w:vAlign w:val="center"/>
          </w:tcPr>
          <w:p w14:paraId="7FC7E1E3">
            <w:pPr>
              <w:jc w:val="center"/>
              <w:rPr>
                <w:rFonts w:ascii="Calibri" w:hAnsi="Calibri" w:cs="宋体"/>
                <w:bCs/>
                <w:kern w:val="0"/>
                <w:sz w:val="24"/>
                <w:szCs w:val="24"/>
              </w:rPr>
            </w:pPr>
          </w:p>
        </w:tc>
        <w:tc>
          <w:tcPr>
            <w:tcW w:w="405" w:type="dxa"/>
            <w:gridSpan w:val="2"/>
            <w:tcBorders>
              <w:top w:val="nil"/>
              <w:left w:val="nil"/>
              <w:bottom w:val="single" w:color="auto" w:sz="4" w:space="0"/>
              <w:right w:val="single" w:color="auto" w:sz="4" w:space="0"/>
            </w:tcBorders>
            <w:noWrap w:val="0"/>
            <w:vAlign w:val="center"/>
          </w:tcPr>
          <w:p w14:paraId="15D94216">
            <w:pPr>
              <w:jc w:val="center"/>
              <w:rPr>
                <w:rFonts w:ascii="Calibri" w:hAnsi="Calibri" w:cs="宋体"/>
                <w:bCs/>
                <w:kern w:val="0"/>
                <w:sz w:val="24"/>
                <w:szCs w:val="24"/>
              </w:rPr>
            </w:pPr>
          </w:p>
        </w:tc>
      </w:tr>
      <w:tr w14:paraId="668850F2">
        <w:tblPrEx>
          <w:tblCellMar>
            <w:top w:w="0" w:type="dxa"/>
            <w:left w:w="108" w:type="dxa"/>
            <w:bottom w:w="0" w:type="dxa"/>
            <w:right w:w="108" w:type="dxa"/>
          </w:tblCellMar>
        </w:tblPrEx>
        <w:trPr>
          <w:gridAfter w:val="1"/>
          <w:wAfter w:w="546" w:type="dxa"/>
          <w:trHeight w:val="308" w:hRule="atLeast"/>
        </w:trPr>
        <w:tc>
          <w:tcPr>
            <w:tcW w:w="479" w:type="dxa"/>
            <w:tcBorders>
              <w:top w:val="nil"/>
              <w:left w:val="single" w:color="auto" w:sz="4" w:space="0"/>
              <w:bottom w:val="single" w:color="auto" w:sz="4" w:space="0"/>
              <w:right w:val="single" w:color="auto" w:sz="4" w:space="0"/>
            </w:tcBorders>
            <w:noWrap w:val="0"/>
            <w:vAlign w:val="center"/>
          </w:tcPr>
          <w:p w14:paraId="152872D4">
            <w:pPr>
              <w:jc w:val="center"/>
              <w:rPr>
                <w:rFonts w:ascii="Arial" w:hAnsi="Arial" w:cs="Arial"/>
                <w:bCs/>
                <w:kern w:val="0"/>
                <w:sz w:val="24"/>
                <w:szCs w:val="24"/>
              </w:rPr>
            </w:pPr>
          </w:p>
        </w:tc>
        <w:tc>
          <w:tcPr>
            <w:tcW w:w="1146" w:type="dxa"/>
            <w:tcBorders>
              <w:top w:val="nil"/>
              <w:left w:val="nil"/>
              <w:bottom w:val="single" w:color="auto" w:sz="4" w:space="0"/>
              <w:right w:val="single" w:color="auto" w:sz="4" w:space="0"/>
            </w:tcBorders>
            <w:noWrap w:val="0"/>
            <w:vAlign w:val="center"/>
          </w:tcPr>
          <w:p w14:paraId="445231E0">
            <w:pPr>
              <w:jc w:val="center"/>
              <w:rPr>
                <w:rFonts w:ascii="Arial" w:hAnsi="Arial" w:cs="Arial"/>
                <w:bCs/>
                <w:kern w:val="0"/>
                <w:sz w:val="24"/>
                <w:szCs w:val="24"/>
              </w:rPr>
            </w:pPr>
          </w:p>
        </w:tc>
        <w:tc>
          <w:tcPr>
            <w:tcW w:w="903" w:type="dxa"/>
            <w:tcBorders>
              <w:top w:val="nil"/>
              <w:left w:val="nil"/>
              <w:bottom w:val="single" w:color="auto" w:sz="4" w:space="0"/>
              <w:right w:val="single" w:color="auto" w:sz="4" w:space="0"/>
            </w:tcBorders>
            <w:noWrap w:val="0"/>
            <w:vAlign w:val="center"/>
          </w:tcPr>
          <w:p w14:paraId="4F3831C2">
            <w:pPr>
              <w:jc w:val="center"/>
              <w:rPr>
                <w:rFonts w:ascii="Calibri" w:hAnsi="Calibri" w:cs="宋体"/>
                <w:bCs/>
                <w:kern w:val="0"/>
                <w:sz w:val="24"/>
                <w:szCs w:val="24"/>
              </w:rPr>
            </w:pPr>
          </w:p>
        </w:tc>
        <w:tc>
          <w:tcPr>
            <w:tcW w:w="617" w:type="dxa"/>
            <w:tcBorders>
              <w:top w:val="nil"/>
              <w:left w:val="nil"/>
              <w:bottom w:val="single" w:color="auto" w:sz="4" w:space="0"/>
              <w:right w:val="single" w:color="auto" w:sz="4" w:space="0"/>
            </w:tcBorders>
            <w:noWrap w:val="0"/>
            <w:vAlign w:val="center"/>
          </w:tcPr>
          <w:p w14:paraId="282E6A38">
            <w:pPr>
              <w:jc w:val="center"/>
              <w:rPr>
                <w:rFonts w:ascii="Calibri" w:hAnsi="Calibri" w:cs="宋体"/>
                <w:bCs/>
                <w:kern w:val="0"/>
                <w:sz w:val="24"/>
                <w:szCs w:val="24"/>
              </w:rPr>
            </w:pPr>
          </w:p>
        </w:tc>
        <w:tc>
          <w:tcPr>
            <w:tcW w:w="536" w:type="dxa"/>
            <w:tcBorders>
              <w:top w:val="nil"/>
              <w:left w:val="nil"/>
              <w:bottom w:val="single" w:color="auto" w:sz="4" w:space="0"/>
              <w:right w:val="single" w:color="auto" w:sz="4" w:space="0"/>
            </w:tcBorders>
            <w:noWrap w:val="0"/>
            <w:vAlign w:val="center"/>
          </w:tcPr>
          <w:p w14:paraId="214C36D0">
            <w:pPr>
              <w:jc w:val="center"/>
              <w:rPr>
                <w:rFonts w:ascii="Calibri" w:hAnsi="Calibri" w:cs="宋体"/>
                <w:bCs/>
                <w:kern w:val="0"/>
                <w:sz w:val="24"/>
                <w:szCs w:val="24"/>
              </w:rPr>
            </w:pPr>
          </w:p>
        </w:tc>
        <w:tc>
          <w:tcPr>
            <w:tcW w:w="560" w:type="dxa"/>
            <w:tcBorders>
              <w:top w:val="nil"/>
              <w:left w:val="nil"/>
              <w:bottom w:val="single" w:color="auto" w:sz="4" w:space="0"/>
              <w:right w:val="single" w:color="auto" w:sz="4" w:space="0"/>
            </w:tcBorders>
            <w:noWrap w:val="0"/>
            <w:vAlign w:val="center"/>
          </w:tcPr>
          <w:p w14:paraId="64778219">
            <w:pPr>
              <w:jc w:val="center"/>
              <w:rPr>
                <w:rFonts w:ascii="Calibri" w:hAnsi="Calibri" w:cs="宋体"/>
                <w:bCs/>
                <w:kern w:val="0"/>
                <w:sz w:val="24"/>
                <w:szCs w:val="24"/>
              </w:rPr>
            </w:pPr>
          </w:p>
        </w:tc>
        <w:tc>
          <w:tcPr>
            <w:tcW w:w="478" w:type="dxa"/>
            <w:tcBorders>
              <w:top w:val="nil"/>
              <w:left w:val="nil"/>
              <w:bottom w:val="single" w:color="auto" w:sz="4" w:space="0"/>
              <w:right w:val="single" w:color="auto" w:sz="4" w:space="0"/>
            </w:tcBorders>
            <w:noWrap w:val="0"/>
            <w:vAlign w:val="center"/>
          </w:tcPr>
          <w:p w14:paraId="7207C2AD">
            <w:pPr>
              <w:jc w:val="center"/>
              <w:rPr>
                <w:rFonts w:ascii="Calibri" w:hAnsi="Calibri" w:cs="宋体"/>
                <w:bCs/>
                <w:kern w:val="0"/>
                <w:sz w:val="24"/>
                <w:szCs w:val="24"/>
              </w:rPr>
            </w:pPr>
          </w:p>
        </w:tc>
        <w:tc>
          <w:tcPr>
            <w:tcW w:w="512" w:type="dxa"/>
            <w:tcBorders>
              <w:top w:val="single" w:color="auto" w:sz="4" w:space="0"/>
              <w:left w:val="single" w:color="auto" w:sz="4" w:space="0"/>
              <w:bottom w:val="single" w:color="auto" w:sz="4" w:space="0"/>
              <w:right w:val="single" w:color="auto" w:sz="4" w:space="0"/>
            </w:tcBorders>
            <w:noWrap w:val="0"/>
            <w:vAlign w:val="center"/>
          </w:tcPr>
          <w:p w14:paraId="53B6F08B">
            <w:pPr>
              <w:jc w:val="center"/>
              <w:rPr>
                <w:rFonts w:ascii="Calibri" w:hAnsi="Calibri" w:cs="宋体"/>
                <w:bCs/>
                <w:kern w:val="0"/>
                <w:sz w:val="24"/>
                <w:szCs w:val="24"/>
              </w:rPr>
            </w:pPr>
          </w:p>
        </w:tc>
        <w:tc>
          <w:tcPr>
            <w:tcW w:w="551" w:type="dxa"/>
            <w:tcBorders>
              <w:top w:val="single" w:color="auto" w:sz="4" w:space="0"/>
              <w:left w:val="single" w:color="auto" w:sz="4" w:space="0"/>
              <w:bottom w:val="single" w:color="auto" w:sz="4" w:space="0"/>
              <w:right w:val="single" w:color="auto" w:sz="4" w:space="0"/>
            </w:tcBorders>
            <w:noWrap w:val="0"/>
            <w:vAlign w:val="center"/>
          </w:tcPr>
          <w:p w14:paraId="5332A335">
            <w:pPr>
              <w:jc w:val="center"/>
              <w:rPr>
                <w:rFonts w:ascii="Calibri" w:hAnsi="Calibri" w:cs="宋体"/>
                <w:bCs/>
                <w:kern w:val="0"/>
                <w:sz w:val="24"/>
                <w:szCs w:val="24"/>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503D8744">
            <w:pPr>
              <w:jc w:val="center"/>
              <w:rPr>
                <w:rFonts w:hint="eastAsia" w:ascii="宋体" w:hAnsi="宋体" w:cs="宋体"/>
                <w:bCs/>
                <w:kern w:val="0"/>
                <w:sz w:val="24"/>
                <w:szCs w:val="24"/>
              </w:rPr>
            </w:pPr>
          </w:p>
        </w:tc>
        <w:tc>
          <w:tcPr>
            <w:tcW w:w="649" w:type="dxa"/>
            <w:tcBorders>
              <w:top w:val="nil"/>
              <w:left w:val="nil"/>
              <w:bottom w:val="single" w:color="auto" w:sz="4" w:space="0"/>
              <w:right w:val="single" w:color="auto" w:sz="4" w:space="0"/>
            </w:tcBorders>
            <w:noWrap w:val="0"/>
            <w:vAlign w:val="center"/>
          </w:tcPr>
          <w:p w14:paraId="0254664B">
            <w:pPr>
              <w:jc w:val="center"/>
              <w:rPr>
                <w:rFonts w:ascii="Calibri" w:hAnsi="Calibri" w:cs="宋体"/>
                <w:bCs/>
                <w:kern w:val="0"/>
                <w:sz w:val="24"/>
                <w:szCs w:val="24"/>
              </w:rPr>
            </w:pPr>
          </w:p>
        </w:tc>
        <w:tc>
          <w:tcPr>
            <w:tcW w:w="820" w:type="dxa"/>
            <w:tcBorders>
              <w:top w:val="nil"/>
              <w:left w:val="nil"/>
              <w:bottom w:val="single" w:color="auto" w:sz="4" w:space="0"/>
              <w:right w:val="single" w:color="auto" w:sz="4" w:space="0"/>
            </w:tcBorders>
            <w:noWrap w:val="0"/>
            <w:vAlign w:val="center"/>
          </w:tcPr>
          <w:p w14:paraId="5BC7FD5C">
            <w:pPr>
              <w:jc w:val="center"/>
              <w:rPr>
                <w:rFonts w:ascii="Calibri" w:hAnsi="Calibri" w:cs="宋体"/>
                <w:bCs/>
                <w:kern w:val="0"/>
                <w:sz w:val="24"/>
                <w:szCs w:val="24"/>
              </w:rPr>
            </w:pPr>
          </w:p>
        </w:tc>
        <w:tc>
          <w:tcPr>
            <w:tcW w:w="848" w:type="dxa"/>
            <w:tcBorders>
              <w:top w:val="nil"/>
              <w:left w:val="nil"/>
              <w:bottom w:val="single" w:color="auto" w:sz="4" w:space="0"/>
              <w:right w:val="single" w:color="auto" w:sz="4" w:space="0"/>
            </w:tcBorders>
            <w:noWrap w:val="0"/>
            <w:vAlign w:val="center"/>
          </w:tcPr>
          <w:p w14:paraId="6CB7F6AA">
            <w:pPr>
              <w:jc w:val="center"/>
              <w:rPr>
                <w:rFonts w:ascii="Calibri" w:hAnsi="Calibri" w:cs="宋体"/>
                <w:bCs/>
                <w:kern w:val="0"/>
                <w:sz w:val="24"/>
                <w:szCs w:val="24"/>
              </w:rPr>
            </w:pPr>
          </w:p>
        </w:tc>
        <w:tc>
          <w:tcPr>
            <w:tcW w:w="405" w:type="dxa"/>
            <w:gridSpan w:val="2"/>
            <w:tcBorders>
              <w:top w:val="nil"/>
              <w:left w:val="nil"/>
              <w:bottom w:val="single" w:color="auto" w:sz="4" w:space="0"/>
              <w:right w:val="single" w:color="auto" w:sz="4" w:space="0"/>
            </w:tcBorders>
            <w:noWrap w:val="0"/>
            <w:vAlign w:val="center"/>
          </w:tcPr>
          <w:p w14:paraId="0E01C839">
            <w:pPr>
              <w:jc w:val="center"/>
              <w:rPr>
                <w:rFonts w:ascii="Calibri" w:hAnsi="Calibri" w:cs="宋体"/>
                <w:bCs/>
                <w:kern w:val="0"/>
                <w:sz w:val="24"/>
                <w:szCs w:val="24"/>
              </w:rPr>
            </w:pPr>
          </w:p>
        </w:tc>
      </w:tr>
      <w:tr w14:paraId="0AF5089E">
        <w:tblPrEx>
          <w:tblCellMar>
            <w:top w:w="0" w:type="dxa"/>
            <w:left w:w="108" w:type="dxa"/>
            <w:bottom w:w="0" w:type="dxa"/>
            <w:right w:w="108" w:type="dxa"/>
          </w:tblCellMar>
        </w:tblPrEx>
        <w:trPr>
          <w:trHeight w:val="308" w:hRule="atLeast"/>
        </w:trPr>
        <w:tc>
          <w:tcPr>
            <w:tcW w:w="7060" w:type="dxa"/>
            <w:gridSpan w:val="11"/>
            <w:tcBorders>
              <w:top w:val="nil"/>
              <w:left w:val="nil"/>
              <w:bottom w:val="nil"/>
              <w:right w:val="nil"/>
            </w:tcBorders>
            <w:noWrap w:val="0"/>
            <w:vAlign w:val="center"/>
          </w:tcPr>
          <w:p w14:paraId="7416AC05">
            <w:pPr>
              <w:jc w:val="left"/>
              <w:rPr>
                <w:rFonts w:ascii="宋体" w:hAnsi="宋体" w:cs="宋体"/>
                <w:bCs/>
                <w:kern w:val="0"/>
                <w:szCs w:val="21"/>
              </w:rPr>
            </w:pPr>
          </w:p>
        </w:tc>
        <w:tc>
          <w:tcPr>
            <w:tcW w:w="820" w:type="dxa"/>
            <w:tcBorders>
              <w:top w:val="nil"/>
              <w:left w:val="nil"/>
              <w:bottom w:val="nil"/>
              <w:right w:val="nil"/>
            </w:tcBorders>
            <w:noWrap w:val="0"/>
            <w:vAlign w:val="center"/>
          </w:tcPr>
          <w:p w14:paraId="127099FD">
            <w:pPr>
              <w:jc w:val="left"/>
              <w:rPr>
                <w:rFonts w:hint="eastAsia" w:ascii="宋体" w:hAnsi="宋体" w:cs="宋体"/>
                <w:bCs/>
                <w:kern w:val="0"/>
                <w:szCs w:val="21"/>
              </w:rPr>
            </w:pPr>
          </w:p>
        </w:tc>
        <w:tc>
          <w:tcPr>
            <w:tcW w:w="924" w:type="dxa"/>
            <w:gridSpan w:val="2"/>
            <w:tcBorders>
              <w:top w:val="nil"/>
              <w:left w:val="nil"/>
              <w:bottom w:val="nil"/>
              <w:right w:val="nil"/>
            </w:tcBorders>
            <w:noWrap w:val="0"/>
            <w:vAlign w:val="center"/>
          </w:tcPr>
          <w:p w14:paraId="7384919B">
            <w:pPr>
              <w:jc w:val="left"/>
              <w:rPr>
                <w:rFonts w:hint="eastAsia" w:ascii="宋体" w:hAnsi="宋体" w:cs="宋体"/>
                <w:bCs/>
                <w:kern w:val="0"/>
                <w:szCs w:val="21"/>
              </w:rPr>
            </w:pPr>
          </w:p>
        </w:tc>
        <w:tc>
          <w:tcPr>
            <w:tcW w:w="875" w:type="dxa"/>
            <w:gridSpan w:val="2"/>
            <w:tcBorders>
              <w:top w:val="nil"/>
              <w:left w:val="nil"/>
              <w:bottom w:val="nil"/>
              <w:right w:val="nil"/>
            </w:tcBorders>
            <w:noWrap w:val="0"/>
            <w:vAlign w:val="center"/>
          </w:tcPr>
          <w:p w14:paraId="0EFBE5D0">
            <w:pPr>
              <w:jc w:val="left"/>
              <w:rPr>
                <w:rFonts w:hint="eastAsia" w:ascii="宋体" w:hAnsi="宋体" w:cs="宋体"/>
                <w:bCs/>
                <w:kern w:val="0"/>
                <w:szCs w:val="21"/>
              </w:rPr>
            </w:pPr>
          </w:p>
        </w:tc>
      </w:tr>
      <w:tr w14:paraId="72F743F6">
        <w:tblPrEx>
          <w:tblCellMar>
            <w:top w:w="0" w:type="dxa"/>
            <w:left w:w="108" w:type="dxa"/>
            <w:bottom w:w="0" w:type="dxa"/>
            <w:right w:w="108" w:type="dxa"/>
          </w:tblCellMar>
        </w:tblPrEx>
        <w:trPr>
          <w:trHeight w:val="299" w:hRule="atLeast"/>
        </w:trPr>
        <w:tc>
          <w:tcPr>
            <w:tcW w:w="8804" w:type="dxa"/>
            <w:gridSpan w:val="14"/>
            <w:tcBorders>
              <w:top w:val="nil"/>
              <w:left w:val="nil"/>
              <w:bottom w:val="nil"/>
              <w:right w:val="nil"/>
            </w:tcBorders>
            <w:noWrap w:val="0"/>
            <w:vAlign w:val="center"/>
          </w:tcPr>
          <w:p w14:paraId="3E234D84">
            <w:pPr>
              <w:jc w:val="left"/>
              <w:rPr>
                <w:rFonts w:ascii="Calibri" w:hAnsi="Calibri" w:cs="宋体"/>
                <w:bCs/>
                <w:kern w:val="0"/>
                <w:szCs w:val="21"/>
              </w:rPr>
            </w:pPr>
          </w:p>
        </w:tc>
        <w:tc>
          <w:tcPr>
            <w:tcW w:w="875" w:type="dxa"/>
            <w:gridSpan w:val="2"/>
            <w:tcBorders>
              <w:top w:val="nil"/>
              <w:left w:val="nil"/>
              <w:bottom w:val="nil"/>
              <w:right w:val="nil"/>
            </w:tcBorders>
            <w:noWrap w:val="0"/>
            <w:vAlign w:val="center"/>
          </w:tcPr>
          <w:p w14:paraId="0C3A94CC">
            <w:pPr>
              <w:jc w:val="left"/>
              <w:rPr>
                <w:rFonts w:ascii="Calibri" w:hAnsi="Calibri" w:cs="宋体"/>
                <w:bCs/>
                <w:kern w:val="0"/>
                <w:szCs w:val="21"/>
              </w:rPr>
            </w:pPr>
          </w:p>
        </w:tc>
      </w:tr>
    </w:tbl>
    <w:p w14:paraId="73007764">
      <w:pPr>
        <w:adjustRightInd w:val="0"/>
        <w:snapToGrid w:val="0"/>
        <w:spacing w:line="600" w:lineRule="exact"/>
        <w:ind w:right="210" w:rightChars="100"/>
        <w:rPr>
          <w:rFonts w:hint="eastAsia" w:ascii="仿宋_GB2312" w:hAnsi="仿宋_GB2312" w:eastAsia="仿宋_GB2312" w:cs="仿宋_GB2312"/>
          <w:bCs/>
          <w:sz w:val="34"/>
          <w:szCs w:val="34"/>
        </w:rPr>
      </w:pPr>
    </w:p>
    <w:p w14:paraId="0027488B">
      <w:pPr>
        <w:adjustRightInd w:val="0"/>
        <w:snapToGrid w:val="0"/>
        <w:spacing w:line="600" w:lineRule="exact"/>
        <w:rPr>
          <w:rFonts w:hint="eastAsia" w:ascii="仿宋_GB2312" w:hAnsi="仿宋_GB2312" w:eastAsia="仿宋_GB2312"/>
          <w:sz w:val="34"/>
        </w:rPr>
      </w:pPr>
    </w:p>
    <w:p w14:paraId="4B2FA50C">
      <w:pPr>
        <w:pStyle w:val="5"/>
        <w:rPr>
          <w:rFonts w:hint="eastAsia" w:ascii="仿宋_GB2312" w:hAnsi="仿宋_GB2312" w:eastAsia="仿宋_GB2312"/>
          <w:sz w:val="34"/>
        </w:rPr>
      </w:pPr>
    </w:p>
    <w:p w14:paraId="1AD55366">
      <w:pPr>
        <w:rPr>
          <w:rFonts w:hint="eastAsia" w:ascii="仿宋_GB2312" w:hAnsi="仿宋_GB2312" w:eastAsia="仿宋_GB2312"/>
          <w:sz w:val="34"/>
        </w:rPr>
      </w:pPr>
    </w:p>
    <w:p w14:paraId="1D239644">
      <w:pPr>
        <w:pStyle w:val="5"/>
        <w:rPr>
          <w:rFonts w:hint="eastAsia" w:ascii="仿宋_GB2312" w:hAnsi="仿宋_GB2312" w:eastAsia="仿宋_GB2312"/>
          <w:sz w:val="34"/>
        </w:rPr>
      </w:pPr>
    </w:p>
    <w:p w14:paraId="54EA07B5">
      <w:pPr>
        <w:pStyle w:val="5"/>
        <w:rPr>
          <w:rFonts w:hint="eastAsia"/>
        </w:rPr>
      </w:pPr>
    </w:p>
    <w:p w14:paraId="5E4B86AF">
      <w:pP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附件4</w:t>
      </w:r>
    </w:p>
    <w:p w14:paraId="34173946">
      <w:pPr>
        <w:jc w:val="center"/>
        <w:rPr>
          <w:rFonts w:hint="eastAsia" w:ascii="黑体" w:eastAsia="黑体"/>
          <w:b/>
          <w:sz w:val="44"/>
          <w:szCs w:val="44"/>
        </w:rPr>
      </w:pPr>
      <w:r>
        <w:rPr>
          <w:rFonts w:hint="eastAsia" w:ascii="黑体" w:eastAsia="黑体"/>
          <w:b/>
          <w:sz w:val="44"/>
          <w:szCs w:val="44"/>
        </w:rPr>
        <w:t>相关方环境/安全管理协议</w:t>
      </w:r>
    </w:p>
    <w:p w14:paraId="055E67A7">
      <w:pPr>
        <w:jc w:val="center"/>
        <w:rPr>
          <w:rFonts w:hint="eastAsia"/>
          <w:sz w:val="44"/>
          <w:szCs w:val="44"/>
        </w:rPr>
      </w:pPr>
    </w:p>
    <w:p w14:paraId="39F3024A">
      <w:pPr>
        <w:spacing w:line="520" w:lineRule="exact"/>
        <w:rPr>
          <w:rFonts w:hint="eastAsia" w:ascii="仿宋_GB2312" w:eastAsia="仿宋_GB2312"/>
          <w:sz w:val="28"/>
          <w:szCs w:val="28"/>
        </w:rPr>
      </w:pPr>
      <w:r>
        <w:rPr>
          <w:rFonts w:hint="eastAsia" w:ascii="仿宋_GB2312" w:eastAsia="仿宋_GB2312"/>
          <w:b/>
          <w:bCs/>
          <w:sz w:val="28"/>
          <w:szCs w:val="28"/>
          <w:lang w:val="en-US" w:eastAsia="zh-CN"/>
        </w:rPr>
        <w:t>甲方单位</w:t>
      </w:r>
      <w:r>
        <w:rPr>
          <w:rFonts w:hint="eastAsia" w:ascii="仿宋_GB2312" w:eastAsia="仿宋_GB2312"/>
          <w:b/>
          <w:bCs/>
          <w:sz w:val="28"/>
          <w:szCs w:val="28"/>
        </w:rPr>
        <w:t>：江苏索</w:t>
      </w:r>
      <w:r>
        <w:rPr>
          <w:rFonts w:hint="eastAsia" w:ascii="仿宋_GB2312" w:eastAsia="仿宋_GB2312"/>
          <w:b/>
          <w:bCs/>
          <w:sz w:val="28"/>
          <w:szCs w:val="28"/>
          <w:u w:val="none"/>
        </w:rPr>
        <w:t>普</w:t>
      </w:r>
      <w:r>
        <w:rPr>
          <w:rFonts w:hint="eastAsia" w:ascii="仿宋_GB2312" w:hAnsi="Times New Roman" w:eastAsia="仿宋_GB2312" w:cs="Times New Roman"/>
          <w:b/>
          <w:bCs/>
          <w:sz w:val="28"/>
          <w:szCs w:val="28"/>
          <w:lang w:val="en-US" w:eastAsia="zh-CN"/>
        </w:rPr>
        <w:t>赛瑞装备制造</w:t>
      </w:r>
      <w:r>
        <w:rPr>
          <w:rFonts w:hint="eastAsia" w:ascii="仿宋_GB2312" w:eastAsia="仿宋_GB2312"/>
          <w:b/>
          <w:bCs/>
          <w:sz w:val="28"/>
          <w:szCs w:val="28"/>
          <w:u w:val="none"/>
        </w:rPr>
        <w:t>有限</w:t>
      </w:r>
      <w:r>
        <w:rPr>
          <w:rFonts w:hint="eastAsia" w:ascii="仿宋_GB2312" w:eastAsia="仿宋_GB2312"/>
          <w:b/>
          <w:bCs/>
          <w:sz w:val="28"/>
          <w:szCs w:val="28"/>
        </w:rPr>
        <w:t>公司</w:t>
      </w:r>
      <w:r>
        <w:rPr>
          <w:rFonts w:hint="eastAsia" w:ascii="仿宋_GB2312" w:eastAsia="仿宋_GB2312"/>
          <w:sz w:val="28"/>
          <w:szCs w:val="28"/>
        </w:rPr>
        <w:t xml:space="preserve">     （以下简称“甲方”）</w:t>
      </w:r>
    </w:p>
    <w:p w14:paraId="3E7726C7">
      <w:pPr>
        <w:spacing w:line="520" w:lineRule="exact"/>
        <w:jc w:val="left"/>
        <w:rPr>
          <w:rFonts w:hint="eastAsia" w:ascii="仿宋_GB2312" w:eastAsia="仿宋_GB2312"/>
          <w:sz w:val="28"/>
          <w:szCs w:val="28"/>
        </w:rPr>
      </w:pPr>
      <w:r>
        <w:rPr>
          <w:rFonts w:hint="eastAsia" w:ascii="仿宋_GB2312" w:eastAsia="仿宋_GB2312"/>
          <w:b/>
          <w:bCs/>
          <w:sz w:val="28"/>
          <w:szCs w:val="28"/>
          <w:lang w:val="en-US" w:eastAsia="zh-CN"/>
        </w:rPr>
        <w:t>乙方单位</w:t>
      </w:r>
      <w:r>
        <w:rPr>
          <w:rFonts w:hint="eastAsia" w:ascii="仿宋_GB2312" w:eastAsia="仿宋_GB2312"/>
          <w:b/>
          <w:bCs/>
          <w:sz w:val="28"/>
          <w:szCs w:val="28"/>
        </w:rPr>
        <w:t>：</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（以下简称“乙方”）</w:t>
      </w:r>
    </w:p>
    <w:p w14:paraId="49F1DE90">
      <w:pPr>
        <w:spacing w:line="520" w:lineRule="exact"/>
        <w:ind w:firstLine="523" w:firstLineChars="187"/>
        <w:rPr>
          <w:rFonts w:ascii="仿宋_GB2312" w:eastAsia="仿宋_GB2312"/>
          <w:sz w:val="28"/>
          <w:szCs w:val="28"/>
        </w:rPr>
      </w:pPr>
    </w:p>
    <w:p w14:paraId="3901F210">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为维护良好的作业环境，保障双方作业人员的生命健康安全，为相关方创造良好的环境/安全（生产、经营、作业）条件，明确甲、乙双方的环境/安全生产责任、权利和义务，以符合甲方环境、安全、职业健康方针要求，根据《中华人民共和国安全生产法》、《中华人民共和国合同法》、《中华人民共和国环境保护法》等有关法律、法规，甲、乙双方在平等协商的基础上，达成如下环境/安全管理协议，供双方共同遵守执行：</w:t>
      </w:r>
    </w:p>
    <w:p w14:paraId="496ABA7B">
      <w:pPr>
        <w:numPr>
          <w:ilvl w:val="0"/>
          <w:numId w:val="3"/>
        </w:numPr>
        <w:spacing w:line="520" w:lineRule="exact"/>
        <w:ind w:firstLine="526" w:firstLineChars="187"/>
        <w:rPr>
          <w:rFonts w:hint="eastAsia" w:ascii="仿宋_GB2312" w:eastAsia="仿宋_GB2312"/>
          <w:b/>
          <w:bCs/>
          <w:sz w:val="28"/>
          <w:szCs w:val="28"/>
        </w:rPr>
      </w:pPr>
      <w:r>
        <w:rPr>
          <w:rFonts w:hint="eastAsia" w:ascii="仿宋_GB2312" w:eastAsia="仿宋_GB2312"/>
          <w:b/>
          <w:bCs/>
          <w:sz w:val="28"/>
          <w:szCs w:val="28"/>
        </w:rPr>
        <w:t>适用对象和范围</w:t>
      </w:r>
    </w:p>
    <w:p w14:paraId="785F374E">
      <w:pPr>
        <w:spacing w:line="520" w:lineRule="exact"/>
        <w:ind w:firstLine="560" w:firstLineChars="200"/>
        <w:rPr>
          <w:rFonts w:ascii="仿宋_GB2312" w:eastAsia="仿宋_GB2312"/>
          <w:sz w:val="28"/>
          <w:szCs w:val="28"/>
        </w:rPr>
      </w:pPr>
      <w:r>
        <w:rPr>
          <w:rFonts w:hint="eastAsia" w:ascii="仿宋_GB2312" w:eastAsia="仿宋_GB2312"/>
          <w:sz w:val="28"/>
          <w:szCs w:val="28"/>
        </w:rPr>
        <w:t>乙方系具有独立承担民事责任资格的在甲方从事如下作业的单位：</w:t>
      </w:r>
    </w:p>
    <w:p w14:paraId="3AB82B91">
      <w:pPr>
        <w:numPr>
          <w:ilvl w:val="0"/>
          <w:numId w:val="4"/>
        </w:num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承接甲方</w:t>
      </w:r>
      <w:r>
        <w:rPr>
          <w:rFonts w:hint="eastAsia" w:ascii="仿宋_GB2312" w:eastAsia="仿宋_GB2312"/>
          <w:sz w:val="28"/>
          <w:szCs w:val="28"/>
          <w:lang w:val="en-US" w:eastAsia="zh-CN"/>
        </w:rPr>
        <w:t>业务</w:t>
      </w:r>
      <w:r>
        <w:rPr>
          <w:rFonts w:hint="eastAsia" w:ascii="仿宋_GB2312" w:eastAsia="仿宋_GB2312"/>
          <w:sz w:val="28"/>
          <w:szCs w:val="28"/>
        </w:rPr>
        <w:t>（包括但不限于</w:t>
      </w:r>
      <w:r>
        <w:rPr>
          <w:rFonts w:hint="eastAsia" w:ascii="仿宋_GB2312" w:eastAsia="仿宋_GB2312"/>
          <w:sz w:val="28"/>
          <w:szCs w:val="28"/>
          <w:lang w:val="en-US" w:eastAsia="zh-CN"/>
        </w:rPr>
        <w:t>设备制造、</w:t>
      </w:r>
      <w:r>
        <w:rPr>
          <w:rFonts w:hint="eastAsia" w:ascii="仿宋_GB2312" w:eastAsia="仿宋_GB2312"/>
          <w:sz w:val="28"/>
          <w:szCs w:val="28"/>
        </w:rPr>
        <w:t>土建施工、工程安装、防腐保温、设备检修、起重吊装）。</w:t>
      </w:r>
    </w:p>
    <w:p w14:paraId="0E20F511">
      <w:pPr>
        <w:numPr>
          <w:ilvl w:val="0"/>
          <w:numId w:val="4"/>
        </w:num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向甲方输出劳务。</w:t>
      </w:r>
    </w:p>
    <w:p w14:paraId="6F6B41FE">
      <w:pPr>
        <w:numPr>
          <w:ilvl w:val="0"/>
          <w:numId w:val="4"/>
        </w:numPr>
        <w:spacing w:line="520" w:lineRule="exact"/>
        <w:ind w:firstLine="523" w:firstLineChars="187"/>
        <w:rPr>
          <w:rFonts w:ascii="仿宋_GB2312" w:eastAsia="仿宋_GB2312"/>
          <w:sz w:val="28"/>
          <w:szCs w:val="28"/>
        </w:rPr>
      </w:pPr>
      <w:r>
        <w:rPr>
          <w:rFonts w:hint="eastAsia" w:ascii="仿宋_GB2312" w:eastAsia="仿宋_GB2312"/>
          <w:sz w:val="28"/>
          <w:szCs w:val="28"/>
        </w:rPr>
        <w:t>与</w:t>
      </w:r>
      <w:r>
        <w:rPr>
          <w:rFonts w:hint="eastAsia" w:ascii="仿宋_GB2312" w:eastAsia="仿宋_GB2312"/>
          <w:sz w:val="28"/>
          <w:szCs w:val="28"/>
          <w:lang w:val="en-US" w:eastAsia="zh-CN"/>
        </w:rPr>
        <w:t>业务</w:t>
      </w:r>
      <w:r>
        <w:rPr>
          <w:rFonts w:hint="eastAsia" w:ascii="仿宋_GB2312" w:eastAsia="仿宋_GB2312"/>
          <w:sz w:val="28"/>
          <w:szCs w:val="28"/>
        </w:rPr>
        <w:t>相关的作业（如探伤、吹扫</w:t>
      </w:r>
      <w:r>
        <w:rPr>
          <w:rFonts w:hint="eastAsia" w:ascii="仿宋_GB2312" w:eastAsia="仿宋_GB2312"/>
          <w:sz w:val="28"/>
          <w:szCs w:val="28"/>
          <w:lang w:eastAsia="zh-CN"/>
        </w:rPr>
        <w:t>、</w:t>
      </w:r>
      <w:r>
        <w:rPr>
          <w:rFonts w:hint="eastAsia" w:ascii="仿宋_GB2312" w:eastAsia="仿宋_GB2312"/>
          <w:sz w:val="28"/>
          <w:szCs w:val="28"/>
          <w:lang w:val="en-US" w:eastAsia="zh-CN"/>
        </w:rPr>
        <w:t>设备制造</w:t>
      </w:r>
      <w:r>
        <w:rPr>
          <w:rFonts w:hint="eastAsia" w:ascii="仿宋_GB2312" w:eastAsia="仿宋_GB2312"/>
          <w:sz w:val="28"/>
          <w:szCs w:val="28"/>
        </w:rPr>
        <w:t>等）。</w:t>
      </w:r>
    </w:p>
    <w:p w14:paraId="17D676DA">
      <w:pPr>
        <w:numPr>
          <w:ilvl w:val="0"/>
          <w:numId w:val="4"/>
        </w:num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与</w:t>
      </w:r>
      <w:bookmarkStart w:id="0" w:name="_Hlk37010932"/>
      <w:r>
        <w:rPr>
          <w:rFonts w:hint="eastAsia" w:ascii="仿宋_GB2312" w:eastAsia="仿宋_GB2312"/>
          <w:sz w:val="28"/>
          <w:szCs w:val="28"/>
          <w:lang w:val="en-US" w:eastAsia="zh-CN"/>
        </w:rPr>
        <w:t>业务</w:t>
      </w:r>
      <w:r>
        <w:rPr>
          <w:rFonts w:hint="eastAsia" w:ascii="仿宋_GB2312" w:eastAsia="仿宋_GB2312"/>
          <w:sz w:val="28"/>
          <w:szCs w:val="28"/>
        </w:rPr>
        <w:t>相关“三废”处置</w:t>
      </w:r>
      <w:bookmarkEnd w:id="0"/>
      <w:r>
        <w:rPr>
          <w:rFonts w:hint="eastAsia" w:ascii="仿宋_GB2312" w:eastAsia="仿宋_GB2312"/>
          <w:sz w:val="28"/>
          <w:szCs w:val="28"/>
        </w:rPr>
        <w:t>（含运输）。</w:t>
      </w:r>
    </w:p>
    <w:p w14:paraId="2B69C8F5">
      <w:pPr>
        <w:spacing w:line="520" w:lineRule="exact"/>
        <w:ind w:left="393" w:leftChars="187"/>
        <w:rPr>
          <w:rFonts w:hint="eastAsia" w:ascii="仿宋_GB2312" w:eastAsia="仿宋_GB2312"/>
          <w:b/>
          <w:bCs/>
          <w:sz w:val="28"/>
          <w:szCs w:val="28"/>
        </w:rPr>
      </w:pPr>
      <w:r>
        <w:rPr>
          <w:rFonts w:hint="eastAsia" w:ascii="仿宋_GB2312" w:eastAsia="仿宋_GB2312"/>
          <w:b/>
          <w:bCs/>
          <w:sz w:val="28"/>
          <w:szCs w:val="28"/>
        </w:rPr>
        <w:t>二、双方应当遵循的基本原则</w:t>
      </w:r>
    </w:p>
    <w:p w14:paraId="0EC12038">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1、乙方应具有有效承接主体合同项下所指</w:t>
      </w:r>
      <w:r>
        <w:rPr>
          <w:rFonts w:hint="eastAsia" w:ascii="仿宋_GB2312" w:eastAsia="仿宋_GB2312"/>
          <w:sz w:val="28"/>
          <w:szCs w:val="28"/>
          <w:lang w:val="en-US" w:eastAsia="zh-CN"/>
        </w:rPr>
        <w:t>业务</w:t>
      </w:r>
      <w:r>
        <w:rPr>
          <w:rFonts w:hint="eastAsia" w:ascii="仿宋_GB2312" w:eastAsia="仿宋_GB2312"/>
          <w:sz w:val="28"/>
          <w:szCs w:val="28"/>
        </w:rPr>
        <w:t>必须具备的相关资质（有效的工商营业执照、税务登记证、生产许可证、安全生产许可证等）等文件资料，并接受甲方相关部门的审查。凡属国家规定的特种作业人员（如：电工、电气焊工、登高架设工、塔吊起重工、信号工、机械操作工等工种），必须按</w:t>
      </w:r>
      <w:r>
        <w:rPr>
          <w:rFonts w:hint="eastAsia" w:ascii="仿宋_GB2312" w:eastAsia="仿宋_GB2312"/>
          <w:sz w:val="28"/>
          <w:szCs w:val="28"/>
          <w:lang w:val="en-US" w:eastAsia="zh-CN"/>
        </w:rPr>
        <w:t>国家应急管理部及</w:t>
      </w:r>
      <w:r>
        <w:rPr>
          <w:rFonts w:hint="eastAsia" w:ascii="仿宋_GB2312" w:eastAsia="仿宋_GB2312"/>
          <w:sz w:val="28"/>
          <w:szCs w:val="28"/>
        </w:rPr>
        <w:t>国家建设部规定要求持证上岗，即须提供与从事的作业内容相符合的特种作业人员的有效资格证书。</w:t>
      </w:r>
    </w:p>
    <w:p w14:paraId="15418A15">
      <w:pPr>
        <w:spacing w:line="520" w:lineRule="exact"/>
        <w:ind w:firstLine="523" w:firstLineChars="187"/>
        <w:rPr>
          <w:rFonts w:ascii="仿宋_GB2312" w:eastAsia="仿宋_GB2312"/>
          <w:sz w:val="28"/>
          <w:szCs w:val="28"/>
        </w:rPr>
      </w:pPr>
      <w:r>
        <w:rPr>
          <w:rFonts w:hint="eastAsia" w:ascii="仿宋_GB2312" w:eastAsia="仿宋_GB2312"/>
          <w:sz w:val="28"/>
          <w:szCs w:val="28"/>
        </w:rPr>
        <w:t>2、乙方必须严格按照</w:t>
      </w:r>
      <w:r>
        <w:rPr>
          <w:rFonts w:hint="eastAsia" w:ascii="仿宋_GB2312" w:eastAsia="仿宋_GB2312"/>
          <w:sz w:val="28"/>
          <w:szCs w:val="28"/>
          <w:lang w:val="en-US" w:eastAsia="zh-CN"/>
        </w:rPr>
        <w:t>国家应急管理部相关法律法规</w:t>
      </w:r>
      <w:r>
        <w:rPr>
          <w:rFonts w:hint="eastAsia" w:ascii="仿宋_GB2312" w:eastAsia="仿宋_GB2312"/>
          <w:sz w:val="28"/>
          <w:szCs w:val="28"/>
        </w:rPr>
        <w:t>，落实施工</w:t>
      </w:r>
      <w:r>
        <w:rPr>
          <w:rFonts w:hint="eastAsia" w:ascii="仿宋_GB2312" w:eastAsia="仿宋_GB2312"/>
          <w:sz w:val="28"/>
          <w:szCs w:val="28"/>
          <w:lang w:val="en-US" w:eastAsia="zh-CN"/>
        </w:rPr>
        <w:t>作业</w:t>
      </w:r>
      <w:r>
        <w:rPr>
          <w:rFonts w:hint="eastAsia" w:ascii="仿宋_GB2312" w:eastAsia="仿宋_GB2312"/>
          <w:sz w:val="28"/>
          <w:szCs w:val="28"/>
        </w:rPr>
        <w:t>过程中的安全管理，加强安全生产基础工作，及时消除安全隐患、预防事故的发生；同时须严格执行《</w:t>
      </w:r>
      <w:r>
        <w:rPr>
          <w:rFonts w:hint="eastAsia" w:ascii="仿宋_GB2312" w:eastAsia="仿宋_GB2312"/>
          <w:sz w:val="28"/>
          <w:szCs w:val="28"/>
          <w:lang w:val="en-US" w:eastAsia="zh-CN"/>
        </w:rPr>
        <w:t>设备制作</w:t>
      </w:r>
      <w:r>
        <w:rPr>
          <w:rFonts w:hint="eastAsia" w:ascii="仿宋_GB2312" w:eastAsia="仿宋_GB2312"/>
          <w:sz w:val="28"/>
          <w:szCs w:val="28"/>
        </w:rPr>
        <w:t>安全技术手册》与《企业安全生产标准化基本规范》及索普集团关于《产业项目安全管理制度》的有关规定，认真执行本协议明确的安全要求和责任，并服从业主与甲方的管理。</w:t>
      </w:r>
    </w:p>
    <w:p w14:paraId="7B050C9B">
      <w:pPr>
        <w:spacing w:line="520" w:lineRule="exact"/>
        <w:ind w:firstLine="523" w:firstLineChars="187"/>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、乙方在进场作业前，甲方要与乙方作业人员进行现场安全交底（包括：作业过程中可能出现的泄漏、火灾、爆炸、中毒窒息、触电、坠落、物体打击和机械伤害等方面的危害信息），审查乙方编制的施工</w:t>
      </w:r>
      <w:r>
        <w:rPr>
          <w:rFonts w:hint="eastAsia" w:ascii="仿宋_GB2312" w:eastAsia="仿宋_GB2312"/>
          <w:sz w:val="28"/>
          <w:szCs w:val="28"/>
          <w:lang w:val="en-US" w:eastAsia="zh-CN"/>
        </w:rPr>
        <w:t>作业</w:t>
      </w:r>
      <w:r>
        <w:rPr>
          <w:rFonts w:hint="eastAsia" w:ascii="仿宋_GB2312" w:eastAsia="仿宋_GB2312"/>
          <w:sz w:val="28"/>
          <w:szCs w:val="28"/>
        </w:rPr>
        <w:t>方案和作业安全措施。同时，乙方必须到甲方安全环保</w:t>
      </w:r>
      <w:r>
        <w:rPr>
          <w:rFonts w:hint="eastAsia" w:ascii="仿宋_GB2312" w:eastAsia="仿宋_GB2312"/>
          <w:sz w:val="28"/>
          <w:szCs w:val="28"/>
          <w:lang w:val="en-US" w:eastAsia="zh-CN"/>
        </w:rPr>
        <w:t>部</w:t>
      </w:r>
      <w:r>
        <w:rPr>
          <w:rFonts w:hint="eastAsia" w:ascii="仿宋_GB2312" w:eastAsia="仿宋_GB2312"/>
          <w:sz w:val="28"/>
          <w:szCs w:val="28"/>
        </w:rPr>
        <w:t>签订《相关方环境/安全管理协议》，明确双方安全管理范围与责任。</w:t>
      </w:r>
    </w:p>
    <w:p w14:paraId="08C0065C">
      <w:pPr>
        <w:spacing w:line="520" w:lineRule="exact"/>
        <w:ind w:firstLine="523" w:firstLineChars="187"/>
        <w:rPr>
          <w:rFonts w:hint="eastAsia" w:ascii="仿宋_GB2312" w:eastAsia="仿宋_GB2312"/>
          <w:sz w:val="28"/>
          <w:szCs w:val="28"/>
        </w:rPr>
      </w:pPr>
      <w:r>
        <w:rPr>
          <w:rFonts w:ascii="仿宋_GB2312" w:eastAsia="仿宋_GB2312"/>
          <w:sz w:val="28"/>
          <w:szCs w:val="28"/>
        </w:rPr>
        <w:t>4</w:t>
      </w:r>
      <w:r>
        <w:rPr>
          <w:rFonts w:hint="eastAsia" w:ascii="仿宋_GB2312" w:eastAsia="仿宋_GB2312"/>
          <w:sz w:val="28"/>
          <w:szCs w:val="28"/>
        </w:rPr>
        <w:t>、乙方应主动接受甲方安全环保</w:t>
      </w:r>
      <w:r>
        <w:rPr>
          <w:rFonts w:hint="eastAsia" w:ascii="仿宋_GB2312" w:eastAsia="仿宋_GB2312"/>
          <w:sz w:val="28"/>
          <w:szCs w:val="28"/>
          <w:lang w:val="en-US" w:eastAsia="zh-CN"/>
        </w:rPr>
        <w:t>部</w:t>
      </w:r>
      <w:r>
        <w:rPr>
          <w:rFonts w:hint="eastAsia" w:ascii="仿宋_GB2312" w:eastAsia="仿宋_GB2312"/>
          <w:sz w:val="28"/>
          <w:szCs w:val="28"/>
        </w:rPr>
        <w:t>对乙方参加作业的所有员工进行的安全环保教育培训，掌握与作业相关的所有危害信息和应急预案。经甲方教育培训、考核合格的乙方员工，由安全环保</w:t>
      </w:r>
      <w:r>
        <w:rPr>
          <w:rFonts w:hint="eastAsia" w:ascii="仿宋_GB2312" w:eastAsia="仿宋_GB2312"/>
          <w:sz w:val="28"/>
          <w:szCs w:val="28"/>
          <w:lang w:val="en-US" w:eastAsia="zh-CN"/>
        </w:rPr>
        <w:t>部</w:t>
      </w:r>
      <w:r>
        <w:rPr>
          <w:rFonts w:hint="eastAsia" w:ascii="仿宋_GB2312" w:eastAsia="仿宋_GB2312"/>
          <w:sz w:val="28"/>
          <w:szCs w:val="28"/>
        </w:rPr>
        <w:t>办理《外工上岗证》，乙方员工凭《外工上岗证》方可进行上岗作业。乙方在未签订本协议，员工未取得《外工上岗证》前，一律不得进场作业；作业必须在《外工上岗证》规定的有效期内进行，作业结束或有效期满，乙方应主动向甲方交还《外工上岗证》。</w:t>
      </w:r>
    </w:p>
    <w:p w14:paraId="48D00273">
      <w:pPr>
        <w:spacing w:line="520" w:lineRule="exact"/>
        <w:ind w:firstLine="523" w:firstLineChars="187"/>
        <w:rPr>
          <w:rFonts w:hint="eastAsia" w:ascii="仿宋_GB2312" w:eastAsia="仿宋_GB2312"/>
          <w:sz w:val="28"/>
          <w:szCs w:val="28"/>
        </w:rPr>
      </w:pPr>
      <w:r>
        <w:rPr>
          <w:rFonts w:ascii="仿宋_GB2312" w:eastAsia="仿宋_GB2312"/>
          <w:sz w:val="28"/>
          <w:szCs w:val="28"/>
        </w:rPr>
        <w:t>5</w:t>
      </w:r>
      <w:r>
        <w:rPr>
          <w:rFonts w:hint="eastAsia" w:ascii="仿宋_GB2312" w:eastAsia="仿宋_GB2312"/>
          <w:sz w:val="28"/>
          <w:szCs w:val="28"/>
        </w:rPr>
        <w:t>、甲方安全环保</w:t>
      </w:r>
      <w:r>
        <w:rPr>
          <w:rFonts w:hint="eastAsia" w:ascii="仿宋_GB2312" w:eastAsia="仿宋_GB2312"/>
          <w:sz w:val="28"/>
          <w:szCs w:val="28"/>
          <w:lang w:val="en-US" w:eastAsia="zh-CN"/>
        </w:rPr>
        <w:t>部</w:t>
      </w:r>
      <w:r>
        <w:rPr>
          <w:rFonts w:hint="eastAsia" w:ascii="仿宋_GB2312" w:eastAsia="仿宋_GB2312"/>
          <w:sz w:val="28"/>
          <w:szCs w:val="28"/>
        </w:rPr>
        <w:t>视作业项目的规模、作业时间长短和作业危险性等向乙方收取一定数额的安全保证金。作业结束时，无息返还乙方（但经安全环保</w:t>
      </w:r>
      <w:r>
        <w:rPr>
          <w:rFonts w:hint="eastAsia" w:ascii="仿宋_GB2312" w:eastAsia="仿宋_GB2312"/>
          <w:sz w:val="28"/>
          <w:szCs w:val="28"/>
          <w:lang w:val="en-US" w:eastAsia="zh-CN"/>
        </w:rPr>
        <w:t>部</w:t>
      </w:r>
      <w:r>
        <w:rPr>
          <w:rFonts w:hint="eastAsia" w:ascii="仿宋_GB2312" w:eastAsia="仿宋_GB2312"/>
          <w:sz w:val="28"/>
          <w:szCs w:val="28"/>
        </w:rPr>
        <w:t>对乙方作业过程中的安全绩效评价后认为乙方违反相关安全管理规定的除外）。</w:t>
      </w:r>
    </w:p>
    <w:p w14:paraId="5E556469">
      <w:pPr>
        <w:spacing w:line="520" w:lineRule="exact"/>
        <w:ind w:firstLine="523" w:firstLineChars="187"/>
        <w:rPr>
          <w:rFonts w:hint="eastAsia" w:ascii="仿宋_GB2312" w:eastAsia="仿宋_GB2312"/>
          <w:sz w:val="28"/>
          <w:szCs w:val="28"/>
        </w:rPr>
      </w:pPr>
      <w:r>
        <w:rPr>
          <w:rFonts w:ascii="仿宋_GB2312" w:eastAsia="仿宋_GB2312"/>
          <w:sz w:val="28"/>
          <w:szCs w:val="28"/>
        </w:rPr>
        <w:t>6</w:t>
      </w:r>
      <w:r>
        <w:rPr>
          <w:rFonts w:hint="eastAsia" w:ascii="仿宋_GB2312" w:eastAsia="仿宋_GB2312"/>
          <w:sz w:val="28"/>
          <w:szCs w:val="28"/>
        </w:rPr>
        <w:t>、乙方须任命或指定专人作为该项目安全/环保管理责任人，以协调作业过程中的安全/环保有关事务。安全/环保管理责任人应保持与甲方安全环保</w:t>
      </w:r>
      <w:r>
        <w:rPr>
          <w:rFonts w:hint="eastAsia" w:ascii="仿宋_GB2312" w:eastAsia="仿宋_GB2312"/>
          <w:sz w:val="28"/>
          <w:szCs w:val="28"/>
          <w:lang w:val="en-US" w:eastAsia="zh-CN"/>
        </w:rPr>
        <w:t>部</w:t>
      </w:r>
      <w:r>
        <w:rPr>
          <w:rFonts w:hint="eastAsia" w:ascii="仿宋_GB2312" w:eastAsia="仿宋_GB2312"/>
          <w:sz w:val="28"/>
          <w:szCs w:val="28"/>
        </w:rPr>
        <w:t>的有效联络。乙方不得在</w:t>
      </w:r>
      <w:r>
        <w:rPr>
          <w:rFonts w:hint="eastAsia" w:ascii="仿宋_GB2312" w:eastAsia="仿宋_GB2312"/>
          <w:sz w:val="28"/>
          <w:szCs w:val="28"/>
          <w:lang w:val="en-US" w:eastAsia="zh-CN"/>
        </w:rPr>
        <w:t>作业</w:t>
      </w:r>
      <w:r>
        <w:rPr>
          <w:rFonts w:hint="eastAsia" w:ascii="仿宋_GB2312" w:eastAsia="仿宋_GB2312"/>
          <w:sz w:val="28"/>
          <w:szCs w:val="28"/>
        </w:rPr>
        <w:t>过程中擅自更换(工程技术、安全、质量)管理人员以及关系到</w:t>
      </w:r>
      <w:r>
        <w:rPr>
          <w:rFonts w:hint="eastAsia" w:ascii="仿宋_GB2312" w:eastAsia="仿宋_GB2312"/>
          <w:sz w:val="28"/>
          <w:szCs w:val="28"/>
          <w:lang w:val="en-US" w:eastAsia="zh-CN"/>
        </w:rPr>
        <w:t>作业</w:t>
      </w:r>
      <w:r>
        <w:rPr>
          <w:rFonts w:hint="eastAsia" w:ascii="仿宋_GB2312" w:eastAsia="仿宋_GB2312"/>
          <w:sz w:val="28"/>
          <w:szCs w:val="28"/>
        </w:rPr>
        <w:t>安全及质量的特殊工种人员,特殊情况需要更换人员时需征得甲方的同意,并对新参加的人员进行相应的安全教育,培训和考核,合格后方可使用。</w:t>
      </w:r>
    </w:p>
    <w:p w14:paraId="6E0CD429">
      <w:pPr>
        <w:spacing w:line="520" w:lineRule="exact"/>
        <w:ind w:firstLine="523" w:firstLineChars="187"/>
        <w:rPr>
          <w:rFonts w:ascii="仿宋_GB2312" w:eastAsia="仿宋_GB2312"/>
          <w:sz w:val="28"/>
          <w:szCs w:val="28"/>
        </w:rPr>
      </w:pPr>
      <w:r>
        <w:rPr>
          <w:rFonts w:ascii="仿宋_GB2312" w:eastAsia="仿宋_GB2312"/>
          <w:sz w:val="28"/>
          <w:szCs w:val="28"/>
        </w:rPr>
        <w:t>7</w:t>
      </w:r>
      <w:r>
        <w:rPr>
          <w:rFonts w:hint="eastAsia" w:ascii="仿宋_GB2312" w:eastAsia="仿宋_GB2312"/>
          <w:sz w:val="28"/>
          <w:szCs w:val="28"/>
        </w:rPr>
        <w:t>、双方必须严守因履行主体合同及本协议而知悉的可能涉及的对方的技术秘密和业务机密，不因主体合同与本协议解除、终止而终止。</w:t>
      </w:r>
    </w:p>
    <w:p w14:paraId="107B26E0">
      <w:pPr>
        <w:spacing w:line="520" w:lineRule="exact"/>
        <w:ind w:firstLine="526" w:firstLineChars="187"/>
        <w:rPr>
          <w:rFonts w:hint="eastAsia" w:ascii="仿宋_GB2312" w:eastAsia="仿宋_GB2312"/>
          <w:b/>
          <w:bCs/>
          <w:sz w:val="28"/>
          <w:szCs w:val="28"/>
        </w:rPr>
      </w:pPr>
      <w:r>
        <w:rPr>
          <w:rFonts w:hint="eastAsia" w:ascii="仿宋_GB2312" w:eastAsia="仿宋_GB2312"/>
          <w:b/>
          <w:bCs/>
          <w:sz w:val="28"/>
          <w:szCs w:val="28"/>
        </w:rPr>
        <w:t>三、甲方的权利、义务</w:t>
      </w:r>
    </w:p>
    <w:p w14:paraId="4EB1C5E1">
      <w:pPr>
        <w:spacing w:line="520" w:lineRule="exact"/>
        <w:ind w:firstLine="523" w:firstLineChars="187"/>
        <w:rPr>
          <w:rFonts w:ascii="仿宋_GB2312" w:eastAsia="仿宋_GB2312"/>
          <w:sz w:val="28"/>
          <w:szCs w:val="28"/>
        </w:rPr>
      </w:pPr>
      <w:r>
        <w:rPr>
          <w:rFonts w:hint="eastAsia" w:ascii="仿宋_GB2312" w:eastAsia="仿宋_GB2312"/>
          <w:sz w:val="28"/>
          <w:szCs w:val="28"/>
        </w:rPr>
        <w:t>1、甲方根据甲乙双方合同、为乙方提供符合国家法律法规和规范要求的安全管理制度，并对乙方贯彻落实国家安全环保相关法律、法规和规范要求及甲方的安全制度的执行情况进行检查。</w:t>
      </w:r>
    </w:p>
    <w:p w14:paraId="2180A0AD">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2、甲方应当为乙方提供安全、规范的作业现场，承诺不因其过错或消极不作为而给乙方造成安全隐患。</w:t>
      </w:r>
    </w:p>
    <w:p w14:paraId="28E88FED">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3、对乙方报送的</w:t>
      </w:r>
      <w:r>
        <w:rPr>
          <w:rFonts w:hint="eastAsia" w:ascii="仿宋_GB2312" w:eastAsia="仿宋_GB2312"/>
          <w:sz w:val="28"/>
          <w:szCs w:val="28"/>
          <w:lang w:val="en-US" w:eastAsia="zh-CN"/>
        </w:rPr>
        <w:t>作业</w:t>
      </w:r>
      <w:r>
        <w:rPr>
          <w:rFonts w:hint="eastAsia" w:ascii="仿宋_GB2312" w:eastAsia="仿宋_GB2312"/>
          <w:sz w:val="28"/>
          <w:szCs w:val="28"/>
        </w:rPr>
        <w:t>方案（包括安全方案）进行审核，并监督乙方实施。</w:t>
      </w:r>
    </w:p>
    <w:p w14:paraId="56CAE41E">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4、甲方相关职能部门应配合乙方办理、审批各类安全作业票证，协助乙方解决作业过程的安全环保方面问题。</w:t>
      </w:r>
    </w:p>
    <w:p w14:paraId="1414DEAB">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5、按《承包商安全管理制度》的规定对整个施工</w:t>
      </w:r>
      <w:r>
        <w:rPr>
          <w:rFonts w:hint="eastAsia" w:ascii="仿宋_GB2312" w:eastAsia="仿宋_GB2312"/>
          <w:sz w:val="28"/>
          <w:szCs w:val="28"/>
          <w:lang w:val="en-US" w:eastAsia="zh-CN"/>
        </w:rPr>
        <w:t>作业</w:t>
      </w:r>
      <w:r>
        <w:rPr>
          <w:rFonts w:hint="eastAsia" w:ascii="仿宋_GB2312" w:eastAsia="仿宋_GB2312"/>
          <w:sz w:val="28"/>
          <w:szCs w:val="28"/>
        </w:rPr>
        <w:t>现场的安全环保管理工作进行协调和监督管理。指导、监督、检查乙方的安全环保管理工作，对乙方施工</w:t>
      </w:r>
      <w:r>
        <w:rPr>
          <w:rFonts w:hint="eastAsia" w:ascii="仿宋_GB2312" w:eastAsia="仿宋_GB2312"/>
          <w:sz w:val="28"/>
          <w:szCs w:val="28"/>
          <w:lang w:val="en-US" w:eastAsia="zh-CN"/>
        </w:rPr>
        <w:t>作业</w:t>
      </w:r>
      <w:r>
        <w:rPr>
          <w:rFonts w:hint="eastAsia" w:ascii="仿宋_GB2312" w:eastAsia="仿宋_GB2312"/>
          <w:sz w:val="28"/>
          <w:szCs w:val="28"/>
        </w:rPr>
        <w:t>中的违章指挥，违章作业和安全隐患有权责令乙方立即整改、排除，督促、检查乙方的隐患整改落实情况，必要时协助乙方进行隐患整改工作。当乙方不能如期整改，有权单方终止与乙方间主体合同的履行，直至将乙方清除出场而不视为甲方违约。</w:t>
      </w:r>
    </w:p>
    <w:p w14:paraId="42081E91">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6、甲方对乙方进行安全检查时，有权向乙方询问有关安全措施落实情况，调阅有关安全措施资料，指导或提出安检意见和建议。</w:t>
      </w:r>
    </w:p>
    <w:p w14:paraId="43723ADC">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7、对乙方在施工</w:t>
      </w:r>
      <w:r>
        <w:rPr>
          <w:rFonts w:hint="eastAsia" w:ascii="仿宋_GB2312" w:eastAsia="仿宋_GB2312"/>
          <w:sz w:val="28"/>
          <w:szCs w:val="28"/>
          <w:lang w:val="en-US" w:eastAsia="zh-CN"/>
        </w:rPr>
        <w:t>作业</w:t>
      </w:r>
      <w:r>
        <w:rPr>
          <w:rFonts w:hint="eastAsia" w:ascii="仿宋_GB2312" w:eastAsia="仿宋_GB2312"/>
          <w:sz w:val="28"/>
          <w:szCs w:val="28"/>
        </w:rPr>
        <w:t>过程中违反有关安全管理规定、有违章现象发生、安全问题整改不到位或拒不接受甲方的正常安全管理的，根据问题的严重程度，依据甲方的施工</w:t>
      </w:r>
      <w:r>
        <w:rPr>
          <w:rFonts w:hint="eastAsia" w:ascii="仿宋_GB2312" w:eastAsia="仿宋_GB2312"/>
          <w:sz w:val="28"/>
          <w:szCs w:val="28"/>
          <w:lang w:val="en-US" w:eastAsia="zh-CN"/>
        </w:rPr>
        <w:t>作业</w:t>
      </w:r>
      <w:r>
        <w:rPr>
          <w:rFonts w:hint="eastAsia" w:ascii="仿宋_GB2312" w:eastAsia="仿宋_GB2312"/>
          <w:sz w:val="28"/>
          <w:szCs w:val="28"/>
        </w:rPr>
        <w:t>现场奖惩规定进行处罚，乙方对此不持异议。</w:t>
      </w:r>
    </w:p>
    <w:p w14:paraId="6C62D391">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8、当生产中出现可能影响施工</w:t>
      </w:r>
      <w:r>
        <w:rPr>
          <w:rFonts w:hint="eastAsia" w:ascii="仿宋_GB2312" w:eastAsia="仿宋_GB2312"/>
          <w:sz w:val="28"/>
          <w:szCs w:val="28"/>
          <w:lang w:val="en-US" w:eastAsia="zh-CN"/>
        </w:rPr>
        <w:t>作业</w:t>
      </w:r>
      <w:r>
        <w:rPr>
          <w:rFonts w:hint="eastAsia" w:ascii="仿宋_GB2312" w:eastAsia="仿宋_GB2312"/>
          <w:sz w:val="28"/>
          <w:szCs w:val="28"/>
        </w:rPr>
        <w:t>安全的因素时，甲方及甲方相关部门、相关分子公司应立即通知乙方，紧急情况下可直接通知现场施工</w:t>
      </w:r>
      <w:r>
        <w:rPr>
          <w:rFonts w:hint="eastAsia" w:ascii="仿宋_GB2312" w:eastAsia="仿宋_GB2312"/>
          <w:sz w:val="28"/>
          <w:szCs w:val="28"/>
          <w:lang w:val="en-US" w:eastAsia="zh-CN"/>
        </w:rPr>
        <w:t>作业</w:t>
      </w:r>
      <w:r>
        <w:rPr>
          <w:rFonts w:hint="eastAsia" w:ascii="仿宋_GB2312" w:eastAsia="仿宋_GB2312"/>
          <w:sz w:val="28"/>
          <w:szCs w:val="28"/>
        </w:rPr>
        <w:t>作业人员停工、撤离。</w:t>
      </w:r>
    </w:p>
    <w:p w14:paraId="1CA959F0">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9、对乙方人员进行安全教育、考试及办理施工</w:t>
      </w:r>
      <w:r>
        <w:rPr>
          <w:rFonts w:hint="eastAsia" w:ascii="仿宋_GB2312" w:eastAsia="仿宋_GB2312"/>
          <w:sz w:val="28"/>
          <w:szCs w:val="28"/>
          <w:lang w:val="en-US" w:eastAsia="zh-CN"/>
        </w:rPr>
        <w:t>作业</w:t>
      </w:r>
      <w:r>
        <w:rPr>
          <w:rFonts w:hint="eastAsia" w:ascii="仿宋_GB2312" w:eastAsia="仿宋_GB2312"/>
          <w:sz w:val="28"/>
          <w:szCs w:val="28"/>
        </w:rPr>
        <w:t>人员进入现场应履行的相关手续等。</w:t>
      </w:r>
    </w:p>
    <w:p w14:paraId="57AA0AC0">
      <w:pPr>
        <w:spacing w:line="520" w:lineRule="exact"/>
        <w:ind w:firstLine="526" w:firstLineChars="187"/>
        <w:rPr>
          <w:rFonts w:hint="eastAsia" w:ascii="仿宋_GB2312" w:eastAsia="仿宋_GB2312"/>
          <w:b/>
          <w:bCs/>
          <w:sz w:val="28"/>
          <w:szCs w:val="28"/>
        </w:rPr>
      </w:pPr>
      <w:r>
        <w:rPr>
          <w:rFonts w:hint="eastAsia" w:ascii="仿宋_GB2312" w:eastAsia="仿宋_GB2312"/>
          <w:b/>
          <w:bCs/>
          <w:sz w:val="28"/>
          <w:szCs w:val="28"/>
        </w:rPr>
        <w:t>四、乙方的权利、义务</w:t>
      </w:r>
    </w:p>
    <w:p w14:paraId="3D55F9D0">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1、乙方应自觉遵守国家和甲方有关安全生产的方针、政策、法律、法规、制度、规定，提供相关材料,并接受甲方安全主管部门的安全资质和条件审查、监督。</w:t>
      </w:r>
    </w:p>
    <w:p w14:paraId="6A607DFA">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2、乙方应根据甲方提出的确保施工</w:t>
      </w:r>
      <w:r>
        <w:rPr>
          <w:rFonts w:hint="eastAsia" w:ascii="仿宋_GB2312" w:eastAsia="仿宋_GB2312"/>
          <w:sz w:val="28"/>
          <w:szCs w:val="28"/>
          <w:lang w:val="en-US" w:eastAsia="zh-CN"/>
        </w:rPr>
        <w:t>作业</w:t>
      </w:r>
      <w:r>
        <w:rPr>
          <w:rFonts w:hint="eastAsia" w:ascii="仿宋_GB2312" w:eastAsia="仿宋_GB2312"/>
          <w:sz w:val="28"/>
          <w:szCs w:val="28"/>
        </w:rPr>
        <w:t>安全的（组织、安全、技术）措施要求制定相关的安全管理规定及岗位安全操作规程，且只在与甲方协议签署的地点、范围及作业项目内从事相关施工和作业。</w:t>
      </w:r>
    </w:p>
    <w:p w14:paraId="695C95B3">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3、乙方应具有健全的环境/安全管理组织体系，在作业期间，乙方应指派专（兼）职环境/安全负责人，全面负责项目的环境、安全、现场、消防等工作，遵照执行有关安全文明生产、治安、防火等方面的规章制度。</w:t>
      </w:r>
    </w:p>
    <w:p w14:paraId="5CB350B8">
      <w:pPr>
        <w:spacing w:line="520" w:lineRule="exact"/>
        <w:ind w:firstLine="523" w:firstLineChars="187"/>
        <w:rPr>
          <w:rFonts w:ascii="仿宋_GB2312" w:eastAsia="仿宋_GB2312"/>
          <w:sz w:val="28"/>
          <w:szCs w:val="28"/>
        </w:rPr>
      </w:pPr>
      <w:r>
        <w:rPr>
          <w:rFonts w:hint="eastAsia" w:ascii="仿宋_GB2312" w:eastAsia="仿宋_GB2312"/>
          <w:sz w:val="28"/>
          <w:szCs w:val="28"/>
        </w:rPr>
        <w:t>4、乙方承诺不使用未成年工、童工、超龄工（男性超过60周岁，女性超过55周岁）和安排女工从事禁忌劳动，并保证进场作业的人员身体健康，不得有职业禁忌症（如精神病、癫痫病、高血压、心脏病等）。否则，一律由乙方承担法律责任；如因此发生安全事故的，乙方除承担法律责任外，还应赔偿各方因此遭受的损失。</w:t>
      </w:r>
    </w:p>
    <w:p w14:paraId="6A6F307B">
      <w:pPr>
        <w:spacing w:line="520" w:lineRule="exact"/>
        <w:ind w:firstLine="523" w:firstLineChars="187"/>
        <w:rPr>
          <w:rFonts w:hint="eastAsia" w:ascii="仿宋_GB2312" w:eastAsia="仿宋_GB2312"/>
          <w:sz w:val="28"/>
          <w:szCs w:val="28"/>
        </w:rPr>
      </w:pPr>
      <w:r>
        <w:rPr>
          <w:rFonts w:ascii="仿宋_GB2312" w:eastAsia="仿宋_GB2312"/>
          <w:sz w:val="28"/>
          <w:szCs w:val="28"/>
        </w:rPr>
        <w:t>5</w:t>
      </w:r>
      <w:r>
        <w:rPr>
          <w:rFonts w:hint="eastAsia" w:ascii="仿宋_GB2312" w:eastAsia="仿宋_GB2312"/>
          <w:sz w:val="28"/>
          <w:szCs w:val="28"/>
        </w:rPr>
        <w:t>、组织进场作业的员工参加由甲方进行的安全环保教育与培训，根据作业需要发放符合标准的劳动防护用品，并配备足够的消防器材、事故应急救援器材、防暑降温药品等。作业人员凭甲方发放的《外工上岗证》出入施工</w:t>
      </w:r>
      <w:r>
        <w:rPr>
          <w:rFonts w:hint="eastAsia" w:ascii="仿宋_GB2312" w:eastAsia="仿宋_GB2312"/>
          <w:sz w:val="28"/>
          <w:szCs w:val="28"/>
          <w:lang w:val="en-US" w:eastAsia="zh-CN"/>
        </w:rPr>
        <w:t>作业</w:t>
      </w:r>
      <w:r>
        <w:rPr>
          <w:rFonts w:hint="eastAsia" w:ascii="仿宋_GB2312" w:eastAsia="仿宋_GB2312"/>
          <w:sz w:val="28"/>
          <w:szCs w:val="28"/>
        </w:rPr>
        <w:t>现场作业，乙方对其员工在甲方范围内的行为做好监督管理。</w:t>
      </w:r>
    </w:p>
    <w:p w14:paraId="05D7DE61">
      <w:pPr>
        <w:spacing w:line="520" w:lineRule="exact"/>
        <w:ind w:firstLine="523" w:firstLineChars="187"/>
        <w:rPr>
          <w:rFonts w:hint="eastAsia" w:ascii="仿宋_GB2312" w:eastAsia="仿宋_GB2312"/>
          <w:sz w:val="28"/>
          <w:szCs w:val="28"/>
        </w:rPr>
      </w:pPr>
      <w:r>
        <w:rPr>
          <w:rFonts w:ascii="仿宋_GB2312" w:eastAsia="仿宋_GB2312"/>
          <w:sz w:val="28"/>
          <w:szCs w:val="28"/>
        </w:rPr>
        <w:t>6</w:t>
      </w:r>
      <w:r>
        <w:rPr>
          <w:rFonts w:hint="eastAsia" w:ascii="仿宋_GB2312" w:eastAsia="仿宋_GB2312"/>
          <w:sz w:val="28"/>
          <w:szCs w:val="28"/>
        </w:rPr>
        <w:t>、乙方施工</w:t>
      </w:r>
      <w:r>
        <w:rPr>
          <w:rFonts w:hint="eastAsia" w:ascii="仿宋_GB2312" w:eastAsia="仿宋_GB2312"/>
          <w:sz w:val="28"/>
          <w:szCs w:val="28"/>
          <w:lang w:val="en-US" w:eastAsia="zh-CN"/>
        </w:rPr>
        <w:t>作业</w:t>
      </w:r>
      <w:r>
        <w:rPr>
          <w:rFonts w:hint="eastAsia" w:ascii="仿宋_GB2312" w:eastAsia="仿宋_GB2312"/>
          <w:sz w:val="28"/>
          <w:szCs w:val="28"/>
        </w:rPr>
        <w:t>人员应严格执行“施工</w:t>
      </w:r>
      <w:r>
        <w:rPr>
          <w:rFonts w:hint="eastAsia" w:ascii="仿宋_GB2312" w:eastAsia="仿宋_GB2312"/>
          <w:sz w:val="28"/>
          <w:szCs w:val="28"/>
          <w:lang w:val="en-US" w:eastAsia="zh-CN"/>
        </w:rPr>
        <w:t>作业</w:t>
      </w:r>
      <w:r>
        <w:rPr>
          <w:rFonts w:hint="eastAsia" w:ascii="仿宋_GB2312" w:eastAsia="仿宋_GB2312"/>
          <w:sz w:val="28"/>
          <w:szCs w:val="28"/>
        </w:rPr>
        <w:t>安全生产六大纪律”，并落实施工</w:t>
      </w:r>
      <w:r>
        <w:rPr>
          <w:rFonts w:hint="eastAsia" w:ascii="仿宋_GB2312" w:eastAsia="仿宋_GB2312"/>
          <w:sz w:val="28"/>
          <w:szCs w:val="28"/>
          <w:lang w:val="en-US" w:eastAsia="zh-CN"/>
        </w:rPr>
        <w:t>作业</w:t>
      </w:r>
      <w:r>
        <w:rPr>
          <w:rFonts w:hint="eastAsia" w:ascii="仿宋_GB2312" w:eastAsia="仿宋_GB2312"/>
          <w:sz w:val="28"/>
          <w:szCs w:val="28"/>
        </w:rPr>
        <w:t>负责人、班组长、工人安全职责，严禁违章作业。乙方进场后，应对作业场所进行封闭和隔离；在甲方生产区域内施工</w:t>
      </w:r>
      <w:r>
        <w:rPr>
          <w:rFonts w:hint="eastAsia" w:ascii="仿宋_GB2312" w:eastAsia="仿宋_GB2312"/>
          <w:sz w:val="28"/>
          <w:szCs w:val="28"/>
          <w:lang w:val="en-US" w:eastAsia="zh-CN"/>
        </w:rPr>
        <w:t>作业</w:t>
      </w:r>
      <w:r>
        <w:rPr>
          <w:rFonts w:hint="eastAsia" w:ascii="仿宋_GB2312" w:eastAsia="仿宋_GB2312"/>
          <w:sz w:val="28"/>
          <w:szCs w:val="28"/>
        </w:rPr>
        <w:t>的，必须在作业场所和生产装置间采取严格、有效的隔离措施。</w:t>
      </w:r>
    </w:p>
    <w:p w14:paraId="198C2CC3">
      <w:pPr>
        <w:spacing w:line="520" w:lineRule="exact"/>
        <w:ind w:firstLine="523" w:firstLineChars="187"/>
        <w:rPr>
          <w:rFonts w:hint="eastAsia" w:ascii="仿宋_GB2312" w:eastAsia="仿宋_GB2312"/>
          <w:sz w:val="28"/>
          <w:szCs w:val="28"/>
        </w:rPr>
      </w:pPr>
      <w:r>
        <w:rPr>
          <w:rFonts w:ascii="仿宋_GB2312" w:eastAsia="仿宋_GB2312"/>
          <w:sz w:val="28"/>
          <w:szCs w:val="28"/>
        </w:rPr>
        <w:t>7</w:t>
      </w:r>
      <w:r>
        <w:rPr>
          <w:rFonts w:hint="eastAsia" w:ascii="仿宋_GB2312" w:eastAsia="仿宋_GB2312"/>
          <w:sz w:val="28"/>
          <w:szCs w:val="28"/>
        </w:rPr>
        <w:t>、乙方须在作业现场可能存在危险的场所，设置易于辨识的安全警示标志，在作业场所周围醒目处标识施工</w:t>
      </w:r>
      <w:r>
        <w:rPr>
          <w:rFonts w:hint="eastAsia" w:ascii="仿宋_GB2312" w:eastAsia="仿宋_GB2312"/>
          <w:sz w:val="28"/>
          <w:szCs w:val="28"/>
          <w:lang w:val="en-US" w:eastAsia="zh-CN"/>
        </w:rPr>
        <w:t>作业</w:t>
      </w:r>
      <w:r>
        <w:rPr>
          <w:rFonts w:hint="eastAsia" w:ascii="仿宋_GB2312" w:eastAsia="仿宋_GB2312"/>
          <w:sz w:val="28"/>
          <w:szCs w:val="28"/>
        </w:rPr>
        <w:t>单位名称、项目负责人、安全环保责任人、安全承诺、安全注意事项等信息。</w:t>
      </w:r>
    </w:p>
    <w:p w14:paraId="665B258F">
      <w:pPr>
        <w:spacing w:line="520" w:lineRule="exact"/>
        <w:ind w:firstLine="523" w:firstLineChars="187"/>
        <w:rPr>
          <w:rFonts w:hint="eastAsia" w:ascii="仿宋_GB2312" w:eastAsia="仿宋_GB2312"/>
          <w:sz w:val="28"/>
          <w:szCs w:val="28"/>
        </w:rPr>
      </w:pPr>
      <w:r>
        <w:rPr>
          <w:rFonts w:ascii="仿宋_GB2312" w:eastAsia="仿宋_GB2312"/>
          <w:sz w:val="28"/>
          <w:szCs w:val="28"/>
        </w:rPr>
        <w:t>8</w:t>
      </w:r>
      <w:r>
        <w:rPr>
          <w:rFonts w:hint="eastAsia" w:ascii="仿宋_GB2312" w:eastAsia="仿宋_GB2312"/>
          <w:sz w:val="28"/>
          <w:szCs w:val="28"/>
        </w:rPr>
        <w:t>、乙方管理人员在员工作业前应先熟悉现场，掌握所处区域的作业环境可能存在的危险因素、控制措施，对使用的设施、设备等，负有认真检查和确认的义务，严禁设施、设备等带病作业。否则，由此而产生的一切法律后果，由乙方承担。</w:t>
      </w:r>
    </w:p>
    <w:p w14:paraId="039FCECE">
      <w:pPr>
        <w:spacing w:line="520" w:lineRule="exact"/>
        <w:ind w:firstLine="523" w:firstLineChars="187"/>
        <w:rPr>
          <w:rFonts w:hint="eastAsia" w:ascii="仿宋_GB2312" w:eastAsia="仿宋_GB2312"/>
          <w:sz w:val="28"/>
          <w:szCs w:val="28"/>
        </w:rPr>
      </w:pPr>
      <w:r>
        <w:rPr>
          <w:rFonts w:ascii="仿宋_GB2312" w:eastAsia="仿宋_GB2312"/>
          <w:sz w:val="28"/>
          <w:szCs w:val="28"/>
        </w:rPr>
        <w:t>9</w:t>
      </w:r>
      <w:r>
        <w:rPr>
          <w:rFonts w:hint="eastAsia" w:ascii="仿宋_GB2312" w:eastAsia="仿宋_GB2312"/>
          <w:sz w:val="28"/>
          <w:szCs w:val="28"/>
        </w:rPr>
        <w:t>、乙方在现场的材料存储、处理，特别是废弃物处理，必须取得甲方或施工</w:t>
      </w:r>
      <w:r>
        <w:rPr>
          <w:rFonts w:hint="eastAsia" w:ascii="仿宋_GB2312" w:eastAsia="仿宋_GB2312"/>
          <w:sz w:val="28"/>
          <w:szCs w:val="28"/>
          <w:lang w:val="en-US" w:eastAsia="zh-CN"/>
        </w:rPr>
        <w:t>作业</w:t>
      </w:r>
      <w:r>
        <w:rPr>
          <w:rFonts w:hint="eastAsia" w:ascii="仿宋_GB2312" w:eastAsia="仿宋_GB2312"/>
          <w:sz w:val="28"/>
          <w:szCs w:val="28"/>
        </w:rPr>
        <w:t>现场所属部门的批准。</w:t>
      </w:r>
    </w:p>
    <w:p w14:paraId="5D063B4F">
      <w:pPr>
        <w:spacing w:line="520" w:lineRule="exact"/>
        <w:ind w:firstLine="523" w:firstLineChars="187"/>
        <w:rPr>
          <w:rFonts w:hint="eastAsia" w:ascii="仿宋_GB2312" w:eastAsia="仿宋_GB2312"/>
          <w:sz w:val="28"/>
          <w:szCs w:val="28"/>
        </w:rPr>
      </w:pPr>
      <w:r>
        <w:rPr>
          <w:rFonts w:ascii="仿宋_GB2312" w:eastAsia="仿宋_GB2312"/>
          <w:sz w:val="28"/>
          <w:szCs w:val="28"/>
        </w:rPr>
        <w:t>10</w:t>
      </w:r>
      <w:r>
        <w:rPr>
          <w:rFonts w:hint="eastAsia" w:ascii="仿宋_GB2312" w:eastAsia="仿宋_GB2312"/>
          <w:sz w:val="28"/>
          <w:szCs w:val="28"/>
        </w:rPr>
        <w:t>、乙方使用甲方的水、电、气（汽）等，应先向甲方提出申请，经甲方现场勘查批准并办理相关手续后，由甲方指定人员，按指定方式接入作业现场。如有特殊需要或变更使用方式时，也必须先取得甲方同意，方可变更。</w:t>
      </w:r>
    </w:p>
    <w:p w14:paraId="3DB0F9DD">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1</w:t>
      </w:r>
      <w:r>
        <w:rPr>
          <w:rFonts w:ascii="仿宋_GB2312" w:eastAsia="仿宋_GB2312"/>
          <w:sz w:val="28"/>
          <w:szCs w:val="28"/>
        </w:rPr>
        <w:t>1</w:t>
      </w:r>
      <w:r>
        <w:rPr>
          <w:rFonts w:hint="eastAsia" w:ascii="仿宋_GB2312" w:eastAsia="仿宋_GB2312"/>
          <w:sz w:val="28"/>
          <w:szCs w:val="28"/>
        </w:rPr>
        <w:t>、乙方人员现场不得擅自动用或操作甲方的设备、机具及消防设施，如需借用甲方的工具、设备及消防器材，应向甲方提出申请，经甲方相关部门同意后方可办理租借手续。甲方应保证设备、工器具符合安全要求，乙方接收时必须进行验收确认。乙方一经接收使用，表示认可该设备、工器具完好，无安全隐患。若造成安全事故，后果由乙方负责。</w:t>
      </w:r>
    </w:p>
    <w:p w14:paraId="1DA09F59">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1</w:t>
      </w:r>
      <w:r>
        <w:rPr>
          <w:rFonts w:ascii="仿宋_GB2312" w:eastAsia="仿宋_GB2312"/>
          <w:sz w:val="28"/>
          <w:szCs w:val="28"/>
        </w:rPr>
        <w:t>2</w:t>
      </w:r>
      <w:r>
        <w:rPr>
          <w:rFonts w:hint="eastAsia" w:ascii="仿宋_GB2312" w:eastAsia="仿宋_GB2312"/>
          <w:sz w:val="28"/>
          <w:szCs w:val="28"/>
        </w:rPr>
        <w:t>、在乙方进场作业前，乙方应对参加作业的人员进行现场安全教育与交底，内容包括：</w:t>
      </w:r>
    </w:p>
    <w:p w14:paraId="55A42A08">
      <w:pPr>
        <w:spacing w:line="520" w:lineRule="exact"/>
        <w:ind w:firstLine="523" w:firstLineChars="187"/>
        <w:rPr>
          <w:rFonts w:hint="eastAsia" w:ascii="仿宋_GB2312" w:hAnsi="仿宋_GB2312" w:eastAsia="仿宋_GB2312" w:cs="仿宋_GB2312"/>
          <w:sz w:val="28"/>
          <w:szCs w:val="28"/>
        </w:rPr>
      </w:pPr>
      <w:r>
        <w:rPr>
          <w:rFonts w:hint="eastAsia" w:ascii="仿宋_GB2312" w:eastAsia="仿宋_GB2312"/>
          <w:sz w:val="28"/>
          <w:szCs w:val="28"/>
        </w:rPr>
        <w:t>①</w:t>
      </w:r>
      <w:r>
        <w:rPr>
          <w:rFonts w:hint="eastAsia" w:ascii="仿宋_GB2312" w:hAnsi="仿宋_GB2312" w:eastAsia="仿宋_GB2312" w:cs="仿宋_GB2312"/>
          <w:sz w:val="28"/>
          <w:szCs w:val="28"/>
        </w:rPr>
        <w:t>作业点及周围可能存在的危险危害因素及预防措施；</w:t>
      </w:r>
    </w:p>
    <w:p w14:paraId="1BEF3897">
      <w:pPr>
        <w:spacing w:line="520" w:lineRule="exact"/>
        <w:ind w:firstLine="523" w:firstLineChars="187"/>
        <w:rPr>
          <w:rFonts w:hint="eastAsia" w:ascii="仿宋_GB2312" w:hAnsi="仿宋_GB2312" w:eastAsia="仿宋_GB2312" w:cs="仿宋_GB2312"/>
          <w:sz w:val="28"/>
          <w:szCs w:val="28"/>
        </w:rPr>
      </w:pPr>
      <w:r>
        <w:rPr>
          <w:rFonts w:hint="eastAsia" w:ascii="仿宋_GB2312" w:eastAsia="仿宋_GB2312"/>
          <w:sz w:val="28"/>
          <w:szCs w:val="28"/>
        </w:rPr>
        <w:t>②</w:t>
      </w:r>
      <w:r>
        <w:rPr>
          <w:rFonts w:hint="eastAsia" w:ascii="仿宋_GB2312" w:hAnsi="仿宋_GB2312" w:eastAsia="仿宋_GB2312" w:cs="仿宋_GB2312"/>
          <w:sz w:val="28"/>
          <w:szCs w:val="28"/>
          <w:lang w:val="en-US" w:eastAsia="zh-CN"/>
        </w:rPr>
        <w:t>施工作业现场</w:t>
      </w:r>
      <w:r>
        <w:rPr>
          <w:rFonts w:hint="eastAsia" w:ascii="仿宋_GB2312" w:hAnsi="仿宋_GB2312" w:eastAsia="仿宋_GB2312" w:cs="仿宋_GB2312"/>
          <w:sz w:val="28"/>
          <w:szCs w:val="28"/>
        </w:rPr>
        <w:t>边界及限制区域，</w:t>
      </w:r>
      <w:r>
        <w:rPr>
          <w:rFonts w:hint="eastAsia" w:ascii="仿宋_GB2312" w:hAnsi="仿宋_GB2312" w:eastAsia="仿宋_GB2312" w:cs="仿宋_GB2312"/>
          <w:sz w:val="28"/>
          <w:szCs w:val="28"/>
          <w:lang w:val="en-US" w:eastAsia="zh-CN"/>
        </w:rPr>
        <w:t>施工作业现场</w:t>
      </w:r>
      <w:r>
        <w:rPr>
          <w:rFonts w:hint="eastAsia" w:ascii="仿宋_GB2312" w:hAnsi="仿宋_GB2312" w:eastAsia="仿宋_GB2312" w:cs="仿宋_GB2312"/>
          <w:sz w:val="28"/>
          <w:szCs w:val="28"/>
        </w:rPr>
        <w:t>的安全出入；</w:t>
      </w:r>
    </w:p>
    <w:p w14:paraId="211C23E2">
      <w:pPr>
        <w:spacing w:line="520" w:lineRule="exact"/>
        <w:ind w:firstLine="523" w:firstLineChars="187"/>
        <w:rPr>
          <w:rFonts w:hint="eastAsia" w:ascii="仿宋_GB2312" w:hAnsi="仿宋_GB2312" w:eastAsia="仿宋_GB2312" w:cs="仿宋_GB2312"/>
          <w:sz w:val="28"/>
          <w:szCs w:val="28"/>
        </w:rPr>
      </w:pPr>
      <w:r>
        <w:rPr>
          <w:rFonts w:hint="eastAsia" w:ascii="仿宋_GB2312" w:eastAsia="仿宋_GB2312"/>
          <w:sz w:val="28"/>
          <w:szCs w:val="28"/>
        </w:rPr>
        <w:t>③</w:t>
      </w:r>
      <w:r>
        <w:rPr>
          <w:rFonts w:hint="eastAsia" w:ascii="仿宋_GB2312" w:hAnsi="仿宋_GB2312" w:eastAsia="仿宋_GB2312" w:cs="仿宋_GB2312"/>
          <w:sz w:val="28"/>
          <w:szCs w:val="28"/>
        </w:rPr>
        <w:t>应办理的安全作业票证；</w:t>
      </w:r>
    </w:p>
    <w:p w14:paraId="6B9A905E">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④安全环保的方针、目标和规章制度；</w:t>
      </w:r>
    </w:p>
    <w:p w14:paraId="4FFBDC90">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⑤发生紧急情况时的应急通讯及应急处理方式；</w:t>
      </w:r>
    </w:p>
    <w:p w14:paraId="560EE132">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⑥其它特殊要求及条件。</w:t>
      </w:r>
    </w:p>
    <w:p w14:paraId="1D78DC2C">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1</w:t>
      </w:r>
      <w:r>
        <w:rPr>
          <w:rFonts w:ascii="仿宋_GB2312" w:eastAsia="仿宋_GB2312"/>
          <w:sz w:val="28"/>
          <w:szCs w:val="28"/>
        </w:rPr>
        <w:t>3</w:t>
      </w:r>
      <w:r>
        <w:rPr>
          <w:rFonts w:hint="eastAsia" w:ascii="仿宋_GB2312" w:eastAsia="仿宋_GB2312"/>
          <w:sz w:val="28"/>
          <w:szCs w:val="28"/>
        </w:rPr>
        <w:t>、乙方施工作业行为应严格遵守甲方相关安全管理制度，施工作业须先办理作业票证，经甲方相关部门批准，落实相应的安全措施后方可进行作业。</w:t>
      </w:r>
    </w:p>
    <w:p w14:paraId="0C0F0399">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1</w:t>
      </w:r>
      <w:r>
        <w:rPr>
          <w:rFonts w:ascii="仿宋_GB2312" w:eastAsia="仿宋_GB2312"/>
          <w:sz w:val="28"/>
          <w:szCs w:val="28"/>
        </w:rPr>
        <w:t>4</w:t>
      </w:r>
      <w:r>
        <w:rPr>
          <w:rFonts w:hint="eastAsia" w:ascii="仿宋_GB2312" w:eastAsia="仿宋_GB2312"/>
          <w:sz w:val="28"/>
          <w:szCs w:val="28"/>
        </w:rPr>
        <w:t>、乙方在现场进行作业时，应指定专门的安全监护人，对作业进行全程监护，及时查处隐患和制止违章行为。</w:t>
      </w:r>
    </w:p>
    <w:p w14:paraId="3A6D151C">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1</w:t>
      </w:r>
      <w:r>
        <w:rPr>
          <w:rFonts w:ascii="仿宋_GB2312" w:eastAsia="仿宋_GB2312"/>
          <w:sz w:val="28"/>
          <w:szCs w:val="28"/>
        </w:rPr>
        <w:t>5</w:t>
      </w:r>
      <w:r>
        <w:rPr>
          <w:rFonts w:hint="eastAsia" w:ascii="仿宋_GB2312" w:eastAsia="仿宋_GB2312"/>
          <w:sz w:val="28"/>
          <w:szCs w:val="28"/>
        </w:rPr>
        <w:t>、当两个以上单位在同一作业区域内进行施工作业，应服从甲方的统一指挥，分别指派专人负责现场的安全管理和协调。可能危及对方生产安全的，各施工</w:t>
      </w:r>
      <w:r>
        <w:rPr>
          <w:rFonts w:hint="eastAsia" w:ascii="仿宋_GB2312" w:eastAsia="仿宋_GB2312"/>
          <w:sz w:val="28"/>
          <w:szCs w:val="28"/>
          <w:lang w:val="en-US" w:eastAsia="zh-CN"/>
        </w:rPr>
        <w:t>作业</w:t>
      </w:r>
      <w:r>
        <w:rPr>
          <w:rFonts w:hint="eastAsia" w:ascii="仿宋_GB2312" w:eastAsia="仿宋_GB2312"/>
          <w:sz w:val="28"/>
          <w:szCs w:val="28"/>
        </w:rPr>
        <w:t>方之间应当签订独立的安全生产管理协议，明确各自的安全生产管理职责和应当采取的安全措施，并将安全生产管理协议作为施工</w:t>
      </w:r>
      <w:r>
        <w:rPr>
          <w:rFonts w:hint="eastAsia" w:ascii="仿宋_GB2312" w:eastAsia="仿宋_GB2312"/>
          <w:sz w:val="28"/>
          <w:szCs w:val="28"/>
          <w:lang w:val="en-US" w:eastAsia="zh-CN"/>
        </w:rPr>
        <w:t>作业</w:t>
      </w:r>
      <w:r>
        <w:rPr>
          <w:rFonts w:hint="eastAsia" w:ascii="仿宋_GB2312" w:eastAsia="仿宋_GB2312"/>
          <w:sz w:val="28"/>
          <w:szCs w:val="28"/>
        </w:rPr>
        <w:t>方案的附件一并报甲方用工部门备案。</w:t>
      </w:r>
    </w:p>
    <w:p w14:paraId="419DD4BA">
      <w:pPr>
        <w:spacing w:line="520" w:lineRule="exact"/>
        <w:ind w:left="13" w:leftChars="6" w:firstLine="655" w:firstLineChars="234"/>
        <w:rPr>
          <w:rFonts w:hint="eastAsia" w:ascii="仿宋_GB2312" w:eastAsia="仿宋_GB2312"/>
          <w:sz w:val="28"/>
          <w:szCs w:val="28"/>
        </w:rPr>
      </w:pPr>
      <w:r>
        <w:rPr>
          <w:rFonts w:hint="eastAsia" w:ascii="仿宋_GB2312" w:eastAsia="仿宋_GB2312"/>
          <w:sz w:val="28"/>
          <w:szCs w:val="28"/>
        </w:rPr>
        <w:t>1</w:t>
      </w:r>
      <w:r>
        <w:rPr>
          <w:rFonts w:ascii="仿宋_GB2312" w:eastAsia="仿宋_GB2312"/>
          <w:sz w:val="28"/>
          <w:szCs w:val="28"/>
        </w:rPr>
        <w:t>6</w:t>
      </w:r>
      <w:r>
        <w:rPr>
          <w:rFonts w:hint="eastAsia" w:ascii="仿宋_GB2312" w:eastAsia="仿宋_GB2312"/>
          <w:sz w:val="28"/>
          <w:szCs w:val="28"/>
        </w:rPr>
        <w:t>、乙方不得超区域作业；如有必须超出划定区域的作业，乙方必须主动与甲方取得联系，提出申请并得到许可后方可施工</w:t>
      </w:r>
      <w:r>
        <w:rPr>
          <w:rFonts w:hint="eastAsia" w:ascii="仿宋_GB2312" w:eastAsia="仿宋_GB2312"/>
          <w:sz w:val="28"/>
          <w:szCs w:val="28"/>
          <w:lang w:val="en-US" w:eastAsia="zh-CN"/>
        </w:rPr>
        <w:t>作业</w:t>
      </w:r>
      <w:r>
        <w:rPr>
          <w:rFonts w:hint="eastAsia" w:ascii="仿宋_GB2312" w:eastAsia="仿宋_GB2312"/>
          <w:sz w:val="28"/>
          <w:szCs w:val="28"/>
        </w:rPr>
        <w:t>。如果施工</w:t>
      </w:r>
      <w:r>
        <w:rPr>
          <w:rFonts w:hint="eastAsia" w:ascii="仿宋_GB2312" w:eastAsia="仿宋_GB2312"/>
          <w:sz w:val="28"/>
          <w:szCs w:val="28"/>
          <w:lang w:val="en-US" w:eastAsia="zh-CN"/>
        </w:rPr>
        <w:t>作业</w:t>
      </w:r>
      <w:r>
        <w:rPr>
          <w:rFonts w:hint="eastAsia" w:ascii="仿宋_GB2312" w:eastAsia="仿宋_GB2312"/>
          <w:sz w:val="28"/>
          <w:szCs w:val="28"/>
        </w:rPr>
        <w:t>涉及到</w:t>
      </w:r>
      <w:r>
        <w:rPr>
          <w:rFonts w:hint="eastAsia" w:ascii="仿宋_GB2312" w:eastAsia="仿宋_GB2312"/>
          <w:sz w:val="28"/>
          <w:szCs w:val="28"/>
          <w:lang w:val="en-US" w:eastAsia="zh-CN"/>
        </w:rPr>
        <w:t>甲方集团公司</w:t>
      </w:r>
      <w:r>
        <w:rPr>
          <w:rFonts w:hint="eastAsia" w:ascii="仿宋_GB2312" w:eastAsia="仿宋_GB2312"/>
          <w:sz w:val="28"/>
          <w:szCs w:val="28"/>
        </w:rPr>
        <w:t>相关分子公司、项目部的生产现场，则必须由相关岗位办理票证，并派出监护人进行监护，乙方不得强行施工</w:t>
      </w:r>
      <w:r>
        <w:rPr>
          <w:rFonts w:hint="eastAsia" w:ascii="仿宋_GB2312" w:eastAsia="仿宋_GB2312"/>
          <w:sz w:val="28"/>
          <w:szCs w:val="28"/>
          <w:lang w:val="en-US" w:eastAsia="zh-CN"/>
        </w:rPr>
        <w:t>作业</w:t>
      </w:r>
      <w:r>
        <w:rPr>
          <w:rFonts w:hint="eastAsia" w:ascii="仿宋_GB2312" w:eastAsia="仿宋_GB2312"/>
          <w:sz w:val="28"/>
          <w:szCs w:val="28"/>
        </w:rPr>
        <w:t>。</w:t>
      </w:r>
    </w:p>
    <w:p w14:paraId="4D910E2A">
      <w:pPr>
        <w:spacing w:line="520" w:lineRule="exact"/>
        <w:ind w:left="13" w:leftChars="6" w:firstLine="655" w:firstLineChars="234"/>
        <w:rPr>
          <w:rFonts w:hint="eastAsia" w:ascii="仿宋_GB2312" w:eastAsia="仿宋_GB2312"/>
          <w:sz w:val="28"/>
          <w:szCs w:val="28"/>
        </w:rPr>
      </w:pPr>
      <w:r>
        <w:rPr>
          <w:rFonts w:hint="eastAsia" w:ascii="仿宋_GB2312" w:eastAsia="仿宋_GB2312"/>
          <w:sz w:val="28"/>
          <w:szCs w:val="28"/>
        </w:rPr>
        <w:t>1</w:t>
      </w:r>
      <w:r>
        <w:rPr>
          <w:rFonts w:ascii="仿宋_GB2312" w:eastAsia="仿宋_GB2312"/>
          <w:sz w:val="28"/>
          <w:szCs w:val="28"/>
        </w:rPr>
        <w:t>7</w:t>
      </w:r>
      <w:r>
        <w:rPr>
          <w:rFonts w:hint="eastAsia" w:ascii="仿宋_GB2312" w:eastAsia="仿宋_GB2312"/>
          <w:sz w:val="28"/>
          <w:szCs w:val="28"/>
        </w:rPr>
        <w:t>、乙方进入甲方现场车辆的车况、速度、行驶路线、停放位置等须遵守甲方的交通制度要求；装卸和行驶过程中不得有抛、洒、滴、漏现象。</w:t>
      </w:r>
    </w:p>
    <w:p w14:paraId="71FAC90C">
      <w:pPr>
        <w:spacing w:line="520" w:lineRule="exact"/>
        <w:ind w:left="13" w:leftChars="6" w:firstLine="655" w:firstLineChars="234"/>
        <w:rPr>
          <w:rFonts w:hint="eastAsia" w:ascii="仿宋_GB2312" w:eastAsia="仿宋_GB2312"/>
          <w:sz w:val="28"/>
          <w:szCs w:val="28"/>
        </w:rPr>
      </w:pPr>
      <w:r>
        <w:rPr>
          <w:rFonts w:hint="eastAsia" w:ascii="仿宋_GB2312" w:eastAsia="仿宋_GB2312"/>
          <w:sz w:val="28"/>
          <w:szCs w:val="28"/>
        </w:rPr>
        <w:t>1</w:t>
      </w:r>
      <w:r>
        <w:rPr>
          <w:rFonts w:ascii="仿宋_GB2312" w:eastAsia="仿宋_GB2312"/>
          <w:sz w:val="28"/>
          <w:szCs w:val="28"/>
        </w:rPr>
        <w:t>8</w:t>
      </w:r>
      <w:r>
        <w:rPr>
          <w:rFonts w:hint="eastAsia" w:ascii="仿宋_GB2312" w:eastAsia="仿宋_GB2312"/>
          <w:sz w:val="28"/>
          <w:szCs w:val="28"/>
        </w:rPr>
        <w:t>、施工作业现场的噪声与振动、“三废”排放等应符合环保要求，如发生投诉事件，乙方有责任按要求及时进行整改，并承担由此产生的后果。</w:t>
      </w:r>
    </w:p>
    <w:p w14:paraId="787481D4">
      <w:pPr>
        <w:spacing w:line="520" w:lineRule="exact"/>
        <w:ind w:left="13" w:leftChars="6" w:firstLine="655" w:firstLineChars="234"/>
        <w:rPr>
          <w:rFonts w:hint="eastAsia" w:ascii="仿宋_GB2312" w:eastAsia="仿宋_GB2312"/>
          <w:sz w:val="28"/>
          <w:szCs w:val="28"/>
        </w:rPr>
      </w:pPr>
      <w:r>
        <w:rPr>
          <w:rFonts w:hint="eastAsia" w:ascii="仿宋_GB2312" w:eastAsia="仿宋_GB2312"/>
          <w:sz w:val="28"/>
          <w:szCs w:val="28"/>
        </w:rPr>
        <w:t>1</w:t>
      </w:r>
      <w:r>
        <w:rPr>
          <w:rFonts w:ascii="仿宋_GB2312" w:eastAsia="仿宋_GB2312"/>
          <w:sz w:val="28"/>
          <w:szCs w:val="28"/>
        </w:rPr>
        <w:t>9</w:t>
      </w:r>
      <w:r>
        <w:rPr>
          <w:rFonts w:hint="eastAsia" w:ascii="仿宋_GB2312" w:eastAsia="仿宋_GB2312"/>
          <w:sz w:val="28"/>
          <w:szCs w:val="28"/>
        </w:rPr>
        <w:t>、乙方在施工作业结束，撤离现场时，要保持现场清洁、整齐，运走所有废弃物、材料及设备。甲方负责检查和监督。</w:t>
      </w:r>
    </w:p>
    <w:p w14:paraId="470FC2F4">
      <w:pPr>
        <w:spacing w:line="520" w:lineRule="exact"/>
        <w:ind w:left="13" w:leftChars="6" w:firstLine="655" w:firstLineChars="234"/>
        <w:rPr>
          <w:rFonts w:ascii="仿宋_GB2312" w:eastAsia="仿宋_GB2312"/>
          <w:sz w:val="28"/>
          <w:szCs w:val="28"/>
        </w:rPr>
      </w:pPr>
      <w:r>
        <w:rPr>
          <w:rFonts w:ascii="仿宋_GB2312" w:eastAsia="仿宋_GB2312"/>
          <w:sz w:val="28"/>
          <w:szCs w:val="28"/>
        </w:rPr>
        <w:t>20</w:t>
      </w:r>
      <w:r>
        <w:rPr>
          <w:rFonts w:hint="eastAsia" w:ascii="仿宋_GB2312" w:eastAsia="仿宋_GB2312"/>
          <w:sz w:val="28"/>
          <w:szCs w:val="28"/>
        </w:rPr>
        <w:t>、乙方在施工</w:t>
      </w:r>
      <w:r>
        <w:rPr>
          <w:rFonts w:hint="eastAsia" w:ascii="仿宋_GB2312" w:eastAsia="仿宋_GB2312"/>
          <w:sz w:val="28"/>
          <w:szCs w:val="28"/>
          <w:lang w:val="en-US" w:eastAsia="zh-CN"/>
        </w:rPr>
        <w:t>作业</w:t>
      </w:r>
      <w:r>
        <w:rPr>
          <w:rFonts w:hint="eastAsia" w:ascii="仿宋_GB2312" w:eastAsia="仿宋_GB2312"/>
          <w:sz w:val="28"/>
          <w:szCs w:val="28"/>
        </w:rPr>
        <w:t>过程中，周边生产装置发生泄漏、火灾、爆炸事故时，</w:t>
      </w:r>
      <w:r>
        <w:rPr>
          <w:rFonts w:hint="eastAsia" w:ascii="仿宋_GB2312" w:eastAsia="仿宋_GB2312"/>
          <w:sz w:val="28"/>
          <w:szCs w:val="28"/>
          <w:lang w:val="en-US" w:eastAsia="zh-CN"/>
        </w:rPr>
        <w:t>作业</w:t>
      </w:r>
      <w:r>
        <w:rPr>
          <w:rFonts w:hint="eastAsia" w:ascii="仿宋_GB2312" w:eastAsia="仿宋_GB2312"/>
          <w:sz w:val="28"/>
          <w:szCs w:val="28"/>
        </w:rPr>
        <w:t>人员应尽可能：（1）关闭临时用电箱电源；（2）关闭气瓶阀门，通过观察风向旗辩明风向，绕过事故点向上风向疏散、撤离和逃生；（3）拨打火警电话88995119报警、扑灭初起火灾。</w:t>
      </w:r>
    </w:p>
    <w:p w14:paraId="0A0CE5B7">
      <w:pPr>
        <w:spacing w:line="520" w:lineRule="exact"/>
        <w:ind w:left="13" w:leftChars="6" w:firstLine="655" w:firstLineChars="234"/>
        <w:rPr>
          <w:rFonts w:ascii="仿宋_GB2312" w:eastAsia="仿宋_GB2312"/>
          <w:sz w:val="28"/>
          <w:szCs w:val="28"/>
        </w:rPr>
      </w:pPr>
      <w:r>
        <w:rPr>
          <w:rFonts w:hint="eastAsia" w:ascii="仿宋_GB2312" w:eastAsia="仿宋_GB2312"/>
          <w:sz w:val="28"/>
          <w:szCs w:val="28"/>
        </w:rPr>
        <w:t>2</w:t>
      </w:r>
      <w:r>
        <w:rPr>
          <w:rFonts w:ascii="仿宋_GB2312" w:eastAsia="仿宋_GB2312"/>
          <w:sz w:val="28"/>
          <w:szCs w:val="28"/>
        </w:rPr>
        <w:t>1</w:t>
      </w:r>
      <w:r>
        <w:rPr>
          <w:rFonts w:hint="eastAsia" w:ascii="仿宋_GB2312" w:eastAsia="仿宋_GB2312"/>
          <w:sz w:val="28"/>
          <w:szCs w:val="28"/>
        </w:rPr>
        <w:t>、发生安全或环保事故后，乙方应按照事故预案，及时开展事故应急处置和应急救援工作。</w:t>
      </w:r>
    </w:p>
    <w:p w14:paraId="7AD11791">
      <w:pPr>
        <w:spacing w:line="520" w:lineRule="exact"/>
        <w:ind w:left="13" w:leftChars="6" w:firstLine="655" w:firstLineChars="234"/>
        <w:rPr>
          <w:rFonts w:hint="eastAsia" w:ascii="仿宋_GB2312" w:eastAsia="仿宋_GB2312"/>
          <w:sz w:val="28"/>
          <w:szCs w:val="28"/>
        </w:rPr>
      </w:pPr>
      <w:r>
        <w:rPr>
          <w:rFonts w:hint="eastAsia" w:ascii="仿宋_GB2312" w:eastAsia="仿宋_GB2312"/>
          <w:sz w:val="28"/>
          <w:szCs w:val="28"/>
        </w:rPr>
        <w:t>2</w:t>
      </w:r>
      <w:r>
        <w:rPr>
          <w:rFonts w:ascii="仿宋_GB2312" w:eastAsia="仿宋_GB2312"/>
          <w:sz w:val="28"/>
          <w:szCs w:val="28"/>
        </w:rPr>
        <w:t>2</w:t>
      </w:r>
      <w:r>
        <w:rPr>
          <w:rFonts w:hint="eastAsia" w:ascii="仿宋_GB2312" w:eastAsia="仿宋_GB2312"/>
          <w:sz w:val="28"/>
          <w:szCs w:val="28"/>
        </w:rPr>
        <w:t>、乙方人员应当遵守甲方的规章制度，接受甲方的安全环保检查与监督。如有异议可与甲方进行说明与协调，但不得拒绝、阻扰甲方的检查。否则，甲方有权现场勒令停工而不视为甲方违约。</w:t>
      </w:r>
    </w:p>
    <w:p w14:paraId="11B2FABD">
      <w:pPr>
        <w:spacing w:line="520" w:lineRule="exact"/>
        <w:ind w:left="13" w:leftChars="6" w:firstLine="658" w:firstLineChars="235"/>
        <w:rPr>
          <w:rFonts w:hint="eastAsia" w:ascii="仿宋_GB2312" w:eastAsia="仿宋_GB2312"/>
          <w:sz w:val="28"/>
          <w:szCs w:val="28"/>
        </w:rPr>
      </w:pPr>
      <w:r>
        <w:rPr>
          <w:rFonts w:hint="eastAsia" w:ascii="仿宋_GB2312" w:eastAsia="仿宋_GB2312"/>
          <w:sz w:val="28"/>
          <w:szCs w:val="28"/>
        </w:rPr>
        <w:t>2</w:t>
      </w:r>
      <w:r>
        <w:rPr>
          <w:rFonts w:ascii="仿宋_GB2312" w:eastAsia="仿宋_GB2312"/>
          <w:sz w:val="28"/>
          <w:szCs w:val="28"/>
        </w:rPr>
        <w:t>3</w:t>
      </w:r>
      <w:r>
        <w:rPr>
          <w:rFonts w:hint="eastAsia" w:ascii="仿宋_GB2312" w:eastAsia="仿宋_GB2312"/>
          <w:sz w:val="28"/>
          <w:szCs w:val="28"/>
        </w:rPr>
        <w:t>、对甲方在检查中发现的问题和隐患，乙方应立即整改。重大事故隐患排除前或排除过程中无法保证安全的，甲方有权责令乙方暂停施工</w:t>
      </w:r>
      <w:r>
        <w:rPr>
          <w:rFonts w:hint="eastAsia" w:ascii="仿宋_GB2312" w:eastAsia="仿宋_GB2312"/>
          <w:sz w:val="28"/>
          <w:szCs w:val="28"/>
          <w:lang w:val="en-US" w:eastAsia="zh-CN"/>
        </w:rPr>
        <w:t>作业</w:t>
      </w:r>
      <w:r>
        <w:rPr>
          <w:rFonts w:hint="eastAsia" w:ascii="仿宋_GB2312" w:eastAsia="仿宋_GB2312"/>
          <w:sz w:val="28"/>
          <w:szCs w:val="28"/>
        </w:rPr>
        <w:t>。隐患排除后，经甲方审查同意后，方可恢复作业。</w:t>
      </w:r>
    </w:p>
    <w:p w14:paraId="20473FD7">
      <w:pPr>
        <w:spacing w:line="520" w:lineRule="exact"/>
        <w:ind w:left="13" w:leftChars="6" w:firstLine="658" w:firstLineChars="235"/>
        <w:rPr>
          <w:rFonts w:hint="eastAsia" w:ascii="仿宋_GB2312" w:eastAsia="仿宋_GB2312"/>
          <w:sz w:val="28"/>
          <w:szCs w:val="28"/>
        </w:rPr>
      </w:pPr>
      <w:r>
        <w:rPr>
          <w:rFonts w:hint="eastAsia" w:ascii="仿宋_GB2312" w:eastAsia="仿宋_GB2312"/>
          <w:sz w:val="28"/>
          <w:szCs w:val="28"/>
        </w:rPr>
        <w:t>2</w:t>
      </w:r>
      <w:r>
        <w:rPr>
          <w:rFonts w:ascii="仿宋_GB2312" w:eastAsia="仿宋_GB2312"/>
          <w:sz w:val="28"/>
          <w:szCs w:val="28"/>
        </w:rPr>
        <w:t>4</w:t>
      </w:r>
      <w:r>
        <w:rPr>
          <w:rFonts w:hint="eastAsia" w:ascii="仿宋_GB2312" w:eastAsia="仿宋_GB2312"/>
          <w:sz w:val="28"/>
          <w:szCs w:val="28"/>
        </w:rPr>
        <w:t>、乙方不得擅自将工程转包,分包,返包;乙方经甲方书面同意把其中部分工作转包给分包商的，乙方仍应承担相应的安全环保责任，分包商必须执行与总承包商同样的安全环保管理程序和要求。</w:t>
      </w:r>
    </w:p>
    <w:p w14:paraId="2B600590">
      <w:pPr>
        <w:spacing w:line="520" w:lineRule="exact"/>
        <w:ind w:firstLine="570"/>
        <w:rPr>
          <w:rFonts w:hint="eastAsia" w:ascii="仿宋_GB2312" w:eastAsia="仿宋_GB2312"/>
          <w:b/>
          <w:bCs/>
          <w:sz w:val="28"/>
          <w:szCs w:val="28"/>
        </w:rPr>
      </w:pPr>
      <w:r>
        <w:rPr>
          <w:rFonts w:hint="eastAsia" w:ascii="仿宋_GB2312" w:eastAsia="仿宋_GB2312"/>
          <w:b/>
          <w:bCs/>
          <w:sz w:val="28"/>
          <w:szCs w:val="28"/>
        </w:rPr>
        <w:t>五、违约责任</w:t>
      </w:r>
    </w:p>
    <w:p w14:paraId="7962B010">
      <w:pPr>
        <w:numPr>
          <w:ilvl w:val="0"/>
          <w:numId w:val="5"/>
        </w:num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乙方在施工作业中造成生产安全环保事故，或对甲方正常生产造成影响，由甲方组织各有关方召开事故分析会，根据事故责任分析，进行相应的责任追究和损失赔偿。</w:t>
      </w:r>
    </w:p>
    <w:p w14:paraId="5E8CCE87">
      <w:pPr>
        <w:pStyle w:val="7"/>
        <w:numPr>
          <w:ilvl w:val="0"/>
          <w:numId w:val="5"/>
        </w:numPr>
        <w:spacing w:line="520" w:lineRule="exact"/>
        <w:ind w:firstLine="567"/>
        <w:rPr>
          <w:rFonts w:hint="eastAsia" w:ascii="仿宋_GB2312"/>
          <w:szCs w:val="28"/>
        </w:rPr>
      </w:pPr>
      <w:r>
        <w:rPr>
          <w:rFonts w:hint="eastAsia" w:ascii="仿宋_GB2312"/>
          <w:szCs w:val="28"/>
        </w:rPr>
        <w:t>因乙方擅自将工程转包、分包和返包，导致发生安全环保事故，或导致甲方项目遭受损失，由乙方承担全部责任。</w:t>
      </w:r>
    </w:p>
    <w:p w14:paraId="09552D6C">
      <w:pPr>
        <w:pStyle w:val="7"/>
        <w:numPr>
          <w:ilvl w:val="0"/>
          <w:numId w:val="5"/>
        </w:numPr>
        <w:spacing w:line="520" w:lineRule="exact"/>
        <w:ind w:firstLine="524"/>
        <w:rPr>
          <w:rFonts w:hint="eastAsia" w:ascii="仿宋_GB2312"/>
          <w:szCs w:val="28"/>
        </w:rPr>
      </w:pPr>
      <w:r>
        <w:rPr>
          <w:rFonts w:hint="eastAsia" w:ascii="仿宋_GB2312"/>
          <w:szCs w:val="28"/>
        </w:rPr>
        <w:t>乙方应按照本协议的约定做好相关安全环保工作，并自行负责自己一方人员的人身、财产安全，如在履行本合同过程中非因甲方原因发生安全事故，导致乙方自身或/及甲方或/及任意第三人人身伤亡、财产损失或其他触犯法律的行为的，均由乙方承担法律责任并赔偿损失。如果因此而导致任意第三人向甲方主张权利的，乙方应负担甲方由此负担的一切损失（包括但不限于甲方被有权司法或行政机关裁决而须支付的罚款、赔偿金、诉讼费、仲裁费、律师费、其他法律责任以及其他合理支出等）。</w:t>
      </w:r>
    </w:p>
    <w:p w14:paraId="6F879A6A">
      <w:pPr>
        <w:pStyle w:val="7"/>
        <w:spacing w:line="520" w:lineRule="exact"/>
        <w:ind w:firstLine="526" w:firstLineChars="187"/>
        <w:outlineLvl w:val="0"/>
        <w:rPr>
          <w:rFonts w:hint="eastAsia" w:ascii="仿宋_GB2312"/>
          <w:b/>
          <w:bCs/>
          <w:szCs w:val="28"/>
        </w:rPr>
      </w:pPr>
      <w:r>
        <w:rPr>
          <w:rFonts w:hint="eastAsia" w:ascii="仿宋_GB2312"/>
          <w:b/>
          <w:bCs/>
          <w:szCs w:val="28"/>
        </w:rPr>
        <w:t>六、附则</w:t>
      </w:r>
    </w:p>
    <w:p w14:paraId="203695D5">
      <w:pPr>
        <w:pStyle w:val="7"/>
        <w:spacing w:line="520" w:lineRule="exact"/>
        <w:ind w:firstLine="523" w:firstLineChars="187"/>
        <w:rPr>
          <w:rFonts w:ascii="仿宋_GB2312"/>
          <w:szCs w:val="28"/>
        </w:rPr>
      </w:pPr>
      <w:r>
        <w:rPr>
          <w:rFonts w:ascii="仿宋_GB2312"/>
          <w:szCs w:val="28"/>
        </w:rPr>
        <w:t>1</w:t>
      </w:r>
      <w:r>
        <w:rPr>
          <w:rFonts w:hint="eastAsia" w:ascii="仿宋_GB2312"/>
          <w:szCs w:val="28"/>
        </w:rPr>
        <w:t>、协议未尽事宜，由双方另行协商解决。</w:t>
      </w:r>
    </w:p>
    <w:p w14:paraId="7240B9CE">
      <w:pPr>
        <w:pStyle w:val="7"/>
        <w:spacing w:line="520" w:lineRule="exact"/>
        <w:ind w:firstLine="523" w:firstLineChars="187"/>
        <w:rPr>
          <w:rFonts w:hint="eastAsia" w:ascii="仿宋_GB2312"/>
          <w:szCs w:val="28"/>
        </w:rPr>
      </w:pPr>
      <w:r>
        <w:rPr>
          <w:rFonts w:hint="eastAsia" w:ascii="仿宋_GB2312"/>
          <w:szCs w:val="28"/>
        </w:rPr>
        <w:t>2、甲方授权</w:t>
      </w:r>
      <w:r>
        <w:rPr>
          <w:rFonts w:hint="eastAsia" w:ascii="仿宋_GB2312"/>
          <w:szCs w:val="28"/>
          <w:lang w:val="en-US" w:eastAsia="zh-CN"/>
        </w:rPr>
        <w:t>安全环保部</w:t>
      </w:r>
      <w:r>
        <w:rPr>
          <w:rFonts w:hint="eastAsia" w:ascii="仿宋_GB2312"/>
          <w:szCs w:val="28"/>
        </w:rPr>
        <w:t>作为甲方代表与乙方签订本协议，本协议作为双方签订的相关业务主体合同的附件与主体合同一样具有同等法律效力，本协议未作约定的，按主体合同约定的权利、义务履行。</w:t>
      </w:r>
    </w:p>
    <w:p w14:paraId="4C9803BB">
      <w:pPr>
        <w:pStyle w:val="7"/>
        <w:spacing w:line="520" w:lineRule="exact"/>
        <w:ind w:firstLine="523" w:firstLineChars="187"/>
        <w:rPr>
          <w:rFonts w:hint="eastAsia" w:ascii="仿宋_GB2312"/>
          <w:szCs w:val="28"/>
        </w:rPr>
      </w:pPr>
      <w:r>
        <w:rPr>
          <w:rFonts w:hint="eastAsia" w:ascii="仿宋_GB2312"/>
          <w:szCs w:val="28"/>
        </w:rPr>
        <w:t>3、本协议一式两份，甲、乙双方各执一份，经甲、乙双方盖章（甲方授权</w:t>
      </w:r>
      <w:r>
        <w:rPr>
          <w:rFonts w:hint="eastAsia" w:ascii="仿宋_GB2312"/>
          <w:szCs w:val="28"/>
          <w:lang w:val="en-US" w:eastAsia="zh-CN"/>
        </w:rPr>
        <w:t>安全环保部</w:t>
      </w:r>
      <w:r>
        <w:rPr>
          <w:rFonts w:hint="eastAsia" w:ascii="仿宋_GB2312"/>
          <w:szCs w:val="28"/>
        </w:rPr>
        <w:t>代表甲方盖章）后生效，至项目结束或协议有效期满后，本协议自行失效。</w:t>
      </w:r>
    </w:p>
    <w:p w14:paraId="3FBB6016">
      <w:pPr>
        <w:pStyle w:val="7"/>
        <w:spacing w:line="520" w:lineRule="exact"/>
        <w:ind w:firstLine="523" w:firstLineChars="187"/>
        <w:rPr>
          <w:rFonts w:hint="eastAsia" w:ascii="仿宋_GB2312"/>
          <w:szCs w:val="28"/>
        </w:rPr>
      </w:pPr>
    </w:p>
    <w:p w14:paraId="571CAEC1">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（以下无正文）</w:t>
      </w:r>
    </w:p>
    <w:p w14:paraId="030551D1">
      <w:pPr>
        <w:spacing w:line="520" w:lineRule="exact"/>
        <w:ind w:firstLine="843" w:firstLineChars="300"/>
        <w:rPr>
          <w:rFonts w:ascii="仿宋_GB2312" w:eastAsia="仿宋_GB2312"/>
          <w:sz w:val="28"/>
          <w:szCs w:val="28"/>
        </w:rPr>
      </w:pPr>
      <w:r>
        <w:rPr>
          <w:rFonts w:ascii="仿宋_GB2312" w:eastAsia="仿宋_GB2312"/>
          <w:b/>
          <w:bCs/>
          <w:sz w:val="28"/>
          <w:szCs w:val="28"/>
        </w:rPr>
        <w:br w:type="page"/>
      </w:r>
      <w:r>
        <w:rPr>
          <w:rFonts w:hint="eastAsia" w:ascii="仿宋_GB2312" w:eastAsia="仿宋_GB2312"/>
          <w:sz w:val="28"/>
          <w:szCs w:val="28"/>
        </w:rPr>
        <w:t>（本页无正文，为合同签署页）</w:t>
      </w:r>
    </w:p>
    <w:p w14:paraId="5DAAB049">
      <w:pPr>
        <w:spacing w:line="520" w:lineRule="exact"/>
        <w:rPr>
          <w:rFonts w:ascii="仿宋_GB2312" w:eastAsia="仿宋_GB2312"/>
          <w:b/>
          <w:bCs/>
          <w:sz w:val="28"/>
          <w:szCs w:val="28"/>
        </w:rPr>
      </w:pPr>
    </w:p>
    <w:p w14:paraId="2217E5D7">
      <w:pPr>
        <w:spacing w:line="520" w:lineRule="exact"/>
        <w:rPr>
          <w:rFonts w:hint="eastAsia" w:ascii="仿宋_GB2312" w:eastAsia="仿宋_GB2312"/>
          <w:b/>
          <w:bCs/>
          <w:sz w:val="28"/>
          <w:szCs w:val="28"/>
        </w:rPr>
      </w:pPr>
    </w:p>
    <w:p w14:paraId="1AA41B31">
      <w:pPr>
        <w:spacing w:line="520" w:lineRule="exact"/>
        <w:rPr>
          <w:rFonts w:hint="eastAsia" w:ascii="仿宋_GB2312" w:eastAsia="仿宋_GB2312"/>
          <w:b/>
          <w:bCs/>
          <w:sz w:val="28"/>
          <w:szCs w:val="28"/>
        </w:rPr>
      </w:pPr>
      <w:r>
        <w:rPr>
          <w:rFonts w:hint="eastAsia" w:ascii="仿宋_GB2312" w:eastAsia="仿宋_GB2312"/>
          <w:b/>
          <w:bCs/>
          <w:sz w:val="28"/>
          <w:szCs w:val="28"/>
        </w:rPr>
        <w:t>协议签署：</w:t>
      </w:r>
    </w:p>
    <w:p w14:paraId="5F8A324A">
      <w:pPr>
        <w:spacing w:line="520" w:lineRule="exact"/>
        <w:rPr>
          <w:rFonts w:hint="eastAsia" w:ascii="仿宋_GB2312" w:eastAsia="仿宋_GB2312"/>
          <w:sz w:val="28"/>
          <w:szCs w:val="28"/>
        </w:rPr>
      </w:pPr>
    </w:p>
    <w:p w14:paraId="47A2B210">
      <w:pPr>
        <w:numPr>
          <w:ilvl w:val="0"/>
          <w:numId w:val="6"/>
        </w:numPr>
        <w:spacing w:line="520" w:lineRule="exact"/>
        <w:rPr>
          <w:rFonts w:hint="eastAsia" w:ascii="仿宋_GB2312" w:eastAsia="仿宋_GB2312"/>
          <w:sz w:val="28"/>
          <w:szCs w:val="28"/>
        </w:rPr>
      </w:pPr>
      <w:r>
        <w:rPr>
          <w:rFonts w:hint="eastAsia" w:ascii="仿宋_GB2312" w:eastAsia="仿宋_GB2312"/>
          <w:sz w:val="28"/>
          <w:szCs w:val="28"/>
        </w:rPr>
        <w:t>作业项目：</w:t>
      </w:r>
    </w:p>
    <w:p w14:paraId="3FA6F36E">
      <w:pPr>
        <w:spacing w:line="520" w:lineRule="exact"/>
        <w:rPr>
          <w:rFonts w:hint="eastAsia" w:ascii="仿宋_GB2312" w:eastAsia="仿宋_GB2312"/>
          <w:sz w:val="28"/>
          <w:szCs w:val="28"/>
        </w:rPr>
      </w:pPr>
    </w:p>
    <w:p w14:paraId="4A0B6DC8">
      <w:pPr>
        <w:numPr>
          <w:ilvl w:val="0"/>
          <w:numId w:val="6"/>
        </w:numPr>
        <w:spacing w:line="520" w:lineRule="exact"/>
        <w:rPr>
          <w:rFonts w:hint="eastAsia" w:ascii="仿宋_GB2312" w:eastAsia="仿宋_GB2312"/>
          <w:sz w:val="28"/>
          <w:szCs w:val="28"/>
        </w:rPr>
      </w:pPr>
      <w:r>
        <w:rPr>
          <w:rFonts w:hint="eastAsia" w:ascii="仿宋_GB2312" w:eastAsia="仿宋_GB2312"/>
          <w:sz w:val="28"/>
          <w:szCs w:val="28"/>
        </w:rPr>
        <w:t>作业地点：</w:t>
      </w:r>
    </w:p>
    <w:p w14:paraId="0804BF65">
      <w:pPr>
        <w:spacing w:line="520" w:lineRule="exact"/>
        <w:rPr>
          <w:rFonts w:hint="eastAsia" w:ascii="仿宋_GB2312" w:eastAsia="仿宋_GB2312"/>
          <w:sz w:val="28"/>
          <w:szCs w:val="28"/>
        </w:rPr>
      </w:pPr>
    </w:p>
    <w:p w14:paraId="685B3CE0">
      <w:pPr>
        <w:numPr>
          <w:ilvl w:val="0"/>
          <w:numId w:val="6"/>
        </w:numPr>
        <w:spacing w:line="520" w:lineRule="exact"/>
        <w:rPr>
          <w:rFonts w:ascii="仿宋_GB2312" w:eastAsia="仿宋_GB2312"/>
          <w:sz w:val="28"/>
          <w:szCs w:val="28"/>
        </w:rPr>
      </w:pPr>
      <w:r>
        <w:rPr>
          <w:rFonts w:hint="eastAsia" w:ascii="仿宋_GB2312" w:eastAsia="仿宋_GB2312"/>
          <w:sz w:val="28"/>
          <w:szCs w:val="28"/>
        </w:rPr>
        <w:t>协议有效期：自      年   月  日起至     年    月    日止</w:t>
      </w:r>
    </w:p>
    <w:p w14:paraId="20AABA9B">
      <w:pPr>
        <w:spacing w:line="520" w:lineRule="exact"/>
        <w:rPr>
          <w:rFonts w:ascii="仿宋_GB2312" w:eastAsia="仿宋_GB2312"/>
          <w:sz w:val="28"/>
          <w:szCs w:val="28"/>
        </w:rPr>
      </w:pPr>
    </w:p>
    <w:p w14:paraId="5D2F8927">
      <w:pPr>
        <w:numPr>
          <w:ilvl w:val="0"/>
          <w:numId w:val="6"/>
        </w:numPr>
        <w:spacing w:line="520" w:lineRule="exact"/>
        <w:rPr>
          <w:rFonts w:ascii="仿宋_GB2312" w:eastAsia="仿宋_GB2312"/>
          <w:sz w:val="28"/>
          <w:szCs w:val="28"/>
        </w:rPr>
      </w:pPr>
      <w:r>
        <w:rPr>
          <w:rFonts w:hint="eastAsia" w:ascii="仿宋_GB2312" w:eastAsia="仿宋_GB2312"/>
          <w:sz w:val="28"/>
          <w:szCs w:val="28"/>
        </w:rPr>
        <w:t>乙方现场环境/安全负责人姓名：</w:t>
      </w:r>
    </w:p>
    <w:p w14:paraId="65E13D64">
      <w:pPr>
        <w:spacing w:line="520" w:lineRule="exact"/>
        <w:rPr>
          <w:rFonts w:ascii="仿宋_GB2312" w:eastAsia="仿宋_GB2312"/>
          <w:sz w:val="28"/>
          <w:szCs w:val="28"/>
        </w:rPr>
      </w:pPr>
      <w:r>
        <w:rPr>
          <w:rFonts w:hint="eastAsia" w:ascii="仿宋_GB2312" w:eastAsia="仿宋_GB2312"/>
          <w:sz w:val="28"/>
          <w:szCs w:val="28"/>
        </w:rPr>
        <w:t xml:space="preserve">                      联系电话：</w:t>
      </w:r>
    </w:p>
    <w:p w14:paraId="59ADC8EE">
      <w:pPr>
        <w:spacing w:line="520" w:lineRule="exact"/>
        <w:ind w:firstLine="560" w:firstLineChars="200"/>
        <w:rPr>
          <w:rFonts w:hint="eastAsia" w:ascii="仿宋_GB2312" w:eastAsia="仿宋_GB2312"/>
          <w:sz w:val="28"/>
          <w:szCs w:val="28"/>
        </w:rPr>
      </w:pPr>
    </w:p>
    <w:p w14:paraId="161EE15B">
      <w:pPr>
        <w:spacing w:line="520" w:lineRule="exact"/>
        <w:rPr>
          <w:rFonts w:hint="eastAsia" w:ascii="仿宋_GB2312" w:eastAsia="仿宋_GB2312"/>
          <w:sz w:val="28"/>
          <w:szCs w:val="28"/>
        </w:rPr>
      </w:pPr>
    </w:p>
    <w:p w14:paraId="6232B97D">
      <w:pPr>
        <w:spacing w:line="520" w:lineRule="exact"/>
        <w:rPr>
          <w:rFonts w:hint="eastAsia" w:ascii="仿宋_GB2312" w:eastAsia="仿宋_GB2312"/>
          <w:sz w:val="28"/>
          <w:szCs w:val="28"/>
        </w:rPr>
      </w:pPr>
      <w:r>
        <w:rPr>
          <w:rFonts w:hint="eastAsia" w:ascii="仿宋_GB2312" w:eastAsia="仿宋_GB2312"/>
          <w:sz w:val="28"/>
          <w:szCs w:val="28"/>
        </w:rPr>
        <w:t>甲方（章）：                  乙方：（章）</w:t>
      </w:r>
    </w:p>
    <w:p w14:paraId="5AEE479C">
      <w:pPr>
        <w:spacing w:line="520" w:lineRule="exact"/>
        <w:rPr>
          <w:rFonts w:ascii="仿宋_GB2312" w:eastAsia="仿宋_GB2312"/>
          <w:sz w:val="28"/>
          <w:szCs w:val="28"/>
        </w:rPr>
      </w:pPr>
    </w:p>
    <w:p w14:paraId="7BA86B6D">
      <w:pPr>
        <w:spacing w:line="520" w:lineRule="exact"/>
        <w:rPr>
          <w:rFonts w:ascii="仿宋_GB2312" w:eastAsia="仿宋_GB2312"/>
          <w:sz w:val="28"/>
          <w:szCs w:val="28"/>
        </w:rPr>
      </w:pPr>
      <w:r>
        <w:rPr>
          <w:rFonts w:hint="eastAsia" w:ascii="仿宋_GB2312" w:eastAsia="仿宋_GB2312"/>
          <w:sz w:val="28"/>
          <w:szCs w:val="28"/>
        </w:rPr>
        <w:t>签订日期：                   签订日期：</w:t>
      </w:r>
    </w:p>
    <w:p w14:paraId="17482158">
      <w:pPr>
        <w:rPr>
          <w:rFonts w:hint="eastAsia" w:ascii="仿宋_GB2312" w:eastAsia="仿宋_GB2312"/>
          <w:sz w:val="24"/>
        </w:rPr>
      </w:pPr>
    </w:p>
    <w:p w14:paraId="6479CF88">
      <w:pPr>
        <w:wordWrap w:val="0"/>
        <w:adjustRightInd w:val="0"/>
        <w:snapToGrid w:val="0"/>
        <w:spacing w:before="156" w:beforeLines="50" w:line="360" w:lineRule="auto"/>
        <w:jc w:val="left"/>
        <w:rPr>
          <w:rFonts w:hint="default" w:ascii="仿宋_GB2312" w:hAnsi="仿宋_GB2312" w:eastAsia="仿宋_GB2312" w:cs="仿宋_GB2312"/>
          <w:kern w:val="1"/>
          <w:sz w:val="30"/>
          <w:szCs w:val="30"/>
          <w:lang w:val="en-US" w:eastAsia="zh-CN"/>
        </w:rPr>
      </w:pPr>
    </w:p>
    <w:sectPr>
      <w:footerReference r:id="rId6"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ÎSå">
    <w:altName w:val="Arial"/>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5F3D3">
    <w:pPr>
      <w:pStyle w:val="9"/>
      <w:ind w:right="420" w:rightChars="200"/>
      <w:jc w:val="center"/>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w:t>
    </w:r>
    <w:r>
      <w:rPr>
        <w:rFonts w:ascii="宋体" w:hAnsi="宋体"/>
        <w:kern w:val="0"/>
        <w:sz w:val="28"/>
        <w:szCs w:val="28"/>
      </w:rPr>
      <w:fldChar w:fldCharType="end"/>
    </w:r>
    <w:r>
      <w:rPr>
        <w:rFonts w:ascii="宋体" w:hAnsi="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72DC9">
    <w:pPr>
      <w:pStyle w:val="9"/>
      <w:ind w:left="420" w:leftChars="200"/>
      <w:jc w:val="center"/>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2</w:t>
    </w:r>
    <w:r>
      <w:rPr>
        <w:rFonts w:ascii="宋体" w:hAnsi="宋体"/>
        <w:kern w:val="0"/>
        <w:sz w:val="28"/>
        <w:szCs w:val="28"/>
      </w:rPr>
      <w:fldChar w:fldCharType="end"/>
    </w:r>
    <w:r>
      <w:rPr>
        <w:rFonts w:ascii="宋体" w:hAnsi="宋体"/>
        <w:kern w:val="0"/>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0D2E5">
    <w:pPr>
      <w:pStyle w:val="9"/>
      <w:ind w:right="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3C7ED">
    <w:pPr>
      <w:pStyle w:val="10"/>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B0AE6"/>
    <w:multiLevelType w:val="singleLevel"/>
    <w:tmpl w:val="855B0AE6"/>
    <w:lvl w:ilvl="0" w:tentative="0">
      <w:start w:val="1"/>
      <w:numFmt w:val="decimal"/>
      <w:suff w:val="nothing"/>
      <w:lvlText w:val="%1、"/>
      <w:lvlJc w:val="left"/>
    </w:lvl>
  </w:abstractNum>
  <w:abstractNum w:abstractNumId="1">
    <w:nsid w:val="9EECA143"/>
    <w:multiLevelType w:val="singleLevel"/>
    <w:tmpl w:val="9EECA143"/>
    <w:lvl w:ilvl="0" w:tentative="0">
      <w:start w:val="1"/>
      <w:numFmt w:val="decimal"/>
      <w:suff w:val="nothing"/>
      <w:lvlText w:val="%1、"/>
      <w:lvlJc w:val="left"/>
    </w:lvl>
  </w:abstractNum>
  <w:abstractNum w:abstractNumId="2">
    <w:nsid w:val="BCD2F910"/>
    <w:multiLevelType w:val="singleLevel"/>
    <w:tmpl w:val="BCD2F910"/>
    <w:lvl w:ilvl="0" w:tentative="0">
      <w:start w:val="6"/>
      <w:numFmt w:val="chineseCounting"/>
      <w:suff w:val="nothing"/>
      <w:lvlText w:val="%1、"/>
      <w:lvlJc w:val="left"/>
      <w:rPr>
        <w:rFonts w:hint="eastAsia"/>
      </w:rPr>
    </w:lvl>
  </w:abstractNum>
  <w:abstractNum w:abstractNumId="3">
    <w:nsid w:val="12AD263A"/>
    <w:multiLevelType w:val="singleLevel"/>
    <w:tmpl w:val="12AD263A"/>
    <w:lvl w:ilvl="0" w:tentative="0">
      <w:start w:val="1"/>
      <w:numFmt w:val="decimal"/>
      <w:suff w:val="nothing"/>
      <w:lvlText w:val="%1、"/>
      <w:lvlJc w:val="left"/>
    </w:lvl>
  </w:abstractNum>
  <w:abstractNum w:abstractNumId="4">
    <w:nsid w:val="5FFFD67A"/>
    <w:multiLevelType w:val="singleLevel"/>
    <w:tmpl w:val="5FFFD67A"/>
    <w:lvl w:ilvl="0" w:tentative="0">
      <w:start w:val="1"/>
      <w:numFmt w:val="chineseCounting"/>
      <w:suff w:val="nothing"/>
      <w:lvlText w:val="%1、"/>
      <w:lvlJc w:val="left"/>
      <w:rPr>
        <w:rFonts w:hint="eastAsia"/>
      </w:rPr>
    </w:lvl>
  </w:abstractNum>
  <w:abstractNum w:abstractNumId="5">
    <w:nsid w:val="65677D4D"/>
    <w:multiLevelType w:val="singleLevel"/>
    <w:tmpl w:val="65677D4D"/>
    <w:lvl w:ilvl="0" w:tentative="0">
      <w:start w:val="1"/>
      <w:numFmt w:val="decimal"/>
      <w:suff w:val="nothing"/>
      <w:lvlText w:val="%1、"/>
      <w:lvlJc w:val="left"/>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5NmMzMGY2MWFmZmRhYjZmYmNlMDRkNzE3ZDFiMmQifQ=="/>
  </w:docVars>
  <w:rsids>
    <w:rsidRoot w:val="00C45D21"/>
    <w:rsid w:val="00000B36"/>
    <w:rsid w:val="0000578A"/>
    <w:rsid w:val="000154D0"/>
    <w:rsid w:val="00023B13"/>
    <w:rsid w:val="00036953"/>
    <w:rsid w:val="0004430B"/>
    <w:rsid w:val="0005551D"/>
    <w:rsid w:val="00066FCE"/>
    <w:rsid w:val="00072253"/>
    <w:rsid w:val="000750DA"/>
    <w:rsid w:val="00076FA5"/>
    <w:rsid w:val="00082DC7"/>
    <w:rsid w:val="00085D85"/>
    <w:rsid w:val="0009221D"/>
    <w:rsid w:val="00096B78"/>
    <w:rsid w:val="000B647E"/>
    <w:rsid w:val="000C32F4"/>
    <w:rsid w:val="000C5D79"/>
    <w:rsid w:val="000D54B7"/>
    <w:rsid w:val="000E0B0E"/>
    <w:rsid w:val="000F4A0C"/>
    <w:rsid w:val="00103F5A"/>
    <w:rsid w:val="00105CEC"/>
    <w:rsid w:val="0011682A"/>
    <w:rsid w:val="00117CC8"/>
    <w:rsid w:val="00130C15"/>
    <w:rsid w:val="00132B6D"/>
    <w:rsid w:val="00136470"/>
    <w:rsid w:val="00137AE7"/>
    <w:rsid w:val="00142A92"/>
    <w:rsid w:val="00146253"/>
    <w:rsid w:val="0014734C"/>
    <w:rsid w:val="00147CBF"/>
    <w:rsid w:val="00156ED5"/>
    <w:rsid w:val="00157FF3"/>
    <w:rsid w:val="0018747D"/>
    <w:rsid w:val="00192AC4"/>
    <w:rsid w:val="001B5216"/>
    <w:rsid w:val="001D2603"/>
    <w:rsid w:val="001E28D0"/>
    <w:rsid w:val="001E3B0A"/>
    <w:rsid w:val="001F0092"/>
    <w:rsid w:val="002058D8"/>
    <w:rsid w:val="00210CD9"/>
    <w:rsid w:val="00220534"/>
    <w:rsid w:val="00240AED"/>
    <w:rsid w:val="00240B04"/>
    <w:rsid w:val="00242358"/>
    <w:rsid w:val="00260456"/>
    <w:rsid w:val="00262421"/>
    <w:rsid w:val="0026486A"/>
    <w:rsid w:val="002661E8"/>
    <w:rsid w:val="00267781"/>
    <w:rsid w:val="00277FCE"/>
    <w:rsid w:val="002825B5"/>
    <w:rsid w:val="00282866"/>
    <w:rsid w:val="00282E34"/>
    <w:rsid w:val="00284ABB"/>
    <w:rsid w:val="00284D39"/>
    <w:rsid w:val="00287AC1"/>
    <w:rsid w:val="00294408"/>
    <w:rsid w:val="002970D7"/>
    <w:rsid w:val="002A6A7A"/>
    <w:rsid w:val="002A79C0"/>
    <w:rsid w:val="002B2713"/>
    <w:rsid w:val="002B2D7A"/>
    <w:rsid w:val="002B48F7"/>
    <w:rsid w:val="002C0F5A"/>
    <w:rsid w:val="002C19D0"/>
    <w:rsid w:val="002C3E3B"/>
    <w:rsid w:val="002C49B4"/>
    <w:rsid w:val="002D6CD4"/>
    <w:rsid w:val="002E2E4D"/>
    <w:rsid w:val="002E43B0"/>
    <w:rsid w:val="002E617E"/>
    <w:rsid w:val="002E6F53"/>
    <w:rsid w:val="002F7E71"/>
    <w:rsid w:val="00305B10"/>
    <w:rsid w:val="00320A71"/>
    <w:rsid w:val="003536CD"/>
    <w:rsid w:val="003570B1"/>
    <w:rsid w:val="0035795E"/>
    <w:rsid w:val="00361A5B"/>
    <w:rsid w:val="0036489F"/>
    <w:rsid w:val="003650CC"/>
    <w:rsid w:val="00365C58"/>
    <w:rsid w:val="00373904"/>
    <w:rsid w:val="00375302"/>
    <w:rsid w:val="003A3FE3"/>
    <w:rsid w:val="003A5915"/>
    <w:rsid w:val="003B2EB5"/>
    <w:rsid w:val="003C6355"/>
    <w:rsid w:val="003D7A49"/>
    <w:rsid w:val="003F2EF5"/>
    <w:rsid w:val="003F3C8C"/>
    <w:rsid w:val="003F5731"/>
    <w:rsid w:val="00402846"/>
    <w:rsid w:val="0040346D"/>
    <w:rsid w:val="00405FAB"/>
    <w:rsid w:val="004114C6"/>
    <w:rsid w:val="00417177"/>
    <w:rsid w:val="00417EAB"/>
    <w:rsid w:val="004212BA"/>
    <w:rsid w:val="00421BA4"/>
    <w:rsid w:val="00425EAB"/>
    <w:rsid w:val="00441BF5"/>
    <w:rsid w:val="00442262"/>
    <w:rsid w:val="00442D43"/>
    <w:rsid w:val="00445E09"/>
    <w:rsid w:val="004470B0"/>
    <w:rsid w:val="00451F80"/>
    <w:rsid w:val="00452358"/>
    <w:rsid w:val="004671B9"/>
    <w:rsid w:val="004678E4"/>
    <w:rsid w:val="00473FCE"/>
    <w:rsid w:val="004746C9"/>
    <w:rsid w:val="004748EC"/>
    <w:rsid w:val="00477CC9"/>
    <w:rsid w:val="004A0276"/>
    <w:rsid w:val="004A17CB"/>
    <w:rsid w:val="004A24C4"/>
    <w:rsid w:val="004A62BD"/>
    <w:rsid w:val="004D27B4"/>
    <w:rsid w:val="004E64C7"/>
    <w:rsid w:val="004E79BB"/>
    <w:rsid w:val="004F1B2A"/>
    <w:rsid w:val="004F3C10"/>
    <w:rsid w:val="004F6034"/>
    <w:rsid w:val="005025FC"/>
    <w:rsid w:val="00502F5B"/>
    <w:rsid w:val="00506FC7"/>
    <w:rsid w:val="00515AEA"/>
    <w:rsid w:val="005239C0"/>
    <w:rsid w:val="0053082E"/>
    <w:rsid w:val="00532E63"/>
    <w:rsid w:val="00535F64"/>
    <w:rsid w:val="00541377"/>
    <w:rsid w:val="00541AF9"/>
    <w:rsid w:val="00551866"/>
    <w:rsid w:val="0056437C"/>
    <w:rsid w:val="005773DF"/>
    <w:rsid w:val="00581DE7"/>
    <w:rsid w:val="00596D10"/>
    <w:rsid w:val="005B133E"/>
    <w:rsid w:val="005B5FE4"/>
    <w:rsid w:val="005C0D7C"/>
    <w:rsid w:val="005C3BFB"/>
    <w:rsid w:val="005C4296"/>
    <w:rsid w:val="005C4354"/>
    <w:rsid w:val="005D0E39"/>
    <w:rsid w:val="005E332E"/>
    <w:rsid w:val="005F0D68"/>
    <w:rsid w:val="005F3F80"/>
    <w:rsid w:val="006031F4"/>
    <w:rsid w:val="00603A81"/>
    <w:rsid w:val="006136BF"/>
    <w:rsid w:val="0061459D"/>
    <w:rsid w:val="006202AC"/>
    <w:rsid w:val="006374A6"/>
    <w:rsid w:val="00641CF0"/>
    <w:rsid w:val="00642194"/>
    <w:rsid w:val="006440AB"/>
    <w:rsid w:val="00650C76"/>
    <w:rsid w:val="0065592C"/>
    <w:rsid w:val="0065665D"/>
    <w:rsid w:val="006570E9"/>
    <w:rsid w:val="00666A27"/>
    <w:rsid w:val="00690F06"/>
    <w:rsid w:val="0069245E"/>
    <w:rsid w:val="00695230"/>
    <w:rsid w:val="006B2734"/>
    <w:rsid w:val="006B7778"/>
    <w:rsid w:val="006C00E6"/>
    <w:rsid w:val="006C3D71"/>
    <w:rsid w:val="006D0CE9"/>
    <w:rsid w:val="006D1016"/>
    <w:rsid w:val="006D504C"/>
    <w:rsid w:val="006E0B94"/>
    <w:rsid w:val="006E2403"/>
    <w:rsid w:val="006E27E4"/>
    <w:rsid w:val="006E3D0A"/>
    <w:rsid w:val="006E5D3B"/>
    <w:rsid w:val="007037A1"/>
    <w:rsid w:val="00711691"/>
    <w:rsid w:val="007254A6"/>
    <w:rsid w:val="00727BA1"/>
    <w:rsid w:val="00735CE1"/>
    <w:rsid w:val="007363E5"/>
    <w:rsid w:val="00737965"/>
    <w:rsid w:val="0074325E"/>
    <w:rsid w:val="00754944"/>
    <w:rsid w:val="00756FDD"/>
    <w:rsid w:val="00761D09"/>
    <w:rsid w:val="00766EEB"/>
    <w:rsid w:val="00774B32"/>
    <w:rsid w:val="00795617"/>
    <w:rsid w:val="007A4B81"/>
    <w:rsid w:val="007B324B"/>
    <w:rsid w:val="007B4344"/>
    <w:rsid w:val="007B50AE"/>
    <w:rsid w:val="007C60F6"/>
    <w:rsid w:val="007C7E84"/>
    <w:rsid w:val="007D0B07"/>
    <w:rsid w:val="007D405B"/>
    <w:rsid w:val="007D4112"/>
    <w:rsid w:val="007E1861"/>
    <w:rsid w:val="007E3287"/>
    <w:rsid w:val="007E4176"/>
    <w:rsid w:val="007E41FD"/>
    <w:rsid w:val="007E51F0"/>
    <w:rsid w:val="007E7F3F"/>
    <w:rsid w:val="007F2DD6"/>
    <w:rsid w:val="0080132D"/>
    <w:rsid w:val="00814965"/>
    <w:rsid w:val="008253BF"/>
    <w:rsid w:val="008318D4"/>
    <w:rsid w:val="0083579F"/>
    <w:rsid w:val="00850539"/>
    <w:rsid w:val="008516C8"/>
    <w:rsid w:val="00864401"/>
    <w:rsid w:val="00865C45"/>
    <w:rsid w:val="00872B61"/>
    <w:rsid w:val="00891F81"/>
    <w:rsid w:val="00891F9E"/>
    <w:rsid w:val="00894D40"/>
    <w:rsid w:val="008A222B"/>
    <w:rsid w:val="008A6F80"/>
    <w:rsid w:val="008B1EC3"/>
    <w:rsid w:val="008C36B2"/>
    <w:rsid w:val="008C51E9"/>
    <w:rsid w:val="008C5EFB"/>
    <w:rsid w:val="008D4745"/>
    <w:rsid w:val="008D6A58"/>
    <w:rsid w:val="008E0357"/>
    <w:rsid w:val="008E5D3C"/>
    <w:rsid w:val="008F36CE"/>
    <w:rsid w:val="008F3968"/>
    <w:rsid w:val="00900768"/>
    <w:rsid w:val="009163BA"/>
    <w:rsid w:val="00916471"/>
    <w:rsid w:val="009267DF"/>
    <w:rsid w:val="00931387"/>
    <w:rsid w:val="0093323A"/>
    <w:rsid w:val="0093612E"/>
    <w:rsid w:val="009364A4"/>
    <w:rsid w:val="0093666D"/>
    <w:rsid w:val="009509C5"/>
    <w:rsid w:val="00964C87"/>
    <w:rsid w:val="00967593"/>
    <w:rsid w:val="00973D16"/>
    <w:rsid w:val="00974F69"/>
    <w:rsid w:val="00975972"/>
    <w:rsid w:val="009772F1"/>
    <w:rsid w:val="00977C2E"/>
    <w:rsid w:val="00980EEB"/>
    <w:rsid w:val="0098745B"/>
    <w:rsid w:val="00990603"/>
    <w:rsid w:val="009946F0"/>
    <w:rsid w:val="009A1CE6"/>
    <w:rsid w:val="009A3F44"/>
    <w:rsid w:val="009B1314"/>
    <w:rsid w:val="009B334A"/>
    <w:rsid w:val="009B41AD"/>
    <w:rsid w:val="009C43D4"/>
    <w:rsid w:val="009C693D"/>
    <w:rsid w:val="009D3D88"/>
    <w:rsid w:val="009D7896"/>
    <w:rsid w:val="009E27E7"/>
    <w:rsid w:val="009E3CC5"/>
    <w:rsid w:val="009E6E54"/>
    <w:rsid w:val="009E79C7"/>
    <w:rsid w:val="009F2E9A"/>
    <w:rsid w:val="009F6C65"/>
    <w:rsid w:val="00A14C1D"/>
    <w:rsid w:val="00A16CBA"/>
    <w:rsid w:val="00A17585"/>
    <w:rsid w:val="00A20FAF"/>
    <w:rsid w:val="00A22FB8"/>
    <w:rsid w:val="00A2413D"/>
    <w:rsid w:val="00A27003"/>
    <w:rsid w:val="00A27005"/>
    <w:rsid w:val="00A347B9"/>
    <w:rsid w:val="00A3551D"/>
    <w:rsid w:val="00A53D1D"/>
    <w:rsid w:val="00A55828"/>
    <w:rsid w:val="00A56D2D"/>
    <w:rsid w:val="00A6315C"/>
    <w:rsid w:val="00A63E2F"/>
    <w:rsid w:val="00A8036C"/>
    <w:rsid w:val="00A83DD9"/>
    <w:rsid w:val="00A85922"/>
    <w:rsid w:val="00A95058"/>
    <w:rsid w:val="00A95940"/>
    <w:rsid w:val="00AB368E"/>
    <w:rsid w:val="00AC343E"/>
    <w:rsid w:val="00AD751E"/>
    <w:rsid w:val="00AF27E2"/>
    <w:rsid w:val="00AF325D"/>
    <w:rsid w:val="00AF4C28"/>
    <w:rsid w:val="00B01C23"/>
    <w:rsid w:val="00B01CD2"/>
    <w:rsid w:val="00B064DF"/>
    <w:rsid w:val="00B06D52"/>
    <w:rsid w:val="00B16AE3"/>
    <w:rsid w:val="00B2455F"/>
    <w:rsid w:val="00B25D09"/>
    <w:rsid w:val="00B275F9"/>
    <w:rsid w:val="00B300AE"/>
    <w:rsid w:val="00B3610D"/>
    <w:rsid w:val="00B379F8"/>
    <w:rsid w:val="00B42D3B"/>
    <w:rsid w:val="00B46F97"/>
    <w:rsid w:val="00B52FCF"/>
    <w:rsid w:val="00B57B6C"/>
    <w:rsid w:val="00B631FA"/>
    <w:rsid w:val="00B64739"/>
    <w:rsid w:val="00B83A83"/>
    <w:rsid w:val="00BA5669"/>
    <w:rsid w:val="00BC5FB3"/>
    <w:rsid w:val="00BC6AC8"/>
    <w:rsid w:val="00BD0AE3"/>
    <w:rsid w:val="00BE3215"/>
    <w:rsid w:val="00BE33D4"/>
    <w:rsid w:val="00BE53C4"/>
    <w:rsid w:val="00BE58C3"/>
    <w:rsid w:val="00BE5F10"/>
    <w:rsid w:val="00BF2E4E"/>
    <w:rsid w:val="00BF7184"/>
    <w:rsid w:val="00C20163"/>
    <w:rsid w:val="00C201E7"/>
    <w:rsid w:val="00C263EA"/>
    <w:rsid w:val="00C27C77"/>
    <w:rsid w:val="00C31B6C"/>
    <w:rsid w:val="00C45D21"/>
    <w:rsid w:val="00C51A2F"/>
    <w:rsid w:val="00C5567F"/>
    <w:rsid w:val="00C607DC"/>
    <w:rsid w:val="00C6413D"/>
    <w:rsid w:val="00C70266"/>
    <w:rsid w:val="00C7603E"/>
    <w:rsid w:val="00C92221"/>
    <w:rsid w:val="00C93932"/>
    <w:rsid w:val="00C94853"/>
    <w:rsid w:val="00CA1C12"/>
    <w:rsid w:val="00CA79C6"/>
    <w:rsid w:val="00CD294A"/>
    <w:rsid w:val="00CF3AD6"/>
    <w:rsid w:val="00CF7ACB"/>
    <w:rsid w:val="00D1486C"/>
    <w:rsid w:val="00D171F0"/>
    <w:rsid w:val="00D17229"/>
    <w:rsid w:val="00D172C2"/>
    <w:rsid w:val="00D17F0C"/>
    <w:rsid w:val="00D236FA"/>
    <w:rsid w:val="00D26EAE"/>
    <w:rsid w:val="00D36183"/>
    <w:rsid w:val="00D647B1"/>
    <w:rsid w:val="00D71DC8"/>
    <w:rsid w:val="00D750FB"/>
    <w:rsid w:val="00D7603E"/>
    <w:rsid w:val="00D77608"/>
    <w:rsid w:val="00D85EC6"/>
    <w:rsid w:val="00D922D1"/>
    <w:rsid w:val="00D9439B"/>
    <w:rsid w:val="00DA3266"/>
    <w:rsid w:val="00DA4FD9"/>
    <w:rsid w:val="00DC03EB"/>
    <w:rsid w:val="00DC45EF"/>
    <w:rsid w:val="00DD386F"/>
    <w:rsid w:val="00DD67B2"/>
    <w:rsid w:val="00DE040B"/>
    <w:rsid w:val="00DE0D80"/>
    <w:rsid w:val="00DE5F1F"/>
    <w:rsid w:val="00DF255F"/>
    <w:rsid w:val="00DF2B93"/>
    <w:rsid w:val="00DF3B18"/>
    <w:rsid w:val="00E03F47"/>
    <w:rsid w:val="00E07F8C"/>
    <w:rsid w:val="00E13B52"/>
    <w:rsid w:val="00E1650C"/>
    <w:rsid w:val="00E2059D"/>
    <w:rsid w:val="00E20794"/>
    <w:rsid w:val="00E21752"/>
    <w:rsid w:val="00E217DE"/>
    <w:rsid w:val="00E26A62"/>
    <w:rsid w:val="00E26B91"/>
    <w:rsid w:val="00E314F0"/>
    <w:rsid w:val="00E31D1C"/>
    <w:rsid w:val="00E362AC"/>
    <w:rsid w:val="00E374B9"/>
    <w:rsid w:val="00E411A4"/>
    <w:rsid w:val="00E441A2"/>
    <w:rsid w:val="00E4464A"/>
    <w:rsid w:val="00E77CFB"/>
    <w:rsid w:val="00E807D2"/>
    <w:rsid w:val="00E9043E"/>
    <w:rsid w:val="00E91C62"/>
    <w:rsid w:val="00E92276"/>
    <w:rsid w:val="00EA3173"/>
    <w:rsid w:val="00EA538E"/>
    <w:rsid w:val="00EA6AED"/>
    <w:rsid w:val="00EA75EB"/>
    <w:rsid w:val="00EA795B"/>
    <w:rsid w:val="00EB0F83"/>
    <w:rsid w:val="00EB3B26"/>
    <w:rsid w:val="00EB62A8"/>
    <w:rsid w:val="00EC2566"/>
    <w:rsid w:val="00ED5039"/>
    <w:rsid w:val="00ED5C53"/>
    <w:rsid w:val="00EF025D"/>
    <w:rsid w:val="00F07666"/>
    <w:rsid w:val="00F13CD4"/>
    <w:rsid w:val="00F1687E"/>
    <w:rsid w:val="00F33AA9"/>
    <w:rsid w:val="00F418F1"/>
    <w:rsid w:val="00F43DFA"/>
    <w:rsid w:val="00F44D58"/>
    <w:rsid w:val="00F52F65"/>
    <w:rsid w:val="00F543A8"/>
    <w:rsid w:val="00F54B2B"/>
    <w:rsid w:val="00F55DFB"/>
    <w:rsid w:val="00F7774E"/>
    <w:rsid w:val="00F86EAD"/>
    <w:rsid w:val="00F91EC8"/>
    <w:rsid w:val="00F96D9A"/>
    <w:rsid w:val="00FA1DD2"/>
    <w:rsid w:val="00FB207B"/>
    <w:rsid w:val="00FC0A41"/>
    <w:rsid w:val="00FC322E"/>
    <w:rsid w:val="00FC7B8A"/>
    <w:rsid w:val="00FD0626"/>
    <w:rsid w:val="00FD1361"/>
    <w:rsid w:val="00FD564F"/>
    <w:rsid w:val="00FE1300"/>
    <w:rsid w:val="00FE147E"/>
    <w:rsid w:val="00FF7B6B"/>
    <w:rsid w:val="010349DF"/>
    <w:rsid w:val="01113D6B"/>
    <w:rsid w:val="014031A5"/>
    <w:rsid w:val="01490E77"/>
    <w:rsid w:val="01635C49"/>
    <w:rsid w:val="018B650C"/>
    <w:rsid w:val="01AE3368"/>
    <w:rsid w:val="01B9692A"/>
    <w:rsid w:val="01C901A1"/>
    <w:rsid w:val="024461C5"/>
    <w:rsid w:val="024C6680"/>
    <w:rsid w:val="0270173E"/>
    <w:rsid w:val="02FF3830"/>
    <w:rsid w:val="0385079A"/>
    <w:rsid w:val="038D087F"/>
    <w:rsid w:val="03AB416A"/>
    <w:rsid w:val="03AB6B66"/>
    <w:rsid w:val="03AF33C7"/>
    <w:rsid w:val="03BE46CA"/>
    <w:rsid w:val="03BE49DE"/>
    <w:rsid w:val="03E57087"/>
    <w:rsid w:val="03EE3E2C"/>
    <w:rsid w:val="04117BDE"/>
    <w:rsid w:val="042452CB"/>
    <w:rsid w:val="043D09D3"/>
    <w:rsid w:val="04463D2B"/>
    <w:rsid w:val="047441A4"/>
    <w:rsid w:val="048A2E85"/>
    <w:rsid w:val="049C6FD8"/>
    <w:rsid w:val="04DB761E"/>
    <w:rsid w:val="053D77E2"/>
    <w:rsid w:val="055C4173"/>
    <w:rsid w:val="057263EE"/>
    <w:rsid w:val="05864426"/>
    <w:rsid w:val="05AE6429"/>
    <w:rsid w:val="05B9677F"/>
    <w:rsid w:val="05D37841"/>
    <w:rsid w:val="06112117"/>
    <w:rsid w:val="062D752E"/>
    <w:rsid w:val="064448F4"/>
    <w:rsid w:val="06447998"/>
    <w:rsid w:val="06614333"/>
    <w:rsid w:val="068E120E"/>
    <w:rsid w:val="06B6547B"/>
    <w:rsid w:val="06B807E5"/>
    <w:rsid w:val="06DC0EAC"/>
    <w:rsid w:val="06ED14B9"/>
    <w:rsid w:val="070829BA"/>
    <w:rsid w:val="070B125C"/>
    <w:rsid w:val="070E2AFA"/>
    <w:rsid w:val="074E1E7A"/>
    <w:rsid w:val="07807554"/>
    <w:rsid w:val="07C75183"/>
    <w:rsid w:val="07EC2E3C"/>
    <w:rsid w:val="08004EB1"/>
    <w:rsid w:val="080619CA"/>
    <w:rsid w:val="081C3B52"/>
    <w:rsid w:val="08796D38"/>
    <w:rsid w:val="087C1626"/>
    <w:rsid w:val="088E7A4F"/>
    <w:rsid w:val="088F5575"/>
    <w:rsid w:val="08917DB2"/>
    <w:rsid w:val="08934B1B"/>
    <w:rsid w:val="08C77405"/>
    <w:rsid w:val="08D67157"/>
    <w:rsid w:val="092A47A1"/>
    <w:rsid w:val="092F6D8F"/>
    <w:rsid w:val="09373ABB"/>
    <w:rsid w:val="094E0124"/>
    <w:rsid w:val="09532A1B"/>
    <w:rsid w:val="09BA767B"/>
    <w:rsid w:val="09C33652"/>
    <w:rsid w:val="09EC7201"/>
    <w:rsid w:val="0A43737F"/>
    <w:rsid w:val="0A4A5BF8"/>
    <w:rsid w:val="0A651924"/>
    <w:rsid w:val="0A8628A6"/>
    <w:rsid w:val="0A8C7FBE"/>
    <w:rsid w:val="0AC95B7A"/>
    <w:rsid w:val="0AEA73AE"/>
    <w:rsid w:val="0AF22F92"/>
    <w:rsid w:val="0AF93815"/>
    <w:rsid w:val="0B110C73"/>
    <w:rsid w:val="0B192960"/>
    <w:rsid w:val="0B426E07"/>
    <w:rsid w:val="0B4F2F67"/>
    <w:rsid w:val="0B7F0C20"/>
    <w:rsid w:val="0BE27F6E"/>
    <w:rsid w:val="0BE94100"/>
    <w:rsid w:val="0BED101D"/>
    <w:rsid w:val="0BF45FAE"/>
    <w:rsid w:val="0BF73B5D"/>
    <w:rsid w:val="0C965124"/>
    <w:rsid w:val="0CAF76CC"/>
    <w:rsid w:val="0CD3181F"/>
    <w:rsid w:val="0CF81FF6"/>
    <w:rsid w:val="0D1B516E"/>
    <w:rsid w:val="0D3F1C52"/>
    <w:rsid w:val="0D651279"/>
    <w:rsid w:val="0D680F35"/>
    <w:rsid w:val="0D8A168A"/>
    <w:rsid w:val="0DAC7D6C"/>
    <w:rsid w:val="0DBA7538"/>
    <w:rsid w:val="0DF83FFE"/>
    <w:rsid w:val="0E074B37"/>
    <w:rsid w:val="0E1A7037"/>
    <w:rsid w:val="0E1D214E"/>
    <w:rsid w:val="0E250E55"/>
    <w:rsid w:val="0E6E4723"/>
    <w:rsid w:val="0E72396F"/>
    <w:rsid w:val="0EBF06D0"/>
    <w:rsid w:val="0F0B2064"/>
    <w:rsid w:val="0F0F7DA6"/>
    <w:rsid w:val="0F3827E4"/>
    <w:rsid w:val="0F474907"/>
    <w:rsid w:val="0F476ECA"/>
    <w:rsid w:val="0F506EBF"/>
    <w:rsid w:val="0F672722"/>
    <w:rsid w:val="0FB00BF3"/>
    <w:rsid w:val="0FB40D00"/>
    <w:rsid w:val="0FBA57D9"/>
    <w:rsid w:val="0FC21136"/>
    <w:rsid w:val="0FF265C7"/>
    <w:rsid w:val="104906FF"/>
    <w:rsid w:val="108D683E"/>
    <w:rsid w:val="10B0281A"/>
    <w:rsid w:val="10EF192C"/>
    <w:rsid w:val="114D02C5"/>
    <w:rsid w:val="115E01DA"/>
    <w:rsid w:val="11652242"/>
    <w:rsid w:val="116F23E8"/>
    <w:rsid w:val="1187634E"/>
    <w:rsid w:val="119D49B4"/>
    <w:rsid w:val="11BC387F"/>
    <w:rsid w:val="11F00DDE"/>
    <w:rsid w:val="1209283C"/>
    <w:rsid w:val="120F17F8"/>
    <w:rsid w:val="12303925"/>
    <w:rsid w:val="12423B22"/>
    <w:rsid w:val="125735A8"/>
    <w:rsid w:val="128D521B"/>
    <w:rsid w:val="12CD356C"/>
    <w:rsid w:val="12CD7C1F"/>
    <w:rsid w:val="12D23DE0"/>
    <w:rsid w:val="12D63062"/>
    <w:rsid w:val="12F16013"/>
    <w:rsid w:val="13346096"/>
    <w:rsid w:val="134C25F2"/>
    <w:rsid w:val="134C604F"/>
    <w:rsid w:val="137E3E39"/>
    <w:rsid w:val="13A04ACF"/>
    <w:rsid w:val="13AC16D1"/>
    <w:rsid w:val="13C133CE"/>
    <w:rsid w:val="13D62929"/>
    <w:rsid w:val="13D77CAA"/>
    <w:rsid w:val="13DD53B6"/>
    <w:rsid w:val="13EA3A2E"/>
    <w:rsid w:val="14301601"/>
    <w:rsid w:val="145F4995"/>
    <w:rsid w:val="146828B6"/>
    <w:rsid w:val="147F2942"/>
    <w:rsid w:val="148B5AFA"/>
    <w:rsid w:val="149A777C"/>
    <w:rsid w:val="14C85626"/>
    <w:rsid w:val="14CE4783"/>
    <w:rsid w:val="14DB04C0"/>
    <w:rsid w:val="14E934A6"/>
    <w:rsid w:val="14F25E69"/>
    <w:rsid w:val="154D47EE"/>
    <w:rsid w:val="1555064C"/>
    <w:rsid w:val="15683991"/>
    <w:rsid w:val="156C48AB"/>
    <w:rsid w:val="157B135B"/>
    <w:rsid w:val="15906BFA"/>
    <w:rsid w:val="15B11221"/>
    <w:rsid w:val="15C72AF2"/>
    <w:rsid w:val="15D849FF"/>
    <w:rsid w:val="15F55470"/>
    <w:rsid w:val="16135A37"/>
    <w:rsid w:val="163F39AB"/>
    <w:rsid w:val="169052DA"/>
    <w:rsid w:val="169E391C"/>
    <w:rsid w:val="16B71A4C"/>
    <w:rsid w:val="16BA4105"/>
    <w:rsid w:val="16CC1E75"/>
    <w:rsid w:val="16D74CB7"/>
    <w:rsid w:val="16DC6493"/>
    <w:rsid w:val="172B6DB1"/>
    <w:rsid w:val="1747796A"/>
    <w:rsid w:val="17503129"/>
    <w:rsid w:val="17513478"/>
    <w:rsid w:val="181F0894"/>
    <w:rsid w:val="18280B19"/>
    <w:rsid w:val="182F1F90"/>
    <w:rsid w:val="18433254"/>
    <w:rsid w:val="185D743E"/>
    <w:rsid w:val="18617D4C"/>
    <w:rsid w:val="18656EC7"/>
    <w:rsid w:val="18A72C2A"/>
    <w:rsid w:val="18B8162D"/>
    <w:rsid w:val="18BE5EEE"/>
    <w:rsid w:val="18C62E53"/>
    <w:rsid w:val="18E46FF4"/>
    <w:rsid w:val="194A0503"/>
    <w:rsid w:val="194E4DB3"/>
    <w:rsid w:val="196263CF"/>
    <w:rsid w:val="197E58BE"/>
    <w:rsid w:val="19B11859"/>
    <w:rsid w:val="19CF4C2B"/>
    <w:rsid w:val="19D03A32"/>
    <w:rsid w:val="19D379B8"/>
    <w:rsid w:val="1A085187"/>
    <w:rsid w:val="1A1E46C9"/>
    <w:rsid w:val="1A4D3A11"/>
    <w:rsid w:val="1A641CC7"/>
    <w:rsid w:val="1AB0468E"/>
    <w:rsid w:val="1AC136F4"/>
    <w:rsid w:val="1ACC7AF6"/>
    <w:rsid w:val="1AEE692F"/>
    <w:rsid w:val="1AEF08EF"/>
    <w:rsid w:val="1B440441"/>
    <w:rsid w:val="1B675CAC"/>
    <w:rsid w:val="1B836635"/>
    <w:rsid w:val="1B883BF4"/>
    <w:rsid w:val="1BA16848"/>
    <w:rsid w:val="1BC718D6"/>
    <w:rsid w:val="1BCA6F62"/>
    <w:rsid w:val="1BD607F0"/>
    <w:rsid w:val="1BD84F7E"/>
    <w:rsid w:val="1C27522B"/>
    <w:rsid w:val="1C2A1151"/>
    <w:rsid w:val="1C3C4688"/>
    <w:rsid w:val="1C4020CD"/>
    <w:rsid w:val="1C84143D"/>
    <w:rsid w:val="1CB20611"/>
    <w:rsid w:val="1CD557F5"/>
    <w:rsid w:val="1CF245F9"/>
    <w:rsid w:val="1CFB2EF1"/>
    <w:rsid w:val="1D047E88"/>
    <w:rsid w:val="1D322C47"/>
    <w:rsid w:val="1D554B87"/>
    <w:rsid w:val="1D903E12"/>
    <w:rsid w:val="1DA3784F"/>
    <w:rsid w:val="1DD43CFE"/>
    <w:rsid w:val="1DE60DE1"/>
    <w:rsid w:val="1DF26E88"/>
    <w:rsid w:val="1E067F71"/>
    <w:rsid w:val="1E193E07"/>
    <w:rsid w:val="1E214A6A"/>
    <w:rsid w:val="1E222749"/>
    <w:rsid w:val="1E2C7696"/>
    <w:rsid w:val="1E5C2AAF"/>
    <w:rsid w:val="1E735A54"/>
    <w:rsid w:val="1E9A7F2E"/>
    <w:rsid w:val="1EAB5036"/>
    <w:rsid w:val="1EC86614"/>
    <w:rsid w:val="1F5C21FD"/>
    <w:rsid w:val="1F703EFB"/>
    <w:rsid w:val="1F9C084C"/>
    <w:rsid w:val="1FF253A9"/>
    <w:rsid w:val="204A3066"/>
    <w:rsid w:val="207042D8"/>
    <w:rsid w:val="207B66B3"/>
    <w:rsid w:val="20893556"/>
    <w:rsid w:val="208F11C4"/>
    <w:rsid w:val="20AF00A4"/>
    <w:rsid w:val="20CB3162"/>
    <w:rsid w:val="20EB0C8B"/>
    <w:rsid w:val="20EC1A0E"/>
    <w:rsid w:val="20F142BF"/>
    <w:rsid w:val="210C618E"/>
    <w:rsid w:val="21132784"/>
    <w:rsid w:val="2119643A"/>
    <w:rsid w:val="2122788E"/>
    <w:rsid w:val="212F6E76"/>
    <w:rsid w:val="21351C56"/>
    <w:rsid w:val="2136082C"/>
    <w:rsid w:val="21841CBF"/>
    <w:rsid w:val="21DF490D"/>
    <w:rsid w:val="21FB4CBE"/>
    <w:rsid w:val="22155460"/>
    <w:rsid w:val="2218088A"/>
    <w:rsid w:val="224A19EC"/>
    <w:rsid w:val="22A04D6A"/>
    <w:rsid w:val="22C81958"/>
    <w:rsid w:val="22F1156A"/>
    <w:rsid w:val="22FF4803"/>
    <w:rsid w:val="230B280E"/>
    <w:rsid w:val="2317067B"/>
    <w:rsid w:val="232315E5"/>
    <w:rsid w:val="2329689A"/>
    <w:rsid w:val="23524D3A"/>
    <w:rsid w:val="235B1A26"/>
    <w:rsid w:val="237B6E44"/>
    <w:rsid w:val="23B77DA4"/>
    <w:rsid w:val="23D031BA"/>
    <w:rsid w:val="23E23CEB"/>
    <w:rsid w:val="23E629DD"/>
    <w:rsid w:val="240C79A8"/>
    <w:rsid w:val="241906BD"/>
    <w:rsid w:val="24394341"/>
    <w:rsid w:val="247D1363"/>
    <w:rsid w:val="247F027B"/>
    <w:rsid w:val="248D2E59"/>
    <w:rsid w:val="24920B3C"/>
    <w:rsid w:val="24CB6172"/>
    <w:rsid w:val="24E32A79"/>
    <w:rsid w:val="2515095D"/>
    <w:rsid w:val="251C0EA0"/>
    <w:rsid w:val="251D5D33"/>
    <w:rsid w:val="251F059C"/>
    <w:rsid w:val="257A162F"/>
    <w:rsid w:val="259B5C7B"/>
    <w:rsid w:val="25FD7B6A"/>
    <w:rsid w:val="26121868"/>
    <w:rsid w:val="265F1D2D"/>
    <w:rsid w:val="2682270E"/>
    <w:rsid w:val="26867B60"/>
    <w:rsid w:val="26AA620F"/>
    <w:rsid w:val="26C87AB5"/>
    <w:rsid w:val="26E36D60"/>
    <w:rsid w:val="26EA5602"/>
    <w:rsid w:val="27421D8D"/>
    <w:rsid w:val="27677991"/>
    <w:rsid w:val="277C7481"/>
    <w:rsid w:val="27B35276"/>
    <w:rsid w:val="27D35BBD"/>
    <w:rsid w:val="27DB2691"/>
    <w:rsid w:val="27EF429E"/>
    <w:rsid w:val="280451E0"/>
    <w:rsid w:val="281E1E69"/>
    <w:rsid w:val="282D2989"/>
    <w:rsid w:val="28556425"/>
    <w:rsid w:val="285B7282"/>
    <w:rsid w:val="28640A4B"/>
    <w:rsid w:val="2874680A"/>
    <w:rsid w:val="28B14E43"/>
    <w:rsid w:val="28E15521"/>
    <w:rsid w:val="28EE6A44"/>
    <w:rsid w:val="28F434A6"/>
    <w:rsid w:val="28F45255"/>
    <w:rsid w:val="291D0921"/>
    <w:rsid w:val="293E6A9B"/>
    <w:rsid w:val="295121B2"/>
    <w:rsid w:val="297222B3"/>
    <w:rsid w:val="2973261D"/>
    <w:rsid w:val="29BD1AEA"/>
    <w:rsid w:val="29DB4D10"/>
    <w:rsid w:val="29DB6414"/>
    <w:rsid w:val="2A152DA2"/>
    <w:rsid w:val="2A3279B1"/>
    <w:rsid w:val="2A735909"/>
    <w:rsid w:val="2A9123F1"/>
    <w:rsid w:val="2AD2095B"/>
    <w:rsid w:val="2AE15CAC"/>
    <w:rsid w:val="2AE167EC"/>
    <w:rsid w:val="2AE651B3"/>
    <w:rsid w:val="2AF809D6"/>
    <w:rsid w:val="2B14398C"/>
    <w:rsid w:val="2B1F0B69"/>
    <w:rsid w:val="2B6909E2"/>
    <w:rsid w:val="2B7B3A0B"/>
    <w:rsid w:val="2B9273B1"/>
    <w:rsid w:val="2BA9021E"/>
    <w:rsid w:val="2BB57504"/>
    <w:rsid w:val="2BD83EBF"/>
    <w:rsid w:val="2C680433"/>
    <w:rsid w:val="2C8379A6"/>
    <w:rsid w:val="2CA23219"/>
    <w:rsid w:val="2CCE2260"/>
    <w:rsid w:val="2D1C4D7A"/>
    <w:rsid w:val="2D382E3C"/>
    <w:rsid w:val="2D823556"/>
    <w:rsid w:val="2D9548F7"/>
    <w:rsid w:val="2D9F7CB2"/>
    <w:rsid w:val="2DB143C1"/>
    <w:rsid w:val="2DC13DBD"/>
    <w:rsid w:val="2DC53BCE"/>
    <w:rsid w:val="2DD41AF8"/>
    <w:rsid w:val="2DDA7371"/>
    <w:rsid w:val="2DDB23FF"/>
    <w:rsid w:val="2E051CB2"/>
    <w:rsid w:val="2E9F144E"/>
    <w:rsid w:val="2ECE6548"/>
    <w:rsid w:val="2F122D37"/>
    <w:rsid w:val="2F1E74CF"/>
    <w:rsid w:val="2F931ACF"/>
    <w:rsid w:val="2FCD65D5"/>
    <w:rsid w:val="30166922"/>
    <w:rsid w:val="30370B04"/>
    <w:rsid w:val="30384E79"/>
    <w:rsid w:val="30494BE5"/>
    <w:rsid w:val="30684CE5"/>
    <w:rsid w:val="30A63199"/>
    <w:rsid w:val="30B359F5"/>
    <w:rsid w:val="30CE0A5D"/>
    <w:rsid w:val="30E771A6"/>
    <w:rsid w:val="31304EEA"/>
    <w:rsid w:val="31453F03"/>
    <w:rsid w:val="318D4FA4"/>
    <w:rsid w:val="31AA6DF8"/>
    <w:rsid w:val="31B020CA"/>
    <w:rsid w:val="31E85098"/>
    <w:rsid w:val="31EA18EB"/>
    <w:rsid w:val="32077A89"/>
    <w:rsid w:val="3216448E"/>
    <w:rsid w:val="323C7829"/>
    <w:rsid w:val="325B13A2"/>
    <w:rsid w:val="327026F1"/>
    <w:rsid w:val="32B70AF0"/>
    <w:rsid w:val="32CD29CF"/>
    <w:rsid w:val="32D103B5"/>
    <w:rsid w:val="331B7646"/>
    <w:rsid w:val="333F17C2"/>
    <w:rsid w:val="334129D1"/>
    <w:rsid w:val="3377155E"/>
    <w:rsid w:val="33CB02DA"/>
    <w:rsid w:val="33CC4A35"/>
    <w:rsid w:val="3422536C"/>
    <w:rsid w:val="345C52FA"/>
    <w:rsid w:val="345E3ECA"/>
    <w:rsid w:val="347137EE"/>
    <w:rsid w:val="34873421"/>
    <w:rsid w:val="348C28B5"/>
    <w:rsid w:val="34A35D81"/>
    <w:rsid w:val="34B20970"/>
    <w:rsid w:val="34C022C8"/>
    <w:rsid w:val="34D122F4"/>
    <w:rsid w:val="34DF503E"/>
    <w:rsid w:val="34EA0963"/>
    <w:rsid w:val="34FF56AD"/>
    <w:rsid w:val="35467A10"/>
    <w:rsid w:val="355404E7"/>
    <w:rsid w:val="35761F18"/>
    <w:rsid w:val="358919F9"/>
    <w:rsid w:val="359236A6"/>
    <w:rsid w:val="3595067A"/>
    <w:rsid w:val="359E1B8A"/>
    <w:rsid w:val="359F6AB6"/>
    <w:rsid w:val="35B43DB3"/>
    <w:rsid w:val="35C36951"/>
    <w:rsid w:val="35D02BA5"/>
    <w:rsid w:val="35E77436"/>
    <w:rsid w:val="363E4C2D"/>
    <w:rsid w:val="36425B03"/>
    <w:rsid w:val="364D7C81"/>
    <w:rsid w:val="366327CA"/>
    <w:rsid w:val="36681510"/>
    <w:rsid w:val="367F17FC"/>
    <w:rsid w:val="36980C9C"/>
    <w:rsid w:val="36CB0F18"/>
    <w:rsid w:val="36CE6D96"/>
    <w:rsid w:val="36D040A7"/>
    <w:rsid w:val="36DD1A1E"/>
    <w:rsid w:val="36F23585"/>
    <w:rsid w:val="37092171"/>
    <w:rsid w:val="37380378"/>
    <w:rsid w:val="37570E79"/>
    <w:rsid w:val="376F689E"/>
    <w:rsid w:val="3775316E"/>
    <w:rsid w:val="37B2586C"/>
    <w:rsid w:val="37DA19C9"/>
    <w:rsid w:val="37EA2644"/>
    <w:rsid w:val="38111487"/>
    <w:rsid w:val="38190834"/>
    <w:rsid w:val="38292855"/>
    <w:rsid w:val="38392C84"/>
    <w:rsid w:val="386F7FEE"/>
    <w:rsid w:val="38A77071"/>
    <w:rsid w:val="38C6092B"/>
    <w:rsid w:val="39290401"/>
    <w:rsid w:val="393B2A2C"/>
    <w:rsid w:val="39431D2B"/>
    <w:rsid w:val="39446ABE"/>
    <w:rsid w:val="398C768F"/>
    <w:rsid w:val="39917372"/>
    <w:rsid w:val="39A06C31"/>
    <w:rsid w:val="39B60304"/>
    <w:rsid w:val="39E92488"/>
    <w:rsid w:val="39FF7EFD"/>
    <w:rsid w:val="3A0D0F54"/>
    <w:rsid w:val="3A1C1785"/>
    <w:rsid w:val="3A465194"/>
    <w:rsid w:val="3A8D4EA1"/>
    <w:rsid w:val="3AB81E16"/>
    <w:rsid w:val="3AD66EB0"/>
    <w:rsid w:val="3AFD3BF0"/>
    <w:rsid w:val="3B223EA3"/>
    <w:rsid w:val="3B225C51"/>
    <w:rsid w:val="3B2C68E1"/>
    <w:rsid w:val="3B323E56"/>
    <w:rsid w:val="3B472A28"/>
    <w:rsid w:val="3B5F6F33"/>
    <w:rsid w:val="3B760ACB"/>
    <w:rsid w:val="3B971BEE"/>
    <w:rsid w:val="3B975E7B"/>
    <w:rsid w:val="3BC2306E"/>
    <w:rsid w:val="3BD20212"/>
    <w:rsid w:val="3BDF3B42"/>
    <w:rsid w:val="3BFE20CD"/>
    <w:rsid w:val="3C11529C"/>
    <w:rsid w:val="3C152230"/>
    <w:rsid w:val="3C3A46E7"/>
    <w:rsid w:val="3C3E5C5C"/>
    <w:rsid w:val="3C6F6242"/>
    <w:rsid w:val="3C756255"/>
    <w:rsid w:val="3C8816E5"/>
    <w:rsid w:val="3C8B7826"/>
    <w:rsid w:val="3C962020"/>
    <w:rsid w:val="3CAC2BD3"/>
    <w:rsid w:val="3CFE2BA9"/>
    <w:rsid w:val="3CFE6761"/>
    <w:rsid w:val="3D115F7D"/>
    <w:rsid w:val="3D233F03"/>
    <w:rsid w:val="3D271C45"/>
    <w:rsid w:val="3D51281E"/>
    <w:rsid w:val="3D663488"/>
    <w:rsid w:val="3D761F79"/>
    <w:rsid w:val="3D8D57AC"/>
    <w:rsid w:val="3DAA7FDC"/>
    <w:rsid w:val="3DAF06B3"/>
    <w:rsid w:val="3DB82A32"/>
    <w:rsid w:val="3DCF35B1"/>
    <w:rsid w:val="3DD21743"/>
    <w:rsid w:val="3DD72355"/>
    <w:rsid w:val="3DD77C4F"/>
    <w:rsid w:val="3E2658C2"/>
    <w:rsid w:val="3E2D2D7D"/>
    <w:rsid w:val="3E3216C8"/>
    <w:rsid w:val="3E353EED"/>
    <w:rsid w:val="3E7B778D"/>
    <w:rsid w:val="3E861555"/>
    <w:rsid w:val="3E8912B9"/>
    <w:rsid w:val="3ED90D1D"/>
    <w:rsid w:val="3EDA609F"/>
    <w:rsid w:val="3EE37B4E"/>
    <w:rsid w:val="3EF47905"/>
    <w:rsid w:val="3F0E27C6"/>
    <w:rsid w:val="3F253A6A"/>
    <w:rsid w:val="3F2A5A1C"/>
    <w:rsid w:val="3F382FC3"/>
    <w:rsid w:val="3F3A21A7"/>
    <w:rsid w:val="3F4F0FDF"/>
    <w:rsid w:val="3F5D1332"/>
    <w:rsid w:val="3F5F13C6"/>
    <w:rsid w:val="3F6D4D17"/>
    <w:rsid w:val="3F7971F0"/>
    <w:rsid w:val="3FA46885"/>
    <w:rsid w:val="3FA70E1B"/>
    <w:rsid w:val="3FB579A2"/>
    <w:rsid w:val="3FCD7D52"/>
    <w:rsid w:val="40113795"/>
    <w:rsid w:val="40183AC7"/>
    <w:rsid w:val="404E1296"/>
    <w:rsid w:val="40816550"/>
    <w:rsid w:val="40945F12"/>
    <w:rsid w:val="409C7062"/>
    <w:rsid w:val="40A22424"/>
    <w:rsid w:val="40CD2069"/>
    <w:rsid w:val="411E33DB"/>
    <w:rsid w:val="411F1CBC"/>
    <w:rsid w:val="41596681"/>
    <w:rsid w:val="41782301"/>
    <w:rsid w:val="41886A2A"/>
    <w:rsid w:val="41A76EB0"/>
    <w:rsid w:val="41B94E35"/>
    <w:rsid w:val="41C71F2D"/>
    <w:rsid w:val="41C84714"/>
    <w:rsid w:val="41C930DD"/>
    <w:rsid w:val="41F81F6C"/>
    <w:rsid w:val="422F3285"/>
    <w:rsid w:val="4278048C"/>
    <w:rsid w:val="42A95AE9"/>
    <w:rsid w:val="42AC04F6"/>
    <w:rsid w:val="42B42080"/>
    <w:rsid w:val="42EA08CB"/>
    <w:rsid w:val="42F36125"/>
    <w:rsid w:val="432225EA"/>
    <w:rsid w:val="432B58BF"/>
    <w:rsid w:val="433543AC"/>
    <w:rsid w:val="43805B72"/>
    <w:rsid w:val="43AA2C88"/>
    <w:rsid w:val="43D17C33"/>
    <w:rsid w:val="43EA4223"/>
    <w:rsid w:val="43EE7018"/>
    <w:rsid w:val="4404683C"/>
    <w:rsid w:val="441A605F"/>
    <w:rsid w:val="442B30AD"/>
    <w:rsid w:val="44500BF3"/>
    <w:rsid w:val="4464696D"/>
    <w:rsid w:val="44C3298D"/>
    <w:rsid w:val="44D04970"/>
    <w:rsid w:val="45150520"/>
    <w:rsid w:val="451A029F"/>
    <w:rsid w:val="452847AC"/>
    <w:rsid w:val="45305838"/>
    <w:rsid w:val="45435EFB"/>
    <w:rsid w:val="45846855"/>
    <w:rsid w:val="45CA13BF"/>
    <w:rsid w:val="45FC3543"/>
    <w:rsid w:val="460C7C2A"/>
    <w:rsid w:val="46365120"/>
    <w:rsid w:val="46422BF3"/>
    <w:rsid w:val="465C42EA"/>
    <w:rsid w:val="46945A6B"/>
    <w:rsid w:val="46A0311D"/>
    <w:rsid w:val="46FD5F82"/>
    <w:rsid w:val="46FE62B7"/>
    <w:rsid w:val="475714AB"/>
    <w:rsid w:val="47573126"/>
    <w:rsid w:val="475B6EE7"/>
    <w:rsid w:val="47613E2A"/>
    <w:rsid w:val="478F3DE5"/>
    <w:rsid w:val="47C307BC"/>
    <w:rsid w:val="47E66258"/>
    <w:rsid w:val="48243DB9"/>
    <w:rsid w:val="48343468"/>
    <w:rsid w:val="48710E90"/>
    <w:rsid w:val="49086B40"/>
    <w:rsid w:val="4950181B"/>
    <w:rsid w:val="497B03A6"/>
    <w:rsid w:val="499E503D"/>
    <w:rsid w:val="49C31961"/>
    <w:rsid w:val="49E451F0"/>
    <w:rsid w:val="4A2B43F6"/>
    <w:rsid w:val="4A4803E9"/>
    <w:rsid w:val="4A527BD5"/>
    <w:rsid w:val="4A672695"/>
    <w:rsid w:val="4A8F0E29"/>
    <w:rsid w:val="4ACE4B27"/>
    <w:rsid w:val="4AE922E8"/>
    <w:rsid w:val="4AEE78FE"/>
    <w:rsid w:val="4B357B58"/>
    <w:rsid w:val="4B4C0A4C"/>
    <w:rsid w:val="4B6678AA"/>
    <w:rsid w:val="4B7D5858"/>
    <w:rsid w:val="4BCA6B4F"/>
    <w:rsid w:val="4C004433"/>
    <w:rsid w:val="4C2708AF"/>
    <w:rsid w:val="4C342A4B"/>
    <w:rsid w:val="4C6205A3"/>
    <w:rsid w:val="4C6A5DD8"/>
    <w:rsid w:val="4C9170DB"/>
    <w:rsid w:val="4CA76529"/>
    <w:rsid w:val="4CAE763A"/>
    <w:rsid w:val="4CB66AAB"/>
    <w:rsid w:val="4CB82DDD"/>
    <w:rsid w:val="4D2712CE"/>
    <w:rsid w:val="4D2E492A"/>
    <w:rsid w:val="4D3A507C"/>
    <w:rsid w:val="4D464F38"/>
    <w:rsid w:val="4D8E73E4"/>
    <w:rsid w:val="4DA155F6"/>
    <w:rsid w:val="4DB90697"/>
    <w:rsid w:val="4DF31BFE"/>
    <w:rsid w:val="4DF85CD2"/>
    <w:rsid w:val="4E30647F"/>
    <w:rsid w:val="4E3E0071"/>
    <w:rsid w:val="4E612ADD"/>
    <w:rsid w:val="4E78455C"/>
    <w:rsid w:val="4E9A1F07"/>
    <w:rsid w:val="4EC21420"/>
    <w:rsid w:val="4EE74F4B"/>
    <w:rsid w:val="4F05790C"/>
    <w:rsid w:val="4F2279D9"/>
    <w:rsid w:val="4F3C566E"/>
    <w:rsid w:val="4F5447F2"/>
    <w:rsid w:val="4F5B752C"/>
    <w:rsid w:val="4F9D5515"/>
    <w:rsid w:val="4FDD3080"/>
    <w:rsid w:val="4FFA1385"/>
    <w:rsid w:val="4FFC2432"/>
    <w:rsid w:val="50565F9A"/>
    <w:rsid w:val="505954A6"/>
    <w:rsid w:val="506D63B7"/>
    <w:rsid w:val="50774FF0"/>
    <w:rsid w:val="507D3AA3"/>
    <w:rsid w:val="509727E6"/>
    <w:rsid w:val="50975AF5"/>
    <w:rsid w:val="50987876"/>
    <w:rsid w:val="509A451A"/>
    <w:rsid w:val="50AA2519"/>
    <w:rsid w:val="50F97CBF"/>
    <w:rsid w:val="51080A80"/>
    <w:rsid w:val="51491D32"/>
    <w:rsid w:val="5165256A"/>
    <w:rsid w:val="51AB2BEE"/>
    <w:rsid w:val="51D35482"/>
    <w:rsid w:val="51E732F9"/>
    <w:rsid w:val="51F64BDB"/>
    <w:rsid w:val="526235B1"/>
    <w:rsid w:val="52700ACF"/>
    <w:rsid w:val="52736134"/>
    <w:rsid w:val="527B1904"/>
    <w:rsid w:val="529F5982"/>
    <w:rsid w:val="52B61649"/>
    <w:rsid w:val="52B73CB1"/>
    <w:rsid w:val="52C6295D"/>
    <w:rsid w:val="52C8312A"/>
    <w:rsid w:val="530D6723"/>
    <w:rsid w:val="531A65BE"/>
    <w:rsid w:val="532367C2"/>
    <w:rsid w:val="533B7DA0"/>
    <w:rsid w:val="53635ADA"/>
    <w:rsid w:val="53746E0E"/>
    <w:rsid w:val="539C4FC3"/>
    <w:rsid w:val="539F3DB1"/>
    <w:rsid w:val="53A7714E"/>
    <w:rsid w:val="53D17ADB"/>
    <w:rsid w:val="53E53868"/>
    <w:rsid w:val="5421005B"/>
    <w:rsid w:val="542B571F"/>
    <w:rsid w:val="542E16B3"/>
    <w:rsid w:val="54554E92"/>
    <w:rsid w:val="54555CF4"/>
    <w:rsid w:val="54581BBB"/>
    <w:rsid w:val="545D78A2"/>
    <w:rsid w:val="547956C2"/>
    <w:rsid w:val="549C25F9"/>
    <w:rsid w:val="549C728F"/>
    <w:rsid w:val="54AE1829"/>
    <w:rsid w:val="54AE23A9"/>
    <w:rsid w:val="54B56F69"/>
    <w:rsid w:val="54C2569E"/>
    <w:rsid w:val="54C53E75"/>
    <w:rsid w:val="54D36BBC"/>
    <w:rsid w:val="550146D2"/>
    <w:rsid w:val="55030305"/>
    <w:rsid w:val="552A5E19"/>
    <w:rsid w:val="5538224D"/>
    <w:rsid w:val="555E5D82"/>
    <w:rsid w:val="556C36E1"/>
    <w:rsid w:val="557843E8"/>
    <w:rsid w:val="55821CB6"/>
    <w:rsid w:val="55D83684"/>
    <w:rsid w:val="56075D18"/>
    <w:rsid w:val="56457CB7"/>
    <w:rsid w:val="565E7162"/>
    <w:rsid w:val="56837A94"/>
    <w:rsid w:val="56C0771E"/>
    <w:rsid w:val="572F7AC2"/>
    <w:rsid w:val="574234AB"/>
    <w:rsid w:val="574E0E36"/>
    <w:rsid w:val="575907F5"/>
    <w:rsid w:val="576553EC"/>
    <w:rsid w:val="579D4B86"/>
    <w:rsid w:val="57A35F14"/>
    <w:rsid w:val="57A77E45"/>
    <w:rsid w:val="58011E3C"/>
    <w:rsid w:val="58022C3B"/>
    <w:rsid w:val="581D0437"/>
    <w:rsid w:val="581F44F3"/>
    <w:rsid w:val="58226E39"/>
    <w:rsid w:val="58240E03"/>
    <w:rsid w:val="583402FA"/>
    <w:rsid w:val="584E270A"/>
    <w:rsid w:val="584F1C4F"/>
    <w:rsid w:val="58560A87"/>
    <w:rsid w:val="587F24DD"/>
    <w:rsid w:val="58825B29"/>
    <w:rsid w:val="58AE691E"/>
    <w:rsid w:val="58E2677C"/>
    <w:rsid w:val="58E33CEB"/>
    <w:rsid w:val="591C3AD3"/>
    <w:rsid w:val="592E346A"/>
    <w:rsid w:val="59467686"/>
    <w:rsid w:val="59551880"/>
    <w:rsid w:val="59701117"/>
    <w:rsid w:val="599451ED"/>
    <w:rsid w:val="59981DF0"/>
    <w:rsid w:val="59A41928"/>
    <w:rsid w:val="59AC3A01"/>
    <w:rsid w:val="59C83A10"/>
    <w:rsid w:val="59D979CB"/>
    <w:rsid w:val="59DE3233"/>
    <w:rsid w:val="59FE09B0"/>
    <w:rsid w:val="5A544F63"/>
    <w:rsid w:val="5A6F0531"/>
    <w:rsid w:val="5A946D59"/>
    <w:rsid w:val="5A9A5B3A"/>
    <w:rsid w:val="5AE742D8"/>
    <w:rsid w:val="5B0332A7"/>
    <w:rsid w:val="5B563A0D"/>
    <w:rsid w:val="5B5714EF"/>
    <w:rsid w:val="5B58020F"/>
    <w:rsid w:val="5B6468DE"/>
    <w:rsid w:val="5B6F5976"/>
    <w:rsid w:val="5B7140B5"/>
    <w:rsid w:val="5B7D540C"/>
    <w:rsid w:val="5B7E4ECC"/>
    <w:rsid w:val="5B9812B3"/>
    <w:rsid w:val="5BC052E6"/>
    <w:rsid w:val="5BC261DC"/>
    <w:rsid w:val="5BD74A4D"/>
    <w:rsid w:val="5BFB631F"/>
    <w:rsid w:val="5C062D5F"/>
    <w:rsid w:val="5C084CEC"/>
    <w:rsid w:val="5C133668"/>
    <w:rsid w:val="5C531CB7"/>
    <w:rsid w:val="5C677510"/>
    <w:rsid w:val="5C7C2816"/>
    <w:rsid w:val="5CC42B95"/>
    <w:rsid w:val="5CD050B5"/>
    <w:rsid w:val="5CD465A5"/>
    <w:rsid w:val="5D1A0A26"/>
    <w:rsid w:val="5D494E68"/>
    <w:rsid w:val="5D4D4958"/>
    <w:rsid w:val="5D4E247E"/>
    <w:rsid w:val="5D5040A7"/>
    <w:rsid w:val="5D577585"/>
    <w:rsid w:val="5D6B2F2E"/>
    <w:rsid w:val="5D755C5D"/>
    <w:rsid w:val="5D7F4759"/>
    <w:rsid w:val="5D9F0C49"/>
    <w:rsid w:val="5DA77989"/>
    <w:rsid w:val="5DE26248"/>
    <w:rsid w:val="5E5D0916"/>
    <w:rsid w:val="5E872437"/>
    <w:rsid w:val="5E8811DA"/>
    <w:rsid w:val="5E93297D"/>
    <w:rsid w:val="5F117B1E"/>
    <w:rsid w:val="5F13068D"/>
    <w:rsid w:val="5F426012"/>
    <w:rsid w:val="5F473629"/>
    <w:rsid w:val="5F6252D4"/>
    <w:rsid w:val="5F685570"/>
    <w:rsid w:val="5F8B68A7"/>
    <w:rsid w:val="5FA840E1"/>
    <w:rsid w:val="5FAF36A8"/>
    <w:rsid w:val="5FD55C0F"/>
    <w:rsid w:val="5FE3433D"/>
    <w:rsid w:val="5FE54F26"/>
    <w:rsid w:val="601F645B"/>
    <w:rsid w:val="603F4081"/>
    <w:rsid w:val="60405FD7"/>
    <w:rsid w:val="6044513C"/>
    <w:rsid w:val="604E254F"/>
    <w:rsid w:val="607E5533"/>
    <w:rsid w:val="609C08BE"/>
    <w:rsid w:val="60CA7570"/>
    <w:rsid w:val="60D94755"/>
    <w:rsid w:val="60E71594"/>
    <w:rsid w:val="60EF78CE"/>
    <w:rsid w:val="61243443"/>
    <w:rsid w:val="613A4296"/>
    <w:rsid w:val="61684F2B"/>
    <w:rsid w:val="61BC013B"/>
    <w:rsid w:val="61D313A2"/>
    <w:rsid w:val="621E68C3"/>
    <w:rsid w:val="625642AF"/>
    <w:rsid w:val="62A81C63"/>
    <w:rsid w:val="62D639F7"/>
    <w:rsid w:val="62E418BB"/>
    <w:rsid w:val="62F162C9"/>
    <w:rsid w:val="63057A83"/>
    <w:rsid w:val="632C14B3"/>
    <w:rsid w:val="634147D0"/>
    <w:rsid w:val="63414D1C"/>
    <w:rsid w:val="635255D6"/>
    <w:rsid w:val="63681D63"/>
    <w:rsid w:val="63A454EE"/>
    <w:rsid w:val="63CE7E76"/>
    <w:rsid w:val="641A5BF7"/>
    <w:rsid w:val="643C054F"/>
    <w:rsid w:val="645B3DFE"/>
    <w:rsid w:val="64871138"/>
    <w:rsid w:val="649B244D"/>
    <w:rsid w:val="64AB411D"/>
    <w:rsid w:val="650C759F"/>
    <w:rsid w:val="651D103A"/>
    <w:rsid w:val="65692B22"/>
    <w:rsid w:val="656A2655"/>
    <w:rsid w:val="65B45B7F"/>
    <w:rsid w:val="65C04652"/>
    <w:rsid w:val="6601543A"/>
    <w:rsid w:val="660C5D78"/>
    <w:rsid w:val="663811B0"/>
    <w:rsid w:val="66540B05"/>
    <w:rsid w:val="6689725B"/>
    <w:rsid w:val="66A4479D"/>
    <w:rsid w:val="67276747"/>
    <w:rsid w:val="673E6FBB"/>
    <w:rsid w:val="674A015A"/>
    <w:rsid w:val="6796339F"/>
    <w:rsid w:val="67D6379C"/>
    <w:rsid w:val="67EE31DB"/>
    <w:rsid w:val="68267A2F"/>
    <w:rsid w:val="684E4434"/>
    <w:rsid w:val="68636089"/>
    <w:rsid w:val="68727968"/>
    <w:rsid w:val="68A33FC6"/>
    <w:rsid w:val="68C031E1"/>
    <w:rsid w:val="68E44E04"/>
    <w:rsid w:val="68E6128D"/>
    <w:rsid w:val="68E8639C"/>
    <w:rsid w:val="68F82AA1"/>
    <w:rsid w:val="6908207B"/>
    <w:rsid w:val="69463693"/>
    <w:rsid w:val="695A5409"/>
    <w:rsid w:val="69683ABC"/>
    <w:rsid w:val="6979066C"/>
    <w:rsid w:val="6A2E3D63"/>
    <w:rsid w:val="6A7C322C"/>
    <w:rsid w:val="6A9040D6"/>
    <w:rsid w:val="6A9670CF"/>
    <w:rsid w:val="6AC50223"/>
    <w:rsid w:val="6AC63AFC"/>
    <w:rsid w:val="6AC63F9C"/>
    <w:rsid w:val="6B325FAE"/>
    <w:rsid w:val="6B41572D"/>
    <w:rsid w:val="6B4F5672"/>
    <w:rsid w:val="6B502E49"/>
    <w:rsid w:val="6B6D6595"/>
    <w:rsid w:val="6B7C77F1"/>
    <w:rsid w:val="6BBF39E7"/>
    <w:rsid w:val="6BDC2110"/>
    <w:rsid w:val="6BFB13F3"/>
    <w:rsid w:val="6C1B3E73"/>
    <w:rsid w:val="6C223454"/>
    <w:rsid w:val="6C6E545A"/>
    <w:rsid w:val="6C783074"/>
    <w:rsid w:val="6C8E751D"/>
    <w:rsid w:val="6C9E3613"/>
    <w:rsid w:val="6CA439CF"/>
    <w:rsid w:val="6D072DF8"/>
    <w:rsid w:val="6D1F1741"/>
    <w:rsid w:val="6D4449B9"/>
    <w:rsid w:val="6D522397"/>
    <w:rsid w:val="6D611D5A"/>
    <w:rsid w:val="6D9B753E"/>
    <w:rsid w:val="6DAD3E41"/>
    <w:rsid w:val="6DCC0305"/>
    <w:rsid w:val="6DD16EDF"/>
    <w:rsid w:val="6DEF5576"/>
    <w:rsid w:val="6DF669E1"/>
    <w:rsid w:val="6E14501E"/>
    <w:rsid w:val="6E3F2638"/>
    <w:rsid w:val="6E403382"/>
    <w:rsid w:val="6E470F4F"/>
    <w:rsid w:val="6E5C0E9F"/>
    <w:rsid w:val="6E6D3F5C"/>
    <w:rsid w:val="6E7422E5"/>
    <w:rsid w:val="6E7B69E6"/>
    <w:rsid w:val="6E9323E7"/>
    <w:rsid w:val="6EAE1879"/>
    <w:rsid w:val="6EC54500"/>
    <w:rsid w:val="6EFA6785"/>
    <w:rsid w:val="6F2040C3"/>
    <w:rsid w:val="6F2048B9"/>
    <w:rsid w:val="6F2D7770"/>
    <w:rsid w:val="6F2F0361"/>
    <w:rsid w:val="6F303756"/>
    <w:rsid w:val="6F433E0D"/>
    <w:rsid w:val="6F607BF4"/>
    <w:rsid w:val="6F864B9E"/>
    <w:rsid w:val="6F9E7295"/>
    <w:rsid w:val="6FCB302C"/>
    <w:rsid w:val="6FCC3E02"/>
    <w:rsid w:val="6FE05DB4"/>
    <w:rsid w:val="6FEB2F10"/>
    <w:rsid w:val="6FED3D79"/>
    <w:rsid w:val="6FFD045F"/>
    <w:rsid w:val="700F1F41"/>
    <w:rsid w:val="702A3ACE"/>
    <w:rsid w:val="70483486"/>
    <w:rsid w:val="70671D7D"/>
    <w:rsid w:val="707A0EEA"/>
    <w:rsid w:val="707C133A"/>
    <w:rsid w:val="70AB65F0"/>
    <w:rsid w:val="70B92379"/>
    <w:rsid w:val="70DD4C94"/>
    <w:rsid w:val="710E3FA6"/>
    <w:rsid w:val="71337463"/>
    <w:rsid w:val="714B51FB"/>
    <w:rsid w:val="714F4CEB"/>
    <w:rsid w:val="716F4873"/>
    <w:rsid w:val="71A30C87"/>
    <w:rsid w:val="71AE7C5D"/>
    <w:rsid w:val="72000DFE"/>
    <w:rsid w:val="722577FA"/>
    <w:rsid w:val="7230375D"/>
    <w:rsid w:val="72500F43"/>
    <w:rsid w:val="725504B6"/>
    <w:rsid w:val="72836EE5"/>
    <w:rsid w:val="730220BE"/>
    <w:rsid w:val="73102258"/>
    <w:rsid w:val="73397A01"/>
    <w:rsid w:val="735859AD"/>
    <w:rsid w:val="736F0F8F"/>
    <w:rsid w:val="73773D4F"/>
    <w:rsid w:val="73A06665"/>
    <w:rsid w:val="73B9469D"/>
    <w:rsid w:val="73BA1001"/>
    <w:rsid w:val="73DE4104"/>
    <w:rsid w:val="73DF2283"/>
    <w:rsid w:val="73E831D5"/>
    <w:rsid w:val="74035EF1"/>
    <w:rsid w:val="740744B7"/>
    <w:rsid w:val="742224B4"/>
    <w:rsid w:val="742F6EA1"/>
    <w:rsid w:val="74332B6A"/>
    <w:rsid w:val="743662C4"/>
    <w:rsid w:val="743C6043"/>
    <w:rsid w:val="744B69EC"/>
    <w:rsid w:val="747F6DA9"/>
    <w:rsid w:val="74A54C22"/>
    <w:rsid w:val="75160436"/>
    <w:rsid w:val="751D624D"/>
    <w:rsid w:val="75503CF7"/>
    <w:rsid w:val="755662AC"/>
    <w:rsid w:val="755D231D"/>
    <w:rsid w:val="756F3A0A"/>
    <w:rsid w:val="7578381D"/>
    <w:rsid w:val="75840CDB"/>
    <w:rsid w:val="75BC3646"/>
    <w:rsid w:val="75BE70CD"/>
    <w:rsid w:val="76575B8F"/>
    <w:rsid w:val="76684159"/>
    <w:rsid w:val="766E44DB"/>
    <w:rsid w:val="76901DB2"/>
    <w:rsid w:val="769B1404"/>
    <w:rsid w:val="76B279BE"/>
    <w:rsid w:val="76B86E8E"/>
    <w:rsid w:val="76DE2BD0"/>
    <w:rsid w:val="77073972"/>
    <w:rsid w:val="771A18F7"/>
    <w:rsid w:val="772E0EFE"/>
    <w:rsid w:val="77405723"/>
    <w:rsid w:val="77630DEE"/>
    <w:rsid w:val="7779642C"/>
    <w:rsid w:val="77927188"/>
    <w:rsid w:val="7799235E"/>
    <w:rsid w:val="77A16F30"/>
    <w:rsid w:val="77A750FA"/>
    <w:rsid w:val="77CE4490"/>
    <w:rsid w:val="77F350C7"/>
    <w:rsid w:val="780808C7"/>
    <w:rsid w:val="7847671C"/>
    <w:rsid w:val="788F00C3"/>
    <w:rsid w:val="78C53AE7"/>
    <w:rsid w:val="78E85D15"/>
    <w:rsid w:val="79004B1D"/>
    <w:rsid w:val="79077FCC"/>
    <w:rsid w:val="790C34C1"/>
    <w:rsid w:val="79214F61"/>
    <w:rsid w:val="79226841"/>
    <w:rsid w:val="793547C6"/>
    <w:rsid w:val="793E2865"/>
    <w:rsid w:val="799A287B"/>
    <w:rsid w:val="799F4335"/>
    <w:rsid w:val="79DA1477"/>
    <w:rsid w:val="7A08012D"/>
    <w:rsid w:val="7A1268B5"/>
    <w:rsid w:val="7A2D428B"/>
    <w:rsid w:val="7A30713D"/>
    <w:rsid w:val="7A3765F2"/>
    <w:rsid w:val="7A574C10"/>
    <w:rsid w:val="7A752201"/>
    <w:rsid w:val="7AAA18F6"/>
    <w:rsid w:val="7AB21E46"/>
    <w:rsid w:val="7ADE0E8D"/>
    <w:rsid w:val="7B163C91"/>
    <w:rsid w:val="7B2D61FE"/>
    <w:rsid w:val="7B4339F3"/>
    <w:rsid w:val="7B6D4A26"/>
    <w:rsid w:val="7B71585E"/>
    <w:rsid w:val="7B7C7D1D"/>
    <w:rsid w:val="7BB5399C"/>
    <w:rsid w:val="7BC04AA1"/>
    <w:rsid w:val="7BEE5BC4"/>
    <w:rsid w:val="7C2B64D6"/>
    <w:rsid w:val="7C2D4B70"/>
    <w:rsid w:val="7C336E0A"/>
    <w:rsid w:val="7C37023A"/>
    <w:rsid w:val="7CCE7194"/>
    <w:rsid w:val="7CE95DDA"/>
    <w:rsid w:val="7D380D29"/>
    <w:rsid w:val="7D7D498E"/>
    <w:rsid w:val="7D957F29"/>
    <w:rsid w:val="7D9F2B56"/>
    <w:rsid w:val="7DA22646"/>
    <w:rsid w:val="7DB639FC"/>
    <w:rsid w:val="7DEF61E8"/>
    <w:rsid w:val="7E04681D"/>
    <w:rsid w:val="7E292420"/>
    <w:rsid w:val="7E574B42"/>
    <w:rsid w:val="7E8776D8"/>
    <w:rsid w:val="7EEC2D89"/>
    <w:rsid w:val="7EED169F"/>
    <w:rsid w:val="7EF26A1F"/>
    <w:rsid w:val="7EFE565A"/>
    <w:rsid w:val="7F0A04A3"/>
    <w:rsid w:val="7F3746F1"/>
    <w:rsid w:val="7F557C5E"/>
    <w:rsid w:val="7F565496"/>
    <w:rsid w:val="7F5E6EBF"/>
    <w:rsid w:val="7F655249"/>
    <w:rsid w:val="7F724D08"/>
    <w:rsid w:val="7F875650"/>
    <w:rsid w:val="7FAD1FAD"/>
    <w:rsid w:val="7FB421B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color w:val="000000"/>
      <w:sz w:val="21"/>
      <w:szCs w:val="24"/>
      <w:lang w:val="en-US" w:eastAsia="zh-CN" w:bidi="ar-SA"/>
    </w:rPr>
  </w:style>
  <w:style w:type="paragraph" w:styleId="4">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paragraph" w:styleId="6">
    <w:name w:val="heading 3"/>
    <w:basedOn w:val="1"/>
    <w:next w:val="1"/>
    <w:link w:val="19"/>
    <w:qFormat/>
    <w:uiPriority w:val="0"/>
    <w:pPr>
      <w:keepNext/>
      <w:keepLines/>
      <w:spacing w:before="260" w:after="260" w:line="413" w:lineRule="auto"/>
      <w:outlineLvl w:val="2"/>
    </w:pPr>
    <w:rPr>
      <w:rFonts w:eastAsia="‹ÎSå"/>
      <w:b/>
      <w:sz w:val="32"/>
      <w:szCs w:val="32"/>
      <w:lang w:val="zh-CN"/>
    </w:rPr>
  </w:style>
  <w:style w:type="character" w:default="1" w:styleId="13">
    <w:name w:val="Default Paragraph Font"/>
    <w:unhideWhenUsed/>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Plain Text"/>
    <w:basedOn w:val="1"/>
    <w:unhideWhenUsed/>
    <w:qFormat/>
    <w:uiPriority w:val="99"/>
    <w:rPr>
      <w:rFonts w:ascii="宋体" w:hAnsi="Courier New"/>
      <w:kern w:val="0"/>
      <w:sz w:val="20"/>
      <w:szCs w:val="20"/>
    </w:rPr>
  </w:style>
  <w:style w:type="paragraph" w:styleId="7">
    <w:name w:val="Body Text Indent"/>
    <w:basedOn w:val="1"/>
    <w:qFormat/>
    <w:uiPriority w:val="0"/>
    <w:pPr>
      <w:ind w:firstLine="660"/>
    </w:pPr>
    <w:rPr>
      <w:rFonts w:ascii="宋体" w:eastAsia="仿宋_GB2312"/>
      <w:sz w:val="28"/>
      <w:szCs w:val="20"/>
    </w:rPr>
  </w:style>
  <w:style w:type="paragraph" w:styleId="8">
    <w:name w:val="Balloon Text"/>
    <w:basedOn w:val="1"/>
    <w:link w:val="20"/>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FollowedHyperlink"/>
    <w:basedOn w:val="13"/>
    <w:unhideWhenUsed/>
    <w:qFormat/>
    <w:uiPriority w:val="99"/>
    <w:rPr>
      <w:color w:val="2490F8"/>
      <w:u w:val="none"/>
    </w:rPr>
  </w:style>
  <w:style w:type="character" w:styleId="16">
    <w:name w:val="Emphasis"/>
    <w:basedOn w:val="13"/>
    <w:qFormat/>
    <w:uiPriority w:val="20"/>
  </w:style>
  <w:style w:type="character" w:styleId="17">
    <w:name w:val="Hyperlink"/>
    <w:basedOn w:val="13"/>
    <w:unhideWhenUsed/>
    <w:qFormat/>
    <w:uiPriority w:val="99"/>
    <w:rPr>
      <w:color w:val="2490F8"/>
      <w:u w:val="none"/>
    </w:rPr>
  </w:style>
  <w:style w:type="character" w:customStyle="1" w:styleId="18">
    <w:name w:val="标题 1 Char"/>
    <w:basedOn w:val="13"/>
    <w:link w:val="4"/>
    <w:qFormat/>
    <w:uiPriority w:val="9"/>
    <w:rPr>
      <w:b/>
      <w:bCs/>
      <w:color w:val="000000"/>
      <w:kern w:val="44"/>
      <w:sz w:val="44"/>
      <w:szCs w:val="44"/>
    </w:rPr>
  </w:style>
  <w:style w:type="character" w:customStyle="1" w:styleId="19">
    <w:name w:val="标题 3 Char"/>
    <w:basedOn w:val="13"/>
    <w:link w:val="6"/>
    <w:qFormat/>
    <w:uiPriority w:val="0"/>
    <w:rPr>
      <w:rFonts w:ascii="Times New Roman" w:hAnsi="Times New Roman" w:eastAsia="‹ÎSå" w:cs="Times New Roman"/>
      <w:b/>
      <w:color w:val="000000"/>
      <w:kern w:val="0"/>
      <w:sz w:val="32"/>
      <w:szCs w:val="32"/>
      <w:lang w:val="zh-CN"/>
    </w:rPr>
  </w:style>
  <w:style w:type="character" w:customStyle="1" w:styleId="20">
    <w:name w:val="批注框文本 Char"/>
    <w:basedOn w:val="13"/>
    <w:link w:val="8"/>
    <w:semiHidden/>
    <w:qFormat/>
    <w:uiPriority w:val="99"/>
    <w:rPr>
      <w:rFonts w:ascii="Times New Roman" w:hAnsi="Times New Roman"/>
      <w:color w:val="000000"/>
      <w:sz w:val="18"/>
      <w:szCs w:val="18"/>
    </w:rPr>
  </w:style>
  <w:style w:type="character" w:customStyle="1" w:styleId="21">
    <w:name w:val="页脚 Char"/>
    <w:basedOn w:val="13"/>
    <w:link w:val="9"/>
    <w:semiHidden/>
    <w:qFormat/>
    <w:uiPriority w:val="99"/>
    <w:rPr>
      <w:sz w:val="18"/>
      <w:szCs w:val="18"/>
    </w:rPr>
  </w:style>
  <w:style w:type="character" w:customStyle="1" w:styleId="22">
    <w:name w:val="页眉 Char"/>
    <w:basedOn w:val="13"/>
    <w:link w:val="10"/>
    <w:semiHidden/>
    <w:qFormat/>
    <w:uiPriority w:val="99"/>
    <w:rPr>
      <w:sz w:val="18"/>
      <w:szCs w:val="18"/>
    </w:rPr>
  </w:style>
  <w:style w:type="character" w:customStyle="1" w:styleId="23">
    <w:name w:val="font41"/>
    <w:basedOn w:val="13"/>
    <w:qFormat/>
    <w:uiPriority w:val="0"/>
    <w:rPr>
      <w:rFonts w:hint="default" w:ascii="Times New Roman" w:hAnsi="Times New Roman" w:cs="Times New Roman"/>
      <w:color w:val="000000"/>
      <w:sz w:val="18"/>
      <w:szCs w:val="18"/>
      <w:u w:val="none"/>
    </w:rPr>
  </w:style>
  <w:style w:type="character" w:customStyle="1" w:styleId="24">
    <w:name w:val="font61"/>
    <w:basedOn w:val="13"/>
    <w:qFormat/>
    <w:uiPriority w:val="0"/>
    <w:rPr>
      <w:rFonts w:hint="eastAsia" w:ascii="宋体" w:hAnsi="宋体" w:eastAsia="宋体" w:cs="宋体"/>
      <w:color w:val="000000"/>
      <w:sz w:val="12"/>
      <w:szCs w:val="12"/>
      <w:u w:val="none"/>
    </w:rPr>
  </w:style>
  <w:style w:type="character" w:customStyle="1" w:styleId="25">
    <w:name w:val="font121"/>
    <w:basedOn w:val="13"/>
    <w:qFormat/>
    <w:uiPriority w:val="0"/>
    <w:rPr>
      <w:rFonts w:hint="eastAsia" w:ascii="宋体" w:hAnsi="宋体" w:eastAsia="宋体" w:cs="宋体"/>
      <w:color w:val="000000"/>
      <w:sz w:val="18"/>
      <w:szCs w:val="18"/>
      <w:u w:val="none"/>
    </w:rPr>
  </w:style>
  <w:style w:type="character" w:customStyle="1" w:styleId="26">
    <w:name w:val="font01"/>
    <w:basedOn w:val="13"/>
    <w:qFormat/>
    <w:uiPriority w:val="0"/>
    <w:rPr>
      <w:rFonts w:hint="eastAsia" w:ascii="宋体" w:hAnsi="宋体" w:eastAsia="宋体" w:cs="宋体"/>
      <w:color w:val="FF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character" w:customStyle="1" w:styleId="28">
    <w:name w:val="font51"/>
    <w:basedOn w:val="13"/>
    <w:qFormat/>
    <w:uiPriority w:val="0"/>
    <w:rPr>
      <w:rFonts w:hint="eastAsia" w:ascii="宋体" w:hAnsi="宋体" w:eastAsia="宋体" w:cs="宋体"/>
      <w:color w:val="000000"/>
      <w:sz w:val="18"/>
      <w:szCs w:val="18"/>
      <w:u w:val="none"/>
    </w:rPr>
  </w:style>
  <w:style w:type="character" w:customStyle="1" w:styleId="29">
    <w:name w:val="font91"/>
    <w:basedOn w:val="13"/>
    <w:qFormat/>
    <w:uiPriority w:val="0"/>
    <w:rPr>
      <w:rFonts w:hint="default" w:ascii="Times New Roman" w:hAnsi="Times New Roman" w:cs="Times New Roman"/>
      <w:color w:val="000000"/>
      <w:sz w:val="18"/>
      <w:szCs w:val="18"/>
      <w:u w:val="none"/>
    </w:rPr>
  </w:style>
  <w:style w:type="character" w:customStyle="1" w:styleId="30">
    <w:name w:val="font31"/>
    <w:basedOn w:val="13"/>
    <w:qFormat/>
    <w:uiPriority w:val="0"/>
    <w:rPr>
      <w:rFonts w:hint="eastAsia" w:ascii="宋体" w:hAnsi="宋体" w:eastAsia="宋体" w:cs="宋体"/>
      <w:color w:val="000000"/>
      <w:sz w:val="18"/>
      <w:szCs w:val="18"/>
      <w:u w:val="none"/>
    </w:rPr>
  </w:style>
  <w:style w:type="character" w:customStyle="1" w:styleId="31">
    <w:name w:val="font81"/>
    <w:basedOn w:val="13"/>
    <w:qFormat/>
    <w:uiPriority w:val="0"/>
    <w:rPr>
      <w:rFonts w:hint="eastAsia" w:ascii="宋体" w:hAnsi="宋体" w:eastAsia="宋体" w:cs="宋体"/>
      <w:color w:val="000000"/>
      <w:sz w:val="18"/>
      <w:szCs w:val="18"/>
      <w:u w:val="none"/>
    </w:rPr>
  </w:style>
  <w:style w:type="character" w:customStyle="1" w:styleId="32">
    <w:name w:val="font11"/>
    <w:basedOn w:val="13"/>
    <w:qFormat/>
    <w:uiPriority w:val="0"/>
    <w:rPr>
      <w:rFonts w:hint="eastAsia" w:ascii="宋体" w:hAnsi="宋体" w:eastAsia="宋体" w:cs="宋体"/>
      <w:color w:val="000000"/>
      <w:sz w:val="18"/>
      <w:szCs w:val="18"/>
      <w:u w:val="none"/>
    </w:rPr>
  </w:style>
  <w:style w:type="paragraph" w:customStyle="1" w:styleId="33">
    <w:name w:val="列出段落1"/>
    <w:basedOn w:val="1"/>
    <w:qFormat/>
    <w:uiPriority w:val="34"/>
    <w:pPr>
      <w:ind w:firstLine="420" w:firstLineChars="200"/>
    </w:pPr>
  </w:style>
  <w:style w:type="paragraph" w:customStyle="1" w:styleId="34">
    <w:name w:val="reader-word-layer"/>
    <w:basedOn w:val="1"/>
    <w:qFormat/>
    <w:uiPriority w:val="0"/>
    <w:pPr>
      <w:widowControl/>
      <w:spacing w:before="100" w:beforeAutospacing="1" w:after="100" w:afterAutospacing="1"/>
      <w:jc w:val="left"/>
    </w:pPr>
    <w:rPr>
      <w:rFonts w:ascii="宋体" w:hAnsi="宋体" w:cs="宋体"/>
      <w:color w:val="auto"/>
      <w:sz w:val="24"/>
    </w:rPr>
  </w:style>
  <w:style w:type="paragraph" w:styleId="35">
    <w:name w:val="List Paragraph"/>
    <w:basedOn w:val="1"/>
    <w:unhideWhenUsed/>
    <w:qFormat/>
    <w:uiPriority w:val="99"/>
    <w:pPr>
      <w:ind w:firstLine="420" w:firstLineChars="200"/>
    </w:pPr>
  </w:style>
  <w:style w:type="character" w:customStyle="1" w:styleId="36">
    <w:name w:val="drapbtn"/>
    <w:basedOn w:val="13"/>
    <w:qFormat/>
    <w:uiPriority w:val="0"/>
  </w:style>
  <w:style w:type="character" w:customStyle="1" w:styleId="37">
    <w:name w:val="iconline2"/>
    <w:basedOn w:val="13"/>
    <w:qFormat/>
    <w:uiPriority w:val="0"/>
  </w:style>
  <w:style w:type="character" w:customStyle="1" w:styleId="38">
    <w:name w:val="hilite"/>
    <w:basedOn w:val="13"/>
    <w:qFormat/>
    <w:uiPriority w:val="0"/>
    <w:rPr>
      <w:color w:val="FFFFFF"/>
      <w:shd w:val="clear" w:color="auto" w:fill="666666"/>
    </w:rPr>
  </w:style>
  <w:style w:type="character" w:customStyle="1" w:styleId="39">
    <w:name w:val="cdropleft"/>
    <w:basedOn w:val="13"/>
    <w:qFormat/>
    <w:uiPriority w:val="0"/>
  </w:style>
  <w:style w:type="character" w:customStyle="1" w:styleId="40">
    <w:name w:val="cdropright"/>
    <w:basedOn w:val="13"/>
    <w:qFormat/>
    <w:uiPriority w:val="0"/>
  </w:style>
  <w:style w:type="character" w:customStyle="1" w:styleId="41">
    <w:name w:val="layui-layer-tabnow"/>
    <w:basedOn w:val="13"/>
    <w:qFormat/>
    <w:uiPriority w:val="0"/>
    <w:rPr>
      <w:bdr w:val="single" w:color="CCCCCC" w:sz="6" w:space="0"/>
      <w:shd w:val="clear" w:color="auto" w:fill="FFFFFF"/>
    </w:rPr>
  </w:style>
  <w:style w:type="character" w:customStyle="1" w:styleId="42">
    <w:name w:val="active7"/>
    <w:basedOn w:val="13"/>
    <w:qFormat/>
    <w:uiPriority w:val="0"/>
    <w:rPr>
      <w:color w:val="00FF00"/>
      <w:shd w:val="clear" w:color="auto" w:fill="111111"/>
    </w:rPr>
  </w:style>
  <w:style w:type="character" w:customStyle="1" w:styleId="43">
    <w:name w:val="last-child"/>
    <w:basedOn w:val="13"/>
    <w:qFormat/>
    <w:uiPriority w:val="0"/>
  </w:style>
  <w:style w:type="character" w:customStyle="1" w:styleId="44">
    <w:name w:val="insertrow"/>
    <w:basedOn w:val="13"/>
    <w:qFormat/>
    <w:uiPriority w:val="0"/>
    <w:rPr>
      <w:color w:val="1F85EC"/>
    </w:rPr>
  </w:style>
  <w:style w:type="character" w:customStyle="1" w:styleId="45">
    <w:name w:val="pagechatarealistclose_box"/>
    <w:basedOn w:val="13"/>
    <w:qFormat/>
    <w:uiPriority w:val="0"/>
  </w:style>
  <w:style w:type="character" w:customStyle="1" w:styleId="46">
    <w:name w:val="pagechatarealistclose_box1"/>
    <w:basedOn w:val="13"/>
    <w:qFormat/>
    <w:uiPriority w:val="0"/>
  </w:style>
  <w:style w:type="character" w:customStyle="1" w:styleId="47">
    <w:name w:val="tmpztreemove_arrow"/>
    <w:basedOn w:val="13"/>
    <w:qFormat/>
    <w:uiPriority w:val="0"/>
  </w:style>
  <w:style w:type="character" w:customStyle="1" w:styleId="48">
    <w:name w:val="button4"/>
    <w:basedOn w:val="13"/>
    <w:qFormat/>
    <w:uiPriority w:val="0"/>
  </w:style>
  <w:style w:type="character" w:customStyle="1" w:styleId="49">
    <w:name w:val="w32"/>
    <w:basedOn w:val="13"/>
    <w:qFormat/>
    <w:uiPriority w:val="0"/>
  </w:style>
  <w:style w:type="character" w:customStyle="1" w:styleId="50">
    <w:name w:val="icontext3"/>
    <w:basedOn w:val="13"/>
    <w:qFormat/>
    <w:uiPriority w:val="0"/>
  </w:style>
  <w:style w:type="character" w:customStyle="1" w:styleId="51">
    <w:name w:val="ico1654"/>
    <w:basedOn w:val="13"/>
    <w:qFormat/>
    <w:uiPriority w:val="0"/>
  </w:style>
  <w:style w:type="character" w:customStyle="1" w:styleId="52">
    <w:name w:val="ico1655"/>
    <w:basedOn w:val="13"/>
    <w:qFormat/>
    <w:uiPriority w:val="0"/>
  </w:style>
  <w:style w:type="character" w:customStyle="1" w:styleId="53">
    <w:name w:val="movedownrow"/>
    <w:basedOn w:val="13"/>
    <w:qFormat/>
    <w:uiPriority w:val="0"/>
    <w:rPr>
      <w:color w:val="1F85EC"/>
    </w:rPr>
  </w:style>
  <w:style w:type="character" w:customStyle="1" w:styleId="54">
    <w:name w:val="first-child"/>
    <w:basedOn w:val="13"/>
    <w:qFormat/>
    <w:uiPriority w:val="0"/>
  </w:style>
  <w:style w:type="character" w:customStyle="1" w:styleId="55">
    <w:name w:val="after"/>
    <w:basedOn w:val="13"/>
    <w:qFormat/>
    <w:uiPriority w:val="0"/>
    <w:rPr>
      <w:sz w:val="16"/>
      <w:szCs w:val="0"/>
    </w:rPr>
  </w:style>
  <w:style w:type="character" w:customStyle="1" w:styleId="56">
    <w:name w:val="associateddata"/>
    <w:basedOn w:val="13"/>
    <w:qFormat/>
    <w:uiPriority w:val="0"/>
    <w:rPr>
      <w:shd w:val="clear" w:color="auto" w:fill="50A6F9"/>
    </w:rPr>
  </w:style>
  <w:style w:type="character" w:customStyle="1" w:styleId="57">
    <w:name w:val="cy"/>
    <w:basedOn w:val="13"/>
    <w:qFormat/>
    <w:uiPriority w:val="0"/>
  </w:style>
  <w:style w:type="character" w:customStyle="1" w:styleId="58">
    <w:name w:val="icontext1"/>
    <w:basedOn w:val="13"/>
    <w:qFormat/>
    <w:uiPriority w:val="0"/>
  </w:style>
  <w:style w:type="character" w:customStyle="1" w:styleId="59">
    <w:name w:val="icontext11"/>
    <w:basedOn w:val="13"/>
    <w:qFormat/>
    <w:uiPriority w:val="0"/>
  </w:style>
  <w:style w:type="character" w:customStyle="1" w:styleId="60">
    <w:name w:val="icontext12"/>
    <w:basedOn w:val="13"/>
    <w:qFormat/>
    <w:uiPriority w:val="0"/>
  </w:style>
  <w:style w:type="character" w:customStyle="1" w:styleId="61">
    <w:name w:val="icontext2"/>
    <w:basedOn w:val="13"/>
    <w:qFormat/>
    <w:uiPriority w:val="0"/>
  </w:style>
  <w:style w:type="character" w:customStyle="1" w:styleId="62">
    <w:name w:val="choose-status"/>
    <w:basedOn w:val="13"/>
    <w:qFormat/>
    <w:uiPriority w:val="0"/>
    <w:rPr>
      <w:color w:val="1F85EC"/>
      <w:shd w:val="clear" w:color="auto" w:fill="FFFFFF"/>
    </w:rPr>
  </w:style>
  <w:style w:type="character" w:customStyle="1" w:styleId="63">
    <w:name w:val="copyrow"/>
    <w:basedOn w:val="13"/>
    <w:qFormat/>
    <w:uiPriority w:val="0"/>
    <w:rPr>
      <w:color w:val="1F85EC"/>
    </w:rPr>
  </w:style>
  <w:style w:type="character" w:customStyle="1" w:styleId="64">
    <w:name w:val="deleterow"/>
    <w:basedOn w:val="13"/>
    <w:qFormat/>
    <w:uiPriority w:val="0"/>
    <w:rPr>
      <w:color w:val="FF5E5E"/>
    </w:rPr>
  </w:style>
  <w:style w:type="character" w:customStyle="1" w:styleId="65">
    <w:name w:val="moveuprow"/>
    <w:basedOn w:val="13"/>
    <w:qFormat/>
    <w:uiPriority w:val="0"/>
    <w:rPr>
      <w:color w:val="1F85EC"/>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10181</Words>
  <Characters>10427</Characters>
  <Lines>37</Lines>
  <Paragraphs>10</Paragraphs>
  <TotalTime>9</TotalTime>
  <ScaleCrop>false</ScaleCrop>
  <LinksUpToDate>false</LinksUpToDate>
  <CharactersWithSpaces>10917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2019-09-10T05:01:00Z</dcterms:created>
  <dc:creator>胡彪</dc:creator>
  <cp:lastModifiedBy>海风</cp:lastModifiedBy>
  <cp:lastPrinted>2022-10-18T07:20:00Z</cp:lastPrinted>
  <dcterms:modified xsi:type="dcterms:W3CDTF">2025-08-18T03:03:10Z</dcterms:modified>
  <dc:title>江苏索普（集团）有限公司</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C4E672E048DB4DE48435CB4BFF385D96_13</vt:lpwstr>
  </property>
  <property fmtid="{D5CDD505-2E9C-101B-9397-08002B2CF9AE}" pid="4" name="KSOTemplateDocerSaveRecord">
    <vt:lpwstr>eyJoZGlkIjoiZWEwN2I3YzE4NWQ1MTcyNjMwNmQ0ZWJiZGViMjFmNTgiLCJ1c2VySWQiOiIyNjc4MTEzMDQifQ==</vt:lpwstr>
  </property>
</Properties>
</file>