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F3714B">
      <w:pPr>
        <w:jc w:val="center"/>
        <w:rPr>
          <w:rFonts w:hint="eastAsia" w:ascii="宋体" w:hAnsi="宋体" w:eastAsia="宋体" w:cs="宋体"/>
          <w:b w:val="0"/>
          <w:bCs/>
          <w:color w:val="auto"/>
          <w:sz w:val="48"/>
          <w:szCs w:val="48"/>
          <w:highlight w:val="none"/>
          <w:lang w:val="en-US" w:eastAsia="zh-CN"/>
        </w:rPr>
      </w:pPr>
      <w:r>
        <w:rPr>
          <w:rFonts w:hint="eastAsia" w:ascii="宋体" w:hAnsi="宋体" w:eastAsia="宋体" w:cs="宋体"/>
          <w:b w:val="0"/>
          <w:bCs/>
          <w:color w:val="auto"/>
          <w:sz w:val="48"/>
          <w:szCs w:val="48"/>
          <w:highlight w:val="none"/>
          <w:lang w:val="en-US" w:eastAsia="zh-CN"/>
        </w:rPr>
        <w:t>江苏索普新材料科技有限公司</w:t>
      </w:r>
    </w:p>
    <w:p w14:paraId="7DC381E4">
      <w:pPr>
        <w:pStyle w:val="2"/>
        <w:pageBreakBefore w:val="0"/>
        <w:wordWrap/>
        <w:topLinePunct w:val="0"/>
        <w:bidi w:val="0"/>
        <w:spacing w:before="159" w:after="159" w:line="360" w:lineRule="auto"/>
        <w:jc w:val="center"/>
        <w:rPr>
          <w:rFonts w:eastAsia="宋体" w:cs="宋体"/>
          <w:color w:val="auto"/>
          <w:highlight w:val="none"/>
        </w:rPr>
      </w:pPr>
      <w:r>
        <w:rPr>
          <w:rFonts w:hint="eastAsia" w:eastAsia="宋体" w:cs="宋体"/>
          <w:color w:val="auto"/>
          <w:sz w:val="44"/>
          <w:szCs w:val="44"/>
          <w:highlight w:val="none"/>
        </w:rPr>
        <w:t>醋酸乙烯及EVA一体化项目（一期工程）</w:t>
      </w:r>
    </w:p>
    <w:p w14:paraId="47B9056A">
      <w:pPr>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171罐区呼吸阀及紧急泄放人孔采购</w:t>
      </w:r>
    </w:p>
    <w:p w14:paraId="77035C0A">
      <w:pPr>
        <w:jc w:val="center"/>
        <w:rPr>
          <w:rFonts w:hint="default" w:ascii="仿宋" w:hAnsi="仿宋" w:eastAsia="仿宋" w:cs="仿宋"/>
          <w:b/>
          <w:bCs/>
          <w:color w:val="auto"/>
          <w:sz w:val="72"/>
          <w:szCs w:val="72"/>
          <w:highlight w:val="none"/>
          <w:lang w:val="en-US" w:eastAsia="zh-CN"/>
        </w:rPr>
      </w:pPr>
    </w:p>
    <w:p w14:paraId="4F0E9780">
      <w:pPr>
        <w:jc w:val="center"/>
        <w:rPr>
          <w:rFonts w:hint="default" w:ascii="仿宋" w:hAnsi="仿宋" w:eastAsia="仿宋" w:cs="仿宋"/>
          <w:b/>
          <w:bCs/>
          <w:color w:val="auto"/>
          <w:sz w:val="72"/>
          <w:szCs w:val="72"/>
          <w:highlight w:val="none"/>
          <w:lang w:val="en-US" w:eastAsia="zh-CN"/>
        </w:rPr>
      </w:pPr>
    </w:p>
    <w:p w14:paraId="217EADDF">
      <w:pPr>
        <w:pStyle w:val="6"/>
        <w:rPr>
          <w:rFonts w:hint="eastAsia"/>
          <w:highlight w:val="none"/>
        </w:rPr>
      </w:pPr>
    </w:p>
    <w:p w14:paraId="3C9A6BE6">
      <w:pPr>
        <w:jc w:val="center"/>
        <w:rPr>
          <w:rFonts w:hint="default"/>
          <w:b w:val="0"/>
          <w:bCs/>
          <w:color w:val="000000"/>
          <w:sz w:val="84"/>
          <w:szCs w:val="84"/>
          <w:highlight w:val="none"/>
          <w:lang w:val="en-US" w:eastAsia="zh-CN"/>
        </w:rPr>
      </w:pPr>
      <w:r>
        <w:rPr>
          <w:rFonts w:hint="eastAsia"/>
          <w:b w:val="0"/>
          <w:bCs/>
          <w:color w:val="000000"/>
          <w:sz w:val="84"/>
          <w:szCs w:val="84"/>
          <w:highlight w:val="none"/>
          <w:lang w:val="en-US" w:eastAsia="zh-CN"/>
        </w:rPr>
        <w:t>技术文件</w:t>
      </w:r>
    </w:p>
    <w:p w14:paraId="3B8A114E">
      <w:pPr>
        <w:jc w:val="both"/>
        <w:rPr>
          <w:rFonts w:hint="eastAsia"/>
          <w:b/>
          <w:color w:val="000000"/>
          <w:sz w:val="72"/>
          <w:szCs w:val="72"/>
          <w:highlight w:val="none"/>
          <w:lang w:val="en-US" w:eastAsia="zh-CN"/>
        </w:rPr>
      </w:pPr>
    </w:p>
    <w:p w14:paraId="4E67AC49">
      <w:pPr>
        <w:jc w:val="both"/>
        <w:rPr>
          <w:rFonts w:hint="default"/>
          <w:b/>
          <w:color w:val="000000"/>
          <w:sz w:val="72"/>
          <w:szCs w:val="72"/>
          <w:highlight w:val="none"/>
          <w:lang w:val="en-US" w:eastAsia="zh-CN"/>
        </w:rPr>
      </w:pPr>
    </w:p>
    <w:p w14:paraId="29786EE8">
      <w:pPr>
        <w:jc w:val="both"/>
        <w:rPr>
          <w:rFonts w:hint="default"/>
          <w:b/>
          <w:color w:val="000000"/>
          <w:sz w:val="72"/>
          <w:szCs w:val="72"/>
          <w:highlight w:val="none"/>
          <w:lang w:val="en-US" w:eastAsia="zh-CN"/>
        </w:rPr>
      </w:pPr>
    </w:p>
    <w:p w14:paraId="3B3021F1">
      <w:pPr>
        <w:pageBreakBefore w:val="0"/>
        <w:wordWrap/>
        <w:topLinePunct w:val="0"/>
        <w:bidi w:val="0"/>
        <w:spacing w:line="360" w:lineRule="auto"/>
        <w:jc w:val="center"/>
        <w:rPr>
          <w:rStyle w:val="13"/>
          <w:rFonts w:ascii="宋体" w:hAnsi="宋体" w:cs="宋体"/>
          <w:b/>
          <w:color w:val="auto"/>
          <w:sz w:val="30"/>
          <w:szCs w:val="30"/>
          <w:highlight w:val="none"/>
        </w:rPr>
      </w:pPr>
      <w:r>
        <w:rPr>
          <w:rStyle w:val="13"/>
          <w:rFonts w:hint="eastAsia" w:ascii="宋体" w:hAnsi="宋体" w:cs="宋体"/>
          <w:b/>
          <w:color w:val="auto"/>
          <w:sz w:val="30"/>
          <w:szCs w:val="30"/>
          <w:highlight w:val="none"/>
        </w:rPr>
        <w:t>（招标编号：</w:t>
      </w:r>
      <w:r>
        <w:rPr>
          <w:rStyle w:val="13"/>
          <w:rFonts w:hint="eastAsia" w:ascii="宋体" w:hAnsi="宋体" w:cs="宋体"/>
          <w:b/>
          <w:color w:val="auto"/>
          <w:sz w:val="30"/>
          <w:szCs w:val="30"/>
          <w:highlight w:val="none"/>
          <w:lang w:val="en-US" w:eastAsia="zh-CN"/>
        </w:rPr>
        <w:t xml:space="preserve">TC      </w:t>
      </w:r>
      <w:r>
        <w:rPr>
          <w:rStyle w:val="13"/>
          <w:rFonts w:hint="eastAsia" w:ascii="宋体" w:hAnsi="宋体" w:cs="宋体"/>
          <w:b/>
          <w:color w:val="auto"/>
          <w:sz w:val="30"/>
          <w:szCs w:val="30"/>
          <w:highlight w:val="none"/>
        </w:rPr>
        <w:t xml:space="preserve">） </w:t>
      </w:r>
    </w:p>
    <w:p w14:paraId="3A4002AA">
      <w:pPr>
        <w:pageBreakBefore w:val="0"/>
        <w:wordWrap/>
        <w:topLinePunct w:val="0"/>
        <w:bidi w:val="0"/>
        <w:snapToGrid w:val="0"/>
        <w:spacing w:line="360" w:lineRule="auto"/>
        <w:ind w:left="2519" w:leftChars="171" w:hanging="2160" w:hangingChars="538"/>
        <w:rPr>
          <w:rFonts w:ascii="黑体" w:hAnsi="黑体" w:eastAsia="黑体"/>
          <w:b/>
          <w:color w:val="auto"/>
          <w:spacing w:val="20"/>
          <w:sz w:val="36"/>
          <w:szCs w:val="36"/>
          <w:highlight w:val="none"/>
        </w:rPr>
      </w:pPr>
    </w:p>
    <w:p w14:paraId="6793AEF4">
      <w:pPr>
        <w:pageBreakBefore w:val="0"/>
        <w:wordWrap/>
        <w:topLinePunct w:val="0"/>
        <w:bidi w:val="0"/>
        <w:snapToGrid w:val="0"/>
        <w:spacing w:line="360" w:lineRule="auto"/>
        <w:ind w:left="3168" w:leftChars="171" w:hanging="2809" w:hangingChars="538"/>
        <w:jc w:val="center"/>
        <w:rPr>
          <w:rFonts w:ascii="黑体" w:hAnsi="黑体" w:eastAsia="黑体"/>
          <w:b/>
          <w:color w:val="auto"/>
          <w:sz w:val="52"/>
          <w:szCs w:val="52"/>
          <w:highlight w:val="none"/>
        </w:rPr>
      </w:pPr>
    </w:p>
    <w:p w14:paraId="7A312011">
      <w:pPr>
        <w:pageBreakBefore w:val="0"/>
        <w:wordWrap/>
        <w:topLinePunct w:val="0"/>
        <w:bidi w:val="0"/>
        <w:snapToGrid w:val="0"/>
        <w:spacing w:line="360" w:lineRule="auto"/>
        <w:jc w:val="both"/>
        <w:rPr>
          <w:rFonts w:ascii="黑体" w:hAnsi="黑体" w:eastAsia="黑体"/>
          <w:b/>
          <w:color w:val="auto"/>
          <w:spacing w:val="20"/>
          <w:sz w:val="28"/>
          <w:szCs w:val="28"/>
          <w:highlight w:val="none"/>
        </w:rPr>
      </w:pPr>
    </w:p>
    <w:p w14:paraId="2F5C53DA">
      <w:pPr>
        <w:pageBreakBefore w:val="0"/>
        <w:wordWrap/>
        <w:topLinePunct w:val="0"/>
        <w:bidi w:val="0"/>
        <w:snapToGrid w:val="0"/>
        <w:spacing w:line="360" w:lineRule="auto"/>
        <w:jc w:val="both"/>
        <w:rPr>
          <w:rFonts w:ascii="黑体" w:hAnsi="黑体" w:eastAsia="黑体"/>
          <w:b/>
          <w:color w:val="auto"/>
          <w:spacing w:val="20"/>
          <w:sz w:val="28"/>
          <w:szCs w:val="28"/>
          <w:highlight w:val="none"/>
        </w:rPr>
      </w:pPr>
    </w:p>
    <w:p w14:paraId="7700EC10">
      <w:pPr>
        <w:pageBreakBefore w:val="0"/>
        <w:wordWrap/>
        <w:topLinePunct w:val="0"/>
        <w:bidi w:val="0"/>
        <w:spacing w:line="360" w:lineRule="auto"/>
        <w:ind w:firstLine="960" w:firstLineChars="300"/>
        <w:rPr>
          <w:rFonts w:ascii="宋体" w:hAnsi="宋体" w:cs="宋体"/>
          <w:snapToGrid w:val="0"/>
          <w:color w:val="auto"/>
          <w:sz w:val="32"/>
          <w:highlight w:val="none"/>
        </w:rPr>
      </w:pPr>
      <w:r>
        <w:rPr>
          <w:rFonts w:hint="eastAsia" w:ascii="宋体" w:hAnsi="宋体" w:cs="宋体"/>
          <w:snapToGrid w:val="0"/>
          <w:color w:val="auto"/>
          <w:sz w:val="32"/>
          <w:highlight w:val="none"/>
        </w:rPr>
        <w:t>招    标  人：江苏索普新材料科技有限公司</w:t>
      </w:r>
    </w:p>
    <w:p w14:paraId="45C1A6B1">
      <w:pPr>
        <w:pageBreakBefore w:val="0"/>
        <w:wordWrap/>
        <w:topLinePunct w:val="0"/>
        <w:bidi w:val="0"/>
        <w:spacing w:line="360" w:lineRule="auto"/>
        <w:ind w:firstLine="960" w:firstLineChars="300"/>
        <w:rPr>
          <w:rFonts w:ascii="宋体" w:hAnsi="宋体" w:cs="宋体"/>
          <w:snapToGrid w:val="0"/>
          <w:color w:val="auto"/>
          <w:sz w:val="32"/>
          <w:highlight w:val="none"/>
        </w:rPr>
      </w:pPr>
      <w:r>
        <w:rPr>
          <w:rFonts w:hint="eastAsia" w:ascii="宋体" w:hAnsi="宋体" w:cs="宋体"/>
          <w:snapToGrid w:val="0"/>
          <w:color w:val="auto"/>
          <w:sz w:val="32"/>
          <w:highlight w:val="none"/>
        </w:rPr>
        <w:t>招标代理机构:中招国际招标有限公司</w:t>
      </w:r>
    </w:p>
    <w:p w14:paraId="2934E6A6">
      <w:pPr>
        <w:pageBreakBefore w:val="0"/>
        <w:tabs>
          <w:tab w:val="left" w:pos="5512"/>
        </w:tabs>
        <w:wordWrap/>
        <w:topLinePunct w:val="0"/>
        <w:bidi w:val="0"/>
        <w:spacing w:line="360" w:lineRule="auto"/>
        <w:ind w:firstLine="960" w:firstLineChars="300"/>
        <w:rPr>
          <w:rFonts w:hint="default" w:ascii="宋体" w:hAnsi="宋体" w:eastAsia="宋体" w:cs="宋体"/>
          <w:snapToGrid w:val="0"/>
          <w:color w:val="auto"/>
          <w:sz w:val="32"/>
          <w:highlight w:val="none"/>
          <w:lang w:val="en-US" w:eastAsia="zh-CN"/>
        </w:rPr>
      </w:pPr>
      <w:r>
        <w:rPr>
          <w:rFonts w:hint="eastAsia" w:ascii="宋体" w:hAnsi="宋体" w:cs="宋体"/>
          <w:snapToGrid w:val="0"/>
          <w:color w:val="auto"/>
          <w:sz w:val="32"/>
          <w:highlight w:val="none"/>
        </w:rPr>
        <w:t>日        期： 202</w:t>
      </w:r>
      <w:r>
        <w:rPr>
          <w:rFonts w:hint="eastAsia" w:ascii="宋体" w:hAnsi="宋体" w:eastAsia="宋体" w:cs="宋体"/>
          <w:snapToGrid w:val="0"/>
          <w:color w:val="auto"/>
          <w:sz w:val="32"/>
          <w:highlight w:val="none"/>
          <w:lang w:val="en-US" w:eastAsia="zh-CN"/>
        </w:rPr>
        <w:t>6</w:t>
      </w:r>
      <w:r>
        <w:rPr>
          <w:rFonts w:hint="eastAsia" w:ascii="宋体" w:hAnsi="宋体" w:cs="宋体"/>
          <w:snapToGrid w:val="0"/>
          <w:color w:val="auto"/>
          <w:sz w:val="32"/>
          <w:highlight w:val="none"/>
        </w:rPr>
        <w:t>年</w:t>
      </w:r>
      <w:r>
        <w:rPr>
          <w:rFonts w:hint="eastAsia" w:ascii="宋体" w:hAnsi="宋体" w:eastAsia="宋体" w:cs="宋体"/>
          <w:snapToGrid w:val="0"/>
          <w:color w:val="auto"/>
          <w:sz w:val="32"/>
          <w:highlight w:val="none"/>
          <w:lang w:val="en-US" w:eastAsia="zh-CN"/>
        </w:rPr>
        <w:t>3月</w:t>
      </w:r>
    </w:p>
    <w:p w14:paraId="68776E78">
      <w:pPr>
        <w:spacing w:line="360" w:lineRule="auto"/>
        <w:rPr>
          <w:rFonts w:hint="eastAsia" w:ascii="仿宋" w:hAnsi="仿宋" w:eastAsia="仿宋" w:cs="仿宋"/>
          <w:color w:val="auto"/>
          <w:highlight w:val="none"/>
          <w:lang w:val="en-US" w:eastAsia="zh-CN"/>
        </w:rPr>
      </w:pPr>
    </w:p>
    <w:p w14:paraId="48290BB9">
      <w:r>
        <w:br w:type="page"/>
      </w:r>
    </w:p>
    <w:p w14:paraId="294E5893">
      <w:pPr>
        <w:spacing w:line="59" w:lineRule="exact"/>
      </w:pPr>
    </w:p>
    <w:p w14:paraId="5BC68CDA">
      <w:pPr>
        <w:spacing w:line="59" w:lineRule="exact"/>
      </w:pPr>
    </w:p>
    <w:p w14:paraId="445B66CD">
      <w:pPr>
        <w:spacing w:line="59" w:lineRule="exact"/>
      </w:pPr>
    </w:p>
    <w:p w14:paraId="24666E71">
      <w:pPr>
        <w:keepNext w:val="0"/>
        <w:keepLines w:val="0"/>
        <w:pageBreakBefore w:val="0"/>
        <w:widowControl/>
        <w:kinsoku w:val="0"/>
        <w:wordWrap/>
        <w:overflowPunct/>
        <w:topLinePunct w:val="0"/>
        <w:autoSpaceDE w:val="0"/>
        <w:autoSpaceDN w:val="0"/>
        <w:bidi w:val="0"/>
        <w:adjustRightInd w:val="0"/>
        <w:snapToGrid w:val="0"/>
        <w:spacing w:line="420" w:lineRule="exact"/>
        <w:textAlignment w:val="baseline"/>
        <w:rPr>
          <w:rFonts w:hint="eastAsia" w:asciiTheme="minorEastAsia" w:hAnsiTheme="minorEastAsia" w:eastAsiaTheme="minorEastAsia" w:cstheme="minorEastAsia"/>
          <w:b/>
          <w:bCs/>
          <w:sz w:val="28"/>
          <w:szCs w:val="28"/>
          <w:lang w:eastAsia="zh-CN"/>
        </w:rPr>
      </w:pPr>
      <w:bookmarkStart w:id="0" w:name="_Toc23732"/>
      <w:r>
        <w:rPr>
          <w:rFonts w:hint="eastAsia" w:asciiTheme="minorEastAsia" w:hAnsiTheme="minorEastAsia" w:eastAsiaTheme="minorEastAsia" w:cstheme="minorEastAsia"/>
          <w:b/>
          <w:bCs/>
          <w:sz w:val="28"/>
          <w:szCs w:val="28"/>
          <w:lang w:eastAsia="zh-CN"/>
        </w:rPr>
        <w:t>1、概述</w:t>
      </w:r>
      <w:bookmarkEnd w:id="0"/>
    </w:p>
    <w:p w14:paraId="5512354A">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本招标文件适用于</w:t>
      </w:r>
      <w:r>
        <w:rPr>
          <w:rFonts w:hint="eastAsia" w:asciiTheme="minorEastAsia" w:hAnsiTheme="minorEastAsia" w:eastAsiaTheme="minorEastAsia" w:cstheme="minorEastAsia"/>
          <w:sz w:val="24"/>
          <w:szCs w:val="24"/>
          <w:lang w:eastAsia="zh-CN"/>
        </w:rPr>
        <w:t>江苏索普新材料科技有限公司醋酸乙烯及EVA一体化项目（一期工程）</w:t>
      </w:r>
      <w:r>
        <w:rPr>
          <w:rFonts w:hint="eastAsia" w:asciiTheme="minorEastAsia" w:hAnsiTheme="minorEastAsia" w:eastAsiaTheme="minorEastAsia" w:cstheme="minorEastAsia"/>
          <w:sz w:val="24"/>
          <w:szCs w:val="24"/>
          <w:lang w:val="en-US" w:eastAsia="zh-CN"/>
        </w:rPr>
        <w:t>171罐区用呼吸阀及紧急泄放人孔招标采购技术要求</w:t>
      </w:r>
      <w:r>
        <w:rPr>
          <w:rFonts w:hint="eastAsia" w:asciiTheme="minorEastAsia" w:hAnsiTheme="minorEastAsia" w:eastAsiaTheme="minorEastAsia" w:cstheme="minorEastAsia"/>
          <w:sz w:val="24"/>
          <w:szCs w:val="24"/>
          <w:lang w:eastAsia="zh-CN"/>
        </w:rPr>
        <w:t>。</w:t>
      </w:r>
    </w:p>
    <w:p w14:paraId="18F8E5CB">
      <w:pPr>
        <w:keepNext w:val="0"/>
        <w:keepLines w:val="0"/>
        <w:pageBreakBefore w:val="0"/>
        <w:widowControl/>
        <w:numPr>
          <w:ilvl w:val="1"/>
          <w:numId w:val="2"/>
        </w:numPr>
        <w:kinsoku w:val="0"/>
        <w:wordWrap/>
        <w:overflowPunct/>
        <w:topLinePunct w:val="0"/>
        <w:autoSpaceDE w:val="0"/>
        <w:autoSpaceDN w:val="0"/>
        <w:bidi w:val="0"/>
        <w:adjustRightInd w:val="0"/>
        <w:snapToGrid w:val="0"/>
        <w:spacing w:line="420" w:lineRule="exact"/>
        <w:ind w:left="0" w:leftChars="0"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拟采购设备的名称、位号、数量等要求：</w:t>
      </w:r>
    </w:p>
    <w:p w14:paraId="52D5BBA3">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本次招标的设备是呼吸阀及紧急泄放人孔，具体要求详见附件《呼吸阀数据表》及《紧急泄放人孔数据》。</w:t>
      </w:r>
    </w:p>
    <w:p w14:paraId="3984C8D3">
      <w:pPr>
        <w:pStyle w:val="26"/>
        <w:numPr>
          <w:ilvl w:val="0"/>
          <w:numId w:val="0"/>
        </w:numPr>
        <w:tabs>
          <w:tab w:val="left" w:pos="480"/>
          <w:tab w:val="left" w:pos="862"/>
        </w:tabs>
        <w:ind w:firstLine="480" w:firstLineChars="200"/>
        <w:jc w:val="center"/>
        <w:rPr>
          <w:rFonts w:hint="eastAsia" w:ascii="宋体" w:hAnsi="宋体" w:eastAsia="宋体"/>
          <w:kern w:val="2"/>
          <w:sz w:val="24"/>
          <w:szCs w:val="24"/>
          <w:lang w:eastAsia="zh-CN" w:bidi="ar"/>
        </w:rPr>
      </w:pPr>
      <w:r>
        <w:rPr>
          <w:rFonts w:hint="eastAsia" w:ascii="宋体" w:hAnsi="宋体" w:eastAsia="宋体"/>
          <w:kern w:val="2"/>
          <w:sz w:val="24"/>
          <w:szCs w:val="24"/>
          <w:lang w:eastAsia="zh-CN" w:bidi="ar"/>
        </w:rPr>
        <w:t>呼吸阀</w:t>
      </w:r>
      <w:r>
        <w:rPr>
          <w:rFonts w:hint="eastAsia" w:hAnsi="宋体"/>
          <w:kern w:val="2"/>
          <w:sz w:val="24"/>
          <w:szCs w:val="24"/>
          <w:lang w:eastAsia="zh-CN" w:bidi="ar"/>
        </w:rPr>
        <w:t>汇总</w:t>
      </w:r>
    </w:p>
    <w:tbl>
      <w:tblPr>
        <w:tblStyle w:val="1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8"/>
        <w:gridCol w:w="1337"/>
        <w:gridCol w:w="1302"/>
        <w:gridCol w:w="621"/>
        <w:gridCol w:w="994"/>
        <w:gridCol w:w="610"/>
        <w:gridCol w:w="801"/>
        <w:gridCol w:w="688"/>
        <w:gridCol w:w="690"/>
        <w:gridCol w:w="1207"/>
        <w:gridCol w:w="536"/>
      </w:tblGrid>
      <w:tr w14:paraId="20342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3C0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7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C38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位号</w:t>
            </w:r>
          </w:p>
        </w:tc>
        <w:tc>
          <w:tcPr>
            <w:tcW w:w="698" w:type="pct"/>
            <w:vMerge w:val="restart"/>
            <w:tcBorders>
              <w:top w:val="single" w:color="000000" w:sz="4" w:space="0"/>
              <w:left w:val="single" w:color="000000" w:sz="4" w:space="0"/>
              <w:bottom w:val="single" w:color="000000" w:sz="4" w:space="0"/>
              <w:right w:val="nil"/>
            </w:tcBorders>
            <w:shd w:val="clear" w:color="auto" w:fill="auto"/>
            <w:vAlign w:val="center"/>
          </w:tcPr>
          <w:p w14:paraId="0BFAC1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类型</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6AF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设计温度</w:t>
            </w:r>
            <w:r>
              <w:rPr>
                <w:rFonts w:hint="eastAsia" w:ascii="宋体" w:hAnsi="宋体" w:eastAsia="宋体" w:cs="宋体"/>
                <w:i w:val="0"/>
                <w:iCs w:val="0"/>
                <w:snapToGrid w:val="0"/>
                <w:color w:val="000000"/>
                <w:kern w:val="0"/>
                <w:sz w:val="16"/>
                <w:szCs w:val="16"/>
                <w:u w:val="none"/>
                <w:lang w:val="en-US" w:eastAsia="zh-CN" w:bidi="ar"/>
              </w:rPr>
              <w:br w:type="textWrapping"/>
            </w:r>
            <w:r>
              <w:rPr>
                <w:rFonts w:hint="eastAsia" w:ascii="宋体" w:hAnsi="宋体" w:eastAsia="宋体" w:cs="宋体"/>
                <w:i w:val="0"/>
                <w:iCs w:val="0"/>
                <w:snapToGrid w:val="0"/>
                <w:color w:val="000000"/>
                <w:kern w:val="0"/>
                <w:sz w:val="16"/>
                <w:szCs w:val="16"/>
                <w:u w:val="none"/>
                <w:lang w:val="en-US" w:eastAsia="zh-CN" w:bidi="ar"/>
              </w:rPr>
              <w:t>(</w:t>
            </w:r>
            <w:r>
              <w:rPr>
                <w:rFonts w:hint="eastAsia" w:ascii="宋体" w:hAnsi="宋体" w:eastAsia="宋体" w:cs="宋体"/>
                <w:i w:val="0"/>
                <w:iCs w:val="0"/>
                <w:snapToGrid w:val="0"/>
                <w:color w:val="000000"/>
                <w:kern w:val="0"/>
                <w:sz w:val="18"/>
                <w:szCs w:val="18"/>
                <w:u w:val="none"/>
                <w:lang w:val="en-US" w:eastAsia="zh-CN" w:bidi="ar"/>
              </w:rPr>
              <w:t>℃)</w:t>
            </w:r>
          </w:p>
        </w:tc>
        <w:tc>
          <w:tcPr>
            <w:tcW w:w="5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A8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设计压力</w:t>
            </w:r>
            <w:r>
              <w:rPr>
                <w:rFonts w:hint="eastAsia" w:ascii="宋体" w:hAnsi="宋体" w:eastAsia="宋体" w:cs="宋体"/>
                <w:i w:val="0"/>
                <w:iCs w:val="0"/>
                <w:snapToGrid w:val="0"/>
                <w:color w:val="000000"/>
                <w:kern w:val="0"/>
                <w:sz w:val="16"/>
                <w:szCs w:val="16"/>
                <w:u w:val="none"/>
                <w:lang w:val="en-US" w:eastAsia="zh-CN" w:bidi="ar"/>
              </w:rPr>
              <w:br w:type="textWrapping"/>
            </w:r>
            <w:r>
              <w:rPr>
                <w:rFonts w:hint="eastAsia" w:ascii="宋体" w:hAnsi="宋体" w:eastAsia="宋体" w:cs="宋体"/>
                <w:i w:val="0"/>
                <w:iCs w:val="0"/>
                <w:snapToGrid w:val="0"/>
                <w:color w:val="000000"/>
                <w:kern w:val="0"/>
                <w:sz w:val="16"/>
                <w:szCs w:val="16"/>
                <w:u w:val="none"/>
                <w:lang w:val="en-US" w:eastAsia="zh-CN" w:bidi="ar"/>
              </w:rPr>
              <w:t>(</w:t>
            </w:r>
            <w:r>
              <w:rPr>
                <w:rFonts w:hint="eastAsia" w:ascii="宋体" w:hAnsi="宋体" w:eastAsia="宋体" w:cs="宋体"/>
                <w:i w:val="0"/>
                <w:iCs w:val="0"/>
                <w:snapToGrid w:val="0"/>
                <w:color w:val="000000"/>
                <w:kern w:val="0"/>
                <w:sz w:val="18"/>
                <w:szCs w:val="18"/>
                <w:u w:val="none"/>
                <w:lang w:val="en-US" w:eastAsia="zh-CN" w:bidi="ar"/>
              </w:rPr>
              <w:t>kPa)</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B9A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吸入介质</w:t>
            </w:r>
          </w:p>
        </w:tc>
        <w:tc>
          <w:tcPr>
            <w:tcW w:w="4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58B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snapToGrid w:val="0"/>
                <w:color w:val="000000"/>
                <w:kern w:val="0"/>
                <w:sz w:val="16"/>
                <w:szCs w:val="16"/>
                <w:u w:val="none"/>
                <w:lang w:val="en-US" w:eastAsia="zh-CN" w:bidi="ar"/>
              </w:rPr>
              <w:t xml:space="preserve">最大吸入量 </w:t>
            </w:r>
            <w:r>
              <w:rPr>
                <w:rFonts w:hint="eastAsia" w:ascii="宋体" w:hAnsi="宋体" w:eastAsia="宋体" w:cs="宋体"/>
                <w:i w:val="0"/>
                <w:iCs w:val="0"/>
                <w:snapToGrid w:val="0"/>
                <w:color w:val="000000"/>
                <w:kern w:val="0"/>
                <w:sz w:val="14"/>
                <w:szCs w:val="14"/>
                <w:u w:val="none"/>
                <w:lang w:val="en-US" w:eastAsia="zh-CN" w:bidi="ar"/>
              </w:rPr>
              <w:t xml:space="preserve"> </w:t>
            </w:r>
            <w:r>
              <w:rPr>
                <w:rFonts w:hint="eastAsia" w:ascii="宋体" w:hAnsi="宋体" w:eastAsia="宋体" w:cs="宋体"/>
                <w:i w:val="0"/>
                <w:iCs w:val="0"/>
                <w:snapToGrid w:val="0"/>
                <w:color w:val="000000"/>
                <w:kern w:val="0"/>
                <w:sz w:val="14"/>
                <w:szCs w:val="14"/>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(Nm</w:t>
            </w:r>
            <w:r>
              <w:rPr>
                <w:rStyle w:val="29"/>
                <w:snapToGrid w:val="0"/>
                <w:color w:val="000000"/>
                <w:lang w:val="en-US" w:eastAsia="zh-CN" w:bidi="ar"/>
              </w:rPr>
              <w:t>3</w:t>
            </w:r>
            <w:r>
              <w:rPr>
                <w:rFonts w:hint="eastAsia" w:ascii="宋体" w:hAnsi="宋体" w:eastAsia="宋体" w:cs="宋体"/>
                <w:i w:val="0"/>
                <w:iCs w:val="0"/>
                <w:snapToGrid w:val="0"/>
                <w:color w:val="000000"/>
                <w:kern w:val="0"/>
                <w:sz w:val="18"/>
                <w:szCs w:val="18"/>
                <w:u w:val="none"/>
                <w:lang w:val="en-US" w:eastAsia="zh-CN" w:bidi="ar"/>
              </w:rPr>
              <w:t>/h)</w:t>
            </w:r>
          </w:p>
        </w:tc>
        <w:tc>
          <w:tcPr>
            <w:tcW w:w="73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9957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材料</w:t>
            </w:r>
            <w:r>
              <w:rPr>
                <w:rFonts w:hint="eastAsia" w:ascii="宋体" w:hAnsi="宋体" w:eastAsia="宋体" w:cs="宋体"/>
                <w:i w:val="0"/>
                <w:iCs w:val="0"/>
                <w:snapToGrid w:val="0"/>
                <w:color w:val="000000"/>
                <w:kern w:val="0"/>
                <w:sz w:val="16"/>
                <w:szCs w:val="16"/>
                <w:u w:val="none"/>
                <w:lang w:val="en-US" w:eastAsia="zh-CN" w:bidi="ar"/>
              </w:rPr>
              <w:t xml:space="preserve"> </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21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规格及尺寸</w:t>
            </w:r>
          </w:p>
        </w:tc>
        <w:tc>
          <w:tcPr>
            <w:tcW w:w="2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D557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数量</w:t>
            </w:r>
            <w:r>
              <w:rPr>
                <w:rFonts w:hint="eastAsia" w:ascii="宋体" w:hAnsi="宋体" w:eastAsia="宋体" w:cs="宋体"/>
                <w:i w:val="0"/>
                <w:iCs w:val="0"/>
                <w:snapToGrid w:val="0"/>
                <w:color w:val="000000"/>
                <w:kern w:val="0"/>
                <w:sz w:val="16"/>
                <w:szCs w:val="16"/>
                <w:u w:val="none"/>
                <w:lang w:val="en-US" w:eastAsia="zh-CN" w:bidi="ar"/>
              </w:rPr>
              <w:br w:type="textWrapping"/>
            </w:r>
            <w:r>
              <w:rPr>
                <w:rFonts w:hint="eastAsia" w:ascii="宋体" w:hAnsi="宋体" w:eastAsia="宋体" w:cs="宋体"/>
                <w:i w:val="0"/>
                <w:iCs w:val="0"/>
                <w:snapToGrid w:val="0"/>
                <w:color w:val="000000"/>
                <w:kern w:val="0"/>
                <w:sz w:val="16"/>
                <w:szCs w:val="16"/>
                <w:u w:val="none"/>
                <w:lang w:val="en-US" w:eastAsia="zh-CN" w:bidi="ar"/>
              </w:rPr>
              <w:t>(台)</w:t>
            </w:r>
          </w:p>
        </w:tc>
      </w:tr>
      <w:tr w14:paraId="46C89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2750C">
            <w:pPr>
              <w:jc w:val="center"/>
              <w:rPr>
                <w:rFonts w:hint="eastAsia" w:ascii="宋体" w:hAnsi="宋体" w:eastAsia="宋体" w:cs="宋体"/>
                <w:i w:val="0"/>
                <w:iCs w:val="0"/>
                <w:color w:val="000000"/>
                <w:sz w:val="18"/>
                <w:szCs w:val="18"/>
                <w:u w:val="none"/>
              </w:rPr>
            </w:pP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C1AAB">
            <w:pPr>
              <w:jc w:val="center"/>
              <w:rPr>
                <w:rFonts w:hint="eastAsia" w:ascii="宋体" w:hAnsi="宋体" w:eastAsia="宋体" w:cs="宋体"/>
                <w:i w:val="0"/>
                <w:iCs w:val="0"/>
                <w:color w:val="000000"/>
                <w:sz w:val="18"/>
                <w:szCs w:val="18"/>
                <w:u w:val="none"/>
              </w:rPr>
            </w:pPr>
          </w:p>
        </w:tc>
        <w:tc>
          <w:tcPr>
            <w:tcW w:w="698" w:type="pct"/>
            <w:vMerge w:val="continue"/>
            <w:tcBorders>
              <w:top w:val="single" w:color="000000" w:sz="4" w:space="0"/>
              <w:left w:val="single" w:color="000000" w:sz="4" w:space="0"/>
              <w:bottom w:val="single" w:color="000000" w:sz="4" w:space="0"/>
              <w:right w:val="nil"/>
            </w:tcBorders>
            <w:shd w:val="clear" w:color="auto" w:fill="auto"/>
            <w:vAlign w:val="center"/>
          </w:tcPr>
          <w:p w14:paraId="10AE226A">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CAAE5">
            <w:pPr>
              <w:jc w:val="center"/>
              <w:rPr>
                <w:rFonts w:hint="eastAsia" w:ascii="宋体" w:hAnsi="宋体" w:eastAsia="宋体" w:cs="宋体"/>
                <w:i w:val="0"/>
                <w:iCs w:val="0"/>
                <w:color w:val="000000"/>
                <w:sz w:val="18"/>
                <w:szCs w:val="18"/>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C7509">
            <w:pPr>
              <w:jc w:val="center"/>
              <w:rPr>
                <w:rFonts w:hint="eastAsia" w:ascii="宋体" w:hAnsi="宋体" w:eastAsia="宋体" w:cs="宋体"/>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B7C20">
            <w:pPr>
              <w:jc w:val="center"/>
              <w:rPr>
                <w:rFonts w:hint="eastAsia" w:ascii="宋体" w:hAnsi="宋体" w:eastAsia="宋体" w:cs="宋体"/>
                <w:i w:val="0"/>
                <w:iCs w:val="0"/>
                <w:color w:val="000000"/>
                <w:sz w:val="18"/>
                <w:szCs w:val="18"/>
                <w:u w:val="none"/>
              </w:rPr>
            </w:pP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AB75E">
            <w:pPr>
              <w:jc w:val="center"/>
              <w:rPr>
                <w:rFonts w:hint="eastAsia" w:ascii="宋体" w:hAnsi="宋体" w:eastAsia="宋体" w:cs="宋体"/>
                <w:i w:val="0"/>
                <w:iCs w:val="0"/>
                <w:color w:val="000000"/>
                <w:sz w:val="16"/>
                <w:szCs w:val="16"/>
                <w:u w:val="none"/>
              </w:rPr>
            </w:pPr>
          </w:p>
        </w:tc>
        <w:tc>
          <w:tcPr>
            <w:tcW w:w="3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8B4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壳体</w:t>
            </w:r>
          </w:p>
        </w:tc>
        <w:tc>
          <w:tcPr>
            <w:tcW w:w="3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27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阀芯</w:t>
            </w:r>
            <w:r>
              <w:rPr>
                <w:rFonts w:hint="eastAsia" w:ascii="宋体" w:hAnsi="宋体" w:eastAsia="宋体" w:cs="宋体"/>
                <w:i w:val="0"/>
                <w:iCs w:val="0"/>
                <w:snapToGrid w:val="0"/>
                <w:color w:val="000000"/>
                <w:kern w:val="0"/>
                <w:sz w:val="16"/>
                <w:szCs w:val="16"/>
                <w:u w:val="none"/>
                <w:lang w:val="en-US" w:eastAsia="zh-CN" w:bidi="ar"/>
              </w:rPr>
              <w:t xml:space="preserve">  </w:t>
            </w:r>
            <w:r>
              <w:rPr>
                <w:rFonts w:hint="eastAsia" w:ascii="宋体" w:hAnsi="宋体" w:eastAsia="宋体" w:cs="宋体"/>
                <w:i w:val="0"/>
                <w:iCs w:val="0"/>
                <w:snapToGrid w:val="0"/>
                <w:color w:val="000000"/>
                <w:kern w:val="0"/>
                <w:sz w:val="18"/>
                <w:szCs w:val="18"/>
                <w:u w:val="none"/>
                <w:lang w:val="en-US" w:eastAsia="zh-CN" w:bidi="ar"/>
              </w:rPr>
              <w:t xml:space="preserve">   </w:t>
            </w: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AB2D2">
            <w:pPr>
              <w:jc w:val="center"/>
              <w:rPr>
                <w:rFonts w:hint="eastAsia" w:ascii="宋体" w:hAnsi="宋体" w:eastAsia="宋体" w:cs="宋体"/>
                <w:i w:val="0"/>
                <w:iCs w:val="0"/>
                <w:color w:val="000000"/>
                <w:sz w:val="18"/>
                <w:szCs w:val="18"/>
                <w:u w:val="none"/>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A3C7D">
            <w:pPr>
              <w:jc w:val="center"/>
              <w:rPr>
                <w:rFonts w:hint="eastAsia" w:ascii="宋体" w:hAnsi="宋体" w:eastAsia="宋体" w:cs="宋体"/>
                <w:i w:val="0"/>
                <w:iCs w:val="0"/>
                <w:color w:val="000000"/>
                <w:sz w:val="18"/>
                <w:szCs w:val="18"/>
                <w:u w:val="none"/>
              </w:rPr>
            </w:pPr>
          </w:p>
        </w:tc>
      </w:tr>
      <w:tr w14:paraId="032A3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B9C69">
            <w:pPr>
              <w:jc w:val="center"/>
              <w:rPr>
                <w:rFonts w:hint="eastAsia" w:ascii="宋体" w:hAnsi="宋体" w:eastAsia="宋体" w:cs="宋体"/>
                <w:i w:val="0"/>
                <w:iCs w:val="0"/>
                <w:color w:val="000000"/>
                <w:sz w:val="18"/>
                <w:szCs w:val="18"/>
                <w:u w:val="none"/>
              </w:rPr>
            </w:pP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549A5">
            <w:pPr>
              <w:jc w:val="center"/>
              <w:rPr>
                <w:rFonts w:hint="eastAsia" w:ascii="宋体" w:hAnsi="宋体" w:eastAsia="宋体" w:cs="宋体"/>
                <w:i w:val="0"/>
                <w:iCs w:val="0"/>
                <w:color w:val="000000"/>
                <w:sz w:val="18"/>
                <w:szCs w:val="18"/>
                <w:u w:val="none"/>
              </w:rPr>
            </w:pPr>
          </w:p>
        </w:tc>
        <w:tc>
          <w:tcPr>
            <w:tcW w:w="698" w:type="pct"/>
            <w:vMerge w:val="continue"/>
            <w:tcBorders>
              <w:top w:val="single" w:color="000000" w:sz="4" w:space="0"/>
              <w:left w:val="single" w:color="000000" w:sz="4" w:space="0"/>
              <w:bottom w:val="single" w:color="000000" w:sz="4" w:space="0"/>
              <w:right w:val="nil"/>
            </w:tcBorders>
            <w:shd w:val="clear" w:color="auto" w:fill="auto"/>
            <w:vAlign w:val="center"/>
          </w:tcPr>
          <w:p w14:paraId="165C93E9">
            <w:pPr>
              <w:jc w:val="center"/>
              <w:rPr>
                <w:rFonts w:hint="eastAsia" w:ascii="宋体" w:hAnsi="宋体" w:eastAsia="宋体" w:cs="宋体"/>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0058C">
            <w:pPr>
              <w:jc w:val="center"/>
              <w:rPr>
                <w:rFonts w:hint="eastAsia" w:ascii="宋体" w:hAnsi="宋体" w:eastAsia="宋体" w:cs="宋体"/>
                <w:i w:val="0"/>
                <w:iCs w:val="0"/>
                <w:color w:val="000000"/>
                <w:sz w:val="18"/>
                <w:szCs w:val="18"/>
                <w:u w:val="none"/>
              </w:rPr>
            </w:pPr>
          </w:p>
        </w:tc>
        <w:tc>
          <w:tcPr>
            <w:tcW w:w="5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11C0C">
            <w:pPr>
              <w:jc w:val="center"/>
              <w:rPr>
                <w:rFonts w:hint="eastAsia" w:ascii="宋体" w:hAnsi="宋体" w:eastAsia="宋体" w:cs="宋体"/>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B08F3">
            <w:pPr>
              <w:jc w:val="center"/>
              <w:rPr>
                <w:rFonts w:hint="eastAsia" w:ascii="宋体" w:hAnsi="宋体" w:eastAsia="宋体" w:cs="宋体"/>
                <w:i w:val="0"/>
                <w:iCs w:val="0"/>
                <w:color w:val="000000"/>
                <w:sz w:val="18"/>
                <w:szCs w:val="18"/>
                <w:u w:val="none"/>
              </w:rPr>
            </w:pP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E8EC08">
            <w:pPr>
              <w:jc w:val="center"/>
              <w:rPr>
                <w:rFonts w:hint="eastAsia" w:ascii="宋体" w:hAnsi="宋体" w:eastAsia="宋体" w:cs="宋体"/>
                <w:i w:val="0"/>
                <w:iCs w:val="0"/>
                <w:color w:val="000000"/>
                <w:sz w:val="16"/>
                <w:szCs w:val="16"/>
                <w:u w:val="none"/>
              </w:rPr>
            </w:pPr>
          </w:p>
        </w:tc>
        <w:tc>
          <w:tcPr>
            <w:tcW w:w="3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E7666">
            <w:pPr>
              <w:jc w:val="center"/>
              <w:rPr>
                <w:rFonts w:hint="eastAsia" w:ascii="宋体" w:hAnsi="宋体" w:eastAsia="宋体" w:cs="宋体"/>
                <w:i w:val="0"/>
                <w:iCs w:val="0"/>
                <w:color w:val="000000"/>
                <w:sz w:val="18"/>
                <w:szCs w:val="18"/>
                <w:u w:val="none"/>
              </w:rPr>
            </w:pPr>
          </w:p>
        </w:tc>
        <w:tc>
          <w:tcPr>
            <w:tcW w:w="3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340AA">
            <w:pPr>
              <w:jc w:val="center"/>
              <w:rPr>
                <w:rFonts w:hint="eastAsia" w:ascii="宋体" w:hAnsi="宋体" w:eastAsia="宋体" w:cs="宋体"/>
                <w:i w:val="0"/>
                <w:iCs w:val="0"/>
                <w:color w:val="000000"/>
                <w:sz w:val="18"/>
                <w:szCs w:val="18"/>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94C6E">
            <w:pPr>
              <w:jc w:val="center"/>
              <w:rPr>
                <w:rFonts w:hint="eastAsia" w:ascii="宋体" w:hAnsi="宋体" w:eastAsia="宋体" w:cs="宋体"/>
                <w:i w:val="0"/>
                <w:iCs w:val="0"/>
                <w:color w:val="000000"/>
                <w:sz w:val="18"/>
                <w:szCs w:val="18"/>
                <w:u w:val="none"/>
              </w:rPr>
            </w:pPr>
          </w:p>
        </w:tc>
        <w:tc>
          <w:tcPr>
            <w:tcW w:w="2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3920E">
            <w:pPr>
              <w:jc w:val="center"/>
              <w:rPr>
                <w:rFonts w:hint="eastAsia" w:ascii="宋体" w:hAnsi="宋体" w:eastAsia="宋体" w:cs="宋体"/>
                <w:i w:val="0"/>
                <w:iCs w:val="0"/>
                <w:color w:val="000000"/>
                <w:sz w:val="18"/>
                <w:szCs w:val="18"/>
                <w:u w:val="none"/>
              </w:rPr>
            </w:pPr>
          </w:p>
        </w:tc>
      </w:tr>
      <w:tr w14:paraId="2CEE0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7E9B94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717" w:type="pct"/>
            <w:tcBorders>
              <w:top w:val="nil"/>
              <w:left w:val="single" w:color="000000" w:sz="4" w:space="0"/>
              <w:bottom w:val="single" w:color="000000" w:sz="4" w:space="0"/>
              <w:right w:val="single" w:color="000000" w:sz="4" w:space="0"/>
            </w:tcBorders>
            <w:shd w:val="clear" w:color="auto" w:fill="auto"/>
            <w:vAlign w:val="center"/>
          </w:tcPr>
          <w:p w14:paraId="78B55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71-BV-0001AB</w:t>
            </w:r>
          </w:p>
        </w:tc>
        <w:tc>
          <w:tcPr>
            <w:tcW w:w="698" w:type="pct"/>
            <w:tcBorders>
              <w:top w:val="nil"/>
              <w:left w:val="single" w:color="000000" w:sz="4" w:space="0"/>
              <w:bottom w:val="single" w:color="000000" w:sz="4" w:space="0"/>
              <w:right w:val="nil"/>
            </w:tcBorders>
            <w:shd w:val="clear" w:color="auto" w:fill="auto"/>
            <w:vAlign w:val="center"/>
          </w:tcPr>
          <w:p w14:paraId="70BB46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nil"/>
              <w:left w:val="single" w:color="000000" w:sz="4" w:space="0"/>
              <w:bottom w:val="single" w:color="000000" w:sz="4" w:space="0"/>
              <w:right w:val="single" w:color="000000" w:sz="4" w:space="0"/>
            </w:tcBorders>
            <w:shd w:val="clear" w:color="auto" w:fill="auto"/>
            <w:vAlign w:val="center"/>
          </w:tcPr>
          <w:p w14:paraId="56761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nil"/>
              <w:left w:val="nil"/>
              <w:bottom w:val="single" w:color="000000" w:sz="4" w:space="0"/>
              <w:right w:val="single" w:color="000000" w:sz="4" w:space="0"/>
            </w:tcBorders>
            <w:shd w:val="clear" w:color="auto" w:fill="auto"/>
            <w:vAlign w:val="center"/>
          </w:tcPr>
          <w:p w14:paraId="4CCFB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64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2E9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1570</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97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D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6FD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DN300 150LB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38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6ADAD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21561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CE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71-BV-0002AB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44843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D89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760BF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61F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22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1570</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6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F1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35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DN300 150LB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3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06F49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799316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39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71-BV-0004AB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091BF1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5C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04354C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CE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C8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368</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D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1E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40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2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2F899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3D094A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A5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71-BV-0005AB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4E465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032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2400E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EE4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ECB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368</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2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0BE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18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3B9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65CA6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2C2D1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C3B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71-BV-0007AB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5D1491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C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5259FA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E0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0EC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180</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1C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5C3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A9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EAD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60D63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3E1D1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7E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71-BV-0009AB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4F7D1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E2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092E49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5E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D8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820</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EE1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9C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C2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DN250 150LB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E0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48BF4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7469B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03F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71-BV-0010AB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727CCF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7A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49707B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85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F98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820</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37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DD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51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DN250 150LB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F1E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211F5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5D8A87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550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71-BV-0012AB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2B322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7A9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4EA5B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3B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B7A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123</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FE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AEC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02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81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38FD0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37062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9</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270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71-BV-0013AB</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67E16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E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37088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B0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BB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123</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E9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DE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2D8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39F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3EE56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2F988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7B7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71-BV-0015</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089E5D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全天候呼吸阀(带呼出接管)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F4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3A9F1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A8A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空气</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BB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70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58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33D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DN80 150LB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AF0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r>
      <w:tr w14:paraId="59335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1F01CA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9CB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71-BV-0003AB（单呼阀）</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70437B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带呼出接管单呼阀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4AB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525181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D3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088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26A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97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C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C85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5CB51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611E4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12</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DC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71-BV-0006AB（单呼阀）</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150F8E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带呼出接管单呼阀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42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695CC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F25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E9A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466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4C2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2BE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DN80 150LB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87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562AA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23688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13</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83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71-BV-0008（单呼阀）</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72F0F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带呼出接管单呼阀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7E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11326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FA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C5D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26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317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304</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A3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DN80 150LB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4F5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r>
      <w:tr w14:paraId="43689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3A425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14</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467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71-BV-0011AB（单呼阀）</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659E6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带呼出接管单呼阀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F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2A7337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44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A95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E7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04F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0E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DN100 150LB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AA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02816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218CE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15</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74A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71-BV-0014AB（单呼阀）</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22C569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带呼出接管单呼阀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00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4B788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FC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3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6B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2FF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DD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DN80 150LB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BC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5A029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83" w:type="pct"/>
            <w:tcBorders>
              <w:top w:val="nil"/>
              <w:left w:val="single" w:color="000000" w:sz="4" w:space="0"/>
              <w:bottom w:val="single" w:color="000000" w:sz="4" w:space="0"/>
              <w:right w:val="single" w:color="000000" w:sz="4" w:space="0"/>
            </w:tcBorders>
            <w:shd w:val="clear" w:color="auto" w:fill="auto"/>
            <w:vAlign w:val="center"/>
          </w:tcPr>
          <w:p w14:paraId="61A9D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16</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98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71-BV-0016（单呼阀）</w:t>
            </w:r>
          </w:p>
        </w:tc>
        <w:tc>
          <w:tcPr>
            <w:tcW w:w="698" w:type="pct"/>
            <w:tcBorders>
              <w:top w:val="single" w:color="000000" w:sz="4" w:space="0"/>
              <w:left w:val="single" w:color="000000" w:sz="4" w:space="0"/>
              <w:bottom w:val="single" w:color="000000" w:sz="4" w:space="0"/>
              <w:right w:val="nil"/>
            </w:tcBorders>
            <w:shd w:val="clear" w:color="auto" w:fill="auto"/>
            <w:vAlign w:val="center"/>
          </w:tcPr>
          <w:p w14:paraId="0A23C9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带呼出接管单呼阀</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04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33" w:type="pct"/>
            <w:tcBorders>
              <w:top w:val="single" w:color="000000" w:sz="4" w:space="0"/>
              <w:left w:val="nil"/>
              <w:bottom w:val="single" w:color="000000" w:sz="4" w:space="0"/>
              <w:right w:val="single" w:color="000000" w:sz="4" w:space="0"/>
            </w:tcBorders>
            <w:shd w:val="clear" w:color="auto" w:fill="auto"/>
            <w:vAlign w:val="center"/>
          </w:tcPr>
          <w:p w14:paraId="1A245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6/-0.49</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C2B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F38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C72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141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316L</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DE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DN50 150LB WN/RF</w:t>
            </w:r>
          </w:p>
        </w:tc>
        <w:tc>
          <w:tcPr>
            <w:tcW w:w="2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3BC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r>
    </w:tbl>
    <w:p w14:paraId="3E7F4EF8">
      <w:pPr>
        <w:pStyle w:val="26"/>
        <w:numPr>
          <w:ilvl w:val="0"/>
          <w:numId w:val="0"/>
        </w:numPr>
        <w:tabs>
          <w:tab w:val="left" w:pos="480"/>
          <w:tab w:val="left" w:pos="862"/>
        </w:tabs>
        <w:jc w:val="both"/>
        <w:rPr>
          <w:rFonts w:hint="eastAsia" w:ascii="宋体" w:hAnsi="宋体" w:eastAsia="宋体"/>
          <w:kern w:val="2"/>
          <w:sz w:val="18"/>
          <w:szCs w:val="18"/>
          <w:lang w:eastAsia="zh-CN" w:bidi="ar"/>
        </w:rPr>
      </w:pPr>
      <w:r>
        <w:rPr>
          <w:rFonts w:hint="eastAsia" w:hAnsi="宋体"/>
          <w:kern w:val="2"/>
          <w:sz w:val="18"/>
          <w:szCs w:val="18"/>
          <w:lang w:eastAsia="zh-CN" w:bidi="ar"/>
        </w:rPr>
        <w:t>注：全天候呼吸阀为一体式阻火呼吸阀，单呼阀为不带阻火器单呼阀。</w:t>
      </w:r>
    </w:p>
    <w:p w14:paraId="3A2F8F1E">
      <w:pPr>
        <w:pStyle w:val="26"/>
        <w:numPr>
          <w:ilvl w:val="0"/>
          <w:numId w:val="0"/>
        </w:numPr>
        <w:tabs>
          <w:tab w:val="left" w:pos="480"/>
          <w:tab w:val="left" w:pos="862"/>
        </w:tabs>
        <w:ind w:firstLine="480" w:firstLineChars="200"/>
        <w:jc w:val="center"/>
        <w:rPr>
          <w:rFonts w:hint="eastAsia" w:hAnsi="宋体"/>
          <w:kern w:val="2"/>
          <w:sz w:val="24"/>
          <w:szCs w:val="24"/>
          <w:lang w:eastAsia="zh-CN" w:bidi="ar"/>
        </w:rPr>
      </w:pPr>
      <w:r>
        <w:rPr>
          <w:rFonts w:hint="eastAsia" w:ascii="宋体" w:hAnsi="宋体" w:eastAsia="宋体"/>
          <w:kern w:val="2"/>
          <w:sz w:val="24"/>
          <w:szCs w:val="24"/>
          <w:lang w:eastAsia="zh-CN" w:bidi="ar"/>
        </w:rPr>
        <w:t>紧急泄放人孔</w:t>
      </w:r>
      <w:r>
        <w:rPr>
          <w:rFonts w:hint="eastAsia" w:hAnsi="宋体"/>
          <w:kern w:val="2"/>
          <w:sz w:val="24"/>
          <w:szCs w:val="24"/>
          <w:lang w:eastAsia="zh-CN" w:bidi="ar"/>
        </w:rPr>
        <w:t>汇总</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88"/>
        <w:gridCol w:w="1339"/>
        <w:gridCol w:w="1175"/>
        <w:gridCol w:w="1073"/>
        <w:gridCol w:w="659"/>
        <w:gridCol w:w="1091"/>
        <w:gridCol w:w="805"/>
        <w:gridCol w:w="763"/>
        <w:gridCol w:w="1466"/>
        <w:gridCol w:w="562"/>
      </w:tblGrid>
      <w:tr w14:paraId="08AE1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066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r>
              <w:rPr>
                <w:rFonts w:hint="default" w:ascii="Times New Roman" w:hAnsi="Times New Roman" w:eastAsia="宋体" w:cs="Times New Roman"/>
                <w:i w:val="0"/>
                <w:iCs w:val="0"/>
                <w:snapToGrid w:val="0"/>
                <w:color w:val="000000"/>
                <w:kern w:val="0"/>
                <w:sz w:val="18"/>
                <w:szCs w:val="18"/>
                <w:u w:val="none"/>
                <w:lang w:val="en-US" w:eastAsia="zh-CN" w:bidi="ar"/>
              </w:rPr>
              <w:t xml:space="preserve">  </w:t>
            </w:r>
          </w:p>
        </w:tc>
        <w:tc>
          <w:tcPr>
            <w:tcW w:w="7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347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位号</w:t>
            </w:r>
          </w:p>
        </w:tc>
        <w:tc>
          <w:tcPr>
            <w:tcW w:w="6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00C8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名</w:t>
            </w:r>
            <w:r>
              <w:rPr>
                <w:rFonts w:hint="default" w:ascii="Times New Roman" w:hAnsi="Times New Roman" w:eastAsia="宋体" w:cs="Times New Roman"/>
                <w:i w:val="0"/>
                <w:iCs w:val="0"/>
                <w:snapToGrid w:val="0"/>
                <w:color w:val="000000"/>
                <w:kern w:val="0"/>
                <w:sz w:val="18"/>
                <w:szCs w:val="18"/>
                <w:u w:val="none"/>
                <w:lang w:val="en-US" w:eastAsia="zh-CN" w:bidi="ar"/>
              </w:rPr>
              <w:t xml:space="preserve">   </w:t>
            </w:r>
            <w:r>
              <w:rPr>
                <w:rFonts w:hint="eastAsia" w:ascii="宋体" w:hAnsi="宋体" w:eastAsia="宋体" w:cs="宋体"/>
                <w:i w:val="0"/>
                <w:iCs w:val="0"/>
                <w:snapToGrid w:val="0"/>
                <w:color w:val="000000"/>
                <w:kern w:val="0"/>
                <w:sz w:val="18"/>
                <w:szCs w:val="18"/>
                <w:u w:val="none"/>
                <w:lang w:val="en-US" w:eastAsia="zh-CN" w:bidi="ar"/>
              </w:rPr>
              <w:t>称</w:t>
            </w:r>
            <w:r>
              <w:rPr>
                <w:rFonts w:hint="default" w:ascii="Times New Roman" w:hAnsi="Times New Roman" w:eastAsia="宋体" w:cs="Times New Roman"/>
                <w:i w:val="0"/>
                <w:iCs w:val="0"/>
                <w:snapToGrid w:val="0"/>
                <w:color w:val="000000"/>
                <w:kern w:val="0"/>
                <w:sz w:val="18"/>
                <w:szCs w:val="18"/>
                <w:u w:val="none"/>
                <w:lang w:val="en-US" w:eastAsia="zh-CN" w:bidi="ar"/>
              </w:rPr>
              <w:t xml:space="preserve">                                          </w:t>
            </w:r>
          </w:p>
        </w:tc>
        <w:tc>
          <w:tcPr>
            <w:tcW w:w="5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B9E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设计压力</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（kPa）</w:t>
            </w:r>
          </w:p>
        </w:tc>
        <w:tc>
          <w:tcPr>
            <w:tcW w:w="3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B81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设计温度</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6"/>
                <w:szCs w:val="16"/>
                <w:u w:val="none"/>
                <w:lang w:val="en-US" w:eastAsia="zh-CN" w:bidi="ar"/>
              </w:rPr>
              <w:t>(</w:t>
            </w:r>
            <w:r>
              <w:rPr>
                <w:rFonts w:hint="eastAsia" w:ascii="宋体" w:hAnsi="宋体" w:eastAsia="宋体" w:cs="宋体"/>
                <w:i w:val="0"/>
                <w:iCs w:val="0"/>
                <w:snapToGrid w:val="0"/>
                <w:color w:val="000000"/>
                <w:kern w:val="0"/>
                <w:sz w:val="18"/>
                <w:szCs w:val="18"/>
                <w:u w:val="none"/>
                <w:lang w:val="en-US" w:eastAsia="zh-CN" w:bidi="ar"/>
              </w:rPr>
              <w:t>℃)</w:t>
            </w:r>
          </w:p>
        </w:tc>
        <w:tc>
          <w:tcPr>
            <w:tcW w:w="5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EC0C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最大泄放量</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（Nm3/hr）</w:t>
            </w:r>
          </w:p>
        </w:tc>
        <w:tc>
          <w:tcPr>
            <w:tcW w:w="8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4E3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材料</w:t>
            </w:r>
          </w:p>
        </w:tc>
        <w:tc>
          <w:tcPr>
            <w:tcW w:w="7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30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规格及尺寸   </w:t>
            </w:r>
          </w:p>
        </w:tc>
        <w:tc>
          <w:tcPr>
            <w:tcW w:w="3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34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数量(台)                                          </w:t>
            </w:r>
          </w:p>
        </w:tc>
      </w:tr>
      <w:tr w14:paraId="3B8AD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5CCDF">
            <w:pPr>
              <w:jc w:val="center"/>
              <w:rPr>
                <w:rFonts w:hint="eastAsia" w:ascii="宋体" w:hAnsi="宋体" w:eastAsia="宋体" w:cs="宋体"/>
                <w:i w:val="0"/>
                <w:iCs w:val="0"/>
                <w:color w:val="000000"/>
                <w:sz w:val="18"/>
                <w:szCs w:val="18"/>
                <w:u w:val="none"/>
              </w:rPr>
            </w:pPr>
          </w:p>
        </w:tc>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5974B">
            <w:pPr>
              <w:jc w:val="center"/>
              <w:rPr>
                <w:rFonts w:hint="eastAsia" w:ascii="宋体" w:hAnsi="宋体" w:eastAsia="宋体" w:cs="宋体"/>
                <w:i w:val="0"/>
                <w:iCs w:val="0"/>
                <w:color w:val="000000"/>
                <w:sz w:val="18"/>
                <w:szCs w:val="18"/>
                <w:u w:val="none"/>
              </w:rPr>
            </w:pPr>
          </w:p>
        </w:tc>
        <w:tc>
          <w:tcPr>
            <w:tcW w:w="6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E3C90">
            <w:pPr>
              <w:jc w:val="center"/>
              <w:rPr>
                <w:rFonts w:hint="eastAsia" w:ascii="宋体" w:hAnsi="宋体" w:eastAsia="宋体" w:cs="宋体"/>
                <w:i w:val="0"/>
                <w:iCs w:val="0"/>
                <w:color w:val="000000"/>
                <w:sz w:val="18"/>
                <w:szCs w:val="18"/>
                <w:u w:val="none"/>
              </w:rPr>
            </w:pPr>
          </w:p>
        </w:tc>
        <w:tc>
          <w:tcPr>
            <w:tcW w:w="5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BD287">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F43A5">
            <w:pPr>
              <w:jc w:val="center"/>
              <w:rPr>
                <w:rFonts w:hint="eastAsia" w:ascii="宋体" w:hAnsi="宋体" w:eastAsia="宋体" w:cs="宋体"/>
                <w:i w:val="0"/>
                <w:iCs w:val="0"/>
                <w:color w:val="000000"/>
                <w:sz w:val="18"/>
                <w:szCs w:val="18"/>
                <w:u w:val="none"/>
              </w:rPr>
            </w:pPr>
          </w:p>
        </w:tc>
        <w:tc>
          <w:tcPr>
            <w:tcW w:w="5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DEDF2">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D9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壳体</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1FB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阀芯</w:t>
            </w:r>
          </w:p>
        </w:tc>
        <w:tc>
          <w:tcPr>
            <w:tcW w:w="7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A36AF">
            <w:pPr>
              <w:jc w:val="center"/>
              <w:rPr>
                <w:rFonts w:hint="eastAsia" w:ascii="宋体" w:hAnsi="宋体" w:eastAsia="宋体" w:cs="宋体"/>
                <w:i w:val="0"/>
                <w:iCs w:val="0"/>
                <w:color w:val="000000"/>
                <w:sz w:val="18"/>
                <w:szCs w:val="18"/>
                <w:u w:val="none"/>
              </w:rPr>
            </w:pPr>
          </w:p>
        </w:tc>
        <w:tc>
          <w:tcPr>
            <w:tcW w:w="3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9BE48">
            <w:pPr>
              <w:jc w:val="center"/>
              <w:rPr>
                <w:rFonts w:hint="eastAsia" w:ascii="宋体" w:hAnsi="宋体" w:eastAsia="宋体" w:cs="宋体"/>
                <w:i w:val="0"/>
                <w:iCs w:val="0"/>
                <w:color w:val="000000"/>
                <w:sz w:val="18"/>
                <w:szCs w:val="18"/>
                <w:u w:val="none"/>
              </w:rPr>
            </w:pPr>
          </w:p>
        </w:tc>
      </w:tr>
      <w:tr w14:paraId="524A6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9C5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01F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71-EM-0001A/B</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444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紧急泄放人孔</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64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-0.49/6.0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E2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CE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3894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9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S30408</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0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S30408</w:t>
            </w:r>
          </w:p>
        </w:tc>
        <w:tc>
          <w:tcPr>
            <w:tcW w:w="7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60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DN500 150lb WN/RF</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9D8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2C388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2DE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3C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71-EM-0002A/B</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F8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紧急泄放人孔</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1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-0.49/6.0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00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65A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1174</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1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S30408</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A9F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S30408</w:t>
            </w:r>
          </w:p>
        </w:tc>
        <w:tc>
          <w:tcPr>
            <w:tcW w:w="7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E7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DN500 150lb WN/RF</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C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22F7E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2B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9A7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71-EM-0003</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FB6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紧急泄放人孔</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9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-0.49/6.0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D6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70</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D8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1962</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27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S30408</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0CA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S30408</w:t>
            </w:r>
          </w:p>
        </w:tc>
        <w:tc>
          <w:tcPr>
            <w:tcW w:w="7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E21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DN500 150lb WN/RF</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F1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r>
      <w:tr w14:paraId="4387A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3A3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4</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3B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71-EM-0004A/B</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09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紧急泄放人孔</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0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-0.49/6.0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DD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53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3519</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772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S31603</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17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S31603</w:t>
            </w:r>
          </w:p>
        </w:tc>
        <w:tc>
          <w:tcPr>
            <w:tcW w:w="7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4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DN500 150lb WN/RF</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B43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r w14:paraId="2BACA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2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8EE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5</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73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71-EM-0005A/B</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E5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紧急泄放人孔</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33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-0.49/6.0</w:t>
            </w:r>
          </w:p>
        </w:tc>
        <w:tc>
          <w:tcPr>
            <w:tcW w:w="3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77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85</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4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1915</w:t>
            </w:r>
          </w:p>
        </w:tc>
        <w:tc>
          <w:tcPr>
            <w:tcW w:w="4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0F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S31603</w:t>
            </w:r>
          </w:p>
        </w:tc>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4B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S31603</w:t>
            </w:r>
          </w:p>
        </w:tc>
        <w:tc>
          <w:tcPr>
            <w:tcW w:w="7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9F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DN500 150lb WN/RF</w:t>
            </w:r>
          </w:p>
        </w:tc>
        <w:tc>
          <w:tcPr>
            <w:tcW w:w="3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ED0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2</w:t>
            </w:r>
          </w:p>
        </w:tc>
      </w:tr>
    </w:tbl>
    <w:p w14:paraId="10FCCFF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20" w:lineRule="exact"/>
        <w:ind w:leftChars="200"/>
        <w:textAlignment w:val="baseline"/>
        <w:rPr>
          <w:rFonts w:hint="eastAsia" w:asciiTheme="minorEastAsia" w:hAnsiTheme="minorEastAsia" w:eastAsiaTheme="minorEastAsia" w:cstheme="minorEastAsia"/>
          <w:sz w:val="24"/>
          <w:szCs w:val="24"/>
          <w:lang w:eastAsia="zh-CN"/>
        </w:rPr>
      </w:pPr>
    </w:p>
    <w:p w14:paraId="6F49A3C4">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本采购技术说明书（含所有附件，下同）仅适用于江苏索普新材料</w:t>
      </w:r>
      <w:r>
        <w:rPr>
          <w:rFonts w:hint="eastAsia" w:asciiTheme="minorEastAsia" w:hAnsiTheme="minorEastAsia" w:eastAsiaTheme="minorEastAsia" w:cstheme="minorEastAsia"/>
          <w:sz w:val="24"/>
          <w:szCs w:val="24"/>
          <w:lang w:eastAsia="zh-CN"/>
        </w:rPr>
        <w:t>科技</w:t>
      </w:r>
      <w:r>
        <w:rPr>
          <w:rFonts w:hint="eastAsia" w:asciiTheme="minorEastAsia" w:hAnsiTheme="minorEastAsia" w:eastAsiaTheme="minorEastAsia" w:cstheme="minorEastAsia"/>
          <w:sz w:val="24"/>
          <w:szCs w:val="24"/>
        </w:rPr>
        <w:t>有限公司醋酸乙烯及EVA一体化项目（一期工程）171罐区全天候一体式阻火呼吸阀、不带阻火器单呼阀、紧急泄放人孔三类</w:t>
      </w:r>
      <w:r>
        <w:rPr>
          <w:rFonts w:hint="eastAsia" w:asciiTheme="minorEastAsia" w:hAnsiTheme="minorEastAsia" w:eastAsiaTheme="minorEastAsia" w:cstheme="minorEastAsia"/>
          <w:sz w:val="24"/>
          <w:szCs w:val="24"/>
          <w:lang w:val="en-US" w:eastAsia="zh-CN"/>
        </w:rPr>
        <w:t>设备的设计、制造、采购、检验、包装、运输、现场技术服务、质保维保等全流程要求</w:t>
      </w:r>
      <w:r>
        <w:rPr>
          <w:rFonts w:hint="eastAsia" w:asciiTheme="minorEastAsia" w:hAnsiTheme="minorEastAsia" w:eastAsiaTheme="minorEastAsia" w:cstheme="minorEastAsia"/>
          <w:sz w:val="24"/>
          <w:szCs w:val="24"/>
        </w:rPr>
        <w:t>。</w:t>
      </w:r>
    </w:p>
    <w:p w14:paraId="61611B40">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本采购技术说明书提出的是最低限度的技术要求，并未对全部技术细节作出规定，也未充分引述有关规定和规范条文，</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所供全部设备需为全新原厂正品，符合本规范、国家及行业现行标准，满足项目储罐工艺运行、安全防护、防火防爆等核心需求，各项性能指标不得低于本规范约定标准。</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对所供整套设备（包括分供货商的产品）负有全责。</w:t>
      </w:r>
    </w:p>
    <w:p w14:paraId="25E58F0E">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应认真研读本技术说明书的要求，并</w:t>
      </w:r>
      <w:r>
        <w:rPr>
          <w:rFonts w:hint="eastAsia" w:asciiTheme="minorEastAsia" w:hAnsiTheme="minorEastAsia" w:eastAsiaTheme="minorEastAsia" w:cstheme="minorEastAsia"/>
          <w:sz w:val="24"/>
          <w:szCs w:val="24"/>
          <w:lang w:eastAsia="zh-CN"/>
        </w:rPr>
        <w:t>以此</w:t>
      </w:r>
      <w:r>
        <w:rPr>
          <w:rFonts w:hint="eastAsia" w:asciiTheme="minorEastAsia" w:hAnsiTheme="minorEastAsia" w:eastAsiaTheme="minorEastAsia" w:cstheme="minorEastAsia"/>
          <w:sz w:val="24"/>
          <w:szCs w:val="24"/>
        </w:rPr>
        <w:t>有针对性地编制投标文件，</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应在投标文件中承诺所提供的设备完全符合本技术说明书的要求。如对本技术说明书存在疑义，应及时以正式文件（有盖章及签署）的形式向</w:t>
      </w:r>
      <w:r>
        <w:rPr>
          <w:rFonts w:hint="eastAsia" w:asciiTheme="minorEastAsia" w:hAnsiTheme="minorEastAsia" w:eastAsiaTheme="minorEastAsia" w:cstheme="minorEastAsia"/>
          <w:sz w:val="24"/>
          <w:szCs w:val="24"/>
          <w:lang w:eastAsia="zh-CN"/>
        </w:rPr>
        <w:t>招标方</w:t>
      </w:r>
      <w:r>
        <w:rPr>
          <w:rFonts w:hint="eastAsia" w:asciiTheme="minorEastAsia" w:hAnsiTheme="minorEastAsia" w:eastAsiaTheme="minorEastAsia" w:cstheme="minorEastAsia"/>
          <w:sz w:val="24"/>
          <w:szCs w:val="24"/>
        </w:rPr>
        <w:t>提出澄清。</w:t>
      </w:r>
    </w:p>
    <w:p w14:paraId="2FA4FEC5">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无论是否存在技术偏离，</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均应在投标文件中提供偏离表（如无偏离，则可在偏离表中注明“无偏离”），</w:t>
      </w:r>
      <w:r>
        <w:rPr>
          <w:rFonts w:hint="eastAsia" w:asciiTheme="minorEastAsia" w:hAnsiTheme="minorEastAsia" w:eastAsiaTheme="minorEastAsia" w:cstheme="minorEastAsia"/>
          <w:sz w:val="24"/>
          <w:szCs w:val="24"/>
          <w:lang w:eastAsia="zh-CN"/>
        </w:rPr>
        <w:t>招标方</w:t>
      </w:r>
      <w:r>
        <w:rPr>
          <w:rFonts w:hint="eastAsia" w:asciiTheme="minorEastAsia" w:hAnsiTheme="minorEastAsia" w:eastAsiaTheme="minorEastAsia" w:cstheme="minorEastAsia"/>
          <w:sz w:val="24"/>
          <w:szCs w:val="24"/>
        </w:rPr>
        <w:t>不负责识别除偏离表以外的任何偏离。</w:t>
      </w:r>
    </w:p>
    <w:p w14:paraId="1EB02964">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在制造过程中的任何变更均应以书面形式提前告知</w:t>
      </w:r>
      <w:r>
        <w:rPr>
          <w:rFonts w:hint="eastAsia" w:asciiTheme="minorEastAsia" w:hAnsiTheme="minorEastAsia" w:eastAsiaTheme="minorEastAsia" w:cstheme="minorEastAsia"/>
          <w:sz w:val="24"/>
          <w:szCs w:val="24"/>
          <w:lang w:eastAsia="zh-CN"/>
        </w:rPr>
        <w:t>招标方</w:t>
      </w:r>
      <w:r>
        <w:rPr>
          <w:rFonts w:hint="eastAsia" w:asciiTheme="minorEastAsia" w:hAnsiTheme="minorEastAsia" w:eastAsiaTheme="minorEastAsia" w:cstheme="minorEastAsia"/>
          <w:sz w:val="24"/>
          <w:szCs w:val="24"/>
        </w:rPr>
        <w:t>，待</w:t>
      </w:r>
      <w:r>
        <w:rPr>
          <w:rFonts w:hint="eastAsia" w:asciiTheme="minorEastAsia" w:hAnsiTheme="minorEastAsia" w:eastAsiaTheme="minorEastAsia" w:cstheme="minorEastAsia"/>
          <w:sz w:val="24"/>
          <w:szCs w:val="24"/>
          <w:lang w:eastAsia="zh-CN"/>
        </w:rPr>
        <w:t>招标方</w:t>
      </w:r>
      <w:r>
        <w:rPr>
          <w:rFonts w:hint="eastAsia" w:asciiTheme="minorEastAsia" w:hAnsiTheme="minorEastAsia" w:eastAsiaTheme="minorEastAsia" w:cstheme="minorEastAsia"/>
          <w:sz w:val="24"/>
          <w:szCs w:val="24"/>
        </w:rPr>
        <w:t>书面答复，方可按</w:t>
      </w:r>
      <w:r>
        <w:rPr>
          <w:rFonts w:hint="eastAsia" w:asciiTheme="minorEastAsia" w:hAnsiTheme="minorEastAsia" w:eastAsiaTheme="minorEastAsia" w:cstheme="minorEastAsia"/>
          <w:sz w:val="24"/>
          <w:szCs w:val="24"/>
          <w:lang w:eastAsia="zh-CN"/>
        </w:rPr>
        <w:t>招标方</w:t>
      </w:r>
      <w:r>
        <w:rPr>
          <w:rFonts w:hint="eastAsia" w:asciiTheme="minorEastAsia" w:hAnsiTheme="minorEastAsia" w:eastAsiaTheme="minorEastAsia" w:cstheme="minorEastAsia"/>
          <w:sz w:val="24"/>
          <w:szCs w:val="24"/>
        </w:rPr>
        <w:t>的答复意见执行。</w:t>
      </w:r>
    </w:p>
    <w:p w14:paraId="6A7504E3">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招标方</w:t>
      </w:r>
      <w:r>
        <w:rPr>
          <w:rFonts w:hint="eastAsia" w:asciiTheme="minorEastAsia" w:hAnsiTheme="minorEastAsia" w:eastAsiaTheme="minorEastAsia" w:cstheme="minorEastAsia"/>
          <w:sz w:val="24"/>
          <w:szCs w:val="24"/>
        </w:rPr>
        <w:t>对</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提供的所有文件的审核并不减轻或取消</w:t>
      </w:r>
      <w:r>
        <w:rPr>
          <w:rFonts w:hint="eastAsia" w:asciiTheme="minorEastAsia" w:hAnsiTheme="minorEastAsia" w:eastAsiaTheme="minorEastAsia" w:cstheme="minorEastAsia"/>
          <w:sz w:val="24"/>
          <w:szCs w:val="24"/>
          <w:lang w:eastAsia="zh-CN"/>
        </w:rPr>
        <w:t>投标方</w:t>
      </w:r>
      <w:r>
        <w:rPr>
          <w:rFonts w:hint="eastAsia" w:asciiTheme="minorEastAsia" w:hAnsiTheme="minorEastAsia" w:eastAsiaTheme="minorEastAsia" w:cstheme="minorEastAsia"/>
          <w:sz w:val="24"/>
          <w:szCs w:val="24"/>
        </w:rPr>
        <w:t>对所供设备应尽的责任、保证或其他义务。</w:t>
      </w:r>
    </w:p>
    <w:p w14:paraId="71B18BEC">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所有技术文件、资料、图纸等均应采用中文或中英文对照（以中文为准）编制，计量单位采用国际单位（SI制）。</w:t>
      </w:r>
    </w:p>
    <w:p w14:paraId="1DA432F8">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当出现矛盾时，应依据下列文件的排序判定最终的效力。</w:t>
      </w:r>
    </w:p>
    <w:p w14:paraId="0A05535B">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（1）采购合同；（2）技术协议（包括会议纪要、传真等）；（3）澄清文件；</w:t>
      </w:r>
    </w:p>
    <w:p w14:paraId="4AB59E25">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（4）招标方的招标文件；（5）投标方的投标文件。</w:t>
      </w:r>
    </w:p>
    <w:p w14:paraId="1377C7F8">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1.10</w:t>
      </w:r>
      <w:r>
        <w:rPr>
          <w:rFonts w:hint="eastAsia" w:asciiTheme="minorEastAsia" w:hAnsiTheme="minorEastAsia" w:eastAsiaTheme="minorEastAsia" w:cstheme="minorEastAsia"/>
          <w:sz w:val="24"/>
          <w:szCs w:val="24"/>
          <w:lang w:val="en-US" w:eastAsia="zh-CN"/>
        </w:rPr>
        <w:t xml:space="preserve"> 投标</w:t>
      </w:r>
      <w:r>
        <w:rPr>
          <w:rFonts w:hint="eastAsia" w:asciiTheme="minorEastAsia" w:hAnsiTheme="minorEastAsia" w:eastAsiaTheme="minorEastAsia" w:cstheme="minorEastAsia"/>
          <w:sz w:val="24"/>
          <w:szCs w:val="24"/>
          <w:lang w:eastAsia="zh-CN"/>
        </w:rPr>
        <w:t>方应对本</w:t>
      </w:r>
      <w:r>
        <w:rPr>
          <w:rFonts w:hint="eastAsia" w:asciiTheme="minorEastAsia" w:hAnsiTheme="minorEastAsia" w:eastAsiaTheme="minorEastAsia" w:cstheme="minorEastAsia"/>
          <w:sz w:val="24"/>
          <w:szCs w:val="24"/>
          <w:lang w:val="en-US" w:eastAsia="zh-CN"/>
        </w:rPr>
        <w:t>招标方提供的图纸和</w:t>
      </w: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lang w:val="en-US" w:eastAsia="zh-CN"/>
        </w:rPr>
        <w:t>文件</w:t>
      </w:r>
      <w:r>
        <w:rPr>
          <w:rFonts w:hint="eastAsia" w:asciiTheme="minorEastAsia" w:hAnsiTheme="minorEastAsia" w:eastAsiaTheme="minorEastAsia" w:cstheme="minorEastAsia"/>
          <w:sz w:val="24"/>
          <w:szCs w:val="24"/>
          <w:lang w:eastAsia="zh-CN"/>
        </w:rPr>
        <w:t>中的所有内容进行保密，不得以任何方式泄露给第三方。</w:t>
      </w:r>
    </w:p>
    <w:p w14:paraId="78FC4203">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auto"/>
          <w:sz w:val="24"/>
          <w:szCs w:val="24"/>
          <w:lang w:eastAsia="zh-CN"/>
        </w:rPr>
        <w:t>1.11</w:t>
      </w:r>
      <w:r>
        <w:rPr>
          <w:rFonts w:hint="eastAsia" w:asciiTheme="minorEastAsia" w:hAnsiTheme="minorEastAsia" w:eastAsiaTheme="minorEastAsia" w:cstheme="minorEastAsia"/>
          <w:color w:val="FF0000"/>
          <w:sz w:val="24"/>
          <w:szCs w:val="24"/>
          <w:lang w:val="en-US" w:eastAsia="zh-CN"/>
        </w:rPr>
        <w:t xml:space="preserve"> </w:t>
      </w:r>
      <w:r>
        <w:rPr>
          <w:rFonts w:hint="eastAsia" w:asciiTheme="minorEastAsia" w:hAnsiTheme="minorEastAsia" w:eastAsiaTheme="minorEastAsia" w:cstheme="minorEastAsia"/>
          <w:sz w:val="24"/>
          <w:szCs w:val="24"/>
          <w:lang w:eastAsia="zh-CN"/>
        </w:rPr>
        <w:t>投标方应具有ISO9001等质量体系认证证书，建有全面的质量保证体系，并且有效运行、能够保证对合同产品的施工质量并对产品质量负责。</w:t>
      </w:r>
    </w:p>
    <w:p w14:paraId="419DC68F">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p>
    <w:p w14:paraId="653B71BC">
      <w:pPr>
        <w:keepNext w:val="0"/>
        <w:keepLines w:val="0"/>
        <w:pageBreakBefore w:val="0"/>
        <w:widowControl/>
        <w:kinsoku w:val="0"/>
        <w:wordWrap/>
        <w:overflowPunct/>
        <w:topLinePunct w:val="0"/>
        <w:autoSpaceDE w:val="0"/>
        <w:autoSpaceDN w:val="0"/>
        <w:bidi w:val="0"/>
        <w:adjustRightInd w:val="0"/>
        <w:snapToGrid w:val="0"/>
        <w:spacing w:line="420" w:lineRule="exact"/>
        <w:textAlignment w:val="baseline"/>
        <w:rPr>
          <w:rFonts w:hint="eastAsia" w:asciiTheme="minorEastAsia" w:hAnsiTheme="minorEastAsia" w:eastAsiaTheme="minorEastAsia" w:cstheme="minorEastAsia"/>
          <w:b/>
          <w:bCs/>
          <w:sz w:val="28"/>
          <w:szCs w:val="28"/>
          <w:lang w:eastAsia="zh-CN"/>
        </w:rPr>
      </w:pPr>
      <w:bookmarkStart w:id="1" w:name="bookmark2"/>
      <w:bookmarkEnd w:id="1"/>
      <w:bookmarkStart w:id="2" w:name="_Toc22041"/>
      <w:r>
        <w:rPr>
          <w:rFonts w:hint="eastAsia" w:asciiTheme="minorEastAsia" w:hAnsiTheme="minorEastAsia" w:eastAsiaTheme="minorEastAsia" w:cstheme="minorEastAsia"/>
          <w:b/>
          <w:bCs/>
          <w:sz w:val="28"/>
          <w:szCs w:val="28"/>
          <w:lang w:eastAsia="zh-CN"/>
        </w:rPr>
        <w:t>2、采用的标准规范</w:t>
      </w:r>
      <w:bookmarkEnd w:id="2"/>
    </w:p>
    <w:p w14:paraId="051862A0">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本采购技术说明书仅列出了设备设计、制造、检验、试验和运输所遵循的主要标准和规范，遇到标准之间发生矛盾时或标准升版，则按较高、较严标准或版本执行。</w:t>
      </w:r>
      <w:r>
        <w:rPr>
          <w:rFonts w:hint="eastAsia" w:asciiTheme="minorEastAsia" w:hAnsiTheme="minorEastAsia" w:eastAsiaTheme="minorEastAsia" w:cstheme="minorEastAsia"/>
          <w:sz w:val="24"/>
          <w:szCs w:val="24"/>
        </w:rPr>
        <w:t>未列出的相关标准和规范，也需满足：</w:t>
      </w:r>
    </w:p>
    <w:p w14:paraId="4C9F736B">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bookmarkStart w:id="3" w:name="bookmark3"/>
      <w:bookmarkEnd w:id="3"/>
      <w:bookmarkStart w:id="4" w:name="_Toc30911"/>
      <w:r>
        <w:rPr>
          <w:rFonts w:hint="eastAsia" w:ascii="宋体" w:hAnsi="宋体" w:eastAsia="宋体"/>
          <w:sz w:val="24"/>
          <w:lang w:val="en-US" w:eastAsia="zh-CN"/>
        </w:rPr>
        <w:t>SY/T 0511-2024《立式圆筒形钢制焊接储罐附件 》</w:t>
      </w:r>
    </w:p>
    <w:p w14:paraId="3C0168F0">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API 2000-2014《通风大气和低压储罐》</w:t>
      </w:r>
    </w:p>
    <w:p w14:paraId="099D6156">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ISO/IEC 80079-49:2024 《爆炸性环境 — 第 49 部分：阻火器 — 性能要求、测试方法和使用限制》</w:t>
      </w:r>
    </w:p>
    <w:p w14:paraId="79F8F6C7">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GB 50160《石油化工企业设计防火标准》</w:t>
      </w:r>
    </w:p>
    <w:p w14:paraId="797119E5">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GB 50074-2014《石油库设计规范》</w:t>
      </w:r>
    </w:p>
    <w:p w14:paraId="6AFE30EA">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SH/T 3007-2014《石油化工储运系统罐区设计规范》</w:t>
      </w:r>
    </w:p>
    <w:p w14:paraId="62603ED8">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GB 150《压力容器》</w:t>
      </w:r>
    </w:p>
    <w:p w14:paraId="1D457B03">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GB/T 35077-2025《机械安全 局部排气通风系统 安全要求 》</w:t>
      </w:r>
    </w:p>
    <w:p w14:paraId="7E14AFD5">
      <w:pPr>
        <w:keepNext w:val="0"/>
        <w:keepLines w:val="0"/>
        <w:pageBreakBefore w:val="0"/>
        <w:widowControl/>
        <w:kinsoku w:val="0"/>
        <w:wordWrap/>
        <w:overflowPunct/>
        <w:topLinePunct w:val="0"/>
        <w:autoSpaceDE w:val="0"/>
        <w:autoSpaceDN w:val="0"/>
        <w:bidi w:val="0"/>
        <w:adjustRightInd w:val="0"/>
        <w:snapToGrid w:val="0"/>
        <w:spacing w:line="360" w:lineRule="auto"/>
        <w:ind w:firstLine="424" w:firstLineChars="177"/>
        <w:textAlignment w:val="baseline"/>
        <w:rPr>
          <w:rFonts w:hint="eastAsia" w:ascii="宋体" w:hAnsi="宋体" w:eastAsia="宋体"/>
          <w:sz w:val="24"/>
          <w:lang w:val="en-US" w:eastAsia="zh-CN"/>
        </w:rPr>
      </w:pPr>
      <w:r>
        <w:rPr>
          <w:rFonts w:hint="eastAsia" w:ascii="宋体" w:hAnsi="宋体" w:eastAsia="宋体"/>
          <w:sz w:val="24"/>
          <w:lang w:val="en-US" w:eastAsia="zh-CN"/>
        </w:rPr>
        <w:t>国家及项目所在地现行防爆、环保、防腐相关标准</w:t>
      </w:r>
    </w:p>
    <w:p w14:paraId="3343C908">
      <w:pPr>
        <w:keepNext w:val="0"/>
        <w:keepLines w:val="0"/>
        <w:pageBreakBefore w:val="0"/>
        <w:widowControl/>
        <w:numPr>
          <w:ilvl w:val="0"/>
          <w:numId w:val="3"/>
        </w:numPr>
        <w:kinsoku w:val="0"/>
        <w:wordWrap/>
        <w:overflowPunct/>
        <w:topLinePunct w:val="0"/>
        <w:autoSpaceDE w:val="0"/>
        <w:autoSpaceDN w:val="0"/>
        <w:bidi w:val="0"/>
        <w:adjustRightInd w:val="0"/>
        <w:snapToGrid w:val="0"/>
        <w:spacing w:line="420" w:lineRule="exact"/>
        <w:textAlignment w:val="baseline"/>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设计基础条件及参数</w:t>
      </w:r>
    </w:p>
    <w:p w14:paraId="1105D3DA">
      <w:pPr>
        <w:numPr>
          <w:ilvl w:val="0"/>
          <w:numId w:val="4"/>
        </w:numPr>
        <w:spacing w:line="360" w:lineRule="auto"/>
        <w:ind w:left="425" w:leftChars="0" w:hanging="425"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厂址自然区域位置及交通。</w:t>
      </w:r>
    </w:p>
    <w:p w14:paraId="1B9CB96C">
      <w:pPr>
        <w:spacing w:line="360" w:lineRule="auto"/>
        <w:ind w:firstLine="480" w:firstLineChars="200"/>
        <w:rPr>
          <w:rFonts w:hint="default" w:ascii="Times New Roman" w:hAnsi="Times New Roman" w:cs="Times New Roman"/>
          <w:sz w:val="24"/>
          <w:szCs w:val="24"/>
        </w:rPr>
      </w:pPr>
      <w:r>
        <w:rPr>
          <w:rFonts w:hint="eastAsia" w:ascii="Times New Roman" w:hAnsi="Times New Roman" w:cs="Times New Roman"/>
          <w:sz w:val="24"/>
          <w:szCs w:val="24"/>
          <w:lang w:eastAsia="zh-CN"/>
        </w:rPr>
        <w:t>本项目</w:t>
      </w:r>
      <w:r>
        <w:rPr>
          <w:rFonts w:hint="default" w:ascii="Times New Roman" w:hAnsi="Times New Roman" w:cs="Times New Roman"/>
          <w:sz w:val="24"/>
          <w:szCs w:val="24"/>
        </w:rPr>
        <w:t>位于镇江市东部重要的工业区内，北临长江，建有两个3000吨泊位长江码头及杂货码头和中转站，主厂区和码头通过近1公里的厂外道路相通，并在路边建有化工原料和成品输送的外管廊。</w:t>
      </w:r>
    </w:p>
    <w:p w14:paraId="6E8164F2">
      <w:pPr>
        <w:numPr>
          <w:ilvl w:val="0"/>
          <w:numId w:val="4"/>
        </w:numPr>
        <w:spacing w:line="360" w:lineRule="auto"/>
        <w:ind w:left="425" w:leftChars="0" w:hanging="425"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自然地形及地面水系</w:t>
      </w:r>
    </w:p>
    <w:p w14:paraId="7FB5868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厂址所在场地范围内自然地形标高在5.3米～23.5米之间，地势起伏较大。</w:t>
      </w:r>
    </w:p>
    <w:p w14:paraId="2D4D63F0">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区域地质、构造、岩石的类型、成因和时代：地质构造属宁镇弧形断褶隆起带的东段，即淮阳山字型构造东翼反射弧之弧顶转折部位，以侵蚀、剥蚀作用为主，断裂发育，岩浆活动频繁，主要侵入有燕山期花岗岩，基岩上面为第四第覆盖层，覆盖层主要由长江淤泥的细粉沙、亚沙土、亚粘土等全新纪的淤泥质分布于河漫滩地带。根据有关钻探资料记载，该地区地层厚度约30－50m，岩性比较均匀，具有较大的承载力和较好的稳定性，工程地质条件良好。镇江地带性土壤为黄棕壤，土壤利用以稻麦两熟为主，部分为蔬菜和林地。拟建项目附近主要地表水有长江和京杭大运河，区域地下水不丰富，处于丹徒火成岩裂隙含水带外缘。</w:t>
      </w:r>
    </w:p>
    <w:p w14:paraId="444F5E98">
      <w:pPr>
        <w:numPr>
          <w:ilvl w:val="0"/>
          <w:numId w:val="4"/>
        </w:numPr>
        <w:spacing w:line="360" w:lineRule="auto"/>
        <w:ind w:left="425" w:leftChars="0" w:hanging="425"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气象条件及地震</w:t>
      </w:r>
    </w:p>
    <w:p w14:paraId="2099576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本工程河段属长江下游感潮河段，潮型为非正规半日浅海潮，潮水位每日两涨两落，涨、落潮时明显不等，落潮历时大于涨潮历时。洪季处在潮区界内，枯季处在潮流界边缘，水流既受长江迳流控制，又受天文潮潮汐影响，汛期时影响较小，枯季时影响相对较大。</w:t>
      </w:r>
    </w:p>
    <w:p w14:paraId="52486AB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径流：</w:t>
      </w:r>
    </w:p>
    <w:p w14:paraId="7AB0BB4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长江下游最后一个水文站（即大通站）距本河段长达340km，大通站以下较大的入江支流有安徽的青弋江、水阳江、裕溪河、江苏的秦淮河、滁河、淮河入江水道及太湖流域等水系，但入汇流量仅占长江总量的3～5%，故大通站的径流资料可以代表本河段的径流。据大通站的实测资料统计，其水、沙特征值如下：</w:t>
      </w:r>
    </w:p>
    <w:p w14:paraId="1B874F51">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多年最大流量</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92600m3/s（1954年8月1日）</w:t>
      </w:r>
    </w:p>
    <w:p w14:paraId="3D616F6B">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多年最小流量</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4620m3/s（1979年1月31日）</w:t>
      </w:r>
    </w:p>
    <w:p w14:paraId="2CA6850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多年平均流量</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28600m3/s</w:t>
      </w:r>
    </w:p>
    <w:p w14:paraId="4DB4CB7A">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多年平均输沙率</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14410kg/s</w:t>
      </w:r>
    </w:p>
    <w:p w14:paraId="709DF766">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多年平均含沙量</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0.47kg/m3</w:t>
      </w:r>
    </w:p>
    <w:p w14:paraId="32484B7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多年平均年输沙量</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4.18×108t</w:t>
      </w:r>
    </w:p>
    <w:p w14:paraId="54C243E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年内最小流量较多出现在1、2月份，至4月份流量开始增长，5月份增幅最大，最大流量一般出现在7月份，最早在5月份，最迟在9月份，10月份以后流量明显回落。汛期（5～10月）平均流量39300m3/s，平均输沙率25220kg/s，汛期水量和输沙量分别占全年总水量与输沙总量的71.6%和87.5%，表明汛期水量，沙量都比较集中，且沙量的集中程度大于水量的集中程度。</w:t>
      </w:r>
    </w:p>
    <w:p w14:paraId="723FD493">
      <w:pPr>
        <w:numPr>
          <w:ilvl w:val="0"/>
          <w:numId w:val="4"/>
        </w:numPr>
        <w:spacing w:line="360" w:lineRule="auto"/>
        <w:ind w:left="425" w:leftChars="0" w:hanging="425" w:firstLineChars="0"/>
        <w:rPr>
          <w:rFonts w:hint="default" w:ascii="Times New Roman" w:hAnsi="Times New Roman" w:cs="Times New Roman"/>
          <w:b/>
          <w:bCs/>
          <w:sz w:val="24"/>
          <w:szCs w:val="24"/>
        </w:rPr>
      </w:pPr>
      <w:r>
        <w:rPr>
          <w:rFonts w:hint="default" w:ascii="Times New Roman" w:hAnsi="Times New Roman" w:cs="Times New Roman"/>
          <w:b/>
          <w:bCs/>
          <w:sz w:val="24"/>
          <w:szCs w:val="24"/>
        </w:rPr>
        <w:t>气象条件</w:t>
      </w:r>
    </w:p>
    <w:p w14:paraId="387DAF8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拟建工程所在河段地处亚热带季风区，临江近海、气候温和、四季分明、雨水丰沛，“梅雨”、“台风”等地区性气候明显，一月为最冷月，七月月平均气温最高，多年平均气温15.7</w:t>
      </w:r>
      <w:r>
        <w:rPr>
          <w:rFonts w:hint="default" w:ascii="Times New Roman" w:hAnsi="Times New Roman" w:eastAsia="微软雅黑" w:cs="Times New Roman"/>
          <w:sz w:val="24"/>
          <w:szCs w:val="24"/>
        </w:rPr>
        <w:t>℃</w:t>
      </w:r>
      <w:r>
        <w:rPr>
          <w:rFonts w:hint="default" w:ascii="Times New Roman" w:hAnsi="Times New Roman" w:cs="Times New Roman"/>
          <w:sz w:val="24"/>
          <w:szCs w:val="24"/>
        </w:rPr>
        <w:t>左右。根据镇江市气象台的风向观测，本区域冬季盛行西北风，夏季以东南方向的海洋季风为主，春、秋季为过渡期，以偏东风为主。经气象站多年实测资料分析，本地各气象特征值分述如下：</w:t>
      </w:r>
    </w:p>
    <w:p w14:paraId="6B8E7FF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气温：</w:t>
      </w:r>
    </w:p>
    <w:p w14:paraId="1644300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多年极端最高气温</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40.9</w:t>
      </w:r>
      <w:r>
        <w:rPr>
          <w:rFonts w:hint="default" w:ascii="Times New Roman" w:hAnsi="Times New Roman" w:eastAsia="微软雅黑" w:cs="Times New Roman"/>
          <w:sz w:val="24"/>
          <w:szCs w:val="24"/>
        </w:rPr>
        <w:t>℃</w:t>
      </w:r>
      <w:r>
        <w:rPr>
          <w:rFonts w:hint="default" w:ascii="Times New Roman" w:hAnsi="Times New Roman" w:cs="Times New Roman"/>
          <w:sz w:val="24"/>
          <w:szCs w:val="24"/>
        </w:rPr>
        <w:t>（1959年8月22日）</w:t>
      </w:r>
    </w:p>
    <w:p w14:paraId="2DD650E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多年极端最低气温</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-12.4</w:t>
      </w:r>
      <w:r>
        <w:rPr>
          <w:rFonts w:hint="default" w:ascii="Times New Roman" w:hAnsi="Times New Roman" w:eastAsia="微软雅黑" w:cs="Times New Roman"/>
          <w:sz w:val="24"/>
          <w:szCs w:val="24"/>
        </w:rPr>
        <w:t>℃</w:t>
      </w:r>
      <w:r>
        <w:rPr>
          <w:rFonts w:hint="default" w:ascii="Times New Roman" w:hAnsi="Times New Roman" w:cs="Times New Roman"/>
          <w:sz w:val="24"/>
          <w:szCs w:val="24"/>
        </w:rPr>
        <w:t>（1955年1月16日）</w:t>
      </w:r>
    </w:p>
    <w:p w14:paraId="6FB5CFA2">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多年年平均最高气温</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20.1</w:t>
      </w:r>
      <w:r>
        <w:rPr>
          <w:rFonts w:hint="default" w:ascii="Times New Roman" w:hAnsi="Times New Roman" w:eastAsia="微软雅黑" w:cs="Times New Roman"/>
          <w:sz w:val="24"/>
          <w:szCs w:val="24"/>
        </w:rPr>
        <w:t>℃</w:t>
      </w:r>
      <w:r>
        <w:rPr>
          <w:rFonts w:hint="default" w:ascii="Times New Roman" w:hAnsi="Times New Roman" w:cs="Times New Roman"/>
          <w:sz w:val="24"/>
          <w:szCs w:val="24"/>
        </w:rPr>
        <w:t>（1985～2001年）</w:t>
      </w:r>
    </w:p>
    <w:p w14:paraId="55429CDA">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多年年平均最低气温</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12.2</w:t>
      </w:r>
      <w:r>
        <w:rPr>
          <w:rFonts w:hint="default" w:ascii="Times New Roman" w:hAnsi="Times New Roman" w:eastAsia="微软雅黑" w:cs="Times New Roman"/>
          <w:sz w:val="24"/>
          <w:szCs w:val="24"/>
        </w:rPr>
        <w:t>℃</w:t>
      </w:r>
      <w:r>
        <w:rPr>
          <w:rFonts w:hint="default" w:ascii="Times New Roman" w:hAnsi="Times New Roman" w:cs="Times New Roman"/>
          <w:sz w:val="24"/>
          <w:szCs w:val="24"/>
        </w:rPr>
        <w:t>（1985～2001年）</w:t>
      </w:r>
    </w:p>
    <w:p w14:paraId="14DA343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多年年平均气温</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15.4</w:t>
      </w:r>
      <w:r>
        <w:rPr>
          <w:rFonts w:hint="default" w:ascii="Times New Roman" w:hAnsi="Times New Roman" w:eastAsia="微软雅黑" w:cs="Times New Roman"/>
          <w:sz w:val="24"/>
          <w:szCs w:val="24"/>
        </w:rPr>
        <w:t>℃</w:t>
      </w:r>
    </w:p>
    <w:p w14:paraId="2C689F6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夏季最热月平均最高温度      30.8</w:t>
      </w:r>
      <w:r>
        <w:rPr>
          <w:rFonts w:hint="default" w:ascii="Times New Roman" w:hAnsi="Times New Roman" w:eastAsia="微软雅黑" w:cs="Times New Roman"/>
          <w:sz w:val="24"/>
          <w:szCs w:val="24"/>
        </w:rPr>
        <w:t>℃</w:t>
      </w:r>
    </w:p>
    <w:p w14:paraId="3BFDD0B1">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冬季最冷月平均最低温度      0.37</w:t>
      </w:r>
      <w:r>
        <w:rPr>
          <w:rFonts w:hint="default" w:ascii="Times New Roman" w:hAnsi="Times New Roman" w:eastAsia="微软雅黑" w:cs="Times New Roman"/>
          <w:sz w:val="24"/>
          <w:szCs w:val="24"/>
        </w:rPr>
        <w:t>℃</w:t>
      </w:r>
    </w:p>
    <w:p w14:paraId="39F02C3A">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气压：</w:t>
      </w:r>
    </w:p>
    <w:p w14:paraId="19FA5836">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年平均气压                      101.4kPa</w:t>
      </w:r>
    </w:p>
    <w:p w14:paraId="0CCD3AAA">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冬季平均气压                    100.26kPa</w:t>
      </w:r>
    </w:p>
    <w:p w14:paraId="77A00B1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夏季平均气压                    100.27kPa</w:t>
      </w:r>
    </w:p>
    <w:p w14:paraId="729D5081">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风：</w:t>
      </w:r>
    </w:p>
    <w:p w14:paraId="1F708D85">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常年主导风向：                  东风、东北东风</w:t>
      </w:r>
    </w:p>
    <w:p w14:paraId="33864778">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夏季主导风向：                  东南东风</w:t>
      </w:r>
    </w:p>
    <w:p w14:paraId="0CC80663">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冬季主导风向：                  东北风、东北东风</w:t>
      </w:r>
    </w:p>
    <w:p w14:paraId="4301F3B0">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年最大风速                      31m/s</w:t>
      </w:r>
    </w:p>
    <w:p w14:paraId="6297A321">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全年平均风速                    3.3m/s</w:t>
      </w:r>
    </w:p>
    <w:p w14:paraId="0E8A544F">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降雨量：</w:t>
      </w:r>
    </w:p>
    <w:p w14:paraId="2C2B86FD">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年平均降雨量                     1063.1mm</w:t>
      </w:r>
    </w:p>
    <w:p w14:paraId="3DEB62B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日最大降雨量                     262.5mm</w:t>
      </w:r>
    </w:p>
    <w:p w14:paraId="71A9D0C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10分钟最大降雨量                 35.7mm</w:t>
      </w:r>
    </w:p>
    <w:p w14:paraId="5B7FC7BD">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年日降雨量≥25.0mm最多日数为22d（1991、1998年），平均10.5d，年日降雨量≥50.0mm最多日数为7d（1991年），年日降雨量≥100.0mm最多日数  为3d（1991年），主要集中在每年的4～9月份。</w:t>
      </w:r>
    </w:p>
    <w:p w14:paraId="22686A8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降雪：</w:t>
      </w:r>
    </w:p>
    <w:p w14:paraId="36A32F76">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多年平均降雪日数                 8.5天</w:t>
      </w:r>
    </w:p>
    <w:p w14:paraId="180D0D0C">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最大积雪厚度                     34mm</w:t>
      </w:r>
    </w:p>
    <w:p w14:paraId="4FB167A8">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长江水位（长江镇阳段）：</w:t>
      </w:r>
    </w:p>
    <w:p w14:paraId="6C496A33">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最高潮水位                       6.22m</w:t>
      </w:r>
    </w:p>
    <w:p w14:paraId="7AB91E99">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最低潮水位                       -0.67m</w:t>
      </w:r>
    </w:p>
    <w:p w14:paraId="3E7361F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最大流量                         92600m3/s</w:t>
      </w:r>
    </w:p>
    <w:p w14:paraId="1D23FCF6">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最小枯水流量                     4670m3/s</w:t>
      </w:r>
    </w:p>
    <w:p w14:paraId="2BE8C63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地震烈度                         7度</w:t>
      </w:r>
    </w:p>
    <w:p w14:paraId="798659E2">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多年平均雷暴日数                28.8天</w:t>
      </w:r>
    </w:p>
    <w:p w14:paraId="37715AEF">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最热月平均相对湿度：            80.7%</w:t>
      </w:r>
    </w:p>
    <w:p w14:paraId="51410244">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年平均相对湿度：                76%</w:t>
      </w:r>
    </w:p>
    <w:p w14:paraId="567A3435">
      <w:pPr>
        <w:spacing w:line="360" w:lineRule="auto"/>
        <w:ind w:firstLine="480" w:firstLineChars="200"/>
        <w:rPr>
          <w:rFonts w:hint="eastAsia" w:ascii="Times New Roman" w:hAnsi="Times New Roman" w:cs="Times New Roman"/>
          <w:sz w:val="24"/>
          <w:szCs w:val="24"/>
          <w:lang w:eastAsia="zh-CN"/>
        </w:rPr>
      </w:pPr>
    </w:p>
    <w:p w14:paraId="060B60F3">
      <w:pPr>
        <w:keepNext w:val="0"/>
        <w:keepLines w:val="0"/>
        <w:pageBreakBefore w:val="0"/>
        <w:widowControl/>
        <w:numPr>
          <w:ilvl w:val="0"/>
          <w:numId w:val="3"/>
        </w:numPr>
        <w:kinsoku w:val="0"/>
        <w:wordWrap/>
        <w:overflowPunct/>
        <w:topLinePunct w:val="0"/>
        <w:autoSpaceDE w:val="0"/>
        <w:autoSpaceDN w:val="0"/>
        <w:bidi w:val="0"/>
        <w:adjustRightInd w:val="0"/>
        <w:snapToGrid w:val="0"/>
        <w:spacing w:line="420" w:lineRule="exact"/>
        <w:textAlignment w:val="baseline"/>
        <w:rPr>
          <w:rFonts w:hint="eastAsia"/>
          <w:lang w:eastAsia="zh-CN"/>
        </w:rPr>
      </w:pPr>
      <w:r>
        <w:rPr>
          <w:rFonts w:hint="eastAsia" w:asciiTheme="minorEastAsia" w:hAnsiTheme="minorEastAsia" w:eastAsiaTheme="minorEastAsia" w:cstheme="minorEastAsia"/>
          <w:b/>
          <w:bCs/>
          <w:sz w:val="28"/>
          <w:szCs w:val="28"/>
          <w:lang w:eastAsia="zh-CN"/>
        </w:rPr>
        <w:t>技术要求</w:t>
      </w:r>
    </w:p>
    <w:bookmarkEnd w:id="4"/>
    <w:p w14:paraId="15D61E6A">
      <w:pPr>
        <w:keepNext w:val="0"/>
        <w:keepLines w:val="0"/>
        <w:pageBreakBefore w:val="0"/>
        <w:widowControl/>
        <w:kinsoku w:val="0"/>
        <w:wordWrap/>
        <w:overflowPunct/>
        <w:topLinePunct w:val="0"/>
        <w:autoSpaceDE w:val="0"/>
        <w:autoSpaceDN w:val="0"/>
        <w:bidi w:val="0"/>
        <w:adjustRightInd w:val="0"/>
        <w:snapToGrid w:val="0"/>
        <w:spacing w:line="420" w:lineRule="exact"/>
        <w:ind w:firstLine="482" w:firstLineChars="200"/>
        <w:textAlignment w:val="baseline"/>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 xml:space="preserve">4.1 </w:t>
      </w:r>
      <w:r>
        <w:rPr>
          <w:rFonts w:hint="eastAsia" w:asciiTheme="minorEastAsia" w:hAnsiTheme="minorEastAsia" w:eastAsiaTheme="minorEastAsia" w:cstheme="minorEastAsia"/>
          <w:b/>
          <w:bCs/>
          <w:sz w:val="24"/>
          <w:szCs w:val="24"/>
          <w:lang w:eastAsia="zh-CN"/>
        </w:rPr>
        <w:t>呼吸阀要求</w:t>
      </w:r>
    </w:p>
    <w:p w14:paraId="746A1BD4">
      <w:pPr>
        <w:pStyle w:val="26"/>
        <w:numPr>
          <w:ilvl w:val="0"/>
          <w:numId w:val="0"/>
        </w:numPr>
        <w:tabs>
          <w:tab w:val="left" w:pos="480"/>
          <w:tab w:val="left" w:pos="862"/>
        </w:tabs>
        <w:ind w:firstLine="480" w:firstLineChars="200"/>
        <w:rPr>
          <w:rFonts w:hint="default" w:ascii="宋体" w:hAnsi="宋体" w:eastAsia="宋体"/>
          <w:kern w:val="2"/>
          <w:sz w:val="24"/>
          <w:szCs w:val="24"/>
          <w:lang w:val="en-US" w:eastAsia="zh-CN" w:bidi="ar"/>
        </w:rPr>
      </w:pPr>
      <w:r>
        <w:rPr>
          <w:rFonts w:hint="eastAsia" w:ascii="宋体" w:hAnsi="宋体" w:eastAsia="宋体"/>
          <w:kern w:val="2"/>
          <w:sz w:val="24"/>
          <w:szCs w:val="24"/>
          <w:lang w:val="en-US" w:eastAsia="zh-CN" w:bidi="ar"/>
        </w:rPr>
        <w:t>一体式阻火呼吸阀的阻火器需位于呼吸阀负压侧（大气侧），阀门采用整体铸造结构，呼吸阀和阻火器之间不得设置法兰连接，呼吸阀正压口法兰接尾气处理系统。</w:t>
      </w:r>
    </w:p>
    <w:p w14:paraId="5A53BC27">
      <w:pPr>
        <w:pStyle w:val="26"/>
        <w:numPr>
          <w:ilvl w:val="0"/>
          <w:numId w:val="0"/>
        </w:numPr>
        <w:tabs>
          <w:tab w:val="left" w:pos="480"/>
          <w:tab w:val="left" w:pos="862"/>
        </w:tabs>
        <w:ind w:firstLine="480" w:firstLineChars="200"/>
        <w:rPr>
          <w:rFonts w:hint="default" w:ascii="宋体" w:hAnsi="宋体" w:eastAsia="宋体"/>
          <w:kern w:val="2"/>
          <w:sz w:val="24"/>
          <w:szCs w:val="24"/>
          <w:lang w:val="en-US" w:eastAsia="zh-CN" w:bidi="ar"/>
        </w:rPr>
      </w:pPr>
      <w:r>
        <w:rPr>
          <w:rFonts w:hint="eastAsia" w:ascii="宋体" w:hAnsi="宋体" w:eastAsia="宋体"/>
          <w:kern w:val="2"/>
          <w:sz w:val="24"/>
          <w:szCs w:val="24"/>
          <w:lang w:val="en-US" w:eastAsia="zh-CN" w:bidi="ar"/>
        </w:rPr>
        <w:t>4.1.1</w:t>
      </w:r>
      <w:r>
        <w:rPr>
          <w:rFonts w:hint="eastAsia" w:hAnsi="宋体"/>
          <w:kern w:val="2"/>
          <w:sz w:val="24"/>
          <w:szCs w:val="24"/>
          <w:lang w:val="en-US" w:eastAsia="zh-CN" w:bidi="ar"/>
        </w:rPr>
        <w:t>泄漏量要求</w:t>
      </w:r>
      <w:r>
        <w:rPr>
          <w:rFonts w:hint="eastAsia" w:hAnsi="宋体"/>
          <w:b/>
          <w:bCs/>
          <w:color w:val="FF0000"/>
          <w:kern w:val="2"/>
          <w:sz w:val="24"/>
          <w:szCs w:val="24"/>
          <w:lang w:val="en-US" w:eastAsia="zh-CN" w:bidi="ar"/>
        </w:rPr>
        <w:t>不执行附件一 数据表备注栏第6条相关规定</w:t>
      </w:r>
      <w:r>
        <w:rPr>
          <w:rFonts w:hint="eastAsia" w:hAnsi="宋体"/>
          <w:kern w:val="2"/>
          <w:sz w:val="24"/>
          <w:szCs w:val="24"/>
          <w:lang w:val="en-US" w:eastAsia="zh-CN" w:bidi="ar"/>
        </w:rPr>
        <w:t>，</w:t>
      </w:r>
      <w:r>
        <w:rPr>
          <w:rFonts w:hint="eastAsia" w:ascii="宋体" w:hAnsi="宋体" w:eastAsia="宋体"/>
          <w:kern w:val="2"/>
          <w:sz w:val="24"/>
          <w:szCs w:val="24"/>
          <w:lang w:val="en-US" w:eastAsia="zh-CN" w:bidi="ar"/>
        </w:rPr>
        <w:t>须以ISO28300/API2000的要求进行泄漏量试验，泄漏量满足</w:t>
      </w:r>
      <w:r>
        <w:rPr>
          <w:rFonts w:hint="default" w:ascii="宋体" w:hAnsi="宋体" w:eastAsia="宋体"/>
          <w:kern w:val="2"/>
          <w:sz w:val="24"/>
          <w:szCs w:val="24"/>
          <w:lang w:val="en-US" w:eastAsia="zh-CN" w:bidi="ar"/>
        </w:rPr>
        <w:t>90</w:t>
      </w:r>
      <w:r>
        <w:rPr>
          <w:rFonts w:hint="eastAsia" w:ascii="宋体" w:hAnsi="宋体" w:eastAsia="宋体"/>
          <w:kern w:val="2"/>
          <w:sz w:val="24"/>
          <w:szCs w:val="24"/>
          <w:lang w:val="en-US" w:eastAsia="zh-CN" w:bidi="ar"/>
        </w:rPr>
        <w:t>%设定压力下，最大允许的泄漏量值为：阀门尺寸≤DN150：最大泄漏量为 0.0017m</w:t>
      </w:r>
      <w:r>
        <w:rPr>
          <w:rFonts w:hint="eastAsia" w:ascii="宋体" w:hAnsi="宋体" w:eastAsia="宋体"/>
          <w:kern w:val="2"/>
          <w:sz w:val="24"/>
          <w:szCs w:val="24"/>
          <w:vertAlign w:val="superscript"/>
          <w:lang w:val="en-US" w:eastAsia="zh-CN" w:bidi="ar"/>
        </w:rPr>
        <w:t>3</w:t>
      </w:r>
      <w:r>
        <w:rPr>
          <w:rFonts w:hint="eastAsia" w:ascii="宋体" w:hAnsi="宋体" w:eastAsia="宋体"/>
          <w:kern w:val="2"/>
          <w:sz w:val="24"/>
          <w:szCs w:val="24"/>
          <w:lang w:val="en-US" w:eastAsia="zh-CN" w:bidi="ar"/>
        </w:rPr>
        <w:t>/h;阀门尺寸DN150-DN400：最大泄漏量为 0.003m</w:t>
      </w:r>
      <w:r>
        <w:rPr>
          <w:rFonts w:hint="eastAsia" w:ascii="宋体" w:hAnsi="宋体" w:eastAsia="宋体"/>
          <w:kern w:val="2"/>
          <w:sz w:val="24"/>
          <w:szCs w:val="24"/>
          <w:vertAlign w:val="superscript"/>
          <w:lang w:val="en-US" w:eastAsia="zh-CN" w:bidi="ar"/>
        </w:rPr>
        <w:t>3</w:t>
      </w:r>
      <w:r>
        <w:rPr>
          <w:rFonts w:hint="eastAsia" w:ascii="宋体" w:hAnsi="宋体" w:eastAsia="宋体"/>
          <w:kern w:val="2"/>
          <w:sz w:val="24"/>
          <w:szCs w:val="24"/>
          <w:lang w:val="en-US" w:eastAsia="zh-CN" w:bidi="ar"/>
        </w:rPr>
        <w:t>/h; 提供泄漏量测试仪器照片等信息及泄漏量测试报告。一体式阻火呼吸阀及紧急泄放阀在储罐无进料、无泄压状态下的泄漏量不应超过 20mg/m</w:t>
      </w:r>
      <w:r>
        <w:rPr>
          <w:rFonts w:hint="eastAsia" w:ascii="宋体" w:hAnsi="宋体" w:eastAsia="宋体"/>
          <w:kern w:val="2"/>
          <w:sz w:val="24"/>
          <w:szCs w:val="24"/>
          <w:vertAlign w:val="superscript"/>
          <w:lang w:val="en-US" w:eastAsia="zh-CN" w:bidi="ar"/>
        </w:rPr>
        <w:t>3</w:t>
      </w:r>
      <w:r>
        <w:rPr>
          <w:rFonts w:hint="eastAsia" w:ascii="宋体" w:hAnsi="宋体" w:eastAsia="宋体"/>
          <w:kern w:val="2"/>
          <w:sz w:val="24"/>
          <w:szCs w:val="24"/>
          <w:lang w:val="en-US" w:eastAsia="zh-CN" w:bidi="ar"/>
        </w:rPr>
        <w:t>， 投标人需出具第三方资质检测机构的检测报告和用户报告</w:t>
      </w:r>
      <w:r>
        <w:rPr>
          <w:rFonts w:hint="eastAsia" w:ascii="宋体" w:hAnsi="宋体" w:eastAsia="宋体"/>
          <w:kern w:val="2"/>
          <w:sz w:val="24"/>
          <w:szCs w:val="24"/>
          <w:lang w:val="zh-CN" w:eastAsia="zh-CN" w:bidi="ar"/>
        </w:rPr>
        <w:t>。</w:t>
      </w:r>
    </w:p>
    <w:p w14:paraId="3DC081CC">
      <w:pPr>
        <w:pStyle w:val="26"/>
        <w:numPr>
          <w:ilvl w:val="0"/>
          <w:numId w:val="0"/>
        </w:numPr>
        <w:tabs>
          <w:tab w:val="left" w:pos="480"/>
          <w:tab w:val="left" w:pos="862"/>
        </w:tabs>
        <w:ind w:firstLine="480" w:firstLineChars="200"/>
        <w:rPr>
          <w:rFonts w:hint="eastAsia" w:ascii="宋体" w:hAnsi="宋体" w:eastAsia="宋体"/>
          <w:kern w:val="2"/>
          <w:sz w:val="24"/>
          <w:szCs w:val="24"/>
          <w:lang w:val="en-US" w:eastAsia="zh-CN" w:bidi="ar"/>
        </w:rPr>
      </w:pPr>
      <w:r>
        <w:rPr>
          <w:rFonts w:hint="eastAsia" w:ascii="宋体" w:hAnsi="宋体" w:eastAsia="宋体"/>
          <w:kern w:val="2"/>
          <w:sz w:val="24"/>
          <w:szCs w:val="24"/>
          <w:lang w:val="en-US" w:eastAsia="zh-CN" w:bidi="ar"/>
        </w:rPr>
        <w:t>4.1.2呼吸阀须在超压为10%时达到额定排放量,提供权威机构第三方认证的10%全启实测开启高度、超压比、定压测试、额定泄放量以及启闭超压不超过10%的技术认证文件。</w:t>
      </w:r>
    </w:p>
    <w:p w14:paraId="133C4B09">
      <w:pPr>
        <w:pStyle w:val="26"/>
        <w:numPr>
          <w:ilvl w:val="0"/>
          <w:numId w:val="0"/>
        </w:numPr>
        <w:tabs>
          <w:tab w:val="left" w:pos="480"/>
          <w:tab w:val="left" w:pos="862"/>
        </w:tabs>
        <w:ind w:firstLine="480" w:firstLineChars="200"/>
        <w:rPr>
          <w:rFonts w:hint="eastAsia" w:ascii="宋体" w:hAnsi="宋体" w:eastAsia="宋体"/>
          <w:kern w:val="2"/>
          <w:sz w:val="24"/>
          <w:szCs w:val="24"/>
          <w:lang w:val="en-US" w:eastAsia="zh-CN" w:bidi="ar"/>
        </w:rPr>
      </w:pPr>
      <w:r>
        <w:rPr>
          <w:rFonts w:hint="eastAsia" w:ascii="宋体" w:hAnsi="宋体" w:eastAsia="宋体"/>
          <w:kern w:val="2"/>
          <w:sz w:val="24"/>
          <w:szCs w:val="24"/>
          <w:lang w:val="en-US" w:eastAsia="zh-CN" w:bidi="ar"/>
        </w:rPr>
        <w:t>4.1.3呼吸阀具有整体测试的流量曲线，出具第三方权威机构流量图。</w:t>
      </w:r>
    </w:p>
    <w:p w14:paraId="28AD60A1">
      <w:pPr>
        <w:pStyle w:val="26"/>
        <w:numPr>
          <w:ilvl w:val="0"/>
          <w:numId w:val="0"/>
        </w:numPr>
        <w:tabs>
          <w:tab w:val="left" w:pos="480"/>
          <w:tab w:val="left" w:pos="862"/>
        </w:tabs>
        <w:ind w:firstLine="480" w:firstLineChars="200"/>
        <w:rPr>
          <w:rFonts w:hint="eastAsia" w:ascii="宋体" w:hAnsi="宋体" w:eastAsia="宋体"/>
          <w:kern w:val="2"/>
          <w:sz w:val="24"/>
          <w:szCs w:val="24"/>
          <w:lang w:val="en-US" w:eastAsia="zh-CN" w:bidi="ar"/>
        </w:rPr>
      </w:pPr>
      <w:r>
        <w:rPr>
          <w:rFonts w:hint="eastAsia" w:ascii="宋体" w:hAnsi="宋体" w:eastAsia="宋体"/>
          <w:kern w:val="2"/>
          <w:sz w:val="24"/>
          <w:szCs w:val="24"/>
          <w:lang w:val="en-US" w:eastAsia="zh-CN" w:bidi="ar"/>
        </w:rPr>
        <w:t>4.1.4呼吸阀负压口须具备可靠的阻火功能，确保外部火焰无法通过负压口进入储罐，阻火性能需符合相关标准要求。</w:t>
      </w:r>
    </w:p>
    <w:p w14:paraId="4B843258">
      <w:pPr>
        <w:keepNext w:val="0"/>
        <w:keepLines w:val="0"/>
        <w:pageBreakBefore w:val="0"/>
        <w:widowControl/>
        <w:kinsoku w:val="0"/>
        <w:wordWrap/>
        <w:overflowPunct/>
        <w:topLinePunct w:val="0"/>
        <w:autoSpaceDE w:val="0"/>
        <w:autoSpaceDN w:val="0"/>
        <w:bidi w:val="0"/>
        <w:adjustRightInd w:val="0"/>
        <w:snapToGrid w:val="0"/>
        <w:spacing w:line="420" w:lineRule="exact"/>
        <w:ind w:firstLine="482" w:firstLineChars="200"/>
        <w:textAlignment w:val="baseline"/>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 xml:space="preserve">4.2 </w:t>
      </w:r>
      <w:r>
        <w:rPr>
          <w:rFonts w:hint="eastAsia" w:asciiTheme="minorEastAsia" w:hAnsiTheme="minorEastAsia" w:eastAsiaTheme="minorEastAsia" w:cstheme="minorEastAsia"/>
          <w:b/>
          <w:bCs/>
          <w:sz w:val="24"/>
          <w:szCs w:val="24"/>
          <w:lang w:eastAsia="zh-CN"/>
        </w:rPr>
        <w:t>紧急泄放人孔要求</w:t>
      </w:r>
    </w:p>
    <w:p w14:paraId="31EBE6AE">
      <w:pPr>
        <w:pStyle w:val="26"/>
        <w:numPr>
          <w:ilvl w:val="0"/>
          <w:numId w:val="0"/>
        </w:numPr>
        <w:tabs>
          <w:tab w:val="left" w:pos="480"/>
          <w:tab w:val="left" w:pos="862"/>
        </w:tabs>
        <w:ind w:firstLine="480" w:firstLineChars="200"/>
        <w:rPr>
          <w:rFonts w:hint="eastAsia" w:ascii="宋体" w:hAnsi="宋体" w:eastAsia="宋体"/>
          <w:kern w:val="2"/>
          <w:sz w:val="24"/>
          <w:szCs w:val="24"/>
          <w:lang w:val="en-US" w:eastAsia="zh-CN" w:bidi="ar"/>
        </w:rPr>
      </w:pPr>
      <w:r>
        <w:rPr>
          <w:rFonts w:hint="eastAsia" w:ascii="宋体" w:hAnsi="宋体" w:eastAsia="宋体"/>
          <w:kern w:val="2"/>
          <w:sz w:val="24"/>
          <w:szCs w:val="24"/>
          <w:lang w:val="en-US" w:eastAsia="zh-CN" w:bidi="ar"/>
        </w:rPr>
        <w:t>4.2.1紧急泄放人孔最大允许的泄漏量要求</w:t>
      </w:r>
      <w:r>
        <w:rPr>
          <w:rFonts w:hint="eastAsia" w:ascii="宋体" w:hAnsi="宋体" w:eastAsia="宋体"/>
          <w:b/>
          <w:bCs/>
          <w:color w:val="FF0000"/>
          <w:kern w:val="2"/>
          <w:sz w:val="24"/>
          <w:szCs w:val="24"/>
          <w:highlight w:val="none"/>
          <w:lang w:val="en-US" w:eastAsia="zh-CN" w:bidi="ar"/>
        </w:rPr>
        <w:t>不执行</w:t>
      </w:r>
      <w:r>
        <w:rPr>
          <w:rFonts w:hint="eastAsia" w:hAnsi="宋体"/>
          <w:b/>
          <w:bCs/>
          <w:color w:val="FF0000"/>
          <w:kern w:val="2"/>
          <w:sz w:val="24"/>
          <w:szCs w:val="24"/>
          <w:highlight w:val="none"/>
          <w:lang w:val="en-US" w:eastAsia="zh-CN" w:bidi="ar"/>
        </w:rPr>
        <w:t xml:space="preserve">附件二 </w:t>
      </w:r>
      <w:r>
        <w:rPr>
          <w:rFonts w:hint="eastAsia" w:ascii="宋体" w:hAnsi="宋体" w:eastAsia="宋体"/>
          <w:b/>
          <w:bCs/>
          <w:color w:val="FF0000"/>
          <w:kern w:val="2"/>
          <w:sz w:val="24"/>
          <w:szCs w:val="24"/>
          <w:highlight w:val="none"/>
          <w:lang w:val="en-US" w:eastAsia="zh-CN" w:bidi="ar"/>
        </w:rPr>
        <w:t>数据表</w:t>
      </w:r>
      <w:r>
        <w:rPr>
          <w:rFonts w:hint="eastAsia" w:hAnsi="宋体"/>
          <w:b/>
          <w:bCs/>
          <w:color w:val="FF0000"/>
          <w:kern w:val="2"/>
          <w:sz w:val="24"/>
          <w:szCs w:val="24"/>
          <w:highlight w:val="none"/>
          <w:lang w:val="en-US" w:eastAsia="zh-CN" w:bidi="ar"/>
        </w:rPr>
        <w:t>备注栏</w:t>
      </w:r>
      <w:r>
        <w:rPr>
          <w:rFonts w:hint="eastAsia" w:ascii="宋体" w:hAnsi="宋体" w:eastAsia="宋体"/>
          <w:b/>
          <w:bCs/>
          <w:color w:val="FF0000"/>
          <w:kern w:val="2"/>
          <w:sz w:val="24"/>
          <w:szCs w:val="24"/>
          <w:highlight w:val="none"/>
          <w:lang w:val="en-US" w:eastAsia="zh-CN" w:bidi="ar"/>
        </w:rPr>
        <w:t>第</w:t>
      </w:r>
      <w:r>
        <w:rPr>
          <w:rFonts w:hint="eastAsia" w:hAnsi="宋体"/>
          <w:b/>
          <w:bCs/>
          <w:color w:val="FF0000"/>
          <w:kern w:val="2"/>
          <w:sz w:val="24"/>
          <w:szCs w:val="24"/>
          <w:highlight w:val="none"/>
          <w:lang w:val="en-US" w:eastAsia="zh-CN" w:bidi="ar"/>
        </w:rPr>
        <w:t>2</w:t>
      </w:r>
      <w:r>
        <w:rPr>
          <w:rFonts w:hint="eastAsia" w:ascii="宋体" w:hAnsi="宋体" w:eastAsia="宋体"/>
          <w:b/>
          <w:bCs/>
          <w:color w:val="FF0000"/>
          <w:kern w:val="2"/>
          <w:sz w:val="24"/>
          <w:szCs w:val="24"/>
          <w:highlight w:val="none"/>
          <w:lang w:val="en-US" w:eastAsia="zh-CN" w:bidi="ar"/>
        </w:rPr>
        <w:t>条相关规定</w:t>
      </w:r>
      <w:r>
        <w:rPr>
          <w:rFonts w:hint="eastAsia" w:hAnsi="宋体"/>
          <w:kern w:val="2"/>
          <w:sz w:val="24"/>
          <w:szCs w:val="24"/>
          <w:lang w:val="en-US" w:eastAsia="zh-CN" w:bidi="ar"/>
        </w:rPr>
        <w:t>，</w:t>
      </w:r>
      <w:r>
        <w:rPr>
          <w:rFonts w:hint="eastAsia" w:ascii="宋体" w:hAnsi="宋体" w:eastAsia="宋体"/>
          <w:kern w:val="2"/>
          <w:sz w:val="24"/>
          <w:szCs w:val="24"/>
          <w:lang w:val="en-US" w:eastAsia="zh-CN" w:bidi="ar"/>
        </w:rPr>
        <w:t>须按照ISO28300/API2000的要求进行泄漏</w:t>
      </w:r>
      <w:bookmarkStart w:id="7" w:name="_GoBack"/>
      <w:bookmarkEnd w:id="7"/>
      <w:r>
        <w:rPr>
          <w:rFonts w:hint="eastAsia" w:ascii="宋体" w:hAnsi="宋体" w:eastAsia="宋体"/>
          <w:kern w:val="2"/>
          <w:sz w:val="24"/>
          <w:szCs w:val="24"/>
          <w:lang w:val="en-US" w:eastAsia="zh-CN" w:bidi="ar"/>
        </w:rPr>
        <w:t>量试验，即在设定压</w:t>
      </w:r>
      <w:r>
        <w:rPr>
          <w:rFonts w:hint="eastAsia" w:ascii="宋体" w:hAnsi="宋体" w:eastAsia="宋体"/>
          <w:kern w:val="2"/>
          <w:sz w:val="24"/>
          <w:szCs w:val="24"/>
          <w:highlight w:val="yellow"/>
          <w:lang w:val="en-US" w:eastAsia="zh-CN" w:bidi="ar"/>
        </w:rPr>
        <w:t>力的</w:t>
      </w:r>
      <w:r>
        <w:rPr>
          <w:rFonts w:hint="default" w:ascii="宋体" w:hAnsi="宋体" w:eastAsia="宋体"/>
          <w:kern w:val="2"/>
          <w:sz w:val="24"/>
          <w:szCs w:val="24"/>
          <w:highlight w:val="yellow"/>
          <w:lang w:val="en-US" w:eastAsia="zh-CN" w:bidi="ar"/>
        </w:rPr>
        <w:t>90</w:t>
      </w:r>
      <w:r>
        <w:rPr>
          <w:rFonts w:hint="eastAsia" w:ascii="宋体" w:hAnsi="宋体" w:eastAsia="宋体"/>
          <w:kern w:val="2"/>
          <w:sz w:val="24"/>
          <w:szCs w:val="24"/>
          <w:highlight w:val="yellow"/>
          <w:lang w:val="en-US" w:eastAsia="zh-CN" w:bidi="ar"/>
        </w:rPr>
        <w:t>%时测定阀门的泄漏量，最大允许的泄漏量值为：0.0045m</w:t>
      </w:r>
      <w:r>
        <w:rPr>
          <w:rFonts w:hint="eastAsia" w:ascii="宋体" w:hAnsi="宋体" w:eastAsia="宋体"/>
          <w:kern w:val="2"/>
          <w:sz w:val="24"/>
          <w:szCs w:val="24"/>
          <w:highlight w:val="yellow"/>
          <w:vertAlign w:val="superscript"/>
          <w:lang w:val="en-US" w:eastAsia="zh-CN" w:bidi="ar"/>
        </w:rPr>
        <w:t>3</w:t>
      </w:r>
      <w:r>
        <w:rPr>
          <w:rFonts w:hint="eastAsia" w:ascii="宋体" w:hAnsi="宋体" w:eastAsia="宋体"/>
          <w:kern w:val="2"/>
          <w:sz w:val="24"/>
          <w:szCs w:val="24"/>
          <w:highlight w:val="yellow"/>
          <w:lang w:val="en-US" w:eastAsia="zh-CN" w:bidi="ar"/>
        </w:rPr>
        <w:t>/h。</w:t>
      </w:r>
      <w:r>
        <w:rPr>
          <w:rFonts w:hint="eastAsia" w:ascii="宋体" w:hAnsi="宋体" w:eastAsia="宋体"/>
          <w:kern w:val="2"/>
          <w:sz w:val="24"/>
          <w:szCs w:val="24"/>
          <w:lang w:val="en-US" w:eastAsia="zh-CN" w:bidi="ar"/>
        </w:rPr>
        <w:t>提供泄漏量测试仪器照片等信息及第三方权威机构泄漏量测试报告。</w:t>
      </w:r>
    </w:p>
    <w:p w14:paraId="504F13AD">
      <w:pPr>
        <w:pStyle w:val="26"/>
        <w:numPr>
          <w:ilvl w:val="0"/>
          <w:numId w:val="0"/>
        </w:numPr>
        <w:tabs>
          <w:tab w:val="left" w:pos="480"/>
          <w:tab w:val="left" w:pos="862"/>
        </w:tabs>
        <w:ind w:firstLine="480" w:firstLineChars="200"/>
        <w:rPr>
          <w:rFonts w:hint="eastAsia" w:ascii="宋体" w:hAnsi="宋体" w:eastAsia="宋体"/>
          <w:kern w:val="2"/>
          <w:sz w:val="24"/>
          <w:szCs w:val="24"/>
          <w:lang w:val="en-US" w:eastAsia="zh-CN" w:bidi="ar"/>
        </w:rPr>
      </w:pPr>
      <w:r>
        <w:rPr>
          <w:rFonts w:hint="eastAsia" w:ascii="宋体" w:hAnsi="宋体" w:eastAsia="宋体"/>
          <w:kern w:val="2"/>
          <w:sz w:val="24"/>
          <w:szCs w:val="24"/>
          <w:lang w:val="en-US" w:eastAsia="zh-CN" w:bidi="ar"/>
        </w:rPr>
        <w:t>4.2.2紧急泄放人孔须在超压为10%全启时达到额定排放量,提供权威机构第三方认证的10%全启实测开启高度、超压比、定压测试、额定泄放量以及启闭超压不超过10%的技术认证文件。</w:t>
      </w:r>
    </w:p>
    <w:p w14:paraId="7E0B67F6">
      <w:pPr>
        <w:pStyle w:val="26"/>
        <w:numPr>
          <w:ilvl w:val="0"/>
          <w:numId w:val="0"/>
        </w:numPr>
        <w:tabs>
          <w:tab w:val="left" w:pos="480"/>
          <w:tab w:val="left" w:pos="862"/>
        </w:tabs>
        <w:ind w:firstLine="480" w:firstLineChars="200"/>
        <w:rPr>
          <w:rFonts w:hint="eastAsia" w:ascii="宋体" w:hAnsi="宋体" w:eastAsia="宋体"/>
          <w:kern w:val="2"/>
          <w:sz w:val="24"/>
          <w:szCs w:val="24"/>
          <w:lang w:val="en-US" w:eastAsia="zh-CN" w:bidi="ar"/>
        </w:rPr>
      </w:pPr>
      <w:r>
        <w:rPr>
          <w:rFonts w:hint="eastAsia" w:ascii="宋体" w:hAnsi="宋体" w:eastAsia="宋体"/>
          <w:kern w:val="2"/>
          <w:sz w:val="24"/>
          <w:szCs w:val="24"/>
          <w:lang w:val="en-US" w:eastAsia="zh-CN" w:bidi="ar"/>
        </w:rPr>
        <w:t>4.2.3紧急泄放人孔提供第三方权威机构实测流量曲线。</w:t>
      </w:r>
    </w:p>
    <w:p w14:paraId="469EC0B3">
      <w:pPr>
        <w:pStyle w:val="26"/>
        <w:numPr>
          <w:ilvl w:val="0"/>
          <w:numId w:val="0"/>
        </w:numPr>
        <w:tabs>
          <w:tab w:val="left" w:pos="480"/>
          <w:tab w:val="left" w:pos="862"/>
        </w:tabs>
        <w:ind w:firstLine="482" w:firstLineChars="200"/>
        <w:rPr>
          <w:rFonts w:hint="eastAsia" w:ascii="宋体" w:hAnsi="宋体" w:eastAsia="宋体"/>
          <w:b/>
          <w:bCs/>
          <w:kern w:val="2"/>
          <w:sz w:val="24"/>
          <w:szCs w:val="24"/>
          <w:lang w:val="en-US" w:eastAsia="zh-CN" w:bidi="ar"/>
        </w:rPr>
      </w:pPr>
      <w:r>
        <w:rPr>
          <w:rFonts w:hint="eastAsia" w:ascii="宋体" w:hAnsi="宋体" w:eastAsia="宋体"/>
          <w:b/>
          <w:bCs/>
          <w:kern w:val="2"/>
          <w:sz w:val="24"/>
          <w:szCs w:val="24"/>
          <w:lang w:val="en-US" w:eastAsia="zh-CN" w:bidi="ar"/>
        </w:rPr>
        <w:t>4.3</w:t>
      </w:r>
      <w:r>
        <w:rPr>
          <w:rFonts w:hint="eastAsia" w:hAnsi="宋体"/>
          <w:b/>
          <w:bCs/>
          <w:kern w:val="2"/>
          <w:sz w:val="24"/>
          <w:szCs w:val="24"/>
          <w:lang w:val="en-US" w:eastAsia="zh-CN" w:bidi="ar"/>
        </w:rPr>
        <w:t xml:space="preserve"> </w:t>
      </w:r>
      <w:r>
        <w:rPr>
          <w:rFonts w:hint="eastAsia" w:ascii="宋体" w:hAnsi="宋体" w:eastAsia="宋体"/>
          <w:b/>
          <w:bCs/>
          <w:kern w:val="2"/>
          <w:sz w:val="24"/>
          <w:szCs w:val="24"/>
          <w:lang w:val="en-US" w:eastAsia="zh-CN" w:bidi="ar"/>
        </w:rPr>
        <w:t>备品备件</w:t>
      </w:r>
    </w:p>
    <w:p w14:paraId="204DA53D">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4.3</w:t>
      </w:r>
      <w:r>
        <w:rPr>
          <w:rFonts w:hint="eastAsia" w:asciiTheme="minorEastAsia" w:hAnsiTheme="minorEastAsia" w:eastAsiaTheme="minorEastAsia" w:cstheme="minorEastAsia"/>
          <w:sz w:val="24"/>
          <w:szCs w:val="24"/>
          <w:lang w:eastAsia="zh-CN"/>
        </w:rPr>
        <w:t>.1  安装及开车备品备件</w:t>
      </w:r>
    </w:p>
    <w:p w14:paraId="31B732E1">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运输、储存、安装及试车期间，用于非计划维修的易损备品备件，均包含在投标人的供货范围内。投标人应按以下表格要求提供备品备件，若需推荐额外备品备件，须在投标文件中单独列出，并详细说明推荐理由（如备品备件的必要性、使用寿命、更换周期等）。</w:t>
      </w:r>
    </w:p>
    <w:tbl>
      <w:tblPr>
        <w:tblStyle w:val="1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8"/>
        <w:gridCol w:w="3914"/>
        <w:gridCol w:w="1812"/>
        <w:gridCol w:w="2740"/>
      </w:tblGrid>
      <w:tr w14:paraId="3CF76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E3DE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C7F3B">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备件名称</w:t>
            </w: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FDDC6">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安装试车用备件%</w:t>
            </w:r>
          </w:p>
        </w:tc>
        <w:tc>
          <w:tcPr>
            <w:tcW w:w="1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D40E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备注</w:t>
            </w:r>
          </w:p>
        </w:tc>
      </w:tr>
      <w:tr w14:paraId="7C6A6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C894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57A3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膜片</w:t>
            </w: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BA66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1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CAB9D">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呼吸阀、单呼阀、泄放阀每台配1套膜片</w:t>
            </w:r>
          </w:p>
        </w:tc>
      </w:tr>
      <w:tr w14:paraId="17172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7"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27FA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2</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E50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3FC2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1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66A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r>
      <w:tr w14:paraId="681CB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E92D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3</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D0EB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2C67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1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A09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r>
      <w:tr w14:paraId="5E643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83A4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4</w:t>
            </w:r>
          </w:p>
        </w:tc>
        <w:tc>
          <w:tcPr>
            <w:tcW w:w="21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92C6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9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664A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c>
          <w:tcPr>
            <w:tcW w:w="1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3D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p>
        </w:tc>
      </w:tr>
    </w:tbl>
    <w:p w14:paraId="181637A9">
      <w:pPr>
        <w:spacing w:before="75" w:line="240" w:lineRule="auto"/>
        <w:ind w:left="39" w:firstLine="480" w:firstLineChars="200"/>
        <w:rPr>
          <w:rFonts w:ascii="宋体" w:hAnsi="宋体" w:eastAsia="宋体" w:cs="宋体"/>
          <w:sz w:val="24"/>
          <w:szCs w:val="24"/>
          <w:lang w:eastAsia="zh-CN"/>
        </w:rPr>
      </w:pPr>
      <w:r>
        <w:rPr>
          <w:rFonts w:hint="eastAsia" w:asciiTheme="minorEastAsia" w:hAnsiTheme="minorEastAsia" w:eastAsiaTheme="minorEastAsia" w:cstheme="minorEastAsia"/>
          <w:sz w:val="24"/>
          <w:szCs w:val="24"/>
          <w:lang w:val="en-US" w:eastAsia="zh-CN"/>
        </w:rPr>
        <w:t>4.3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2</w:t>
      </w:r>
      <w:r>
        <w:rPr>
          <w:rFonts w:ascii="宋体" w:hAnsi="宋体" w:eastAsia="宋体" w:cs="宋体"/>
          <w:spacing w:val="-3"/>
          <w:sz w:val="24"/>
          <w:szCs w:val="24"/>
          <w:lang w:eastAsia="zh-CN"/>
        </w:rPr>
        <w:t>特殊工具</w:t>
      </w:r>
    </w:p>
    <w:p w14:paraId="48CE564B">
      <w:pPr>
        <w:spacing w:before="103" w:line="240" w:lineRule="auto"/>
        <w:ind w:left="40" w:right="67" w:firstLine="480"/>
        <w:rPr>
          <w:rFonts w:ascii="宋体" w:hAnsi="宋体" w:eastAsia="宋体" w:cs="宋体"/>
          <w:sz w:val="24"/>
          <w:szCs w:val="24"/>
          <w:lang w:eastAsia="zh-CN"/>
        </w:rPr>
      </w:pPr>
      <w:r>
        <w:rPr>
          <w:rFonts w:hint="eastAsia" w:ascii="宋体" w:hAnsi="宋体" w:eastAsia="宋体" w:cs="宋体"/>
          <w:spacing w:val="-3"/>
          <w:sz w:val="24"/>
          <w:szCs w:val="24"/>
          <w:lang w:eastAsia="zh-CN"/>
        </w:rPr>
        <w:t>现场安装、拆卸、维修及日常操作所需的全部特殊工具（如有），均包含在投标人的供货范围内。投标人须在投标文件中详细列出特殊工具清单，明确工具名称、规格型号、数量及单位，确保满足现场各项作业需求</w:t>
      </w:r>
      <w:r>
        <w:rPr>
          <w:rFonts w:ascii="宋体" w:hAnsi="宋体" w:eastAsia="宋体" w:cs="宋体"/>
          <w:sz w:val="24"/>
          <w:szCs w:val="24"/>
          <w:lang w:eastAsia="zh-CN"/>
        </w:rPr>
        <w:t>。</w:t>
      </w:r>
    </w:p>
    <w:tbl>
      <w:tblPr>
        <w:tblStyle w:val="10"/>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3"/>
        <w:gridCol w:w="3487"/>
        <w:gridCol w:w="2647"/>
        <w:gridCol w:w="1109"/>
        <w:gridCol w:w="1109"/>
      </w:tblGrid>
      <w:tr w14:paraId="7786E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F93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6901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工具名称</w:t>
            </w: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7553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规格型号</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CBD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数量</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B37E4">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单位</w:t>
            </w:r>
          </w:p>
        </w:tc>
      </w:tr>
      <w:tr w14:paraId="4D8D1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4D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496B7">
            <w:pPr>
              <w:jc w:val="center"/>
              <w:rPr>
                <w:rFonts w:hint="eastAsia" w:ascii="宋体" w:hAnsi="宋体" w:eastAsia="宋体" w:cs="宋体"/>
                <w:i w:val="0"/>
                <w:iCs w:val="0"/>
                <w:color w:val="000000"/>
                <w:sz w:val="20"/>
                <w:szCs w:val="20"/>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D9E35">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595F6">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B2B5">
            <w:pPr>
              <w:rPr>
                <w:rFonts w:hint="eastAsia" w:ascii="宋体" w:hAnsi="宋体" w:eastAsia="宋体" w:cs="宋体"/>
                <w:i w:val="0"/>
                <w:iCs w:val="0"/>
                <w:color w:val="000000"/>
                <w:sz w:val="22"/>
                <w:szCs w:val="22"/>
                <w:u w:val="none"/>
              </w:rPr>
            </w:pPr>
          </w:p>
        </w:tc>
      </w:tr>
      <w:tr w14:paraId="59711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E2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8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92C6">
            <w:pPr>
              <w:jc w:val="center"/>
              <w:rPr>
                <w:rFonts w:hint="eastAsia" w:ascii="宋体" w:hAnsi="宋体" w:eastAsia="宋体" w:cs="宋体"/>
                <w:i w:val="0"/>
                <w:iCs w:val="0"/>
                <w:color w:val="000000"/>
                <w:sz w:val="20"/>
                <w:szCs w:val="20"/>
                <w:u w:val="none"/>
              </w:rPr>
            </w:pPr>
          </w:p>
        </w:tc>
        <w:tc>
          <w:tcPr>
            <w:tcW w:w="1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16BBB">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DDE9B">
            <w:pPr>
              <w:jc w:val="center"/>
              <w:rPr>
                <w:rFonts w:hint="eastAsia" w:ascii="宋体" w:hAnsi="宋体" w:eastAsia="宋体" w:cs="宋体"/>
                <w:i w:val="0"/>
                <w:iCs w:val="0"/>
                <w:color w:val="000000"/>
                <w:sz w:val="20"/>
                <w:szCs w:val="20"/>
                <w:u w:val="none"/>
              </w:rPr>
            </w:pP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275A0">
            <w:pPr>
              <w:rPr>
                <w:rFonts w:hint="eastAsia" w:ascii="宋体" w:hAnsi="宋体" w:eastAsia="宋体" w:cs="宋体"/>
                <w:i w:val="0"/>
                <w:iCs w:val="0"/>
                <w:color w:val="000000"/>
                <w:sz w:val="22"/>
                <w:szCs w:val="22"/>
                <w:u w:val="none"/>
              </w:rPr>
            </w:pPr>
          </w:p>
        </w:tc>
      </w:tr>
    </w:tbl>
    <w:p w14:paraId="7CACBA02">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Theme="minorEastAsia" w:hAnsiTheme="minorEastAsia" w:eastAsiaTheme="minorEastAsia" w:cstheme="minorEastAsia"/>
          <w:sz w:val="24"/>
          <w:szCs w:val="24"/>
          <w:lang w:eastAsia="zh-CN"/>
        </w:rPr>
      </w:pPr>
    </w:p>
    <w:p w14:paraId="1CD1C9CE">
      <w:pPr>
        <w:pStyle w:val="26"/>
        <w:numPr>
          <w:ilvl w:val="0"/>
          <w:numId w:val="0"/>
        </w:numPr>
        <w:tabs>
          <w:tab w:val="left" w:pos="480"/>
          <w:tab w:val="left" w:pos="862"/>
        </w:tabs>
        <w:ind w:firstLine="480" w:firstLineChars="200"/>
        <w:rPr>
          <w:rFonts w:hint="eastAsia" w:ascii="宋体" w:hAnsi="宋体" w:eastAsia="宋体" w:cs="Times New Roman"/>
          <w:b w:val="0"/>
          <w:bCs w:val="0"/>
          <w:kern w:val="2"/>
          <w:sz w:val="24"/>
          <w:szCs w:val="24"/>
          <w:lang w:val="en-US" w:eastAsia="zh-CN" w:bidi="ar"/>
        </w:rPr>
      </w:pPr>
      <w:bookmarkStart w:id="5" w:name="_Toc435264433"/>
      <w:r>
        <w:rPr>
          <w:rFonts w:hint="eastAsia" w:hAnsi="宋体" w:cs="Times New Roman"/>
          <w:b w:val="0"/>
          <w:bCs w:val="0"/>
          <w:kern w:val="2"/>
          <w:sz w:val="24"/>
          <w:szCs w:val="24"/>
          <w:lang w:val="en-US" w:eastAsia="zh-CN" w:bidi="ar"/>
        </w:rPr>
        <w:t>4.3.3</w:t>
      </w:r>
      <w:r>
        <w:rPr>
          <w:rFonts w:hint="eastAsia" w:ascii="宋体" w:hAnsi="宋体" w:eastAsia="宋体" w:cs="Times New Roman"/>
          <w:b w:val="0"/>
          <w:bCs w:val="0"/>
          <w:kern w:val="2"/>
          <w:sz w:val="24"/>
          <w:szCs w:val="24"/>
          <w:lang w:val="en-US" w:eastAsia="zh-CN" w:bidi="ar"/>
        </w:rPr>
        <w:t>技术偏离表</w:t>
      </w:r>
    </w:p>
    <w:p w14:paraId="16A9E36E">
      <w:pPr>
        <w:keepNext w:val="0"/>
        <w:keepLines w:val="0"/>
        <w:pageBreakBefore w:val="0"/>
        <w:widowControl/>
        <w:kinsoku w:val="0"/>
        <w:wordWrap/>
        <w:overflowPunct/>
        <w:topLinePunct w:val="0"/>
        <w:autoSpaceDE w:val="0"/>
        <w:autoSpaceDN w:val="0"/>
        <w:bidi w:val="0"/>
        <w:adjustRightInd w:val="0"/>
        <w:snapToGrid w:val="0"/>
        <w:spacing w:line="420" w:lineRule="exact"/>
        <w:ind w:firstLine="480" w:firstLineChars="200"/>
        <w:textAlignment w:val="baseline"/>
        <w:rPr>
          <w:rFonts w:hint="eastAsia" w:ascii="宋体" w:hAnsi="宋体" w:eastAsia="宋体" w:cs="宋体"/>
          <w:b/>
          <w:bCs/>
          <w:color w:val="auto"/>
          <w:sz w:val="24"/>
          <w:szCs w:val="24"/>
          <w:lang w:val="en-US" w:eastAsia="zh-CN"/>
        </w:rPr>
      </w:pPr>
      <w:r>
        <w:rPr>
          <w:rFonts w:hint="default" w:ascii="宋体" w:hAnsi="宋体" w:eastAsia="宋体" w:cs="宋体"/>
          <w:color w:val="auto"/>
          <w:sz w:val="24"/>
          <w:szCs w:val="24"/>
          <w:lang w:val="en-US" w:eastAsia="zh-CN"/>
        </w:rPr>
        <w:t>若存在对本技术招标文件的偏离，应在投标文件中按</w:t>
      </w:r>
      <w:r>
        <w:rPr>
          <w:rFonts w:hint="eastAsia" w:ascii="宋体" w:hAnsi="宋体" w:eastAsia="宋体" w:cs="宋体"/>
          <w:color w:val="auto"/>
          <w:sz w:val="24"/>
          <w:szCs w:val="24"/>
          <w:lang w:val="en-US" w:eastAsia="zh-CN"/>
        </w:rPr>
        <w:t>下表</w:t>
      </w:r>
      <w:r>
        <w:rPr>
          <w:rFonts w:hint="default" w:ascii="宋体" w:hAnsi="宋体" w:eastAsia="宋体" w:cs="宋体"/>
          <w:color w:val="auto"/>
          <w:sz w:val="24"/>
          <w:szCs w:val="24"/>
          <w:lang w:val="en-US" w:eastAsia="zh-CN"/>
        </w:rPr>
        <w:t>格式逐一列出偏离。</w:t>
      </w:r>
      <w:r>
        <w:rPr>
          <w:rFonts w:hint="default" w:ascii="宋体" w:hAnsi="宋体" w:eastAsia="宋体" w:cs="宋体"/>
          <w:b/>
          <w:bCs/>
          <w:color w:val="auto"/>
          <w:sz w:val="24"/>
          <w:szCs w:val="24"/>
          <w:lang w:val="en-US" w:eastAsia="zh-CN"/>
        </w:rPr>
        <w:t>未包含偏离表或偏离表为空白的投标文件为无效投标</w:t>
      </w:r>
      <w:r>
        <w:rPr>
          <w:rFonts w:hint="eastAsia" w:ascii="宋体" w:hAnsi="宋体" w:eastAsia="宋体" w:cs="宋体"/>
          <w:b/>
          <w:bCs/>
          <w:color w:val="auto"/>
          <w:sz w:val="24"/>
          <w:szCs w:val="24"/>
          <w:lang w:val="en-US" w:eastAsia="zh-CN"/>
        </w:rPr>
        <w:t>。</w:t>
      </w:r>
    </w:p>
    <w:tbl>
      <w:tblPr>
        <w:tblStyle w:val="10"/>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6"/>
        <w:gridCol w:w="2873"/>
        <w:gridCol w:w="2874"/>
        <w:gridCol w:w="2874"/>
      </w:tblGrid>
      <w:tr w14:paraId="11B2D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6E1D2D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序号</w:t>
            </w: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0F3D50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技术招标文件内容</w:t>
            </w: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7F5C1A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要求变更后的内容</w:t>
            </w: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73FAB7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变更理由</w:t>
            </w:r>
          </w:p>
        </w:tc>
      </w:tr>
      <w:tr w14:paraId="74FE5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7D374DB5">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13621829">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4FF7575B">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556EC93A">
            <w:pPr>
              <w:jc w:val="center"/>
              <w:rPr>
                <w:rFonts w:hint="eastAsia" w:ascii="宋体" w:hAnsi="宋体" w:eastAsia="宋体" w:cs="宋体"/>
                <w:i w:val="0"/>
                <w:iCs w:val="0"/>
                <w:color w:val="000000"/>
                <w:sz w:val="22"/>
                <w:szCs w:val="22"/>
                <w:u w:val="none"/>
              </w:rPr>
            </w:pPr>
          </w:p>
        </w:tc>
      </w:tr>
      <w:tr w14:paraId="68AE7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4F3B2EB1">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4415C8F4">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0E999D67">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4D89B2AC">
            <w:pPr>
              <w:jc w:val="center"/>
              <w:rPr>
                <w:rFonts w:hint="eastAsia" w:ascii="宋体" w:hAnsi="宋体" w:eastAsia="宋体" w:cs="宋体"/>
                <w:i w:val="0"/>
                <w:iCs w:val="0"/>
                <w:color w:val="000000"/>
                <w:sz w:val="22"/>
                <w:szCs w:val="22"/>
                <w:u w:val="none"/>
              </w:rPr>
            </w:pPr>
          </w:p>
        </w:tc>
      </w:tr>
      <w:tr w14:paraId="300B1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050F81F8">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793F98F2">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68BD58BB">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2DF51633">
            <w:pPr>
              <w:jc w:val="center"/>
              <w:rPr>
                <w:rFonts w:hint="eastAsia" w:ascii="宋体" w:hAnsi="宋体" w:eastAsia="宋体" w:cs="宋体"/>
                <w:i w:val="0"/>
                <w:iCs w:val="0"/>
                <w:color w:val="000000"/>
                <w:sz w:val="22"/>
                <w:szCs w:val="22"/>
                <w:u w:val="none"/>
              </w:rPr>
            </w:pPr>
          </w:p>
        </w:tc>
      </w:tr>
      <w:tr w14:paraId="3D723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59" w:type="pct"/>
            <w:tcBorders>
              <w:top w:val="single" w:color="000000" w:sz="4" w:space="0"/>
              <w:left w:val="single" w:color="000000" w:sz="4" w:space="0"/>
              <w:bottom w:val="single" w:color="000000" w:sz="4" w:space="0"/>
              <w:right w:val="single" w:color="000000" w:sz="4" w:space="0"/>
            </w:tcBorders>
            <w:noWrap/>
            <w:vAlign w:val="center"/>
          </w:tcPr>
          <w:p w14:paraId="2C1B3CD3">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7F798953">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18650185">
            <w:pPr>
              <w:jc w:val="center"/>
              <w:rPr>
                <w:rFonts w:hint="eastAsia" w:ascii="宋体" w:hAnsi="宋体" w:eastAsia="宋体" w:cs="宋体"/>
                <w:i w:val="0"/>
                <w:iCs w:val="0"/>
                <w:color w:val="000000"/>
                <w:sz w:val="22"/>
                <w:szCs w:val="22"/>
                <w:u w:val="none"/>
              </w:rPr>
            </w:pPr>
          </w:p>
        </w:tc>
        <w:tc>
          <w:tcPr>
            <w:tcW w:w="1546" w:type="pct"/>
            <w:tcBorders>
              <w:top w:val="single" w:color="000000" w:sz="4" w:space="0"/>
              <w:left w:val="single" w:color="000000" w:sz="4" w:space="0"/>
              <w:bottom w:val="single" w:color="000000" w:sz="4" w:space="0"/>
              <w:right w:val="single" w:color="000000" w:sz="4" w:space="0"/>
            </w:tcBorders>
            <w:noWrap/>
            <w:vAlign w:val="center"/>
          </w:tcPr>
          <w:p w14:paraId="6451A14A">
            <w:pPr>
              <w:jc w:val="center"/>
              <w:rPr>
                <w:rFonts w:hint="eastAsia" w:ascii="宋体" w:hAnsi="宋体" w:eastAsia="宋体" w:cs="宋体"/>
                <w:i w:val="0"/>
                <w:iCs w:val="0"/>
                <w:color w:val="000000"/>
                <w:sz w:val="22"/>
                <w:szCs w:val="22"/>
                <w:u w:val="none"/>
              </w:rPr>
            </w:pPr>
          </w:p>
        </w:tc>
      </w:tr>
    </w:tbl>
    <w:p w14:paraId="0E08E41F">
      <w:pPr>
        <w:tabs>
          <w:tab w:val="left" w:pos="862"/>
        </w:tabs>
        <w:spacing w:line="360" w:lineRule="auto"/>
        <w:ind w:firstLine="562" w:firstLineChars="200"/>
        <w:rPr>
          <w:rFonts w:hint="eastAsia" w:asciiTheme="minorEastAsia" w:hAnsiTheme="minorEastAsia" w:eastAsiaTheme="minorEastAsia" w:cstheme="minorEastAsia"/>
          <w:b/>
          <w:bCs/>
          <w:kern w:val="0"/>
          <w:sz w:val="28"/>
          <w:szCs w:val="28"/>
          <w:lang w:eastAsia="zh-CN"/>
        </w:rPr>
      </w:pPr>
    </w:p>
    <w:p w14:paraId="0F343A05">
      <w:pPr>
        <w:numPr>
          <w:ilvl w:val="0"/>
          <w:numId w:val="3"/>
        </w:numPr>
        <w:spacing w:line="420" w:lineRule="exact"/>
        <w:ind w:firstLine="0" w:firstLineChars="0"/>
        <w:rPr>
          <w:rFonts w:hint="eastAsia" w:asciiTheme="minorEastAsia" w:hAnsiTheme="minorEastAsia" w:eastAsiaTheme="minorEastAsia" w:cstheme="minorEastAsia"/>
          <w:b/>
          <w:bCs/>
          <w:kern w:val="0"/>
          <w:sz w:val="28"/>
          <w:szCs w:val="28"/>
          <w:lang w:eastAsia="zh-CN"/>
        </w:rPr>
      </w:pPr>
      <w:r>
        <w:rPr>
          <w:rFonts w:hint="eastAsia" w:asciiTheme="minorEastAsia" w:hAnsiTheme="minorEastAsia" w:eastAsiaTheme="minorEastAsia" w:cstheme="minorEastAsia"/>
          <w:b/>
          <w:bCs/>
          <w:kern w:val="0"/>
          <w:sz w:val="28"/>
          <w:szCs w:val="28"/>
          <w:lang w:eastAsia="zh-CN"/>
        </w:rPr>
        <w:t>包装运输及质量保证和售后服务</w:t>
      </w:r>
      <w:bookmarkEnd w:id="5"/>
    </w:p>
    <w:p w14:paraId="1F36513E">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w:t>
      </w:r>
      <w:r>
        <w:rPr>
          <w:rFonts w:hint="eastAsia" w:ascii="宋体" w:hAnsi="宋体" w:eastAsia="宋体" w:cs="Times New Roman"/>
          <w:snapToGrid/>
          <w:kern w:val="2"/>
          <w:sz w:val="24"/>
          <w:szCs w:val="24"/>
          <w:lang w:val="en-US" w:eastAsia="zh-CN" w:bidi="ar"/>
        </w:rPr>
        <w:t>.1 标识与包装</w:t>
      </w:r>
    </w:p>
    <w:p w14:paraId="15CA87EF">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5.1.1</w:t>
      </w:r>
      <w:r>
        <w:rPr>
          <w:rFonts w:hint="eastAsia" w:ascii="宋体" w:hAnsi="宋体" w:eastAsia="宋体" w:cs="Times New Roman"/>
          <w:snapToGrid/>
          <w:kern w:val="2"/>
          <w:sz w:val="24"/>
          <w:szCs w:val="24"/>
          <w:lang w:val="en-US" w:eastAsia="zh-CN" w:bidi="ar"/>
        </w:rPr>
        <w:t>每台设备须设置永久性铭牌，铭牌内容须清晰、牢固，标注信息包含但不限于：设备名称、型号规格、公称直径、设定压力、材质、出厂编号、制造日期、制造商全称。</w:t>
      </w:r>
    </w:p>
    <w:p w14:paraId="068777A0">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5.1.2</w:t>
      </w:r>
      <w:r>
        <w:rPr>
          <w:rFonts w:hint="eastAsia" w:ascii="宋体" w:hAnsi="宋体" w:eastAsia="宋体" w:cs="Times New Roman"/>
          <w:snapToGrid/>
          <w:kern w:val="2"/>
          <w:sz w:val="24"/>
          <w:szCs w:val="24"/>
          <w:lang w:val="en-US" w:eastAsia="zh-CN" w:bidi="ar"/>
        </w:rPr>
        <w:t>设备包装采用木箱或铁箱，包装须满足防潮、防震、防碰撞要求，避免运输过程中设备损坏；所有法兰面须加装保护盖，防止杂物进入及密封面损伤。随箱须附带完整的装箱清单、相关技术文件（含产品合格证、检验报告等）。</w:t>
      </w:r>
    </w:p>
    <w:p w14:paraId="37792335">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w:t>
      </w:r>
      <w:r>
        <w:rPr>
          <w:rFonts w:hint="eastAsia" w:ascii="宋体" w:hAnsi="宋体" w:eastAsia="宋体" w:cs="Times New Roman"/>
          <w:snapToGrid/>
          <w:kern w:val="2"/>
          <w:sz w:val="24"/>
          <w:szCs w:val="24"/>
          <w:lang w:val="en-US" w:eastAsia="zh-CN" w:bidi="ar"/>
        </w:rPr>
        <w:t>.2 运输与安装</w:t>
      </w:r>
    </w:p>
    <w:p w14:paraId="0534F065">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ascii="宋体" w:hAnsi="宋体" w:eastAsia="宋体" w:cs="Times New Roman"/>
          <w:snapToGrid/>
          <w:kern w:val="2"/>
          <w:sz w:val="24"/>
          <w:szCs w:val="24"/>
          <w:lang w:val="en-US" w:eastAsia="zh-CN" w:bidi="ar"/>
        </w:rPr>
        <w:t>设备运输过程中，须采取有效防护措施，避免碰撞、倒置、雨淋、暴晒，确保设备完好无损送达</w:t>
      </w:r>
      <w:r>
        <w:rPr>
          <w:rFonts w:hint="eastAsia" w:hAnsi="宋体" w:cs="Times New Roman"/>
          <w:snapToGrid/>
          <w:kern w:val="2"/>
          <w:sz w:val="24"/>
          <w:szCs w:val="24"/>
          <w:lang w:val="en-US" w:eastAsia="zh-CN" w:bidi="ar"/>
        </w:rPr>
        <w:t>招标方</w:t>
      </w:r>
      <w:r>
        <w:rPr>
          <w:rFonts w:hint="eastAsia" w:ascii="宋体" w:hAnsi="宋体" w:eastAsia="宋体" w:cs="Times New Roman"/>
          <w:snapToGrid/>
          <w:kern w:val="2"/>
          <w:sz w:val="24"/>
          <w:szCs w:val="24"/>
          <w:lang w:val="en-US" w:eastAsia="zh-CN" w:bidi="ar"/>
        </w:rPr>
        <w:t>指定地点。投标人须提供专业的安装指导、调试服务，全程配合招标人完成现场安装、压力试验、试运行等相关工作，及时解决安装调试过程中出现的技术问题。</w:t>
      </w:r>
    </w:p>
    <w:p w14:paraId="77642C45">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w:t>
      </w:r>
      <w:r>
        <w:rPr>
          <w:rFonts w:hint="eastAsia" w:ascii="宋体" w:hAnsi="宋体" w:eastAsia="宋体" w:cs="Times New Roman"/>
          <w:snapToGrid/>
          <w:kern w:val="2"/>
          <w:sz w:val="24"/>
          <w:szCs w:val="24"/>
          <w:lang w:val="en-US" w:eastAsia="zh-CN" w:bidi="ar"/>
        </w:rPr>
        <w:t>.3 质保与服务</w:t>
      </w:r>
    </w:p>
    <w:p w14:paraId="7D1A4E46">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5.3.1</w:t>
      </w:r>
      <w:r>
        <w:rPr>
          <w:rFonts w:hint="eastAsia" w:ascii="宋体" w:hAnsi="宋体" w:eastAsia="宋体" w:cs="Times New Roman"/>
          <w:snapToGrid/>
          <w:kern w:val="2"/>
          <w:sz w:val="24"/>
          <w:szCs w:val="24"/>
          <w:lang w:val="en-US" w:eastAsia="zh-CN" w:bidi="ar"/>
        </w:rPr>
        <w:t>设备质保期为验收合格之日起24个月，质保期内，因设备自身质量问题（非人为损坏、不可抗力因素导致）产生的故障，投标人须免费提供维修服务、更换损坏零部件，承担全部维修及零部件费用。</w:t>
      </w:r>
    </w:p>
    <w:p w14:paraId="26874C71">
      <w:pPr>
        <w:pStyle w:val="26"/>
        <w:numPr>
          <w:ilvl w:val="0"/>
          <w:numId w:val="0"/>
        </w:numPr>
        <w:tabs>
          <w:tab w:val="left" w:pos="480"/>
          <w:tab w:val="left" w:pos="862"/>
        </w:tabs>
        <w:ind w:firstLine="480" w:firstLineChars="200"/>
        <w:rPr>
          <w:rFonts w:hint="eastAsia" w:ascii="宋体" w:hAnsi="宋体" w:eastAsia="宋体" w:cs="Times New Roman"/>
          <w:snapToGrid/>
          <w:kern w:val="2"/>
          <w:sz w:val="24"/>
          <w:szCs w:val="24"/>
          <w:lang w:val="en-US" w:eastAsia="zh-CN" w:bidi="ar"/>
        </w:rPr>
      </w:pPr>
      <w:r>
        <w:rPr>
          <w:rFonts w:hint="eastAsia" w:hAnsi="宋体" w:cs="Times New Roman"/>
          <w:snapToGrid/>
          <w:kern w:val="2"/>
          <w:sz w:val="24"/>
          <w:szCs w:val="24"/>
          <w:lang w:val="en-US" w:eastAsia="zh-CN" w:bidi="ar"/>
        </w:rPr>
        <w:t>5.3.2</w:t>
      </w:r>
      <w:r>
        <w:rPr>
          <w:rFonts w:hint="eastAsia" w:ascii="宋体" w:hAnsi="宋体" w:eastAsia="宋体" w:cs="Times New Roman"/>
          <w:snapToGrid/>
          <w:kern w:val="2"/>
          <w:sz w:val="24"/>
          <w:szCs w:val="24"/>
          <w:lang w:val="en-US" w:eastAsia="zh-CN" w:bidi="ar"/>
        </w:rPr>
        <w:t>终身提供技术支持、维修服务，接到故障通知后24 小时内响应，48小时内到达现场。</w:t>
      </w:r>
    </w:p>
    <w:p w14:paraId="50745845">
      <w:pPr>
        <w:numPr>
          <w:ilvl w:val="0"/>
          <w:numId w:val="3"/>
        </w:numPr>
        <w:spacing w:line="420" w:lineRule="exact"/>
        <w:ind w:firstLine="0" w:firstLineChars="0"/>
        <w:rPr>
          <w:rFonts w:hint="eastAsia" w:asciiTheme="minorEastAsia" w:hAnsiTheme="minorEastAsia" w:eastAsiaTheme="minorEastAsia" w:cstheme="minorEastAsia"/>
          <w:b/>
          <w:bCs/>
          <w:sz w:val="28"/>
          <w:szCs w:val="28"/>
          <w:lang w:eastAsia="zh-CN"/>
        </w:rPr>
      </w:pPr>
      <w:bookmarkStart w:id="6" w:name="_Toc435264434"/>
      <w:r>
        <w:rPr>
          <w:rFonts w:hint="eastAsia" w:asciiTheme="minorEastAsia" w:hAnsiTheme="minorEastAsia" w:eastAsiaTheme="minorEastAsia" w:cstheme="minorEastAsia"/>
          <w:b/>
          <w:bCs/>
          <w:sz w:val="28"/>
          <w:szCs w:val="28"/>
          <w:lang w:eastAsia="zh-CN"/>
        </w:rPr>
        <w:t>技术文件资料要求</w:t>
      </w:r>
      <w:bookmarkEnd w:id="6"/>
    </w:p>
    <w:p w14:paraId="5EAF381F">
      <w:pPr>
        <w:tabs>
          <w:tab w:val="left" w:pos="862"/>
        </w:tabs>
        <w:spacing w:line="360" w:lineRule="auto"/>
        <w:ind w:firstLine="480" w:firstLineChars="200"/>
        <w:rPr>
          <w:rFonts w:hint="default" w:ascii="宋体" w:hAnsi="宋体" w:eastAsia="宋体"/>
          <w:sz w:val="24"/>
          <w:lang w:eastAsia="zh-CN"/>
        </w:rPr>
      </w:pPr>
      <w:r>
        <w:rPr>
          <w:rFonts w:hint="eastAsia" w:ascii="宋体" w:hAnsi="宋体" w:eastAsia="宋体"/>
          <w:sz w:val="24"/>
          <w:lang w:val="en-US" w:eastAsia="zh-CN"/>
        </w:rPr>
        <w:t>6.1</w:t>
      </w:r>
      <w:r>
        <w:rPr>
          <w:rFonts w:hint="eastAsia" w:ascii="宋体" w:hAnsi="宋体" w:eastAsia="宋体"/>
          <w:sz w:val="24"/>
          <w:lang w:eastAsia="zh-CN"/>
        </w:rPr>
        <w:t xml:space="preserve"> 投标人须按照合同技术附件要求，提供完整、准确、规范的产品技术资料，包括但不限于：产品技术规格书、设备结构图、装配图、零部件清单、备品备件清单，确保现场安装、调试、维修工作顺利开展</w:t>
      </w:r>
      <w:r>
        <w:rPr>
          <w:rFonts w:hint="default" w:ascii="宋体" w:hAnsi="宋体" w:eastAsia="宋体"/>
          <w:sz w:val="24"/>
          <w:lang w:eastAsia="zh-CN"/>
        </w:rPr>
        <w:t>。</w:t>
      </w:r>
    </w:p>
    <w:p w14:paraId="23B3D6CA">
      <w:pPr>
        <w:tabs>
          <w:tab w:val="left" w:pos="862"/>
        </w:tabs>
        <w:spacing w:line="360" w:lineRule="auto"/>
        <w:ind w:firstLine="480" w:firstLineChars="200"/>
        <w:rPr>
          <w:rFonts w:hint="default" w:ascii="宋体" w:hAnsi="宋体" w:eastAsia="宋体"/>
          <w:sz w:val="24"/>
          <w:lang w:eastAsia="zh-CN"/>
        </w:rPr>
      </w:pPr>
      <w:r>
        <w:rPr>
          <w:rFonts w:hint="eastAsia" w:ascii="宋体" w:hAnsi="宋体" w:eastAsia="宋体"/>
          <w:sz w:val="24"/>
          <w:lang w:val="en-US" w:eastAsia="zh-CN"/>
        </w:rPr>
        <w:t>6.2</w:t>
      </w:r>
      <w:r>
        <w:rPr>
          <w:rFonts w:hint="eastAsia" w:ascii="宋体" w:hAnsi="宋体" w:eastAsia="宋体"/>
          <w:sz w:val="24"/>
          <w:lang w:eastAsia="zh-CN"/>
        </w:rPr>
        <w:t>投标人须按照合同技术附件要求，提供设备相关质量证明文件，包括但不限于：材质证明、无损检测报告、压力试验报告、密封试验报告等，确保设备质量符合标准及招标要求</w:t>
      </w:r>
      <w:r>
        <w:rPr>
          <w:rFonts w:hint="default" w:ascii="宋体" w:hAnsi="宋体" w:eastAsia="宋体"/>
          <w:sz w:val="24"/>
          <w:lang w:eastAsia="zh-CN"/>
        </w:rPr>
        <w:t>。</w:t>
      </w:r>
    </w:p>
    <w:p w14:paraId="27A1D9BE">
      <w:pPr>
        <w:tabs>
          <w:tab w:val="left" w:pos="862"/>
        </w:tabs>
        <w:spacing w:line="360" w:lineRule="auto"/>
        <w:ind w:firstLine="480" w:firstLineChars="200"/>
        <w:rPr>
          <w:rFonts w:hint="default" w:ascii="宋体" w:hAnsi="宋体" w:eastAsia="宋体"/>
          <w:sz w:val="24"/>
          <w:lang w:eastAsia="zh-CN"/>
        </w:rPr>
      </w:pPr>
      <w:r>
        <w:rPr>
          <w:rFonts w:hint="eastAsia" w:ascii="宋体" w:hAnsi="宋体" w:eastAsia="宋体"/>
          <w:sz w:val="24"/>
          <w:lang w:val="en-US" w:eastAsia="zh-CN"/>
        </w:rPr>
        <w:t>6.3投标人须提供完整的认证及检测报告，包括但不限于：ATEX防爆认证证书、ISO 16852阻火性能测试报告、第三方流量测试报告等，所有报告须真实、有效，加盖相关机构公章</w:t>
      </w:r>
      <w:r>
        <w:rPr>
          <w:rFonts w:hint="default" w:ascii="宋体" w:hAnsi="宋体" w:eastAsia="宋体"/>
          <w:sz w:val="24"/>
          <w:lang w:eastAsia="zh-CN"/>
        </w:rPr>
        <w:t>。</w:t>
      </w:r>
    </w:p>
    <w:p w14:paraId="2B7F9361">
      <w:pPr>
        <w:tabs>
          <w:tab w:val="left" w:pos="862"/>
        </w:tabs>
        <w:spacing w:line="360" w:lineRule="auto"/>
        <w:ind w:firstLine="480" w:firstLineChars="200"/>
        <w:rPr>
          <w:rFonts w:hint="eastAsia" w:ascii="宋体" w:hAnsi="宋体" w:eastAsia="宋体"/>
          <w:sz w:val="24"/>
          <w:lang w:eastAsia="zh-CN"/>
        </w:rPr>
      </w:pPr>
      <w:r>
        <w:rPr>
          <w:rFonts w:hint="eastAsia" w:ascii="宋体" w:hAnsi="宋体" w:eastAsia="宋体"/>
          <w:sz w:val="24"/>
          <w:lang w:val="en-US" w:eastAsia="zh-CN"/>
        </w:rPr>
        <w:t>6.4</w:t>
      </w:r>
      <w:r>
        <w:rPr>
          <w:rFonts w:hint="eastAsia" w:ascii="宋体" w:hAnsi="宋体" w:eastAsia="宋体"/>
          <w:sz w:val="24"/>
          <w:lang w:eastAsia="zh-CN"/>
        </w:rPr>
        <w:t>投标人提交的技术文件资料，其范围、份数、交付时间及交付方式，须严格遵守招标人的相关规定，确保资料及时、足额交付。</w:t>
      </w:r>
    </w:p>
    <w:p w14:paraId="443E3C73">
      <w:pPr>
        <w:numPr>
          <w:ilvl w:val="0"/>
          <w:numId w:val="3"/>
        </w:numPr>
        <w:spacing w:line="420" w:lineRule="exact"/>
        <w:ind w:firstLine="0" w:firstLineChars="0"/>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验收标准</w:t>
      </w:r>
    </w:p>
    <w:p w14:paraId="5B141FD9">
      <w:pPr>
        <w:tabs>
          <w:tab w:val="left" w:pos="862"/>
        </w:tabs>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7.1</w:t>
      </w:r>
      <w:r>
        <w:rPr>
          <w:rFonts w:hint="default" w:ascii="宋体" w:hAnsi="宋体" w:eastAsia="宋体"/>
          <w:sz w:val="24"/>
          <w:lang w:val="en-US" w:eastAsia="zh-CN"/>
        </w:rPr>
        <w:t>招标方有权在合同设备制造过程中委托监造单位或派驻厂代表进行过程监造和出厂前检验。招标方派遣检查人员或代表对货物进行检验时，投标方应免费提供检查所需的检查工具、测量设备、全部图纸以及产品的其他相关资料，并保障检查人员正常开展检验工作。</w:t>
      </w:r>
    </w:p>
    <w:p w14:paraId="24BEAA71">
      <w:pPr>
        <w:tabs>
          <w:tab w:val="left" w:pos="862"/>
        </w:tabs>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7.2</w:t>
      </w:r>
      <w:r>
        <w:rPr>
          <w:rFonts w:hint="default" w:ascii="宋体" w:hAnsi="宋体" w:eastAsia="宋体"/>
          <w:sz w:val="24"/>
          <w:lang w:val="en-US" w:eastAsia="zh-CN"/>
        </w:rPr>
        <w:t>设备出厂前，招标人有权委派人员赴投标方生产工厂，对原材料质量、加工制造过程及成品质量进行抽检，投标方须积极配合并提供必要的检验条件。</w:t>
      </w:r>
    </w:p>
    <w:p w14:paraId="6120BDF3">
      <w:pPr>
        <w:tabs>
          <w:tab w:val="left" w:pos="862"/>
        </w:tabs>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7.3</w:t>
      </w:r>
      <w:r>
        <w:rPr>
          <w:rFonts w:hint="default" w:ascii="宋体" w:hAnsi="宋体" w:eastAsia="宋体"/>
          <w:sz w:val="24"/>
          <w:lang w:val="en-US" w:eastAsia="zh-CN"/>
        </w:rPr>
        <w:t>设备到货后，招标人将按照本招标技术要求、相关标准及设计图纸，对设备的外观、尺寸、材质、铭牌、包装及随箱资料进行全面核查，核查合格后方可进入安装环节。</w:t>
      </w:r>
    </w:p>
    <w:p w14:paraId="05EA110A">
      <w:pPr>
        <w:tabs>
          <w:tab w:val="left" w:pos="862"/>
        </w:tabs>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7.4</w:t>
      </w:r>
      <w:r>
        <w:rPr>
          <w:rFonts w:hint="default" w:ascii="宋体" w:hAnsi="宋体" w:eastAsia="宋体"/>
          <w:sz w:val="24"/>
          <w:lang w:val="en-US" w:eastAsia="zh-CN"/>
        </w:rPr>
        <w:t xml:space="preserve">  设备现场安装完毕后，须进行动作试验、密封试验、泄放试验，所有试验结果须满足本技术要求及相关标准规定，方可判定为安装验收合格。</w:t>
      </w:r>
    </w:p>
    <w:p w14:paraId="2E50400D">
      <w:pPr>
        <w:tabs>
          <w:tab w:val="left" w:pos="862"/>
        </w:tabs>
        <w:spacing w:line="360" w:lineRule="auto"/>
        <w:ind w:firstLine="480" w:firstLineChars="200"/>
        <w:rPr>
          <w:rFonts w:hint="default" w:ascii="宋体" w:hAnsi="宋体" w:eastAsia="宋体"/>
          <w:sz w:val="24"/>
          <w:lang w:val="en-US" w:eastAsia="zh-CN"/>
        </w:rPr>
      </w:pPr>
      <w:r>
        <w:rPr>
          <w:rFonts w:hint="eastAsia" w:ascii="宋体" w:hAnsi="宋体" w:eastAsia="宋体"/>
          <w:sz w:val="24"/>
          <w:lang w:val="en-US" w:eastAsia="zh-CN"/>
        </w:rPr>
        <w:t>7.5投标人提供的全部技术文件资料须齐全、有效，与现场交付的设备参数、规格、材质一致，否则视为验收不合格</w:t>
      </w:r>
      <w:r>
        <w:rPr>
          <w:rFonts w:hint="default" w:ascii="宋体" w:hAnsi="宋体" w:eastAsia="宋体"/>
          <w:sz w:val="24"/>
          <w:lang w:val="en-US" w:eastAsia="zh-CN"/>
        </w:rPr>
        <w:t>。</w:t>
      </w:r>
    </w:p>
    <w:p w14:paraId="5436521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20" w:lineRule="exact"/>
        <w:textAlignment w:val="baseline"/>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napToGrid w:val="0"/>
          <w:color w:val="000000"/>
          <w:sz w:val="28"/>
          <w:szCs w:val="28"/>
          <w:lang w:val="en-US" w:eastAsia="zh-CN" w:bidi="ar-SA"/>
        </w:rPr>
        <w:t>8、</w:t>
      </w:r>
      <w:r>
        <w:rPr>
          <w:rFonts w:hint="eastAsia" w:asciiTheme="minorEastAsia" w:hAnsiTheme="minorEastAsia" w:eastAsiaTheme="minorEastAsia" w:cstheme="minorEastAsia"/>
          <w:b/>
          <w:bCs/>
          <w:sz w:val="28"/>
          <w:szCs w:val="28"/>
          <w:lang w:val="en-US" w:eastAsia="zh-CN"/>
        </w:rPr>
        <w:t>数字化交付</w:t>
      </w:r>
    </w:p>
    <w:p w14:paraId="726763BA">
      <w:pPr>
        <w:pStyle w:val="20"/>
        <w:keepNext w:val="0"/>
        <w:keepLines w:val="0"/>
        <w:pageBreakBefore w:val="0"/>
        <w:widowControl w:val="0"/>
        <w:kinsoku/>
        <w:wordWrap/>
        <w:overflowPunct/>
        <w:topLinePunct w:val="0"/>
        <w:autoSpaceDE/>
        <w:autoSpaceDN/>
        <w:bidi w:val="0"/>
        <w:adjustRightInd/>
        <w:snapToGrid/>
        <w:spacing w:line="380" w:lineRule="exac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default" w:ascii="宋体" w:hAnsi="宋体" w:eastAsia="宋体" w:cs="宋体"/>
          <w:color w:val="auto"/>
          <w:sz w:val="24"/>
          <w:szCs w:val="24"/>
          <w:highlight w:val="none"/>
          <w:lang w:val="en-US" w:eastAsia="zh-CN"/>
        </w:rPr>
        <w:t>1.交付总体要求</w:t>
      </w:r>
    </w:p>
    <w:p w14:paraId="6CCC6E2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在合同签订后，</w:t>
      </w:r>
      <w:r>
        <w:rPr>
          <w:rFonts w:hint="eastAsia" w:ascii="宋体" w:hAnsi="宋体" w:eastAsia="宋体" w:cs="宋体"/>
          <w:color w:val="auto"/>
          <w:sz w:val="24"/>
          <w:szCs w:val="24"/>
          <w:highlight w:val="none"/>
          <w:lang w:val="en-US" w:eastAsia="zh-CN"/>
        </w:rPr>
        <w:t>投标方</w:t>
      </w:r>
      <w:r>
        <w:rPr>
          <w:rFonts w:hint="default" w:ascii="宋体" w:hAnsi="宋体" w:eastAsia="宋体" w:cs="宋体"/>
          <w:color w:val="auto"/>
          <w:sz w:val="24"/>
          <w:szCs w:val="24"/>
          <w:highlight w:val="none"/>
          <w:lang w:val="en-US" w:eastAsia="zh-CN"/>
        </w:rPr>
        <w:t>需向</w:t>
      </w: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提交相关数字化人员信息，由</w:t>
      </w: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授予该</w:t>
      </w:r>
      <w:r>
        <w:rPr>
          <w:rFonts w:hint="eastAsia" w:ascii="宋体" w:hAnsi="宋体" w:eastAsia="宋体" w:cs="宋体"/>
          <w:color w:val="auto"/>
          <w:sz w:val="24"/>
          <w:szCs w:val="24"/>
          <w:highlight w:val="none"/>
          <w:lang w:val="en-US" w:eastAsia="zh-CN"/>
        </w:rPr>
        <w:t>投标方</w:t>
      </w:r>
      <w:r>
        <w:rPr>
          <w:rFonts w:hint="default" w:ascii="宋体" w:hAnsi="宋体" w:eastAsia="宋体" w:cs="宋体"/>
          <w:color w:val="auto"/>
          <w:sz w:val="24"/>
          <w:szCs w:val="24"/>
          <w:highlight w:val="none"/>
          <w:lang w:val="en-US" w:eastAsia="zh-CN"/>
        </w:rPr>
        <w:t>本项目数字化交付平台的录入权限。</w:t>
      </w:r>
      <w:r>
        <w:rPr>
          <w:rFonts w:hint="eastAsia" w:ascii="宋体" w:hAnsi="宋体" w:eastAsia="宋体" w:cs="宋体"/>
          <w:color w:val="auto"/>
          <w:sz w:val="24"/>
          <w:szCs w:val="24"/>
          <w:highlight w:val="none"/>
          <w:lang w:val="en-US" w:eastAsia="zh-CN"/>
        </w:rPr>
        <w:t>投标方</w:t>
      </w:r>
      <w:r>
        <w:rPr>
          <w:rFonts w:hint="default" w:ascii="宋体" w:hAnsi="宋体" w:eastAsia="宋体" w:cs="宋体"/>
          <w:color w:val="auto"/>
          <w:sz w:val="24"/>
          <w:szCs w:val="24"/>
          <w:highlight w:val="none"/>
          <w:lang w:val="en-US" w:eastAsia="zh-CN"/>
        </w:rPr>
        <w:t>需根据所提供物资的实际生产进度及时间节点，依据</w:t>
      </w: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发布的数字化交付统一规定在数字化交付平台上交付所要求的各项数字化成果，交付的成果必须满足数字化相关的规定，该部分要求作为验收、付款的重要考核依据。</w:t>
      </w:r>
    </w:p>
    <w:p w14:paraId="063F6ABA">
      <w:pPr>
        <w:keepNext w:val="0"/>
        <w:keepLines w:val="0"/>
        <w:pageBreakBefore w:val="0"/>
        <w:widowControl w:val="0"/>
        <w:kinsoku/>
        <w:wordWrap/>
        <w:overflowPunct/>
        <w:topLinePunct w:val="0"/>
        <w:autoSpaceDE/>
        <w:autoSpaceDN/>
        <w:bidi w:val="0"/>
        <w:adjustRightInd/>
        <w:snapToGrid/>
        <w:spacing w:line="380" w:lineRule="exact"/>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default" w:ascii="宋体" w:hAnsi="宋体" w:eastAsia="宋体" w:cs="宋体"/>
          <w:color w:val="auto"/>
          <w:sz w:val="24"/>
          <w:szCs w:val="24"/>
          <w:highlight w:val="none"/>
          <w:lang w:val="en-US" w:eastAsia="zh-CN"/>
        </w:rPr>
        <w:t>2.数字化交付范围</w:t>
      </w:r>
    </w:p>
    <w:p w14:paraId="74E7360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投标方的交付内容职责范围如下：</w:t>
      </w:r>
    </w:p>
    <w:p w14:paraId="2DAC762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负责按照数字化交付统一规定范围、内容、进度和质量要求，整理供货范围内的对象清单及对象属性数据、三维模型（包括原始数据库和元件库文件）、智能P&amp;ID（包括项目原始的备份文件）、工程文档和文档属性，以及上述内容的关联关系。</w:t>
      </w:r>
    </w:p>
    <w:p w14:paraId="6C49F849">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2）负责将内控合格的上述内容上载整合到数字化交付平台中。</w:t>
      </w:r>
    </w:p>
    <w:p w14:paraId="526AA68E">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3）负责按照校验、数据检查、验收等要求，对交付的成果进行完善，直至验收通过。</w:t>
      </w:r>
    </w:p>
    <w:p w14:paraId="6609CD4A">
      <w:pPr>
        <w:keepNext w:val="0"/>
        <w:keepLines w:val="0"/>
        <w:pageBreakBefore w:val="0"/>
        <w:widowControl w:val="0"/>
        <w:kinsoku/>
        <w:wordWrap/>
        <w:overflowPunct/>
        <w:topLinePunct w:val="0"/>
        <w:autoSpaceDE/>
        <w:autoSpaceDN/>
        <w:bidi w:val="0"/>
        <w:adjustRightInd/>
        <w:snapToGrid/>
        <w:spacing w:line="380" w:lineRule="exact"/>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default" w:ascii="宋体" w:hAnsi="宋体" w:eastAsia="宋体" w:cs="宋体"/>
          <w:color w:val="auto"/>
          <w:sz w:val="24"/>
          <w:szCs w:val="24"/>
          <w:highlight w:val="none"/>
          <w:lang w:val="en-US" w:eastAsia="zh-CN"/>
        </w:rPr>
        <w:t>3.数字化交付的内容及要求</w:t>
      </w:r>
    </w:p>
    <w:p w14:paraId="1C683E8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8.3.1</w:t>
      </w:r>
      <w:r>
        <w:rPr>
          <w:rFonts w:hint="default" w:ascii="宋体" w:hAnsi="宋体" w:eastAsia="宋体" w:cs="宋体"/>
          <w:color w:val="auto"/>
          <w:sz w:val="24"/>
          <w:szCs w:val="24"/>
          <w:highlight w:val="none"/>
          <w:lang w:val="en-US" w:eastAsia="zh-CN"/>
        </w:rPr>
        <w:t>工厂对象清单内容</w:t>
      </w:r>
    </w:p>
    <w:p w14:paraId="711F298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投标方</w:t>
      </w:r>
      <w:r>
        <w:rPr>
          <w:rFonts w:hint="default" w:ascii="宋体" w:hAnsi="宋体" w:eastAsia="宋体" w:cs="宋体"/>
          <w:color w:val="auto"/>
          <w:sz w:val="24"/>
          <w:szCs w:val="24"/>
          <w:highlight w:val="none"/>
          <w:lang w:val="en-US" w:eastAsia="zh-CN"/>
        </w:rPr>
        <w:t>按照</w:t>
      </w:r>
      <w:r>
        <w:rPr>
          <w:rFonts w:hint="eastAsia" w:ascii="宋体" w:hAnsi="宋体" w:eastAsia="宋体" w:cs="宋体"/>
          <w:color w:val="auto"/>
          <w:sz w:val="24"/>
          <w:szCs w:val="24"/>
          <w:highlight w:val="none"/>
          <w:lang w:val="en-US" w:eastAsia="zh-CN"/>
        </w:rPr>
        <w:t>招标方后续</w:t>
      </w:r>
      <w:r>
        <w:rPr>
          <w:rFonts w:hint="default" w:ascii="宋体" w:hAnsi="宋体" w:eastAsia="宋体" w:cs="宋体"/>
          <w:color w:val="auto"/>
          <w:sz w:val="24"/>
          <w:szCs w:val="24"/>
          <w:highlight w:val="none"/>
          <w:lang w:val="en-US" w:eastAsia="zh-CN"/>
        </w:rPr>
        <w:t>发布的数字化交付统一规定并提交其合同范围内的工厂对象清单，包含工厂对象位号、名称以及分类；</w:t>
      </w:r>
    </w:p>
    <w:p w14:paraId="71482F81">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对于包设备（包括大型机组、成套设备、撬装设备等），由</w:t>
      </w:r>
      <w:r>
        <w:rPr>
          <w:rFonts w:hint="eastAsia" w:ascii="宋体" w:hAnsi="宋体" w:eastAsia="宋体" w:cs="宋体"/>
          <w:color w:val="auto"/>
          <w:sz w:val="24"/>
          <w:szCs w:val="24"/>
          <w:highlight w:val="none"/>
          <w:lang w:val="en-US" w:eastAsia="zh-CN"/>
        </w:rPr>
        <w:t>投标方</w:t>
      </w:r>
      <w:r>
        <w:rPr>
          <w:rFonts w:hint="default" w:ascii="宋体" w:hAnsi="宋体" w:eastAsia="宋体" w:cs="宋体"/>
          <w:color w:val="auto"/>
          <w:sz w:val="24"/>
          <w:szCs w:val="24"/>
          <w:highlight w:val="none"/>
          <w:lang w:val="en-US" w:eastAsia="zh-CN"/>
        </w:rPr>
        <w:t>按照</w:t>
      </w: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发布的相关规范要求对包设备进行拆分，并按照设计总体院发布的编码规定编制子设备位号，形成包设备拆分清单，内容包括成套设备位号、子设备位号、子设备名称、子设备分类等；</w:t>
      </w:r>
    </w:p>
    <w:p w14:paraId="402CA02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负责审核工厂对象清单中的位号和分类是否满足相关编码规则和分类标准，经确认后由</w:t>
      </w:r>
      <w:r>
        <w:rPr>
          <w:rFonts w:hint="eastAsia" w:ascii="宋体" w:hAnsi="宋体" w:eastAsia="宋体" w:cs="宋体"/>
          <w:color w:val="auto"/>
          <w:sz w:val="24"/>
          <w:szCs w:val="24"/>
          <w:highlight w:val="none"/>
          <w:lang w:val="en-US" w:eastAsia="zh-CN"/>
        </w:rPr>
        <w:t>投标方</w:t>
      </w:r>
      <w:r>
        <w:rPr>
          <w:rFonts w:hint="default" w:ascii="宋体" w:hAnsi="宋体" w:eastAsia="宋体" w:cs="宋体"/>
          <w:color w:val="auto"/>
          <w:sz w:val="24"/>
          <w:szCs w:val="24"/>
          <w:highlight w:val="none"/>
          <w:lang w:val="en-US" w:eastAsia="zh-CN"/>
        </w:rPr>
        <w:t>据此开展工厂对象属性和关联性资料的交付工作。</w:t>
      </w:r>
    </w:p>
    <w:p w14:paraId="601BDB4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w:t>
      </w:r>
      <w:r>
        <w:rPr>
          <w:rFonts w:hint="default" w:ascii="宋体" w:hAnsi="宋体" w:eastAsia="宋体" w:cs="宋体"/>
          <w:color w:val="auto"/>
          <w:sz w:val="24"/>
          <w:szCs w:val="24"/>
          <w:highlight w:val="none"/>
          <w:lang w:val="en-US" w:eastAsia="zh-CN"/>
        </w:rPr>
        <w:t>.2工厂对象属性数据交付</w:t>
      </w:r>
    </w:p>
    <w:p w14:paraId="5A107750">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应按照项目数字化交付统一规定中工厂对象分类及属性内容交付的要求，以及数字化交付平台提供的工厂对象属性数据模板，填报供货范围内工厂对象的属性数据（信息来源为P的部分），并导入到数字化交付平台实现属性数据的存储。</w:t>
      </w:r>
    </w:p>
    <w:p w14:paraId="1EE77F8C">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属性数据交付说明：</w:t>
      </w:r>
    </w:p>
    <w:p w14:paraId="79CBBC65">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1）工厂对象应对应到数字化交付规定中对象分类的叶子节点。</w:t>
      </w:r>
    </w:p>
    <w:p w14:paraId="2A94BF37">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2）移交属性数据的工厂对象应与实际供货范围，以及供货清单保持一致。</w:t>
      </w:r>
    </w:p>
    <w:p w14:paraId="5F475B18">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8.3.</w:t>
      </w:r>
      <w:r>
        <w:rPr>
          <w:rFonts w:hint="default" w:ascii="宋体" w:hAnsi="宋体" w:eastAsia="宋体" w:cs="宋体"/>
          <w:color w:val="auto"/>
          <w:sz w:val="24"/>
          <w:szCs w:val="24"/>
          <w:highlight w:val="none"/>
          <w:lang w:val="en-US" w:eastAsia="zh-CN"/>
        </w:rPr>
        <w:t>3三维模型交付内容</w:t>
      </w:r>
    </w:p>
    <w:p w14:paraId="1C05762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针对业主方确定的重点设备，需要按照数字化交付统一规定的要求进行建模，建模内容、深度，以及交付物需要满足业主方发布的数字化交付统一规定的要求，以下为典型的模型交付要求：</w:t>
      </w:r>
    </w:p>
    <w:p w14:paraId="1356A832">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a)设备建模要求</w:t>
      </w:r>
    </w:p>
    <w:p w14:paraId="77FA8AC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ab/>
      </w:r>
      <w:r>
        <w:rPr>
          <w:rFonts w:hint="default" w:ascii="宋体" w:hAnsi="宋体" w:eastAsia="宋体" w:cs="宋体"/>
          <w:color w:val="auto"/>
          <w:sz w:val="24"/>
          <w:szCs w:val="24"/>
          <w:highlight w:val="none"/>
          <w:lang w:val="en-US" w:eastAsia="zh-CN"/>
        </w:rPr>
        <w:t>设备供应商应根据业主的要求提供准确的、与实际设备外形尺寸一致的设备模型。</w:t>
      </w:r>
    </w:p>
    <w:p w14:paraId="260BBAD6">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ab/>
      </w:r>
      <w:r>
        <w:rPr>
          <w:rFonts w:hint="default" w:ascii="宋体" w:hAnsi="宋体" w:eastAsia="宋体" w:cs="宋体"/>
          <w:color w:val="auto"/>
          <w:sz w:val="24"/>
          <w:szCs w:val="24"/>
          <w:highlight w:val="none"/>
          <w:lang w:val="en-US" w:eastAsia="zh-CN"/>
        </w:rPr>
        <w:t>模型外观形状、内部结构、零部件规格型号与设备图纸等参考资料一致。</w:t>
      </w:r>
    </w:p>
    <w:p w14:paraId="5CD45CF3">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ab/>
      </w:r>
      <w:r>
        <w:rPr>
          <w:rFonts w:hint="default" w:ascii="宋体" w:hAnsi="宋体" w:eastAsia="宋体" w:cs="宋体"/>
          <w:color w:val="auto"/>
          <w:sz w:val="24"/>
          <w:szCs w:val="24"/>
          <w:highlight w:val="none"/>
          <w:lang w:val="en-US" w:eastAsia="zh-CN"/>
        </w:rPr>
        <w:t>模型外观颜色、内部零部件颜色和实物照片与设备图纸等参考资料一致。</w:t>
      </w:r>
    </w:p>
    <w:p w14:paraId="3BEBB45E">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4)</w:t>
      </w:r>
      <w:r>
        <w:rPr>
          <w:rFonts w:hint="default" w:ascii="宋体" w:hAnsi="宋体" w:eastAsia="宋体" w:cs="宋体"/>
          <w:color w:val="auto"/>
          <w:sz w:val="24"/>
          <w:szCs w:val="24"/>
          <w:highlight w:val="none"/>
          <w:lang w:val="en-US" w:eastAsia="zh-CN"/>
        </w:rPr>
        <w:tab/>
      </w:r>
      <w:r>
        <w:rPr>
          <w:rFonts w:hint="default" w:ascii="宋体" w:hAnsi="宋体" w:eastAsia="宋体" w:cs="宋体"/>
          <w:color w:val="auto"/>
          <w:sz w:val="24"/>
          <w:szCs w:val="24"/>
          <w:highlight w:val="none"/>
          <w:lang w:val="en-US" w:eastAsia="zh-CN"/>
        </w:rPr>
        <w:t>针对有对象分类的三维模型中的工程对象应按照业主发布的数字化交付统一规定中的要求进行编码并附加工程数据信息，包括位号、名称等内容。</w:t>
      </w:r>
    </w:p>
    <w:p w14:paraId="2D5C8EB1">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5)</w:t>
      </w:r>
      <w:r>
        <w:rPr>
          <w:rFonts w:hint="default" w:ascii="宋体" w:hAnsi="宋体" w:eastAsia="宋体" w:cs="宋体"/>
          <w:color w:val="auto"/>
          <w:sz w:val="24"/>
          <w:szCs w:val="24"/>
          <w:highlight w:val="none"/>
          <w:lang w:val="en-US" w:eastAsia="zh-CN"/>
        </w:rPr>
        <w:tab/>
      </w:r>
      <w:r>
        <w:rPr>
          <w:rFonts w:hint="default" w:ascii="宋体" w:hAnsi="宋体" w:eastAsia="宋体" w:cs="宋体"/>
          <w:color w:val="auto"/>
          <w:sz w:val="24"/>
          <w:szCs w:val="24"/>
          <w:highlight w:val="none"/>
          <w:lang w:val="en-US" w:eastAsia="zh-CN"/>
        </w:rPr>
        <w:t>模型输出类型必须是“实体几何面”，不允许输出“抽壳”“线框”或者“3D曲线”。</w:t>
      </w:r>
    </w:p>
    <w:p w14:paraId="3D49BE0D">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6）应采用装配体建模，零部件装配由内向外按层级组装，如果多台设备是总体装配在一起的，要提交总体装配模型，以每台设备为单位装配，各设备分支独立，不能混合装配。</w:t>
      </w:r>
    </w:p>
    <w:p w14:paraId="724392E4">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b)交付物要求</w:t>
      </w:r>
    </w:p>
    <w:p w14:paraId="04E747E8">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供应商应交付模型文件、数据库备份文件，同时提供所使用建模软件的名称、版本。</w:t>
      </w:r>
    </w:p>
    <w:p w14:paraId="3C02C0DF">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c)建模软件要求</w:t>
      </w:r>
    </w:p>
    <w:p w14:paraId="351CAC1F">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精细化三维模型应采用主流设计软件，采用统一的定位基准、单位和方位，按照与实体工厂1∶1的比例建模，模型定位应与真实工程坐标一致或具备映射关系。三维模型的软件范围及其输出的格式和要求应从下表中进行选择：</w:t>
      </w:r>
    </w:p>
    <w:tbl>
      <w:tblPr>
        <w:tblStyle w:val="10"/>
        <w:tblW w:w="8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1540"/>
        <w:gridCol w:w="3591"/>
        <w:gridCol w:w="1785"/>
      </w:tblGrid>
      <w:tr w14:paraId="2132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1601" w:type="dxa"/>
            <w:noWrap w:val="0"/>
            <w:vAlign w:val="center"/>
          </w:tcPr>
          <w:p w14:paraId="07461B56">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模型类型</w:t>
            </w:r>
          </w:p>
        </w:tc>
        <w:tc>
          <w:tcPr>
            <w:tcW w:w="1540" w:type="dxa"/>
            <w:noWrap w:val="0"/>
            <w:vAlign w:val="center"/>
          </w:tcPr>
          <w:p w14:paraId="148D82DB">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软件名称</w:t>
            </w:r>
          </w:p>
        </w:tc>
        <w:tc>
          <w:tcPr>
            <w:tcW w:w="3591" w:type="dxa"/>
            <w:noWrap w:val="0"/>
            <w:vAlign w:val="center"/>
          </w:tcPr>
          <w:p w14:paraId="19739868">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输出格式</w:t>
            </w:r>
          </w:p>
        </w:tc>
        <w:tc>
          <w:tcPr>
            <w:tcW w:w="1785" w:type="dxa"/>
            <w:noWrap w:val="0"/>
            <w:vAlign w:val="center"/>
          </w:tcPr>
          <w:p w14:paraId="4C8F6E5A">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备注</w:t>
            </w:r>
          </w:p>
        </w:tc>
      </w:tr>
      <w:tr w14:paraId="4B86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601" w:type="dxa"/>
            <w:vMerge w:val="restart"/>
            <w:noWrap w:val="0"/>
            <w:vAlign w:val="center"/>
          </w:tcPr>
          <w:p w14:paraId="0426D9C7">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精细化模型</w:t>
            </w:r>
          </w:p>
        </w:tc>
        <w:tc>
          <w:tcPr>
            <w:tcW w:w="1540" w:type="dxa"/>
            <w:vMerge w:val="restart"/>
            <w:noWrap w:val="0"/>
            <w:vAlign w:val="center"/>
          </w:tcPr>
          <w:p w14:paraId="76CA435C">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Pro/E</w:t>
            </w:r>
          </w:p>
        </w:tc>
        <w:tc>
          <w:tcPr>
            <w:tcW w:w="3591" w:type="dxa"/>
            <w:noWrap w:val="0"/>
            <w:vAlign w:val="center"/>
          </w:tcPr>
          <w:p w14:paraId="62E23D00">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.asm+.prt</w:t>
            </w:r>
          </w:p>
        </w:tc>
        <w:tc>
          <w:tcPr>
            <w:tcW w:w="1785" w:type="dxa"/>
            <w:vMerge w:val="restart"/>
            <w:noWrap w:val="0"/>
            <w:vAlign w:val="center"/>
          </w:tcPr>
          <w:p w14:paraId="3DDE2859">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r w14:paraId="2AAD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01" w:type="dxa"/>
            <w:vMerge w:val="continue"/>
            <w:noWrap w:val="0"/>
            <w:vAlign w:val="center"/>
          </w:tcPr>
          <w:p w14:paraId="19A664DF">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1540" w:type="dxa"/>
            <w:vMerge w:val="continue"/>
            <w:noWrap w:val="0"/>
            <w:vAlign w:val="center"/>
          </w:tcPr>
          <w:p w14:paraId="2110BEFD">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3591" w:type="dxa"/>
            <w:noWrap w:val="0"/>
            <w:vAlign w:val="center"/>
          </w:tcPr>
          <w:p w14:paraId="6AFECDA9">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.stp</w:t>
            </w:r>
          </w:p>
        </w:tc>
        <w:tc>
          <w:tcPr>
            <w:tcW w:w="1785" w:type="dxa"/>
            <w:vMerge w:val="continue"/>
            <w:noWrap w:val="0"/>
            <w:vAlign w:val="center"/>
          </w:tcPr>
          <w:p w14:paraId="2A007442">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r w14:paraId="40E2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01" w:type="dxa"/>
            <w:vMerge w:val="continue"/>
            <w:noWrap w:val="0"/>
            <w:vAlign w:val="center"/>
          </w:tcPr>
          <w:p w14:paraId="62758306">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1540" w:type="dxa"/>
            <w:vMerge w:val="restart"/>
            <w:noWrap w:val="0"/>
            <w:vAlign w:val="center"/>
          </w:tcPr>
          <w:p w14:paraId="3B2EEA72">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SolidWorks</w:t>
            </w:r>
          </w:p>
        </w:tc>
        <w:tc>
          <w:tcPr>
            <w:tcW w:w="3591" w:type="dxa"/>
            <w:noWrap w:val="0"/>
            <w:vAlign w:val="center"/>
          </w:tcPr>
          <w:p w14:paraId="7701F8DF">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.sldasm+.sldprt</w:t>
            </w:r>
          </w:p>
        </w:tc>
        <w:tc>
          <w:tcPr>
            <w:tcW w:w="1785" w:type="dxa"/>
            <w:vMerge w:val="restart"/>
            <w:noWrap w:val="0"/>
            <w:vAlign w:val="center"/>
          </w:tcPr>
          <w:p w14:paraId="2FC712A7">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r w14:paraId="7EB7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01" w:type="dxa"/>
            <w:vMerge w:val="continue"/>
            <w:noWrap w:val="0"/>
            <w:vAlign w:val="center"/>
          </w:tcPr>
          <w:p w14:paraId="70FE4B16">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1540" w:type="dxa"/>
            <w:vMerge w:val="continue"/>
            <w:noWrap w:val="0"/>
            <w:vAlign w:val="center"/>
          </w:tcPr>
          <w:p w14:paraId="373DAB3B">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3591" w:type="dxa"/>
            <w:noWrap w:val="0"/>
            <w:vAlign w:val="center"/>
          </w:tcPr>
          <w:p w14:paraId="28EED485">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.stp</w:t>
            </w:r>
          </w:p>
        </w:tc>
        <w:tc>
          <w:tcPr>
            <w:tcW w:w="1785" w:type="dxa"/>
            <w:vMerge w:val="continue"/>
            <w:noWrap w:val="0"/>
            <w:vAlign w:val="center"/>
          </w:tcPr>
          <w:p w14:paraId="5468FB5F">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r w14:paraId="499A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01" w:type="dxa"/>
            <w:vMerge w:val="continue"/>
            <w:noWrap w:val="0"/>
            <w:vAlign w:val="center"/>
          </w:tcPr>
          <w:p w14:paraId="08E0DDAB">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1540" w:type="dxa"/>
            <w:noWrap w:val="0"/>
            <w:vAlign w:val="center"/>
          </w:tcPr>
          <w:p w14:paraId="69B09BEF">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INVENTOR</w:t>
            </w:r>
          </w:p>
        </w:tc>
        <w:tc>
          <w:tcPr>
            <w:tcW w:w="3591" w:type="dxa"/>
            <w:noWrap w:val="0"/>
            <w:vAlign w:val="center"/>
          </w:tcPr>
          <w:p w14:paraId="0D4108CC">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.stp</w:t>
            </w:r>
          </w:p>
        </w:tc>
        <w:tc>
          <w:tcPr>
            <w:tcW w:w="1785" w:type="dxa"/>
            <w:noWrap w:val="0"/>
            <w:vAlign w:val="center"/>
          </w:tcPr>
          <w:p w14:paraId="063BD358">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r w14:paraId="738A9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01" w:type="dxa"/>
            <w:vMerge w:val="continue"/>
            <w:noWrap w:val="0"/>
            <w:vAlign w:val="center"/>
          </w:tcPr>
          <w:p w14:paraId="46313D85">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1540" w:type="dxa"/>
            <w:noWrap w:val="0"/>
            <w:vAlign w:val="center"/>
          </w:tcPr>
          <w:p w14:paraId="412C6261">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CATIA</w:t>
            </w:r>
          </w:p>
        </w:tc>
        <w:tc>
          <w:tcPr>
            <w:tcW w:w="3591" w:type="dxa"/>
            <w:noWrap w:val="0"/>
            <w:vAlign w:val="center"/>
          </w:tcPr>
          <w:p w14:paraId="5CBFE487">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.stp</w:t>
            </w:r>
          </w:p>
        </w:tc>
        <w:tc>
          <w:tcPr>
            <w:tcW w:w="1785" w:type="dxa"/>
            <w:noWrap w:val="0"/>
            <w:vAlign w:val="center"/>
          </w:tcPr>
          <w:p w14:paraId="50235CFE">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r w14:paraId="2568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01" w:type="dxa"/>
            <w:vMerge w:val="continue"/>
            <w:noWrap w:val="0"/>
            <w:vAlign w:val="center"/>
          </w:tcPr>
          <w:p w14:paraId="7ADFD77C">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c>
          <w:tcPr>
            <w:tcW w:w="1540" w:type="dxa"/>
            <w:noWrap w:val="0"/>
            <w:vAlign w:val="center"/>
          </w:tcPr>
          <w:p w14:paraId="4CD8684E">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其他机械设计3D模型</w:t>
            </w:r>
          </w:p>
        </w:tc>
        <w:tc>
          <w:tcPr>
            <w:tcW w:w="3591" w:type="dxa"/>
            <w:noWrap w:val="0"/>
            <w:vAlign w:val="center"/>
          </w:tcPr>
          <w:p w14:paraId="10FAC9D0">
            <w:pPr>
              <w:pStyle w:val="22"/>
              <w:keepNext w:val="0"/>
              <w:keepLines w:val="0"/>
              <w:pageBreakBefore w:val="0"/>
              <w:kinsoku/>
              <w:wordWrap/>
              <w:overflowPunct/>
              <w:autoSpaceDE/>
              <w:autoSpaceDN/>
              <w:bidi w:val="0"/>
              <w:spacing w:before="31" w:after="31" w:line="500" w:lineRule="exact"/>
              <w:ind w:left="21"/>
              <w:jc w:val="both"/>
              <w:rPr>
                <w:color w:val="auto"/>
                <w:highlight w:val="none"/>
              </w:rPr>
            </w:pPr>
            <w:r>
              <w:rPr>
                <w:rFonts w:hint="eastAsia"/>
                <w:color w:val="auto"/>
                <w:highlight w:val="none"/>
                <w:lang w:val="en-US" w:eastAsia="zh-CN"/>
              </w:rPr>
              <w:t>.stp</w:t>
            </w:r>
          </w:p>
        </w:tc>
        <w:tc>
          <w:tcPr>
            <w:tcW w:w="1785" w:type="dxa"/>
            <w:noWrap w:val="0"/>
            <w:vAlign w:val="center"/>
          </w:tcPr>
          <w:p w14:paraId="475EB7D9">
            <w:pPr>
              <w:pStyle w:val="22"/>
              <w:keepNext w:val="0"/>
              <w:keepLines w:val="0"/>
              <w:pageBreakBefore w:val="0"/>
              <w:kinsoku/>
              <w:wordWrap/>
              <w:overflowPunct/>
              <w:autoSpaceDE/>
              <w:autoSpaceDN/>
              <w:bidi w:val="0"/>
              <w:spacing w:before="31" w:after="31" w:line="500" w:lineRule="exact"/>
              <w:ind w:left="21"/>
              <w:jc w:val="both"/>
              <w:rPr>
                <w:color w:val="auto"/>
                <w:highlight w:val="none"/>
              </w:rPr>
            </w:pPr>
          </w:p>
        </w:tc>
      </w:tr>
    </w:tbl>
    <w:p w14:paraId="14BB335F">
      <w:pPr>
        <w:pStyle w:val="20"/>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8.</w:t>
      </w:r>
      <w:r>
        <w:rPr>
          <w:rFonts w:hint="default" w:ascii="宋体" w:hAnsi="宋体" w:eastAsia="宋体" w:cs="宋体"/>
          <w:color w:val="auto"/>
          <w:sz w:val="28"/>
          <w:szCs w:val="28"/>
          <w:highlight w:val="none"/>
          <w:lang w:val="en-US" w:eastAsia="zh-CN"/>
        </w:rPr>
        <w:t>4智能P&amp;ID交付内容</w:t>
      </w:r>
    </w:p>
    <w:p w14:paraId="0B0B87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baseline"/>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针对成套设备，需要移交智能P&amp;ID文件，原则上智能P&amp;ID软件的选择应符合下表的要求。</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843"/>
        <w:gridCol w:w="2835"/>
        <w:gridCol w:w="2205"/>
      </w:tblGrid>
      <w:tr w14:paraId="6CAC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noWrap w:val="0"/>
            <w:vAlign w:val="top"/>
          </w:tcPr>
          <w:p w14:paraId="45338516">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hint="eastAsia" w:ascii="宋体" w:hAnsi="宋体" w:eastAsia="宋体"/>
                <w:color w:val="auto"/>
                <w:spacing w:val="-4"/>
                <w:highlight w:val="none"/>
              </w:rPr>
              <w:t>软件类型</w:t>
            </w:r>
          </w:p>
        </w:tc>
        <w:tc>
          <w:tcPr>
            <w:tcW w:w="1843" w:type="dxa"/>
            <w:noWrap w:val="0"/>
            <w:vAlign w:val="top"/>
          </w:tcPr>
          <w:p w14:paraId="68D57794">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hint="eastAsia" w:ascii="宋体" w:hAnsi="宋体" w:eastAsia="宋体"/>
                <w:color w:val="auto"/>
                <w:spacing w:val="-4"/>
                <w:highlight w:val="none"/>
              </w:rPr>
              <w:t>软件推荐</w:t>
            </w:r>
          </w:p>
        </w:tc>
        <w:tc>
          <w:tcPr>
            <w:tcW w:w="2835" w:type="dxa"/>
            <w:noWrap w:val="0"/>
            <w:vAlign w:val="top"/>
          </w:tcPr>
          <w:p w14:paraId="511B8258">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hint="eastAsia" w:ascii="宋体" w:hAnsi="宋体" w:eastAsia="宋体"/>
                <w:color w:val="auto"/>
                <w:spacing w:val="-4"/>
                <w:highlight w:val="none"/>
              </w:rPr>
              <w:t>交付输出格式</w:t>
            </w:r>
          </w:p>
        </w:tc>
        <w:tc>
          <w:tcPr>
            <w:tcW w:w="2205" w:type="dxa"/>
            <w:noWrap w:val="0"/>
            <w:vAlign w:val="top"/>
          </w:tcPr>
          <w:p w14:paraId="29BCCAE9">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hint="eastAsia" w:ascii="宋体" w:hAnsi="宋体" w:eastAsia="宋体"/>
                <w:color w:val="auto"/>
                <w:spacing w:val="-4"/>
                <w:highlight w:val="none"/>
              </w:rPr>
              <w:t>备注</w:t>
            </w:r>
          </w:p>
        </w:tc>
      </w:tr>
      <w:tr w14:paraId="0FE7F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noWrap w:val="0"/>
            <w:vAlign w:val="top"/>
          </w:tcPr>
          <w:p w14:paraId="1B3C35EC">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hint="eastAsia" w:ascii="宋体" w:hAnsi="宋体" w:eastAsia="宋体"/>
                <w:color w:val="auto"/>
                <w:spacing w:val="-4"/>
                <w:highlight w:val="none"/>
              </w:rPr>
              <w:t>智能P</w:t>
            </w:r>
            <w:r>
              <w:rPr>
                <w:rFonts w:ascii="宋体" w:hAnsi="宋体" w:eastAsia="宋体"/>
                <w:color w:val="auto"/>
                <w:spacing w:val="-4"/>
                <w:highlight w:val="none"/>
              </w:rPr>
              <w:t>&amp;ID</w:t>
            </w:r>
          </w:p>
        </w:tc>
        <w:tc>
          <w:tcPr>
            <w:tcW w:w="1843" w:type="dxa"/>
            <w:noWrap w:val="0"/>
            <w:vAlign w:val="top"/>
          </w:tcPr>
          <w:p w14:paraId="39EBFC47">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s="宋体"/>
                <w:color w:val="auto"/>
                <w:kern w:val="0"/>
                <w:szCs w:val="21"/>
                <w:highlight w:val="none"/>
              </w:rPr>
            </w:pPr>
            <w:r>
              <w:rPr>
                <w:rFonts w:ascii="宋体" w:hAnsi="宋体" w:eastAsia="宋体" w:cs="宋体"/>
                <w:color w:val="auto"/>
                <w:kern w:val="0"/>
                <w:szCs w:val="21"/>
                <w:highlight w:val="none"/>
              </w:rPr>
              <w:t>AVEVA Diagram</w:t>
            </w:r>
          </w:p>
        </w:tc>
        <w:tc>
          <w:tcPr>
            <w:tcW w:w="2835" w:type="dxa"/>
            <w:noWrap w:val="0"/>
            <w:vAlign w:val="top"/>
          </w:tcPr>
          <w:p w14:paraId="06B0764D">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s="宋体"/>
                <w:color w:val="auto"/>
                <w:kern w:val="0"/>
                <w:szCs w:val="21"/>
                <w:highlight w:val="none"/>
              </w:rPr>
            </w:pPr>
            <w:r>
              <w:rPr>
                <w:rFonts w:ascii="宋体" w:hAnsi="宋体" w:eastAsia="宋体" w:cs="宋体"/>
                <w:color w:val="auto"/>
                <w:kern w:val="0"/>
                <w:szCs w:val="21"/>
                <w:highlight w:val="none"/>
              </w:rPr>
              <w:t>.svg+.xml</w:t>
            </w:r>
          </w:p>
        </w:tc>
        <w:tc>
          <w:tcPr>
            <w:tcW w:w="2205" w:type="dxa"/>
            <w:noWrap w:val="0"/>
            <w:vAlign w:val="top"/>
          </w:tcPr>
          <w:p w14:paraId="2DAABB06">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s="宋体"/>
                <w:color w:val="auto"/>
                <w:kern w:val="0"/>
                <w:szCs w:val="21"/>
                <w:highlight w:val="none"/>
              </w:rPr>
            </w:pPr>
          </w:p>
        </w:tc>
      </w:tr>
      <w:tr w14:paraId="53BC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noWrap w:val="0"/>
            <w:vAlign w:val="top"/>
          </w:tcPr>
          <w:p w14:paraId="537340CE">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p>
        </w:tc>
        <w:tc>
          <w:tcPr>
            <w:tcW w:w="1843" w:type="dxa"/>
            <w:noWrap w:val="0"/>
            <w:vAlign w:val="top"/>
          </w:tcPr>
          <w:p w14:paraId="157E7075">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ascii="宋体" w:hAnsi="宋体" w:eastAsia="宋体" w:cs="宋体"/>
                <w:color w:val="auto"/>
                <w:kern w:val="0"/>
                <w:szCs w:val="21"/>
                <w:highlight w:val="none"/>
              </w:rPr>
              <w:t>SmartPlant P&amp;ID</w:t>
            </w:r>
          </w:p>
        </w:tc>
        <w:tc>
          <w:tcPr>
            <w:tcW w:w="2835" w:type="dxa"/>
            <w:noWrap w:val="0"/>
            <w:vAlign w:val="top"/>
          </w:tcPr>
          <w:p w14:paraId="03C0F35E">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ascii="宋体" w:hAnsi="宋体" w:eastAsia="宋体" w:cs="宋体"/>
                <w:color w:val="auto"/>
                <w:kern w:val="0"/>
                <w:szCs w:val="21"/>
                <w:highlight w:val="none"/>
              </w:rPr>
              <w:t>.pid+.xml+EFSchema.cmf</w:t>
            </w:r>
          </w:p>
        </w:tc>
        <w:tc>
          <w:tcPr>
            <w:tcW w:w="2205" w:type="dxa"/>
            <w:noWrap w:val="0"/>
            <w:vAlign w:val="top"/>
          </w:tcPr>
          <w:p w14:paraId="2B393316">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Schema 文件如未</w:t>
            </w:r>
          </w:p>
          <w:p w14:paraId="0CF50E41">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修改，可不提供</w:t>
            </w:r>
          </w:p>
        </w:tc>
      </w:tr>
      <w:tr w14:paraId="63A7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noWrap w:val="0"/>
            <w:vAlign w:val="top"/>
          </w:tcPr>
          <w:p w14:paraId="6019545E">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p>
        </w:tc>
        <w:tc>
          <w:tcPr>
            <w:tcW w:w="1843" w:type="dxa"/>
            <w:noWrap w:val="0"/>
            <w:vAlign w:val="top"/>
          </w:tcPr>
          <w:p w14:paraId="42BB7F4F">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ascii="宋体" w:hAnsi="宋体" w:eastAsia="宋体" w:cs="宋体"/>
                <w:color w:val="auto"/>
                <w:kern w:val="0"/>
                <w:szCs w:val="21"/>
                <w:highlight w:val="none"/>
              </w:rPr>
              <w:t>AutoCAD</w:t>
            </w:r>
            <w:r>
              <w:rPr>
                <w:rFonts w:hint="eastAsia" w:ascii="宋体" w:hAnsi="宋体" w:eastAsia="宋体"/>
                <w:color w:val="auto"/>
                <w:spacing w:val="-4"/>
                <w:highlight w:val="none"/>
              </w:rPr>
              <w:t xml:space="preserve"> </w:t>
            </w:r>
            <w:r>
              <w:rPr>
                <w:rFonts w:ascii="宋体" w:hAnsi="宋体" w:eastAsia="宋体" w:cs="宋体"/>
                <w:color w:val="auto"/>
                <w:kern w:val="0"/>
                <w:szCs w:val="21"/>
                <w:highlight w:val="none"/>
              </w:rPr>
              <w:t>P&amp;ID</w:t>
            </w:r>
          </w:p>
        </w:tc>
        <w:tc>
          <w:tcPr>
            <w:tcW w:w="2835" w:type="dxa"/>
            <w:noWrap w:val="0"/>
            <w:vAlign w:val="top"/>
          </w:tcPr>
          <w:p w14:paraId="0F277677">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olor w:val="auto"/>
                <w:spacing w:val="-4"/>
                <w:highlight w:val="none"/>
              </w:rPr>
            </w:pPr>
            <w:r>
              <w:rPr>
                <w:rFonts w:ascii="宋体" w:hAnsi="宋体" w:eastAsia="宋体" w:cs="宋体"/>
                <w:color w:val="auto"/>
                <w:kern w:val="0"/>
                <w:szCs w:val="21"/>
                <w:highlight w:val="none"/>
              </w:rPr>
              <w:t>.dwg+</w:t>
            </w:r>
            <w:r>
              <w:rPr>
                <w:rFonts w:hint="eastAsia" w:ascii="宋体" w:hAnsi="宋体" w:eastAsia="宋体" w:cs="宋体"/>
                <w:color w:val="auto"/>
                <w:kern w:val="0"/>
                <w:szCs w:val="21"/>
                <w:highlight w:val="none"/>
              </w:rPr>
              <w:t>项目文件</w:t>
            </w:r>
          </w:p>
        </w:tc>
        <w:tc>
          <w:tcPr>
            <w:tcW w:w="2205" w:type="dxa"/>
            <w:noWrap w:val="0"/>
            <w:vAlign w:val="top"/>
          </w:tcPr>
          <w:p w14:paraId="7307F3F1">
            <w:pPr>
              <w:pStyle w:val="23"/>
              <w:keepNext w:val="0"/>
              <w:keepLines w:val="0"/>
              <w:pageBreakBefore w:val="0"/>
              <w:widowControl w:val="0"/>
              <w:kinsoku/>
              <w:wordWrap/>
              <w:overflowPunct/>
              <w:autoSpaceDE/>
              <w:autoSpaceDN/>
              <w:bidi w:val="0"/>
              <w:adjustRightInd w:val="0"/>
              <w:spacing w:line="500" w:lineRule="exact"/>
              <w:ind w:firstLine="0" w:firstLineChars="0"/>
              <w:textAlignment w:val="baseline"/>
              <w:rPr>
                <w:rFonts w:ascii="宋体" w:hAnsi="宋体" w:eastAsia="宋体" w:cs="宋体"/>
                <w:color w:val="auto"/>
                <w:kern w:val="0"/>
                <w:szCs w:val="21"/>
                <w:highlight w:val="none"/>
              </w:rPr>
            </w:pPr>
          </w:p>
        </w:tc>
      </w:tr>
    </w:tbl>
    <w:p w14:paraId="713E81B6">
      <w:pPr>
        <w:pStyle w:val="20"/>
        <w:keepNext w:val="0"/>
        <w:keepLines w:val="0"/>
        <w:pageBreakBefore w:val="0"/>
        <w:kinsoku/>
        <w:wordWrap/>
        <w:overflowPunct/>
        <w:topLinePunct w:val="0"/>
        <w:autoSpaceDE/>
        <w:autoSpaceDN/>
        <w:bidi w:val="0"/>
        <w:spacing w:line="500" w:lineRule="exact"/>
        <w:rPr>
          <w:rFonts w:hint="default" w:ascii="宋体" w:hAnsi="宋体" w:eastAsia="宋体" w:cs="宋体"/>
          <w:color w:val="auto"/>
          <w:sz w:val="24"/>
          <w:szCs w:val="24"/>
          <w:highlight w:val="none"/>
          <w:lang w:val="en-US" w:eastAsia="zh-CN"/>
        </w:rPr>
      </w:pPr>
    </w:p>
    <w:p w14:paraId="31B5C871">
      <w:pPr>
        <w:pStyle w:val="20"/>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智能P&amp;ID的文档命名和编码、图例、属性、图框、质量等应满足</w:t>
      </w: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发布的数字化交付统一规定的要求。</w:t>
      </w:r>
    </w:p>
    <w:p w14:paraId="50BC8BE0">
      <w:pPr>
        <w:pStyle w:val="20"/>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default" w:ascii="宋体" w:hAnsi="宋体" w:eastAsia="宋体" w:cs="宋体"/>
          <w:color w:val="auto"/>
          <w:sz w:val="24"/>
          <w:szCs w:val="24"/>
          <w:highlight w:val="none"/>
          <w:lang w:val="en-US" w:eastAsia="zh-CN"/>
        </w:rPr>
        <w:t>5工程文档交付</w:t>
      </w:r>
    </w:p>
    <w:p w14:paraId="7CADF537">
      <w:pPr>
        <w:pStyle w:val="20"/>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供应商应按照</w:t>
      </w:r>
      <w:r>
        <w:rPr>
          <w:rFonts w:hint="eastAsia" w:ascii="宋体" w:hAnsi="宋体" w:eastAsia="宋体" w:cs="宋体"/>
          <w:color w:val="auto"/>
          <w:sz w:val="24"/>
          <w:szCs w:val="24"/>
          <w:highlight w:val="none"/>
          <w:lang w:val="en-US" w:eastAsia="zh-CN"/>
        </w:rPr>
        <w:t>招标方</w:t>
      </w:r>
      <w:r>
        <w:rPr>
          <w:rFonts w:hint="default" w:ascii="宋体" w:hAnsi="宋体" w:eastAsia="宋体" w:cs="宋体"/>
          <w:color w:val="auto"/>
          <w:sz w:val="24"/>
          <w:szCs w:val="24"/>
          <w:highlight w:val="none"/>
          <w:lang w:val="en-US" w:eastAsia="zh-CN"/>
        </w:rPr>
        <w:t>发布的数字化交付统一规定的要求，移交设备随机文件（如合格证、图纸、检验报告、操作/维护说明、备品备件清单、零部件清单等），文件的编码、目录结构、属性、质量等应符合规定的要求。</w:t>
      </w:r>
    </w:p>
    <w:p w14:paraId="4F22DE6A">
      <w:pPr>
        <w:pStyle w:val="20"/>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原则上移交的文档为带签章的PDF文件，针对数据表、备品备件清单、零部件清单等文件，还需同时移交可编辑版本，需要移交可编辑版的文件范围、文件格式以发布的统一规定为准。</w:t>
      </w:r>
    </w:p>
    <w:p w14:paraId="1C661FF1">
      <w:pPr>
        <w:pStyle w:val="20"/>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default" w:ascii="宋体" w:hAnsi="宋体" w:eastAsia="宋体" w:cs="宋体"/>
          <w:color w:val="auto"/>
          <w:sz w:val="24"/>
          <w:szCs w:val="24"/>
          <w:highlight w:val="none"/>
          <w:lang w:val="en-US" w:eastAsia="zh-CN"/>
        </w:rPr>
        <w:t>.6工厂对象与文档的关联关系</w:t>
      </w:r>
    </w:p>
    <w:p w14:paraId="7032E0F4">
      <w:pPr>
        <w:pStyle w:val="20"/>
        <w:keepNext w:val="0"/>
        <w:keepLines w:val="0"/>
        <w:pageBreakBefore w:val="0"/>
        <w:widowControl w:val="0"/>
        <w:kinsoku/>
        <w:wordWrap/>
        <w:overflowPunct/>
        <w:topLinePunct w:val="0"/>
        <w:autoSpaceDE/>
        <w:autoSpaceDN/>
        <w:bidi w:val="0"/>
        <w:adjustRightInd/>
        <w:snapToGrid/>
        <w:spacing w:line="380" w:lineRule="exact"/>
        <w:textAlignment w:val="auto"/>
      </w:pPr>
      <w:r>
        <w:rPr>
          <w:rFonts w:hint="default" w:ascii="宋体" w:hAnsi="宋体" w:eastAsia="宋体" w:cs="宋体"/>
          <w:color w:val="auto"/>
          <w:sz w:val="24"/>
          <w:szCs w:val="24"/>
          <w:highlight w:val="none"/>
          <w:lang w:val="en-US" w:eastAsia="zh-CN"/>
        </w:rPr>
        <w:t>供应商应按照项目数字化交付统一规定的要求，以及数字化交付平台提供的关联关系模板，移交对象与文档的关联关系。</w:t>
      </w:r>
    </w:p>
    <w:sectPr>
      <w:footerReference r:id="rId3" w:type="default"/>
      <w:pgSz w:w="11907" w:h="16839"/>
      <w:pgMar w:top="1114" w:right="1354" w:bottom="1151" w:left="1448" w:header="838" w:footer="95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C364B">
    <w:pPr>
      <w:spacing w:line="219"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82717D">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82717D">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A7C489"/>
    <w:multiLevelType w:val="multilevel"/>
    <w:tmpl w:val="FBA7C489"/>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0735AA62"/>
    <w:multiLevelType w:val="singleLevel"/>
    <w:tmpl w:val="0735AA62"/>
    <w:lvl w:ilvl="0" w:tentative="0">
      <w:start w:val="3"/>
      <w:numFmt w:val="decimal"/>
      <w:suff w:val="nothing"/>
      <w:lvlText w:val="%1、"/>
      <w:lvlJc w:val="left"/>
    </w:lvl>
  </w:abstractNum>
  <w:abstractNum w:abstractNumId="2">
    <w:nsid w:val="27D26E5E"/>
    <w:multiLevelType w:val="multilevel"/>
    <w:tmpl w:val="27D26E5E"/>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4"/>
      </w:rPr>
    </w:lvl>
    <w:lvl w:ilvl="2" w:tentative="0">
      <w:start w:val="1"/>
      <w:numFmt w:val="decimal"/>
      <w:suff w:val="nothing"/>
      <w:lvlText w:val="%2%1.%3　"/>
      <w:lvlJc w:val="left"/>
      <w:pPr>
        <w:ind w:left="180" w:firstLine="0"/>
      </w:pPr>
    </w:lvl>
    <w:lvl w:ilvl="3" w:tentative="0">
      <w:start w:val="1"/>
      <w:numFmt w:val="decimal"/>
      <w:pStyle w:val="26"/>
      <w:suff w:val="nothing"/>
      <w:lvlText w:val="%1%2.%3.%4　"/>
      <w:lvlJc w:val="left"/>
      <w:pPr>
        <w:ind w:left="0" w:firstLine="0"/>
      </w:pPr>
      <w:rPr>
        <w:rFonts w:hint="eastAsia" w:ascii="宋体" w:hAnsi="Times New Roman" w:eastAsia="宋体"/>
        <w:b w:val="0"/>
        <w:i w:val="0"/>
        <w:sz w:val="24"/>
      </w:rPr>
    </w:lvl>
    <w:lvl w:ilvl="4" w:tentative="0">
      <w:start w:val="1"/>
      <w:numFmt w:val="decimal"/>
      <w:suff w:val="nothing"/>
      <w:lvlText w:val="%1%2.%3.%4.%5　"/>
      <w:lvlJc w:val="left"/>
      <w:pPr>
        <w:ind w:left="0" w:firstLine="0"/>
      </w:pPr>
      <w:rPr>
        <w:rFonts w:hint="eastAsia" w:ascii="宋体" w:hAnsi="Times New Roman" w:eastAsia="宋体"/>
        <w:b w:val="0"/>
        <w:i w:val="0"/>
        <w:spacing w:val="0"/>
        <w:position w:val="0"/>
        <w:sz w:val="24"/>
      </w:rPr>
    </w:lvl>
    <w:lvl w:ilvl="5" w:tentative="0">
      <w:start w:val="1"/>
      <w:numFmt w:val="decimal"/>
      <w:suff w:val="nothing"/>
      <w:lvlText w:val="%1%2.%3.%4.%5.%6　"/>
      <w:lvlJc w:val="left"/>
      <w:pPr>
        <w:ind w:left="0" w:firstLine="0"/>
      </w:pPr>
      <w:rPr>
        <w:rFonts w:hint="eastAsia" w:ascii="宋体" w:hAnsi="Times New Roman" w:eastAsia="宋体"/>
        <w:b w:val="0"/>
        <w:i w:val="0"/>
        <w:sz w:val="24"/>
      </w:rPr>
    </w:lvl>
    <w:lvl w:ilvl="6" w:tentative="0">
      <w:start w:val="1"/>
      <w:numFmt w:val="none"/>
      <w:suff w:val="nothing"/>
      <w:lvlText w:val="—— "/>
      <w:lvlJc w:val="left"/>
      <w:pPr>
        <w:ind w:left="380" w:firstLine="0"/>
      </w:pPr>
      <w:rPr>
        <w:rFonts w:hint="eastAsia" w:ascii="黑体" w:hAnsi="Times New Roman" w:eastAsia="黑体"/>
        <w:b w:val="0"/>
        <w:i w:val="0"/>
        <w:sz w:val="21"/>
      </w:rPr>
    </w:lvl>
    <w:lvl w:ilvl="7" w:tentative="0">
      <w:start w:val="1"/>
      <w:numFmt w:val="lowerLetter"/>
      <w:suff w:val="nothing"/>
      <w:lvlText w:val="%8%1） "/>
      <w:lvlJc w:val="left"/>
      <w:pPr>
        <w:ind w:left="380" w:firstLine="0"/>
      </w:pPr>
      <w:rPr>
        <w:rFonts w:hint="eastAsia"/>
      </w:rPr>
    </w:lvl>
    <w:lvl w:ilvl="8" w:tentative="0">
      <w:start w:val="1"/>
      <w:numFmt w:val="decimal"/>
      <w:suff w:val="nothing"/>
      <w:lvlText w:val="%9%1） "/>
      <w:lvlJc w:val="left"/>
      <w:pPr>
        <w:ind w:left="1162" w:hanging="425"/>
      </w:pPr>
      <w:rPr>
        <w:rFonts w:hint="eastAsia"/>
      </w:rPr>
    </w:lvl>
  </w:abstractNum>
  <w:abstractNum w:abstractNumId="3">
    <w:nsid w:val="352B2569"/>
    <w:multiLevelType w:val="singleLevel"/>
    <w:tmpl w:val="352B2569"/>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1NDU2NWVmNDgzZTU1ZjM5MDI2MTc2MGZhYzIyNmIifQ=="/>
  </w:docVars>
  <w:rsids>
    <w:rsidRoot w:val="5B36393C"/>
    <w:rsid w:val="004A4DEC"/>
    <w:rsid w:val="01BD2912"/>
    <w:rsid w:val="025D08EA"/>
    <w:rsid w:val="02DE7C7D"/>
    <w:rsid w:val="035F3CF7"/>
    <w:rsid w:val="04BD7867"/>
    <w:rsid w:val="065E7482"/>
    <w:rsid w:val="07F538E9"/>
    <w:rsid w:val="09BD49E0"/>
    <w:rsid w:val="0B5261DC"/>
    <w:rsid w:val="0B6A7C09"/>
    <w:rsid w:val="0C267095"/>
    <w:rsid w:val="0CCF7411"/>
    <w:rsid w:val="0CDC77FE"/>
    <w:rsid w:val="0DCD726B"/>
    <w:rsid w:val="0E4A6262"/>
    <w:rsid w:val="0F570384"/>
    <w:rsid w:val="10C61D50"/>
    <w:rsid w:val="11017E3D"/>
    <w:rsid w:val="112322FE"/>
    <w:rsid w:val="12655ACE"/>
    <w:rsid w:val="12E2322F"/>
    <w:rsid w:val="149A777C"/>
    <w:rsid w:val="15814DF7"/>
    <w:rsid w:val="16121656"/>
    <w:rsid w:val="16DD53DE"/>
    <w:rsid w:val="16ED0036"/>
    <w:rsid w:val="19510A9A"/>
    <w:rsid w:val="1B767316"/>
    <w:rsid w:val="1C777F35"/>
    <w:rsid w:val="1CA85AEE"/>
    <w:rsid w:val="1D004F3A"/>
    <w:rsid w:val="1E98632F"/>
    <w:rsid w:val="1EC60710"/>
    <w:rsid w:val="1F126A92"/>
    <w:rsid w:val="20115428"/>
    <w:rsid w:val="20820C62"/>
    <w:rsid w:val="249F41E4"/>
    <w:rsid w:val="2604714B"/>
    <w:rsid w:val="26155D5F"/>
    <w:rsid w:val="28DE26D1"/>
    <w:rsid w:val="29A749BD"/>
    <w:rsid w:val="2A5B7D43"/>
    <w:rsid w:val="2B4F2C16"/>
    <w:rsid w:val="2C21539A"/>
    <w:rsid w:val="2C382F95"/>
    <w:rsid w:val="2C42642B"/>
    <w:rsid w:val="2FF67B04"/>
    <w:rsid w:val="31041376"/>
    <w:rsid w:val="310D3357"/>
    <w:rsid w:val="31456D07"/>
    <w:rsid w:val="31E16592"/>
    <w:rsid w:val="32A63A63"/>
    <w:rsid w:val="33242BDA"/>
    <w:rsid w:val="33AD0E22"/>
    <w:rsid w:val="3439473C"/>
    <w:rsid w:val="346E1088"/>
    <w:rsid w:val="34A6467F"/>
    <w:rsid w:val="37C404E8"/>
    <w:rsid w:val="395C0915"/>
    <w:rsid w:val="3C4D76C2"/>
    <w:rsid w:val="3CE6448B"/>
    <w:rsid w:val="3F73258B"/>
    <w:rsid w:val="400210C8"/>
    <w:rsid w:val="414D59F2"/>
    <w:rsid w:val="421A7FB7"/>
    <w:rsid w:val="42B75819"/>
    <w:rsid w:val="448D3625"/>
    <w:rsid w:val="44C10289"/>
    <w:rsid w:val="476364EE"/>
    <w:rsid w:val="483D40CA"/>
    <w:rsid w:val="499E34F4"/>
    <w:rsid w:val="49A66CF3"/>
    <w:rsid w:val="49CB1271"/>
    <w:rsid w:val="4BD56A04"/>
    <w:rsid w:val="4D0B6606"/>
    <w:rsid w:val="4D661858"/>
    <w:rsid w:val="4E3E10AE"/>
    <w:rsid w:val="4E50267E"/>
    <w:rsid w:val="516D7CE1"/>
    <w:rsid w:val="52854FEC"/>
    <w:rsid w:val="54325D32"/>
    <w:rsid w:val="54574A1F"/>
    <w:rsid w:val="55020B76"/>
    <w:rsid w:val="573A56C4"/>
    <w:rsid w:val="57F10A2D"/>
    <w:rsid w:val="58B0264D"/>
    <w:rsid w:val="590B5B1F"/>
    <w:rsid w:val="5AB07FCF"/>
    <w:rsid w:val="5B36393C"/>
    <w:rsid w:val="5B972A45"/>
    <w:rsid w:val="5F654BA8"/>
    <w:rsid w:val="61BB2221"/>
    <w:rsid w:val="64B7232A"/>
    <w:rsid w:val="65144583"/>
    <w:rsid w:val="65A645AF"/>
    <w:rsid w:val="67207643"/>
    <w:rsid w:val="68172608"/>
    <w:rsid w:val="682A52CC"/>
    <w:rsid w:val="6ACD28CE"/>
    <w:rsid w:val="6B637A3C"/>
    <w:rsid w:val="6B8A4FC9"/>
    <w:rsid w:val="6BE1298B"/>
    <w:rsid w:val="6C2121F0"/>
    <w:rsid w:val="6C3A69EF"/>
    <w:rsid w:val="6CC76920"/>
    <w:rsid w:val="6D9458E2"/>
    <w:rsid w:val="6E34121C"/>
    <w:rsid w:val="6E971C54"/>
    <w:rsid w:val="6EF9118A"/>
    <w:rsid w:val="703E7434"/>
    <w:rsid w:val="7193363A"/>
    <w:rsid w:val="75391E27"/>
    <w:rsid w:val="75EE7974"/>
    <w:rsid w:val="76300258"/>
    <w:rsid w:val="774B7D02"/>
    <w:rsid w:val="78EF46BD"/>
    <w:rsid w:val="7AA57C46"/>
    <w:rsid w:val="7B783F83"/>
    <w:rsid w:val="7D2F3DE2"/>
    <w:rsid w:val="7EC02D11"/>
    <w:rsid w:val="7EF0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keepNext/>
      <w:jc w:val="left"/>
      <w:outlineLvl w:val="2"/>
    </w:pPr>
    <w:rPr>
      <w:b/>
      <w:sz w:val="28"/>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Body Text"/>
    <w:basedOn w:val="1"/>
    <w:autoRedefine/>
    <w:semiHidden/>
    <w:qFormat/>
    <w:uiPriority w:val="0"/>
    <w:rPr>
      <w:sz w:val="12"/>
      <w:szCs w:val="12"/>
    </w:rPr>
  </w:style>
  <w:style w:type="paragraph" w:styleId="7">
    <w:name w:val="Plain Text"/>
    <w:basedOn w:val="1"/>
    <w:autoRedefine/>
    <w:qFormat/>
    <w:uiPriority w:val="0"/>
    <w:rPr>
      <w:rFonts w:ascii="宋体" w:hAnsi="Courier New"/>
      <w:szCs w:val="20"/>
    </w:rPr>
  </w:style>
  <w:style w:type="paragraph" w:styleId="8">
    <w:name w:val="footer"/>
    <w:basedOn w:val="1"/>
    <w:autoRedefine/>
    <w:qFormat/>
    <w:uiPriority w:val="0"/>
    <w:pPr>
      <w:tabs>
        <w:tab w:val="center" w:pos="4153"/>
        <w:tab w:val="right" w:pos="8306"/>
      </w:tabs>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11">
    <w:name w:val="Table Grid"/>
    <w:basedOn w:val="10"/>
    <w:autoRedefine/>
    <w:qFormat/>
    <w:uiPriority w:val="0"/>
    <w:pPr>
      <w:widowControl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autoRedefine/>
    <w:qFormat/>
    <w:uiPriority w:val="0"/>
    <w:rPr>
      <w:sz w:val="21"/>
      <w:szCs w:val="21"/>
    </w:rPr>
  </w:style>
  <w:style w:type="paragraph" w:customStyle="1" w:styleId="14">
    <w:name w:val="Normal (Web)1"/>
    <w:basedOn w:val="1"/>
    <w:autoRedefine/>
    <w:qFormat/>
    <w:uiPriority w:val="0"/>
    <w:pPr>
      <w:spacing w:line="360" w:lineRule="auto"/>
    </w:pPr>
    <w:rPr>
      <w:sz w:val="18"/>
      <w:szCs w:val="18"/>
    </w:rPr>
  </w:style>
  <w:style w:type="character" w:customStyle="1" w:styleId="15">
    <w:name w:val="font31"/>
    <w:basedOn w:val="12"/>
    <w:autoRedefine/>
    <w:qFormat/>
    <w:uiPriority w:val="0"/>
    <w:rPr>
      <w:rFonts w:hint="default" w:ascii="Times New Roman" w:hAnsi="Times New Roman" w:cs="Times New Roman"/>
      <w:color w:val="EE0000"/>
      <w:sz w:val="20"/>
      <w:szCs w:val="20"/>
      <w:u w:val="none"/>
    </w:rPr>
  </w:style>
  <w:style w:type="character" w:customStyle="1" w:styleId="16">
    <w:name w:val="font21"/>
    <w:basedOn w:val="12"/>
    <w:autoRedefine/>
    <w:qFormat/>
    <w:uiPriority w:val="0"/>
    <w:rPr>
      <w:rFonts w:hint="default" w:ascii="Times New Roman" w:hAnsi="Times New Roman" w:cs="Times New Roman"/>
      <w:color w:val="000000"/>
      <w:sz w:val="20"/>
      <w:szCs w:val="20"/>
      <w:u w:val="none"/>
    </w:rPr>
  </w:style>
  <w:style w:type="character" w:customStyle="1" w:styleId="17">
    <w:name w:val="font11"/>
    <w:basedOn w:val="12"/>
    <w:autoRedefine/>
    <w:qFormat/>
    <w:uiPriority w:val="0"/>
    <w:rPr>
      <w:rFonts w:hint="eastAsia" w:ascii="宋体" w:hAnsi="宋体" w:eastAsia="宋体" w:cs="宋体"/>
      <w:color w:val="000000"/>
      <w:sz w:val="20"/>
      <w:szCs w:val="20"/>
      <w:u w:val="none"/>
    </w:rPr>
  </w:style>
  <w:style w:type="character" w:customStyle="1" w:styleId="18">
    <w:name w:val="font51"/>
    <w:basedOn w:val="12"/>
    <w:autoRedefine/>
    <w:qFormat/>
    <w:uiPriority w:val="0"/>
    <w:rPr>
      <w:rFonts w:hint="default" w:ascii="Times New Roman" w:hAnsi="Times New Roman" w:cs="Times New Roman"/>
      <w:color w:val="000000"/>
      <w:sz w:val="20"/>
      <w:szCs w:val="20"/>
      <w:u w:val="none"/>
    </w:rPr>
  </w:style>
  <w:style w:type="character" w:customStyle="1" w:styleId="19">
    <w:name w:val="font41"/>
    <w:basedOn w:val="12"/>
    <w:autoRedefine/>
    <w:qFormat/>
    <w:uiPriority w:val="0"/>
    <w:rPr>
      <w:rFonts w:hint="eastAsia" w:ascii="宋体" w:hAnsi="宋体" w:eastAsia="宋体" w:cs="宋体"/>
      <w:color w:val="000000"/>
      <w:sz w:val="20"/>
      <w:szCs w:val="20"/>
      <w:u w:val="none"/>
    </w:rPr>
  </w:style>
  <w:style w:type="paragraph" w:customStyle="1" w:styleId="20">
    <w:name w:val="小于节标题"/>
    <w:basedOn w:val="21"/>
    <w:autoRedefine/>
    <w:qFormat/>
    <w:uiPriority w:val="0"/>
    <w:pPr>
      <w:tabs>
        <w:tab w:val="left" w:pos="567"/>
      </w:tabs>
      <w:ind w:firstLine="0" w:firstLineChars="0"/>
    </w:pPr>
  </w:style>
  <w:style w:type="paragraph" w:customStyle="1" w:styleId="21">
    <w:name w:val="新正文样式"/>
    <w:basedOn w:val="1"/>
    <w:autoRedefine/>
    <w:qFormat/>
    <w:uiPriority w:val="0"/>
    <w:pPr>
      <w:tabs>
        <w:tab w:val="left" w:pos="567"/>
      </w:tabs>
      <w:spacing w:line="360" w:lineRule="auto"/>
      <w:ind w:firstLine="200" w:firstLineChars="200"/>
    </w:pPr>
    <w:rPr>
      <w:spacing w:val="0"/>
      <w:szCs w:val="24"/>
    </w:rPr>
  </w:style>
  <w:style w:type="paragraph" w:customStyle="1" w:styleId="22">
    <w:name w:val="表格中"/>
    <w:autoRedefine/>
    <w:qFormat/>
    <w:uiPriority w:val="0"/>
    <w:pPr>
      <w:topLinePunct/>
      <w:spacing w:before="10" w:beforeLines="10" w:after="10" w:afterLines="10"/>
      <w:ind w:left="10" w:leftChars="10"/>
    </w:pPr>
    <w:rPr>
      <w:rFonts w:ascii="宋体" w:hAnsi="宋体" w:eastAsia="宋体" w:cs="宋体"/>
      <w:bCs/>
      <w:kern w:val="0"/>
      <w:sz w:val="21"/>
      <w:szCs w:val="24"/>
      <w:lang w:val="zh-CN" w:eastAsia="en-US" w:bidi="en-US"/>
    </w:rPr>
  </w:style>
  <w:style w:type="paragraph" w:customStyle="1" w:styleId="23">
    <w:name w:val="文本  内容"/>
    <w:autoRedefine/>
    <w:qFormat/>
    <w:uiPriority w:val="0"/>
    <w:pPr>
      <w:snapToGrid w:val="0"/>
      <w:spacing w:line="360" w:lineRule="auto"/>
      <w:ind w:firstLine="200" w:firstLineChars="200"/>
      <w:jc w:val="both"/>
    </w:pPr>
    <w:rPr>
      <w:rFonts w:ascii="Calibri" w:hAnsi="Calibri" w:eastAsia="宋体" w:cs="Times New Roman"/>
      <w:kern w:val="2"/>
      <w:sz w:val="24"/>
      <w:szCs w:val="22"/>
      <w:lang w:val="en-US" w:eastAsia="zh-CN" w:bidi="ar-SA"/>
    </w:rPr>
  </w:style>
  <w:style w:type="paragraph" w:customStyle="1" w:styleId="24">
    <w:name w:val="List Paragraph"/>
    <w:basedOn w:val="1"/>
    <w:autoRedefine/>
    <w:qFormat/>
    <w:uiPriority w:val="0"/>
    <w:pPr>
      <w:ind w:firstLine="420" w:firstLineChars="200"/>
    </w:pPr>
  </w:style>
  <w:style w:type="paragraph" w:customStyle="1" w:styleId="25">
    <w:name w:val="内容"/>
    <w:basedOn w:val="1"/>
    <w:autoRedefine/>
    <w:qFormat/>
    <w:uiPriority w:val="0"/>
    <w:pPr>
      <w:adjustRightInd w:val="0"/>
      <w:spacing w:line="360" w:lineRule="atLeast"/>
      <w:ind w:left="1418"/>
      <w:jc w:val="left"/>
      <w:textAlignment w:val="baseline"/>
    </w:pPr>
    <w:rPr>
      <w:rFonts w:ascii="Arial" w:hAnsi="Arial"/>
      <w:kern w:val="0"/>
      <w:sz w:val="24"/>
      <w:szCs w:val="20"/>
    </w:rPr>
  </w:style>
  <w:style w:type="paragraph" w:customStyle="1" w:styleId="26">
    <w:name w:val="二级条"/>
    <w:next w:val="5"/>
    <w:autoRedefine/>
    <w:qFormat/>
    <w:uiPriority w:val="0"/>
    <w:pPr>
      <w:widowControl w:val="0"/>
      <w:numPr>
        <w:ilvl w:val="3"/>
        <w:numId w:val="1"/>
      </w:numPr>
      <w:spacing w:line="440" w:lineRule="exact"/>
    </w:pPr>
    <w:rPr>
      <w:rFonts w:ascii="宋体" w:hAnsi="Times New Roman" w:eastAsia="宋体" w:cs="Times New Roman"/>
      <w:sz w:val="24"/>
      <w:lang w:val="en-US" w:eastAsia="zh-CN" w:bidi="ar-SA"/>
    </w:rPr>
  </w:style>
  <w:style w:type="paragraph" w:customStyle="1" w:styleId="27">
    <w:name w:val="Table Paragraph"/>
    <w:basedOn w:val="1"/>
    <w:autoRedefine/>
    <w:qFormat/>
    <w:uiPriority w:val="1"/>
  </w:style>
  <w:style w:type="table" w:customStyle="1" w:styleId="28">
    <w:name w:val="Table Normal"/>
    <w:autoRedefine/>
    <w:semiHidden/>
    <w:unhideWhenUsed/>
    <w:qFormat/>
    <w:uiPriority w:val="2"/>
    <w:tblPr>
      <w:tblCellMar>
        <w:top w:w="0" w:type="dxa"/>
        <w:left w:w="0" w:type="dxa"/>
        <w:bottom w:w="0" w:type="dxa"/>
        <w:right w:w="0" w:type="dxa"/>
      </w:tblCellMar>
    </w:tblPr>
  </w:style>
  <w:style w:type="character" w:customStyle="1" w:styleId="29">
    <w:name w:val="font61"/>
    <w:basedOn w:val="12"/>
    <w:qFormat/>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277</Words>
  <Characters>299</Characters>
  <Lines>0</Lines>
  <Paragraphs>0</Paragraphs>
  <TotalTime>3</TotalTime>
  <ScaleCrop>false</ScaleCrop>
  <LinksUpToDate>false</LinksUpToDate>
  <CharactersWithSpaces>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2025-06-23T03:04:00Z</dcterms:created>
  <dc:creator>容器中的鱼</dc:creator>
  <cp:lastModifiedBy>彪</cp:lastModifiedBy>
  <dcterms:modified xsi:type="dcterms:W3CDTF">2026-04-17T06:40:11Z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FC3F7BA9D6E74208B02BC8640893750D_13</vt:lpwstr>
  </property>
  <property fmtid="{D5CDD505-2E9C-101B-9397-08002B2CF9AE}" pid="4" name="KSOTemplateDocerSaveRecord">
    <vt:lpwstr>eyJoZGlkIjoiZjI0MzAxOTExYzllNWViYjA1MTgzZTA1ZGIwZDZiYWMiLCJ1c2VySWQiOiI0NDY5MTgxMzcifQ==</vt:lpwstr>
  </property>
</Properties>
</file>