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3"/>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2"/>
      </w:pPr>
      <w:r>
        <w:t>一、项目概况</w:t>
      </w:r>
    </w:p>
    <w:p w14:paraId="4F7B6320">
      <w:pPr>
        <w:numPr>
          <w:ilvl w:val="0"/>
          <w:numId w:val="1"/>
        </w:numPr>
        <w:spacing w:before="0" w:beforeAutospacing="1" w:after="0" w:afterAutospacing="1"/>
        <w:ind w:left="720" w:hanging="360"/>
      </w:pPr>
      <w:r>
        <w:rPr>
          <w:b/>
        </w:rPr>
        <w:t>项目名称</w:t>
      </w:r>
      <w:r>
        <w:t>：</w:t>
      </w:r>
      <w:r>
        <w:rPr>
          <w:rFonts w:hint="eastAsia" w:ascii="宋体" w:hAnsi="宋体" w:eastAsia="宋体" w:cs="宋体"/>
          <w:i w:val="0"/>
          <w:iCs w:val="0"/>
          <w:color w:val="000000"/>
          <w:kern w:val="0"/>
          <w:sz w:val="20"/>
          <w:szCs w:val="20"/>
          <w:u w:val="none"/>
          <w:lang w:val="en-US" w:eastAsia="zh-CN" w:bidi="ar"/>
        </w:rPr>
        <w:t>冷凝液泵</w:t>
      </w:r>
      <w:r>
        <w:rPr>
          <w:rFonts w:hint="eastAsia"/>
          <w:lang w:val="en-US" w:eastAsia="zh-CN"/>
        </w:rPr>
        <w:t>2台</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：2026年5月19日9：30（北京时间）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8"/>
          <w:rFonts w:hint="eastAsia"/>
          <w:lang w:val="en-US" w:eastAsia="zh-CN"/>
        </w:rPr>
        <w:t>ww</w:t>
      </w:r>
      <w:r>
        <w:rPr>
          <w:rStyle w:val="8"/>
        </w:rPr>
        <w:t>w.sopo.com.cn</w:t>
      </w:r>
      <w:r>
        <w:rPr>
          <w:rFonts w:hint="eastAsia"/>
          <w:lang w:val="en-US" w:eastAsia="zh-CN"/>
        </w:rPr>
        <w:fldChar w:fldCharType="end"/>
      </w:r>
    </w:p>
    <w:p w14:paraId="6ADB06F1">
      <w:pPr>
        <w:pStyle w:val="2"/>
        <w:spacing w:before="0" w:after="0" w:line="240" w:lineRule="auto"/>
        <w:ind w:firstLine="420" w:firstLineChars="200"/>
      </w:pPr>
      <w:r>
        <w:rPr>
          <w:rFonts w:hint="eastAsia" w:asciiTheme="majorEastAsia" w:hAnsiTheme="majorEastAsia" w:eastAsiaTheme="majorEastAsia" w:cstheme="majorEastAsia"/>
          <w:b w:val="0"/>
          <w:bCs/>
          <w:color w:val="000000"/>
          <w:sz w:val="21"/>
          <w:szCs w:val="24"/>
          <w:lang w:val="en-US" w:eastAsia="zh-CN" w:bidi="ar-S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2"/>
      </w:pPr>
      <w:r>
        <w:t>二、采购内容及要求</w:t>
      </w:r>
    </w:p>
    <w:p w14:paraId="52B753BB">
      <w:pPr>
        <w:pStyle w:val="4"/>
      </w:pPr>
      <w:r>
        <w:t>（一）采购清单</w:t>
      </w:r>
    </w:p>
    <w:tbl>
      <w:tblPr>
        <w:tblStyle w:val="6"/>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16"/>
        <w:gridCol w:w="1698"/>
        <w:gridCol w:w="3946"/>
        <w:gridCol w:w="630"/>
        <w:gridCol w:w="630"/>
      </w:tblGrid>
      <w:tr w14:paraId="1A3C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blHeader/>
          <w:jc w:val="center"/>
        </w:trPr>
        <w:tc>
          <w:tcPr>
            <w:tcW w:w="1616"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1698"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3946" w:type="dxa"/>
            <w:tcMar>
              <w:left w:w="108" w:type="dxa"/>
              <w:right w:w="108" w:type="dxa"/>
            </w:tcMar>
            <w:vAlign w:val="center"/>
          </w:tcPr>
          <w:p w14:paraId="6C4170C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规格</w:t>
            </w:r>
            <w:r>
              <w:rPr>
                <w:rFonts w:hint="eastAsia"/>
                <w:b/>
                <w:lang w:val="en-US" w:eastAsia="zh-CN"/>
              </w:rPr>
              <w:t>型号</w:t>
            </w:r>
          </w:p>
        </w:tc>
        <w:tc>
          <w:tcPr>
            <w:tcW w:w="630" w:type="dxa"/>
            <w:tcMar>
              <w:left w:w="108" w:type="dxa"/>
              <w:right w:w="108" w:type="dxa"/>
            </w:tcMar>
            <w:vAlign w:val="center"/>
          </w:tcPr>
          <w:p w14:paraId="4CDA0717">
            <w:pPr>
              <w:snapToGrid w:val="0"/>
              <w:ind w:left="0" w:leftChars="0" w:right="0" w:rightChars="0" w:firstLine="0" w:firstLineChars="0"/>
              <w:jc w:val="center"/>
              <w:rPr>
                <w:b/>
              </w:rPr>
            </w:pPr>
            <w:r>
              <w:rPr>
                <w:b/>
              </w:rPr>
              <w:t>单位</w:t>
            </w:r>
          </w:p>
        </w:tc>
        <w:tc>
          <w:tcPr>
            <w:tcW w:w="630" w:type="dxa"/>
            <w:tcMar>
              <w:left w:w="108" w:type="dxa"/>
              <w:right w:w="108" w:type="dxa"/>
            </w:tcMar>
            <w:vAlign w:val="center"/>
          </w:tcPr>
          <w:p w14:paraId="316BEF88">
            <w:pPr>
              <w:snapToGrid w:val="0"/>
              <w:ind w:left="0" w:leftChars="0" w:right="0" w:rightChars="0" w:firstLine="0" w:firstLineChars="0"/>
              <w:jc w:val="center"/>
              <w:rPr>
                <w:b/>
              </w:rPr>
            </w:pPr>
            <w:r>
              <w:rPr>
                <w:b/>
              </w:rPr>
              <w:t>数量</w:t>
            </w:r>
          </w:p>
        </w:tc>
      </w:tr>
      <w:tr w14:paraId="56FD6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16" w:type="dxa"/>
            <w:shd w:val="clear" w:color="auto" w:fill="auto"/>
            <w:tcMar>
              <w:left w:w="108" w:type="dxa"/>
              <w:right w:w="108" w:type="dxa"/>
            </w:tcMar>
            <w:vAlign w:val="center"/>
          </w:tcPr>
          <w:p w14:paraId="1775212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07010000001589</w:t>
            </w:r>
          </w:p>
        </w:tc>
        <w:tc>
          <w:tcPr>
            <w:tcW w:w="1698" w:type="dxa"/>
            <w:tcMar>
              <w:left w:w="108" w:type="dxa"/>
              <w:right w:w="108" w:type="dxa"/>
            </w:tcMar>
            <w:vAlign w:val="center"/>
          </w:tcPr>
          <w:p w14:paraId="208A98E3">
            <w:pPr>
              <w:keepNext w:val="0"/>
              <w:keepLines w:val="0"/>
              <w:widowControl/>
              <w:suppressLineNumbers w:val="0"/>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20"/>
                <w:szCs w:val="20"/>
                <w:u w:val="none"/>
                <w:lang w:val="en-US" w:eastAsia="zh-CN" w:bidi="ar"/>
              </w:rPr>
              <w:t>冷凝液泵P401</w:t>
            </w:r>
          </w:p>
        </w:tc>
        <w:tc>
          <w:tcPr>
            <w:tcW w:w="3946" w:type="dxa"/>
            <w:shd w:val="clear" w:color="auto" w:fill="auto"/>
            <w:tcMar>
              <w:left w:w="108" w:type="dxa"/>
              <w:right w:w="108" w:type="dxa"/>
            </w:tcMar>
            <w:vAlign w:val="center"/>
          </w:tcPr>
          <w:p w14:paraId="0D13B7CE">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离心泵API610   机械密封 Q=25m3/h H=60m  NPSHr=6m  压力进/出0.012/0.6MPa泵送温度82℃介质：蒸汽冷凝液</w:t>
            </w:r>
            <w:r>
              <w:rPr>
                <w:rFonts w:hint="eastAsia" w:ascii="宋体" w:hAnsi="宋体" w:cs="宋体"/>
                <w:i w:val="0"/>
                <w:iCs w:val="0"/>
                <w:color w:val="000000"/>
                <w:kern w:val="0"/>
                <w:sz w:val="20"/>
                <w:szCs w:val="20"/>
                <w:u w:val="none"/>
                <w:lang w:val="en-US" w:eastAsia="zh-CN" w:bidi="ar"/>
              </w:rPr>
              <w:t xml:space="preserve">     其他参数详见数据表</w:t>
            </w:r>
          </w:p>
        </w:tc>
        <w:tc>
          <w:tcPr>
            <w:tcW w:w="630" w:type="dxa"/>
            <w:tcMar>
              <w:left w:w="108" w:type="dxa"/>
              <w:right w:w="108" w:type="dxa"/>
            </w:tcMar>
            <w:vAlign w:val="center"/>
          </w:tcPr>
          <w:p w14:paraId="20E83DBD">
            <w:pPr>
              <w:snapToGrid w:val="0"/>
              <w:ind w:left="0" w:leftChars="0" w:right="0" w:rightChars="0" w:firstLine="0" w:firstLineChars="0"/>
              <w:jc w:val="center"/>
              <w:rPr>
                <w:rFonts w:hint="default"/>
                <w:lang w:val="en-US" w:eastAsia="zh-CN"/>
              </w:rPr>
            </w:pPr>
            <w:r>
              <w:rPr>
                <w:rFonts w:hint="eastAsia"/>
                <w:lang w:val="en-US" w:eastAsia="zh-CN"/>
              </w:rPr>
              <w:t>台</w:t>
            </w:r>
          </w:p>
        </w:tc>
        <w:tc>
          <w:tcPr>
            <w:tcW w:w="630" w:type="dxa"/>
            <w:tcMar>
              <w:left w:w="108" w:type="dxa"/>
              <w:right w:w="108" w:type="dxa"/>
            </w:tcMar>
            <w:vAlign w:val="center"/>
          </w:tcPr>
          <w:p w14:paraId="5F5C81C0">
            <w:pPr>
              <w:snapToGrid w:val="0"/>
              <w:ind w:left="0" w:leftChars="0" w:right="0" w:rightChars="0" w:firstLine="0" w:firstLineChars="0"/>
              <w:jc w:val="center"/>
              <w:rPr>
                <w:rFonts w:hint="default"/>
                <w:lang w:val="en-US" w:eastAsia="zh-CN"/>
              </w:rPr>
            </w:pPr>
            <w:r>
              <w:rPr>
                <w:rFonts w:hint="eastAsia"/>
                <w:lang w:val="en-US" w:eastAsia="zh-CN"/>
              </w:rPr>
              <w:t>1</w:t>
            </w:r>
          </w:p>
        </w:tc>
      </w:tr>
      <w:tr w14:paraId="0195B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16" w:type="dxa"/>
            <w:shd w:val="clear" w:color="auto" w:fill="auto"/>
            <w:tcMar>
              <w:left w:w="108" w:type="dxa"/>
              <w:right w:w="108" w:type="dxa"/>
            </w:tcMar>
            <w:vAlign w:val="center"/>
          </w:tcPr>
          <w:p w14:paraId="0224AAF0">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bidi="ar-SA"/>
              </w:rPr>
            </w:pPr>
            <w:r>
              <w:rPr>
                <w:rFonts w:ascii="宋体" w:hAnsi="宋体" w:eastAsia="宋体" w:cs="宋体"/>
                <w:i w:val="0"/>
                <w:iCs w:val="0"/>
                <w:color w:val="000000"/>
                <w:kern w:val="0"/>
                <w:sz w:val="20"/>
                <w:szCs w:val="20"/>
                <w:u w:val="none"/>
                <w:lang w:val="en-US" w:eastAsia="zh-CN" w:bidi="ar"/>
              </w:rPr>
              <w:t>07010000001590</w:t>
            </w:r>
          </w:p>
        </w:tc>
        <w:tc>
          <w:tcPr>
            <w:tcW w:w="1698" w:type="dxa"/>
            <w:shd w:val="clear" w:color="auto" w:fill="auto"/>
            <w:tcMar>
              <w:left w:w="108" w:type="dxa"/>
              <w:right w:w="108" w:type="dxa"/>
            </w:tcMar>
            <w:vAlign w:val="center"/>
          </w:tcPr>
          <w:p w14:paraId="62851F72">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bidi="ar-SA"/>
              </w:rPr>
            </w:pPr>
            <w:r>
              <w:rPr>
                <w:rFonts w:ascii="宋体" w:hAnsi="宋体" w:eastAsia="宋体" w:cs="宋体"/>
                <w:i w:val="0"/>
                <w:iCs w:val="0"/>
                <w:color w:val="000000"/>
                <w:kern w:val="0"/>
                <w:sz w:val="20"/>
                <w:szCs w:val="20"/>
                <w:u w:val="none"/>
                <w:lang w:val="en-US" w:eastAsia="zh-CN" w:bidi="ar"/>
              </w:rPr>
              <w:t>冷凝液泵P402</w:t>
            </w:r>
          </w:p>
        </w:tc>
        <w:tc>
          <w:tcPr>
            <w:tcW w:w="3946" w:type="dxa"/>
            <w:shd w:val="clear" w:color="auto" w:fill="auto"/>
            <w:tcMar>
              <w:left w:w="108" w:type="dxa"/>
              <w:right w:w="108" w:type="dxa"/>
            </w:tcMar>
            <w:vAlign w:val="center"/>
          </w:tcPr>
          <w:p w14:paraId="024702E5">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bidi="ar-SA"/>
              </w:rPr>
            </w:pPr>
            <w:r>
              <w:rPr>
                <w:rFonts w:ascii="宋体" w:hAnsi="宋体" w:eastAsia="宋体" w:cs="宋体"/>
                <w:i w:val="0"/>
                <w:iCs w:val="0"/>
                <w:color w:val="000000"/>
                <w:kern w:val="0"/>
                <w:sz w:val="20"/>
                <w:szCs w:val="20"/>
                <w:u w:val="none"/>
                <w:lang w:val="en-US" w:eastAsia="zh-CN" w:bidi="ar"/>
              </w:rPr>
              <w:t xml:space="preserve">离心泵API610   机械密封 Q=25m3/h H=60m  NPSHr=6m  压力进/出0.012/0.6MPa泵送温度82℃介质：蒸汽冷凝液  </w:t>
            </w:r>
            <w:r>
              <w:rPr>
                <w:rFonts w:hint="eastAsia" w:ascii="宋体" w:hAnsi="宋体" w:cs="宋体"/>
                <w:i w:val="0"/>
                <w:iCs w:val="0"/>
                <w:color w:val="000000"/>
                <w:kern w:val="0"/>
                <w:sz w:val="20"/>
                <w:szCs w:val="20"/>
                <w:u w:val="none"/>
                <w:lang w:val="en-US" w:eastAsia="zh-CN" w:bidi="ar"/>
              </w:rPr>
              <w:t xml:space="preserve">  </w:t>
            </w:r>
            <w:r>
              <w:rPr>
                <w:rFonts w:ascii="宋体" w:hAnsi="宋体" w:eastAsia="宋体" w:cs="宋体"/>
                <w:i w:val="0"/>
                <w:iCs w:val="0"/>
                <w:color w:val="000000"/>
                <w:kern w:val="0"/>
                <w:sz w:val="20"/>
                <w:szCs w:val="20"/>
                <w:u w:val="none"/>
                <w:lang w:val="en-US" w:eastAsia="zh-CN" w:bidi="ar"/>
              </w:rPr>
              <w:t xml:space="preserve"> </w:t>
            </w:r>
            <w:r>
              <w:rPr>
                <w:rFonts w:hint="eastAsia" w:ascii="宋体" w:hAnsi="宋体" w:cs="宋体"/>
                <w:i w:val="0"/>
                <w:iCs w:val="0"/>
                <w:color w:val="000000"/>
                <w:kern w:val="0"/>
                <w:sz w:val="20"/>
                <w:szCs w:val="20"/>
                <w:u w:val="none"/>
                <w:lang w:val="en-US" w:eastAsia="zh-CN" w:bidi="ar"/>
              </w:rPr>
              <w:t>其他参数详见数据表</w:t>
            </w:r>
          </w:p>
        </w:tc>
        <w:tc>
          <w:tcPr>
            <w:tcW w:w="630" w:type="dxa"/>
            <w:tcMar>
              <w:left w:w="108" w:type="dxa"/>
              <w:right w:w="108" w:type="dxa"/>
            </w:tcMar>
            <w:vAlign w:val="center"/>
          </w:tcPr>
          <w:p w14:paraId="06E01E08">
            <w:pPr>
              <w:snapToGrid w:val="0"/>
              <w:ind w:left="0" w:leftChars="0" w:right="0" w:rightChars="0" w:firstLine="0" w:firstLineChars="0"/>
              <w:jc w:val="center"/>
              <w:rPr>
                <w:rFonts w:hint="eastAsia"/>
                <w:lang w:val="en-US" w:eastAsia="zh-CN"/>
              </w:rPr>
            </w:pPr>
            <w:r>
              <w:rPr>
                <w:rFonts w:hint="eastAsia"/>
                <w:lang w:val="en-US" w:eastAsia="zh-CN"/>
              </w:rPr>
              <w:t>台</w:t>
            </w:r>
          </w:p>
        </w:tc>
        <w:tc>
          <w:tcPr>
            <w:tcW w:w="630" w:type="dxa"/>
            <w:tcMar>
              <w:left w:w="108" w:type="dxa"/>
              <w:right w:w="108" w:type="dxa"/>
            </w:tcMar>
            <w:vAlign w:val="center"/>
          </w:tcPr>
          <w:p w14:paraId="5ED5A1AD">
            <w:pPr>
              <w:snapToGrid w:val="0"/>
              <w:ind w:left="0" w:leftChars="0" w:right="0" w:rightChars="0" w:firstLine="0" w:firstLineChars="0"/>
              <w:jc w:val="center"/>
              <w:rPr>
                <w:rFonts w:hint="default"/>
                <w:lang w:val="en-US" w:eastAsia="zh-CN"/>
              </w:rPr>
            </w:pPr>
            <w:r>
              <w:rPr>
                <w:rFonts w:hint="eastAsia"/>
                <w:lang w:val="en-US" w:eastAsia="zh-CN"/>
              </w:rPr>
              <w:t>1</w:t>
            </w:r>
          </w:p>
        </w:tc>
      </w:tr>
    </w:tbl>
    <w:p w14:paraId="3C06393A">
      <w:pPr>
        <w:numPr>
          <w:ilvl w:val="0"/>
          <w:numId w:val="0"/>
        </w:numPr>
        <w:spacing w:before="0" w:beforeAutospacing="0" w:after="0" w:afterAutospacing="0"/>
        <w:ind w:left="0" w:leftChars="0"/>
        <w:rPr>
          <w:rFonts w:ascii="Times New Roman" w:hAnsi="Times New Roman" w:eastAsia="‹ÎSå" w:cs="Times New Roman"/>
          <w:b/>
          <w:color w:val="000000"/>
          <w:sz w:val="32"/>
          <w:szCs w:val="32"/>
          <w:lang w:val="zh-CN" w:eastAsia="zh-CN" w:bidi="ar-SA"/>
        </w:rPr>
      </w:pPr>
      <w:r>
        <w:rPr>
          <w:rFonts w:ascii="Times New Roman" w:hAnsi="Times New Roman" w:eastAsia="‹ÎSå" w:cs="Times New Roman"/>
          <w:b/>
          <w:color w:val="000000"/>
          <w:sz w:val="32"/>
          <w:szCs w:val="32"/>
          <w:lang w:val="zh-CN" w:eastAsia="zh-CN" w:bidi="ar-SA"/>
        </w:rPr>
        <w:t>（二）技术及资质要求</w:t>
      </w:r>
    </w:p>
    <w:p w14:paraId="099B11C1">
      <w:pPr>
        <w:numPr>
          <w:ilvl w:val="0"/>
          <w:numId w:val="0"/>
        </w:numPr>
        <w:spacing w:before="0" w:beforeAutospacing="0" w:after="0" w:afterAutospacing="0"/>
        <w:ind w:left="0" w:leftChars="0" w:firstLine="211" w:firstLineChars="100"/>
        <w:rPr>
          <w:rFonts w:hint="eastAsia" w:asciiTheme="majorEastAsia" w:hAnsiTheme="majorEastAsia" w:eastAsiaTheme="majorEastAsia" w:cstheme="majorEastAsia"/>
          <w:b w:val="0"/>
          <w:bCs/>
          <w:lang w:val="en-US" w:eastAsia="zh-CN"/>
        </w:rPr>
      </w:pPr>
      <w:r>
        <w:rPr>
          <w:rFonts w:hint="eastAsia"/>
          <w:b/>
          <w:bCs w:val="0"/>
          <w:lang w:val="en-US" w:eastAsia="zh-CN"/>
        </w:rPr>
        <w:t>1.</w:t>
      </w:r>
      <w:r>
        <w:rPr>
          <w:rFonts w:hint="eastAsia" w:asciiTheme="majorEastAsia" w:hAnsiTheme="majorEastAsia" w:eastAsiaTheme="majorEastAsia" w:cstheme="majorEastAsia"/>
          <w:b w:val="0"/>
          <w:bCs/>
          <w:lang w:val="en-US" w:eastAsia="zh-CN"/>
        </w:rPr>
        <w:t>供应商按照我公司技术要求报价，含地脚螺栓，进出口带配对法兰及紧固件。</w:t>
      </w:r>
    </w:p>
    <w:p w14:paraId="1A549BF6">
      <w:pPr>
        <w:numPr>
          <w:ilvl w:val="0"/>
          <w:numId w:val="0"/>
        </w:numPr>
        <w:spacing w:before="0" w:beforeAutospacing="0" w:after="0" w:afterAutospacing="0"/>
        <w:ind w:left="0" w:leftChars="0" w:firstLine="211" w:firstLineChars="100"/>
        <w:rPr>
          <w:rFonts w:hint="eastAsia" w:asciiTheme="majorEastAsia" w:hAnsiTheme="majorEastAsia" w:eastAsiaTheme="majorEastAsia" w:cstheme="majorEastAsia"/>
          <w:b w:val="0"/>
          <w:bCs/>
          <w:lang w:val="en-US" w:eastAsia="zh-CN"/>
        </w:rPr>
      </w:pPr>
      <w:r>
        <w:rPr>
          <w:rFonts w:hint="eastAsia" w:asciiTheme="majorEastAsia" w:hAnsiTheme="majorEastAsia" w:eastAsiaTheme="majorEastAsia" w:cstheme="majorEastAsia"/>
          <w:b/>
          <w:bCs w:val="0"/>
          <w:lang w:val="en-US" w:eastAsia="zh-CN"/>
        </w:rPr>
        <w:t>2</w:t>
      </w:r>
      <w:r>
        <w:rPr>
          <w:rFonts w:hint="eastAsia" w:asciiTheme="majorEastAsia" w:hAnsiTheme="majorEastAsia" w:eastAsiaTheme="majorEastAsia" w:cstheme="majorEastAsia"/>
          <w:b w:val="0"/>
          <w:bCs/>
          <w:lang w:val="en-US" w:eastAsia="zh-CN"/>
        </w:rPr>
        <w:t>.配套电机需满足GB18613-2020最新标准《电动机能效限定值及能效等级》IE5能效等级。</w:t>
      </w:r>
    </w:p>
    <w:p w14:paraId="2E709CD6">
      <w:pPr>
        <w:numPr>
          <w:ilvl w:val="0"/>
          <w:numId w:val="0"/>
        </w:numPr>
        <w:spacing w:before="0" w:beforeAutospacing="0" w:after="0" w:afterAutospacing="0"/>
        <w:ind w:left="0" w:leftChars="0" w:firstLine="211" w:firstLineChars="100"/>
        <w:rPr>
          <w:rFonts w:hint="eastAsia" w:asciiTheme="majorEastAsia" w:hAnsiTheme="majorEastAsia" w:eastAsiaTheme="majorEastAsia" w:cstheme="majorEastAsia"/>
          <w:b w:val="0"/>
          <w:bCs/>
          <w:lang w:val="en-US" w:eastAsia="zh-CN"/>
        </w:rPr>
      </w:pPr>
      <w:r>
        <w:rPr>
          <w:rFonts w:hint="eastAsia" w:asciiTheme="majorEastAsia" w:hAnsiTheme="majorEastAsia" w:eastAsiaTheme="majorEastAsia" w:cstheme="majorEastAsia"/>
          <w:b/>
          <w:bCs w:val="0"/>
          <w:lang w:val="en-US" w:eastAsia="zh-CN"/>
        </w:rPr>
        <w:t>3</w:t>
      </w:r>
      <w:r>
        <w:rPr>
          <w:rFonts w:hint="eastAsia" w:asciiTheme="majorEastAsia" w:hAnsiTheme="majorEastAsia" w:eastAsiaTheme="majorEastAsia" w:cstheme="majorEastAsia"/>
          <w:b w:val="0"/>
          <w:bCs/>
          <w:lang w:val="en-US" w:eastAsia="zh-CN"/>
        </w:rPr>
        <w:t>.报价含主机及随机备件（须列出明细价格），备件价格3年内不得变动，随机备件明细如下。</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929"/>
        <w:gridCol w:w="2112"/>
        <w:gridCol w:w="2003"/>
        <w:gridCol w:w="1643"/>
      </w:tblGrid>
      <w:tr w14:paraId="4C275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trPr>
        <w:tc>
          <w:tcPr>
            <w:tcW w:w="833" w:type="dxa"/>
            <w:noWrap w:val="0"/>
            <w:vAlign w:val="bottom"/>
          </w:tcPr>
          <w:p w14:paraId="062CA385">
            <w:pPr>
              <w:numPr>
                <w:ilvl w:val="0"/>
                <w:numId w:val="0"/>
              </w:numPr>
              <w:spacing w:before="0" w:beforeAutospacing="1" w:after="0" w:afterAutospacing="1"/>
              <w:jc w:val="center"/>
              <w:rPr>
                <w:rFonts w:hint="eastAsia"/>
                <w:lang w:val="en-US" w:eastAsia="zh-CN"/>
              </w:rPr>
            </w:pPr>
            <w:r>
              <w:rPr>
                <w:rFonts w:hint="eastAsia"/>
                <w:lang w:val="en-US" w:eastAsia="zh-CN"/>
              </w:rPr>
              <w:t>序号</w:t>
            </w:r>
          </w:p>
        </w:tc>
        <w:tc>
          <w:tcPr>
            <w:tcW w:w="1929" w:type="dxa"/>
            <w:noWrap w:val="0"/>
            <w:vAlign w:val="bottom"/>
          </w:tcPr>
          <w:p w14:paraId="22AE5CB6">
            <w:pPr>
              <w:numPr>
                <w:ilvl w:val="0"/>
                <w:numId w:val="0"/>
              </w:numPr>
              <w:spacing w:before="0" w:beforeAutospacing="1" w:after="0" w:afterAutospacing="1"/>
              <w:ind w:left="360" w:leftChars="0" w:firstLine="420" w:firstLineChars="200"/>
              <w:jc w:val="both"/>
              <w:rPr>
                <w:rFonts w:hint="eastAsia"/>
                <w:lang w:val="en-US" w:eastAsia="zh-CN"/>
              </w:rPr>
            </w:pPr>
            <w:r>
              <w:rPr>
                <w:rFonts w:hint="eastAsia"/>
                <w:lang w:val="en-US" w:eastAsia="zh-CN"/>
              </w:rPr>
              <w:t>名称</w:t>
            </w:r>
          </w:p>
        </w:tc>
        <w:tc>
          <w:tcPr>
            <w:tcW w:w="2112" w:type="dxa"/>
            <w:noWrap w:val="0"/>
            <w:vAlign w:val="bottom"/>
          </w:tcPr>
          <w:p w14:paraId="5D3E8687">
            <w:pPr>
              <w:numPr>
                <w:ilvl w:val="0"/>
                <w:numId w:val="0"/>
              </w:numPr>
              <w:spacing w:before="0" w:beforeAutospacing="1" w:after="0" w:afterAutospacing="1"/>
              <w:ind w:left="360" w:leftChars="0" w:firstLine="210" w:firstLineChars="100"/>
              <w:jc w:val="both"/>
              <w:rPr>
                <w:rFonts w:hint="eastAsia"/>
                <w:lang w:val="en-US" w:eastAsia="zh-CN"/>
              </w:rPr>
            </w:pPr>
            <w:r>
              <w:rPr>
                <w:rFonts w:hint="eastAsia"/>
                <w:lang w:val="en-US" w:eastAsia="zh-CN"/>
              </w:rPr>
              <w:t>型号</w:t>
            </w:r>
          </w:p>
        </w:tc>
        <w:tc>
          <w:tcPr>
            <w:tcW w:w="2003" w:type="dxa"/>
            <w:noWrap w:val="0"/>
            <w:vAlign w:val="bottom"/>
          </w:tcPr>
          <w:p w14:paraId="23F931D7">
            <w:pPr>
              <w:numPr>
                <w:ilvl w:val="0"/>
                <w:numId w:val="0"/>
              </w:numPr>
              <w:spacing w:before="0" w:beforeAutospacing="1" w:after="0" w:afterAutospacing="1"/>
              <w:ind w:left="360" w:leftChars="0"/>
              <w:jc w:val="both"/>
              <w:rPr>
                <w:rFonts w:hint="default"/>
                <w:lang w:val="en-US" w:eastAsia="zh-CN"/>
              </w:rPr>
            </w:pPr>
            <w:r>
              <w:rPr>
                <w:rFonts w:hint="eastAsia"/>
                <w:lang w:val="en-US" w:eastAsia="zh-CN"/>
              </w:rPr>
              <w:t>数量</w:t>
            </w:r>
          </w:p>
        </w:tc>
        <w:tc>
          <w:tcPr>
            <w:tcW w:w="1643" w:type="dxa"/>
            <w:shd w:val="clear" w:color="auto" w:fill="auto"/>
            <w:noWrap w:val="0"/>
            <w:vAlign w:val="bottom"/>
          </w:tcPr>
          <w:p w14:paraId="09F69098">
            <w:pPr>
              <w:numPr>
                <w:ilvl w:val="0"/>
                <w:numId w:val="0"/>
              </w:numPr>
              <w:spacing w:before="0" w:beforeAutospacing="1" w:after="0" w:afterAutospacing="1"/>
              <w:ind w:left="360" w:leftChars="0" w:firstLine="0" w:firstLineChars="0"/>
              <w:jc w:val="both"/>
              <w:rPr>
                <w:rFonts w:hint="eastAsia" w:ascii="Times New Roman" w:hAnsi="Times New Roman" w:eastAsia="宋体" w:cs="Times New Roman"/>
                <w:color w:val="000000"/>
                <w:sz w:val="21"/>
                <w:szCs w:val="24"/>
                <w:lang w:val="en-US" w:eastAsia="zh-CN" w:bidi="ar-SA"/>
              </w:rPr>
            </w:pPr>
            <w:r>
              <w:rPr>
                <w:rFonts w:hint="eastAsia"/>
                <w:lang w:val="en-US" w:eastAsia="zh-CN"/>
              </w:rPr>
              <w:t>备注</w:t>
            </w:r>
          </w:p>
        </w:tc>
      </w:tr>
      <w:tr w14:paraId="2DD82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trPr>
        <w:tc>
          <w:tcPr>
            <w:tcW w:w="833" w:type="dxa"/>
            <w:noWrap w:val="0"/>
            <w:vAlign w:val="bottom"/>
          </w:tcPr>
          <w:p w14:paraId="18D2F90F">
            <w:pPr>
              <w:numPr>
                <w:ilvl w:val="0"/>
                <w:numId w:val="0"/>
              </w:numPr>
              <w:spacing w:before="0" w:beforeAutospacing="1" w:after="0" w:afterAutospacing="1"/>
              <w:jc w:val="center"/>
              <w:rPr>
                <w:rFonts w:hint="eastAsia"/>
                <w:lang w:val="en-US" w:eastAsia="zh-CN"/>
              </w:rPr>
            </w:pPr>
            <w:r>
              <w:rPr>
                <w:rFonts w:hint="eastAsia"/>
                <w:lang w:val="en-US" w:eastAsia="zh-CN"/>
              </w:rPr>
              <w:t>1</w:t>
            </w:r>
          </w:p>
        </w:tc>
        <w:tc>
          <w:tcPr>
            <w:tcW w:w="1929" w:type="dxa"/>
            <w:noWrap w:val="0"/>
            <w:vAlign w:val="bottom"/>
          </w:tcPr>
          <w:p w14:paraId="493B6A28">
            <w:pPr>
              <w:numPr>
                <w:ilvl w:val="0"/>
                <w:numId w:val="0"/>
              </w:numPr>
              <w:spacing w:before="0" w:beforeAutospacing="1" w:after="0" w:afterAutospacing="1"/>
              <w:ind w:left="360" w:leftChars="0" w:firstLine="0" w:firstLineChars="0"/>
              <w:jc w:val="center"/>
              <w:rPr>
                <w:rFonts w:hint="eastAsia"/>
                <w:lang w:val="en-US" w:eastAsia="zh-CN"/>
              </w:rPr>
            </w:pPr>
            <w:r>
              <w:rPr>
                <w:rFonts w:hint="eastAsia"/>
                <w:lang w:val="en-US" w:eastAsia="zh-CN"/>
              </w:rPr>
              <w:t>机械密封</w:t>
            </w:r>
          </w:p>
        </w:tc>
        <w:tc>
          <w:tcPr>
            <w:tcW w:w="2112" w:type="dxa"/>
            <w:noWrap w:val="0"/>
            <w:vAlign w:val="bottom"/>
          </w:tcPr>
          <w:p w14:paraId="0A54064E">
            <w:pPr>
              <w:numPr>
                <w:ilvl w:val="0"/>
                <w:numId w:val="0"/>
              </w:numPr>
              <w:spacing w:before="0" w:beforeAutospacing="1" w:after="0" w:afterAutospacing="1"/>
              <w:ind w:left="360" w:leftChars="0" w:firstLine="0" w:firstLineChars="0"/>
              <w:jc w:val="center"/>
              <w:rPr>
                <w:rFonts w:hint="eastAsia"/>
                <w:lang w:val="en-US" w:eastAsia="zh-CN"/>
              </w:rPr>
            </w:pPr>
            <w:r>
              <w:rPr>
                <w:rFonts w:hint="eastAsia"/>
                <w:lang w:val="en-US" w:eastAsia="zh-CN"/>
              </w:rPr>
              <w:t>随主机</w:t>
            </w:r>
          </w:p>
        </w:tc>
        <w:tc>
          <w:tcPr>
            <w:tcW w:w="2003" w:type="dxa"/>
            <w:noWrap w:val="0"/>
            <w:vAlign w:val="bottom"/>
          </w:tcPr>
          <w:p w14:paraId="77771679">
            <w:pPr>
              <w:numPr>
                <w:ilvl w:val="0"/>
                <w:numId w:val="0"/>
              </w:numPr>
              <w:spacing w:before="0" w:beforeAutospacing="0" w:after="0" w:afterAutospacing="0"/>
              <w:ind w:left="0" w:leftChars="0" w:firstLine="0" w:firstLineChars="0"/>
              <w:jc w:val="center"/>
              <w:rPr>
                <w:rFonts w:hint="default"/>
                <w:lang w:val="en-US" w:eastAsia="zh-CN"/>
              </w:rPr>
            </w:pPr>
            <w:r>
              <w:rPr>
                <w:rFonts w:hint="eastAsia"/>
                <w:lang w:val="en-US" w:eastAsia="zh-CN"/>
              </w:rPr>
              <w:t>2套</w:t>
            </w:r>
          </w:p>
        </w:tc>
        <w:tc>
          <w:tcPr>
            <w:tcW w:w="1643" w:type="dxa"/>
            <w:shd w:val="clear" w:color="auto" w:fill="auto"/>
            <w:noWrap w:val="0"/>
            <w:vAlign w:val="bottom"/>
          </w:tcPr>
          <w:p w14:paraId="26CE348A">
            <w:pPr>
              <w:numPr>
                <w:ilvl w:val="0"/>
                <w:numId w:val="0"/>
              </w:numPr>
              <w:spacing w:before="0" w:beforeAutospacing="0" w:after="0" w:afterAutospacing="0"/>
              <w:ind w:left="0" w:leftChars="0" w:firstLine="0" w:firstLineChars="0"/>
              <w:jc w:val="center"/>
              <w:rPr>
                <w:rFonts w:hint="eastAsia" w:ascii="Times New Roman" w:hAnsi="Times New Roman" w:eastAsia="宋体" w:cs="Times New Roman"/>
                <w:color w:val="000000"/>
                <w:sz w:val="21"/>
                <w:szCs w:val="24"/>
                <w:lang w:val="en-US" w:eastAsia="zh-CN" w:bidi="ar-SA"/>
              </w:rPr>
            </w:pPr>
          </w:p>
        </w:tc>
      </w:tr>
      <w:tr w14:paraId="1423A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trPr>
        <w:tc>
          <w:tcPr>
            <w:tcW w:w="833" w:type="dxa"/>
            <w:noWrap w:val="0"/>
            <w:vAlign w:val="bottom"/>
          </w:tcPr>
          <w:p w14:paraId="6C259A28">
            <w:pPr>
              <w:numPr>
                <w:ilvl w:val="0"/>
                <w:numId w:val="0"/>
              </w:numPr>
              <w:spacing w:before="0" w:beforeAutospacing="1" w:after="0" w:afterAutospacing="1"/>
              <w:jc w:val="center"/>
              <w:rPr>
                <w:rFonts w:hint="default"/>
                <w:lang w:val="en-US" w:eastAsia="zh-CN"/>
              </w:rPr>
            </w:pPr>
            <w:r>
              <w:rPr>
                <w:rFonts w:hint="eastAsia"/>
                <w:lang w:val="en-US" w:eastAsia="zh-CN"/>
              </w:rPr>
              <w:t>2</w:t>
            </w:r>
          </w:p>
        </w:tc>
        <w:tc>
          <w:tcPr>
            <w:tcW w:w="1929" w:type="dxa"/>
            <w:noWrap w:val="0"/>
            <w:vAlign w:val="bottom"/>
          </w:tcPr>
          <w:p w14:paraId="22E623FC">
            <w:pPr>
              <w:numPr>
                <w:ilvl w:val="0"/>
                <w:numId w:val="0"/>
              </w:numPr>
              <w:spacing w:before="0" w:beforeAutospacing="1" w:after="0" w:afterAutospacing="1"/>
              <w:ind w:left="360" w:leftChars="0" w:firstLine="0" w:firstLineChars="0"/>
              <w:jc w:val="center"/>
              <w:rPr>
                <w:rFonts w:hint="eastAsia"/>
                <w:lang w:val="en-US" w:eastAsia="zh-CN"/>
              </w:rPr>
            </w:pPr>
            <w:r>
              <w:rPr>
                <w:rFonts w:hint="eastAsia"/>
                <w:lang w:val="en-US" w:eastAsia="zh-CN"/>
              </w:rPr>
              <w:t>轴套</w:t>
            </w:r>
          </w:p>
        </w:tc>
        <w:tc>
          <w:tcPr>
            <w:tcW w:w="2112" w:type="dxa"/>
            <w:noWrap w:val="0"/>
            <w:vAlign w:val="bottom"/>
          </w:tcPr>
          <w:p w14:paraId="33B7DA6C">
            <w:pPr>
              <w:numPr>
                <w:ilvl w:val="0"/>
                <w:numId w:val="0"/>
              </w:numPr>
              <w:spacing w:before="0" w:beforeAutospacing="1" w:after="0" w:afterAutospacing="1"/>
              <w:ind w:left="360" w:leftChars="0" w:firstLine="0" w:firstLineChars="0"/>
              <w:jc w:val="center"/>
              <w:rPr>
                <w:rFonts w:hint="eastAsia"/>
                <w:lang w:val="en-US" w:eastAsia="zh-CN"/>
              </w:rPr>
            </w:pPr>
            <w:r>
              <w:rPr>
                <w:rFonts w:hint="eastAsia"/>
                <w:lang w:val="en-US" w:eastAsia="zh-CN"/>
              </w:rPr>
              <w:t>随主机</w:t>
            </w:r>
          </w:p>
        </w:tc>
        <w:tc>
          <w:tcPr>
            <w:tcW w:w="2003" w:type="dxa"/>
            <w:noWrap w:val="0"/>
            <w:vAlign w:val="bottom"/>
          </w:tcPr>
          <w:p w14:paraId="505443A2">
            <w:pPr>
              <w:numPr>
                <w:ilvl w:val="0"/>
                <w:numId w:val="0"/>
              </w:numPr>
              <w:spacing w:before="0" w:beforeAutospacing="0" w:after="0" w:afterAutospacing="0"/>
              <w:ind w:left="0" w:leftChars="0" w:firstLine="0" w:firstLineChars="0"/>
              <w:jc w:val="center"/>
              <w:rPr>
                <w:rFonts w:hint="default"/>
                <w:lang w:val="en-US" w:eastAsia="zh-CN"/>
              </w:rPr>
            </w:pPr>
            <w:r>
              <w:rPr>
                <w:rFonts w:hint="eastAsia"/>
                <w:lang w:val="en-US" w:eastAsia="zh-CN"/>
              </w:rPr>
              <w:t>2套</w:t>
            </w:r>
          </w:p>
        </w:tc>
        <w:tc>
          <w:tcPr>
            <w:tcW w:w="1643" w:type="dxa"/>
            <w:shd w:val="clear" w:color="auto" w:fill="auto"/>
            <w:noWrap w:val="0"/>
            <w:vAlign w:val="bottom"/>
          </w:tcPr>
          <w:p w14:paraId="155B9944">
            <w:pPr>
              <w:numPr>
                <w:ilvl w:val="0"/>
                <w:numId w:val="0"/>
              </w:numPr>
              <w:spacing w:before="0" w:beforeAutospacing="0" w:after="0" w:afterAutospacing="0"/>
              <w:ind w:left="0" w:leftChars="0" w:firstLine="0" w:firstLineChars="0"/>
              <w:jc w:val="center"/>
              <w:rPr>
                <w:rFonts w:hint="eastAsia" w:ascii="Times New Roman" w:hAnsi="Times New Roman" w:eastAsia="宋体" w:cs="Times New Roman"/>
                <w:color w:val="000000"/>
                <w:sz w:val="21"/>
                <w:szCs w:val="24"/>
                <w:lang w:val="en-US" w:eastAsia="zh-CN" w:bidi="ar-SA"/>
              </w:rPr>
            </w:pPr>
          </w:p>
        </w:tc>
      </w:tr>
      <w:tr w14:paraId="364F9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exact"/>
        </w:trPr>
        <w:tc>
          <w:tcPr>
            <w:tcW w:w="833" w:type="dxa"/>
            <w:noWrap w:val="0"/>
            <w:vAlign w:val="bottom"/>
          </w:tcPr>
          <w:p w14:paraId="3493A07A">
            <w:pPr>
              <w:numPr>
                <w:ilvl w:val="0"/>
                <w:numId w:val="0"/>
              </w:numPr>
              <w:spacing w:before="0" w:beforeAutospacing="1" w:after="0" w:afterAutospacing="1"/>
              <w:jc w:val="center"/>
              <w:rPr>
                <w:rFonts w:hint="default"/>
                <w:lang w:val="en-US" w:eastAsia="zh-CN"/>
              </w:rPr>
            </w:pPr>
            <w:r>
              <w:rPr>
                <w:rFonts w:hint="eastAsia"/>
                <w:lang w:val="en-US" w:eastAsia="zh-CN"/>
              </w:rPr>
              <w:t>3</w:t>
            </w:r>
          </w:p>
        </w:tc>
        <w:tc>
          <w:tcPr>
            <w:tcW w:w="1929" w:type="dxa"/>
            <w:noWrap w:val="0"/>
            <w:vAlign w:val="bottom"/>
          </w:tcPr>
          <w:p w14:paraId="06CB4900">
            <w:pPr>
              <w:numPr>
                <w:ilvl w:val="0"/>
                <w:numId w:val="0"/>
              </w:numPr>
              <w:spacing w:before="0" w:beforeAutospacing="1" w:after="0" w:afterAutospacing="1"/>
              <w:ind w:left="360" w:leftChars="0" w:firstLine="0" w:firstLineChars="0"/>
              <w:jc w:val="center"/>
              <w:rPr>
                <w:rFonts w:hint="default"/>
                <w:lang w:val="en-US" w:eastAsia="zh-CN"/>
              </w:rPr>
            </w:pPr>
            <w:r>
              <w:rPr>
                <w:rFonts w:hint="eastAsia"/>
                <w:lang w:val="en-US" w:eastAsia="zh-CN"/>
              </w:rPr>
              <w:t>泵轴</w:t>
            </w:r>
          </w:p>
        </w:tc>
        <w:tc>
          <w:tcPr>
            <w:tcW w:w="2112" w:type="dxa"/>
            <w:noWrap w:val="0"/>
            <w:vAlign w:val="bottom"/>
          </w:tcPr>
          <w:p w14:paraId="1D22F70D">
            <w:pPr>
              <w:numPr>
                <w:ilvl w:val="0"/>
                <w:numId w:val="0"/>
              </w:numPr>
              <w:spacing w:before="0" w:beforeAutospacing="1" w:after="0" w:afterAutospacing="1"/>
              <w:ind w:left="360" w:leftChars="0" w:firstLine="0" w:firstLineChars="0"/>
              <w:jc w:val="center"/>
              <w:rPr>
                <w:rFonts w:hint="eastAsia"/>
                <w:lang w:val="en-US" w:eastAsia="zh-CN"/>
              </w:rPr>
            </w:pPr>
            <w:r>
              <w:rPr>
                <w:rFonts w:hint="eastAsia"/>
                <w:lang w:val="en-US" w:eastAsia="zh-CN"/>
              </w:rPr>
              <w:t>随主机</w:t>
            </w:r>
          </w:p>
        </w:tc>
        <w:tc>
          <w:tcPr>
            <w:tcW w:w="2003" w:type="dxa"/>
            <w:noWrap w:val="0"/>
            <w:vAlign w:val="bottom"/>
          </w:tcPr>
          <w:p w14:paraId="7E2BAB35">
            <w:pPr>
              <w:numPr>
                <w:ilvl w:val="0"/>
                <w:numId w:val="0"/>
              </w:numPr>
              <w:spacing w:before="0" w:beforeAutospacing="0" w:after="0" w:afterAutospacing="0"/>
              <w:jc w:val="center"/>
              <w:rPr>
                <w:rFonts w:hint="default"/>
                <w:lang w:val="en-US" w:eastAsia="zh-CN"/>
              </w:rPr>
            </w:pPr>
            <w:r>
              <w:rPr>
                <w:rFonts w:hint="eastAsia"/>
                <w:lang w:val="en-US" w:eastAsia="zh-CN"/>
              </w:rPr>
              <w:t>2根</w:t>
            </w:r>
          </w:p>
        </w:tc>
        <w:tc>
          <w:tcPr>
            <w:tcW w:w="1643" w:type="dxa"/>
            <w:noWrap w:val="0"/>
            <w:vAlign w:val="bottom"/>
          </w:tcPr>
          <w:p w14:paraId="71090087">
            <w:pPr>
              <w:numPr>
                <w:ilvl w:val="0"/>
                <w:numId w:val="0"/>
              </w:numPr>
              <w:spacing w:before="0" w:beforeAutospacing="0" w:after="0" w:afterAutospacing="0"/>
              <w:jc w:val="center"/>
              <w:rPr>
                <w:rFonts w:hint="default"/>
                <w:lang w:val="en-US" w:eastAsia="zh-CN"/>
              </w:rPr>
            </w:pPr>
          </w:p>
        </w:tc>
      </w:tr>
      <w:tr w14:paraId="59A45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trPr>
        <w:tc>
          <w:tcPr>
            <w:tcW w:w="833" w:type="dxa"/>
            <w:shd w:val="clear" w:color="auto" w:fill="auto"/>
            <w:noWrap w:val="0"/>
            <w:vAlign w:val="bottom"/>
          </w:tcPr>
          <w:p w14:paraId="68A1AB5E">
            <w:pPr>
              <w:numPr>
                <w:ilvl w:val="0"/>
                <w:numId w:val="0"/>
              </w:numPr>
              <w:spacing w:before="0" w:beforeAutospacing="1" w:after="0" w:afterAutospacing="1"/>
              <w:ind w:left="0" w:leftChars="0" w:firstLine="0" w:firstLineChars="0"/>
              <w:jc w:val="center"/>
              <w:rPr>
                <w:rFonts w:hint="eastAsia" w:ascii="Times New Roman" w:hAnsi="Times New Roman" w:eastAsia="宋体" w:cs="Times New Roman"/>
                <w:color w:val="000000"/>
                <w:sz w:val="21"/>
                <w:szCs w:val="24"/>
                <w:lang w:val="en-US" w:eastAsia="zh-CN" w:bidi="ar-SA"/>
              </w:rPr>
            </w:pPr>
            <w:r>
              <w:rPr>
                <w:rFonts w:hint="eastAsia"/>
                <w:lang w:val="en-US" w:eastAsia="zh-CN"/>
              </w:rPr>
              <w:t>4</w:t>
            </w:r>
          </w:p>
        </w:tc>
        <w:tc>
          <w:tcPr>
            <w:tcW w:w="1929" w:type="dxa"/>
            <w:shd w:val="clear" w:color="auto" w:fill="auto"/>
            <w:noWrap w:val="0"/>
            <w:vAlign w:val="bottom"/>
          </w:tcPr>
          <w:p w14:paraId="11D9309A">
            <w:pPr>
              <w:numPr>
                <w:ilvl w:val="0"/>
                <w:numId w:val="0"/>
              </w:numPr>
              <w:spacing w:before="0" w:beforeAutospacing="1" w:after="0" w:afterAutospacing="1"/>
              <w:ind w:left="360" w:leftChars="0" w:firstLine="0" w:firstLineChars="0"/>
              <w:jc w:val="center"/>
              <w:rPr>
                <w:rFonts w:hint="eastAsia" w:ascii="Times New Roman" w:hAnsi="Times New Roman" w:eastAsia="宋体" w:cs="Times New Roman"/>
                <w:color w:val="000000"/>
                <w:sz w:val="21"/>
                <w:szCs w:val="24"/>
                <w:lang w:val="en-US" w:eastAsia="zh-CN" w:bidi="ar-SA"/>
              </w:rPr>
            </w:pPr>
            <w:r>
              <w:rPr>
                <w:rFonts w:hint="eastAsia"/>
                <w:lang w:val="en-US" w:eastAsia="zh-CN"/>
              </w:rPr>
              <w:t>o型圈及垫片</w:t>
            </w:r>
          </w:p>
        </w:tc>
        <w:tc>
          <w:tcPr>
            <w:tcW w:w="2112" w:type="dxa"/>
            <w:shd w:val="clear" w:color="auto" w:fill="auto"/>
            <w:noWrap w:val="0"/>
            <w:vAlign w:val="bottom"/>
          </w:tcPr>
          <w:p w14:paraId="66976625">
            <w:pPr>
              <w:numPr>
                <w:ilvl w:val="0"/>
                <w:numId w:val="0"/>
              </w:numPr>
              <w:spacing w:before="0" w:beforeAutospacing="1" w:after="0" w:afterAutospacing="1"/>
              <w:ind w:left="360" w:leftChars="0" w:firstLine="0" w:firstLineChars="0"/>
              <w:jc w:val="center"/>
              <w:rPr>
                <w:rFonts w:hint="eastAsia" w:ascii="Times New Roman" w:hAnsi="Times New Roman" w:eastAsia="宋体" w:cs="Times New Roman"/>
                <w:color w:val="000000"/>
                <w:sz w:val="21"/>
                <w:szCs w:val="24"/>
                <w:lang w:val="en-US" w:eastAsia="zh-CN" w:bidi="ar-SA"/>
              </w:rPr>
            </w:pPr>
            <w:r>
              <w:rPr>
                <w:rFonts w:hint="eastAsia"/>
                <w:lang w:val="en-US" w:eastAsia="zh-CN"/>
              </w:rPr>
              <w:t>随主机</w:t>
            </w:r>
          </w:p>
        </w:tc>
        <w:tc>
          <w:tcPr>
            <w:tcW w:w="2003" w:type="dxa"/>
            <w:shd w:val="clear" w:color="auto" w:fill="auto"/>
            <w:noWrap w:val="0"/>
            <w:vAlign w:val="bottom"/>
          </w:tcPr>
          <w:p w14:paraId="1C6E7992">
            <w:pPr>
              <w:numPr>
                <w:ilvl w:val="0"/>
                <w:numId w:val="0"/>
              </w:numPr>
              <w:spacing w:before="0" w:beforeAutospacing="0" w:after="0" w:afterAutospacing="0"/>
              <w:ind w:left="0" w:leftChars="0" w:firstLine="0" w:firstLineChars="0"/>
              <w:jc w:val="center"/>
              <w:rPr>
                <w:rFonts w:hint="eastAsia" w:ascii="Times New Roman" w:hAnsi="Times New Roman" w:eastAsia="宋体" w:cs="Times New Roman"/>
                <w:color w:val="000000"/>
                <w:sz w:val="21"/>
                <w:szCs w:val="24"/>
                <w:lang w:val="en-US" w:eastAsia="zh-CN" w:bidi="ar-SA"/>
              </w:rPr>
            </w:pPr>
            <w:r>
              <w:rPr>
                <w:rFonts w:hint="eastAsia"/>
                <w:lang w:val="en-US" w:eastAsia="zh-CN"/>
              </w:rPr>
              <w:t>2套</w:t>
            </w:r>
          </w:p>
        </w:tc>
        <w:tc>
          <w:tcPr>
            <w:tcW w:w="1643" w:type="dxa"/>
            <w:shd w:val="clear" w:color="auto" w:fill="auto"/>
            <w:noWrap w:val="0"/>
            <w:vAlign w:val="bottom"/>
          </w:tcPr>
          <w:p w14:paraId="6E26D8F8">
            <w:pPr>
              <w:numPr>
                <w:ilvl w:val="0"/>
                <w:numId w:val="0"/>
              </w:numPr>
              <w:spacing w:before="0" w:beforeAutospacing="0" w:after="0" w:afterAutospacing="0"/>
              <w:ind w:left="0" w:leftChars="0" w:firstLine="0" w:firstLineChars="0"/>
              <w:jc w:val="center"/>
              <w:rPr>
                <w:rFonts w:hint="eastAsia" w:ascii="Times New Roman" w:hAnsi="Times New Roman" w:eastAsia="宋体" w:cs="Times New Roman"/>
                <w:color w:val="000000"/>
                <w:sz w:val="21"/>
                <w:szCs w:val="24"/>
                <w:lang w:val="en-US" w:eastAsia="zh-CN" w:bidi="ar-SA"/>
              </w:rPr>
            </w:pPr>
            <w:r>
              <w:rPr>
                <w:rFonts w:hint="eastAsia"/>
                <w:lang w:val="en-US" w:eastAsia="zh-CN"/>
              </w:rPr>
              <w:t>泵用整套</w:t>
            </w:r>
          </w:p>
        </w:tc>
      </w:tr>
    </w:tbl>
    <w:p w14:paraId="0249DBD6">
      <w:pPr>
        <w:numPr>
          <w:ilvl w:val="0"/>
          <w:numId w:val="0"/>
        </w:numPr>
        <w:spacing w:before="0" w:beforeAutospacing="1" w:after="0" w:afterAutospacing="1"/>
        <w:ind w:left="360" w:leftChars="0"/>
        <w:rPr>
          <w:rFonts w:hint="eastAsia"/>
          <w:lang w:val="en-US" w:eastAsia="zh-CN"/>
        </w:rPr>
      </w:pPr>
      <w:r>
        <w:rPr>
          <w:rFonts w:hint="eastAsia"/>
          <w:lang w:val="en-US" w:eastAsia="zh-CN"/>
        </w:rPr>
        <w:t>4.供应商需具备质量管理体系认证（ISO9001:2015），贸易商（经销商）须提供授权代理资质及真实有效的验证方式，并承担法律责任。</w:t>
      </w:r>
    </w:p>
    <w:p w14:paraId="7E91D100">
      <w:pPr>
        <w:pStyle w:val="2"/>
      </w:pPr>
      <w:bookmarkStart w:id="0" w:name="_GoBack"/>
      <w:bookmarkEnd w:id="0"/>
      <w:r>
        <w:t>三、报价要求</w:t>
      </w:r>
    </w:p>
    <w:p w14:paraId="74662129">
      <w:pPr>
        <w:pStyle w:val="4"/>
      </w:pPr>
      <w:r>
        <w:t>（一）报价方式</w:t>
      </w:r>
    </w:p>
    <w:p w14:paraId="783DFFDB">
      <w:pPr>
        <w:numPr>
          <w:ilvl w:val="0"/>
          <w:numId w:val="2"/>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3"/>
        </w:numPr>
        <w:spacing w:before="0" w:beforeAutospacing="1" w:after="0" w:afterAutospacing="1"/>
        <w:ind w:left="720" w:hanging="360"/>
      </w:pPr>
      <w:r>
        <w:t>货到、增值税专用发票</w:t>
      </w:r>
      <w:r>
        <w:rPr>
          <w:rFonts w:hint="eastAsia"/>
          <w:lang w:val="en-US" w:eastAsia="zh-CN"/>
        </w:rPr>
        <w:t>入账</w:t>
      </w:r>
      <w:r>
        <w:t>后90日内支付</w:t>
      </w:r>
      <w:r>
        <w:rPr>
          <w:rFonts w:hint="eastAsia"/>
          <w:lang w:val="en-US" w:eastAsia="zh-CN"/>
        </w:rPr>
        <w:t>6</w:t>
      </w:r>
      <w:r>
        <w:t>0%货款，</w:t>
      </w:r>
      <w:r>
        <w:rPr>
          <w:rFonts w:hint="eastAsia"/>
          <w:lang w:val="en-US" w:eastAsia="zh-CN"/>
        </w:rPr>
        <w:t>调试合格后付30%货款，</w:t>
      </w:r>
      <w:r>
        <w:t>10%为质保金（质保期</w:t>
      </w:r>
      <w:r>
        <w:rPr>
          <w:rFonts w:hint="eastAsia"/>
          <w:lang w:val="en-US" w:eastAsia="zh-CN"/>
        </w:rPr>
        <w:t>为到货后</w:t>
      </w:r>
      <w:r>
        <w:t>18个月）。</w:t>
      </w:r>
    </w:p>
    <w:p w14:paraId="02E75EC1">
      <w:pPr>
        <w:numPr>
          <w:ilvl w:val="0"/>
          <w:numId w:val="3"/>
        </w:numPr>
        <w:spacing w:before="0" w:beforeAutospacing="1" w:after="0" w:afterAutospacing="1"/>
        <w:ind w:left="720" w:hanging="360"/>
      </w:pPr>
      <w:r>
        <w:t>含税报价≥10万元以银行承兑支付，&lt;10万元以现汇支付。</w:t>
      </w:r>
    </w:p>
    <w:p w14:paraId="770584C7">
      <w:pPr>
        <w:numPr>
          <w:ilvl w:val="0"/>
          <w:numId w:val="3"/>
        </w:numPr>
        <w:spacing w:before="0" w:beforeAutospacing="1" w:after="0" w:afterAutospacing="1"/>
        <w:ind w:left="720" w:hanging="360"/>
      </w:pPr>
      <w:r>
        <w:t>成交总价&lt;1万元时不留质保金，但需按合同提供质保服务。</w:t>
      </w:r>
    </w:p>
    <w:p w14:paraId="747C0F30">
      <w:pPr>
        <w:numPr>
          <w:ilvl w:val="0"/>
          <w:numId w:val="3"/>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4"/>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4"/>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5"/>
        </w:numPr>
        <w:spacing w:before="0" w:beforeAutospacing="1" w:after="0" w:afterAutospacing="1"/>
        <w:ind w:left="720" w:hanging="360"/>
      </w:pPr>
      <w:r>
        <w:rPr>
          <w:b/>
        </w:rPr>
        <w:t>收件单位</w:t>
      </w:r>
      <w:r>
        <w:t>：江苏索普化工股份有限公司供应保障部</w:t>
      </w:r>
    </w:p>
    <w:p w14:paraId="09A9996A">
      <w:pPr>
        <w:numPr>
          <w:ilvl w:val="0"/>
          <w:numId w:val="5"/>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5"/>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高俊</w:t>
      </w:r>
      <w:r>
        <w:t>，电话：</w:t>
      </w:r>
      <w:r>
        <w:rPr>
          <w:rFonts w:hint="eastAsia"/>
          <w:lang w:val="en-US" w:eastAsia="zh-CN"/>
        </w:rPr>
        <w:t>13914561233</w:t>
      </w:r>
    </w:p>
    <w:p w14:paraId="46E1F8B6">
      <w:pPr>
        <w:pStyle w:val="4"/>
      </w:pPr>
      <w:r>
        <w:t>（五）疑问咨询</w:t>
      </w:r>
    </w:p>
    <w:p w14:paraId="20BA2C34">
      <w:pPr>
        <w:numPr>
          <w:ilvl w:val="0"/>
          <w:numId w:val="6"/>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高俊13914561233</w:t>
      </w:r>
      <w:r>
        <w:rPr>
          <w:rFonts w:hint="eastAsia"/>
          <w:lang w:eastAsia="zh-CN"/>
        </w:rPr>
        <w:t>（</w:t>
      </w:r>
      <w:r>
        <w:rPr>
          <w:rFonts w:hint="eastAsia"/>
          <w:lang w:val="en-US" w:eastAsia="zh-CN"/>
        </w:rPr>
        <w:t>详情咨询</w:t>
      </w:r>
      <w:r>
        <w:rPr>
          <w:rFonts w:hint="eastAsia"/>
          <w:lang w:eastAsia="zh-CN"/>
        </w:rPr>
        <w:t>）</w:t>
      </w:r>
    </w:p>
    <w:p w14:paraId="7A111C8A">
      <w:pPr>
        <w:numPr>
          <w:ilvl w:val="0"/>
          <w:numId w:val="6"/>
        </w:numPr>
        <w:spacing w:before="0" w:beforeAutospacing="1" w:after="0" w:afterAutospacing="1"/>
        <w:ind w:left="720" w:hanging="360"/>
      </w:pPr>
      <w:r>
        <w:rPr>
          <w:rFonts w:hint="eastAsia"/>
          <w:b/>
          <w:lang w:val="en-US" w:eastAsia="zh-CN"/>
        </w:rPr>
        <w:t>部门负责人</w:t>
      </w:r>
      <w:r>
        <w:t>：解云13913442555</w:t>
      </w:r>
    </w:p>
    <w:p w14:paraId="21BF4B68">
      <w:pPr>
        <w:pStyle w:val="2"/>
      </w:pPr>
      <w:r>
        <w:rPr>
          <w:rFonts w:hint="eastAsia"/>
          <w:lang w:val="en-US" w:eastAsia="zh-CN"/>
        </w:rPr>
        <w:t>四</w:t>
      </w:r>
      <w:r>
        <w:t>、其他要求</w:t>
      </w:r>
    </w:p>
    <w:p w14:paraId="0856F2A3">
      <w:pPr>
        <w:numPr>
          <w:ilvl w:val="0"/>
          <w:numId w:val="7"/>
        </w:numPr>
        <w:spacing w:before="0" w:beforeAutospacing="1" w:after="0" w:afterAutospacing="1"/>
        <w:ind w:left="720" w:hanging="360"/>
      </w:pPr>
      <w:r>
        <w:rPr>
          <w:b/>
        </w:rPr>
        <w:t>进场服务材料</w:t>
      </w:r>
      <w:r>
        <w:t>（如需）：</w:t>
      </w:r>
    </w:p>
    <w:p w14:paraId="7E2BEB90">
      <w:pPr>
        <w:numPr>
          <w:ilvl w:val="1"/>
          <w:numId w:val="7"/>
        </w:numPr>
        <w:spacing w:before="0" w:beforeAutospacing="1" w:after="0" w:afterAutospacing="1"/>
        <w:ind w:left="1440" w:hanging="360"/>
      </w:pPr>
      <w:r>
        <w:t>人员保险证明、特种作业资质、安全设备清单、安全管理人员证书；</w:t>
      </w:r>
    </w:p>
    <w:p w14:paraId="5278A02B">
      <w:pPr>
        <w:numPr>
          <w:ilvl w:val="1"/>
          <w:numId w:val="7"/>
        </w:numPr>
        <w:spacing w:before="0" w:beforeAutospacing="1" w:after="0" w:afterAutospacing="1"/>
        <w:ind w:left="1440" w:hanging="360"/>
      </w:pPr>
      <w:r>
        <w:t>施工人员年龄18-60周岁，提供近1个月体检报告（重大疾病或职业禁忌者不得作业）。</w:t>
      </w:r>
    </w:p>
    <w:p w14:paraId="26F2A39A">
      <w:pPr>
        <w:numPr>
          <w:ilvl w:val="0"/>
          <w:numId w:val="7"/>
        </w:numPr>
        <w:spacing w:before="0" w:beforeAutospacing="1" w:after="0" w:afterAutospacing="1"/>
        <w:ind w:left="720" w:hanging="360"/>
      </w:pPr>
      <w:r>
        <w:rPr>
          <w:b/>
        </w:rPr>
        <w:t>供应商资格</w:t>
      </w:r>
      <w:r>
        <w:t>：不接受失信被执行人、重大违法案件当事人。</w:t>
      </w:r>
    </w:p>
    <w:p w14:paraId="548B90C1">
      <w:pPr>
        <w:numPr>
          <w:ilvl w:val="0"/>
          <w:numId w:val="7"/>
        </w:numPr>
        <w:spacing w:before="0" w:beforeAutospacing="1" w:after="0" w:afterAutospacing="1"/>
        <w:ind w:left="720" w:hanging="360"/>
      </w:pPr>
      <w:r>
        <w:rPr>
          <w:b/>
        </w:rPr>
        <w:t>售后服务</w:t>
      </w:r>
      <w:r>
        <w:t>：电话响应≤8小时，明确解决方案。</w:t>
      </w:r>
    </w:p>
    <w:p w14:paraId="0059EF89">
      <w:pPr>
        <w:numPr>
          <w:ilvl w:val="0"/>
          <w:numId w:val="7"/>
        </w:numPr>
        <w:spacing w:before="0" w:beforeAutospacing="1" w:after="0" w:afterAutospacing="1"/>
        <w:ind w:left="720" w:hanging="360"/>
      </w:pPr>
      <w:r>
        <w:rPr>
          <w:b/>
        </w:rPr>
        <w:t>知识产权</w:t>
      </w:r>
      <w:r>
        <w:t>：供应商承担所有知识产权纠纷责任。</w:t>
      </w:r>
    </w:p>
    <w:p w14:paraId="14247EF0">
      <w:pPr>
        <w:pStyle w:val="2"/>
      </w:pPr>
      <w:r>
        <w:rPr>
          <w:rFonts w:hint="eastAsia"/>
          <w:lang w:val="en-US" w:eastAsia="zh-CN"/>
        </w:rPr>
        <w:t>五</w:t>
      </w:r>
      <w:r>
        <w:t>、评审流程</w:t>
      </w:r>
    </w:p>
    <w:p w14:paraId="31F18230">
      <w:pPr>
        <w:numPr>
          <w:ilvl w:val="0"/>
          <w:numId w:val="8"/>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8"/>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8"/>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8"/>
        </w:numPr>
        <w:spacing w:before="0" w:beforeAutospacing="1" w:after="0" w:afterAutospacing="1"/>
        <w:ind w:left="720" w:hanging="360"/>
      </w:pPr>
      <w:r>
        <w:rPr>
          <w:b/>
        </w:rPr>
        <w:t>无效报价</w:t>
      </w:r>
      <w:r>
        <w:t>：资质不全、报价空项、不符合技术要求、价格明显偏离市场的，作无效处理。</w:t>
      </w:r>
    </w:p>
    <w:p w14:paraId="797A2A8A">
      <w:pPr>
        <w:pStyle w:val="2"/>
      </w:pPr>
      <w:r>
        <w:rPr>
          <w:rFonts w:hint="eastAsia"/>
          <w:lang w:val="en-US" w:eastAsia="zh-CN"/>
        </w:rPr>
        <w:t>六</w:t>
      </w:r>
      <w:r>
        <w:t>、违约责任</w:t>
      </w:r>
    </w:p>
    <w:p w14:paraId="7CF2FB56">
      <w:pPr>
        <w:numPr>
          <w:ilvl w:val="0"/>
          <w:numId w:val="9"/>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9"/>
        </w:numPr>
        <w:spacing w:before="0" w:beforeAutospacing="1" w:after="0" w:afterAutospacing="1"/>
        <w:ind w:left="720" w:hanging="360"/>
      </w:pPr>
      <w:r>
        <w:rPr>
          <w:b/>
        </w:rPr>
        <w:t>质量不合格</w:t>
      </w:r>
      <w:r>
        <w:t>：</w:t>
      </w:r>
    </w:p>
    <w:p w14:paraId="6C6D2CED">
      <w:pPr>
        <w:numPr>
          <w:ilvl w:val="1"/>
          <w:numId w:val="9"/>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9"/>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9"/>
        </w:numPr>
        <w:spacing w:before="0" w:beforeAutospacing="1" w:after="0" w:afterAutospacing="1"/>
        <w:ind w:left="720" w:hanging="360"/>
      </w:pPr>
      <w:r>
        <w:rPr>
          <w:b/>
        </w:rPr>
        <w:t>损失赔偿</w:t>
      </w:r>
      <w:r>
        <w:t>：因质量或逾期造成的直接/间接损失，违约金不超过合同总价20%。</w:t>
      </w:r>
    </w:p>
    <w:p w14:paraId="1A94C3D1">
      <w:pPr>
        <w:pStyle w:val="2"/>
      </w:pPr>
      <w:r>
        <w:rPr>
          <w:rFonts w:hint="eastAsia"/>
          <w:lang w:val="en-US" w:eastAsia="zh-CN"/>
        </w:rPr>
        <w:t>七</w:t>
      </w:r>
      <w:r>
        <w:t>、其他事项</w:t>
      </w:r>
    </w:p>
    <w:p w14:paraId="3E4BA113">
      <w:pPr>
        <w:numPr>
          <w:ilvl w:val="0"/>
          <w:numId w:val="10"/>
        </w:numPr>
        <w:spacing w:before="0" w:beforeAutospacing="1" w:after="0" w:afterAutospacing="1"/>
        <w:ind w:left="720" w:hanging="360"/>
      </w:pPr>
      <w:r>
        <w:t>成交人须按询价书签订合同，违约将面临中止合作风险。</w:t>
      </w:r>
    </w:p>
    <w:p w14:paraId="228D9EB6">
      <w:pPr>
        <w:numPr>
          <w:ilvl w:val="0"/>
          <w:numId w:val="10"/>
        </w:numPr>
        <w:spacing w:before="0" w:beforeAutospacing="1" w:after="0" w:afterAutospacing="1"/>
        <w:ind w:left="720" w:hanging="360"/>
      </w:pPr>
      <w:r>
        <w:t>产品需经采购人检验合格，长期合约三次不合格者终止合同。</w:t>
      </w:r>
    </w:p>
    <w:p w14:paraId="2E46BB60">
      <w:pPr>
        <w:numPr>
          <w:ilvl w:val="0"/>
          <w:numId w:val="10"/>
        </w:numPr>
        <w:spacing w:before="0" w:beforeAutospacing="1" w:after="0" w:afterAutospacing="1"/>
        <w:ind w:left="720" w:hanging="360"/>
      </w:pPr>
      <w:r>
        <w:t>争议协商解决，仲裁按《产品质量仲裁检验和产品质量鉴定管理办法》执行。</w:t>
      </w:r>
    </w:p>
    <w:p w14:paraId="1E0C3DA3">
      <w:pPr>
        <w:numPr>
          <w:ilvl w:val="0"/>
          <w:numId w:val="10"/>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日期：____年__月__日</w:t>
      </w:r>
    </w:p>
    <w:p w14:paraId="3A4F3A57">
      <w:pPr>
        <w:jc w:val="right"/>
      </w:pPr>
      <w:r>
        <w:br w:type="page"/>
      </w:r>
    </w:p>
    <w:p w14:paraId="2E629C24">
      <w:pPr>
        <w:pStyle w:val="2"/>
        <w:rPr>
          <w:rFonts w:hint="default"/>
          <w:lang w:val="en-US" w:eastAsia="zh-CN"/>
        </w:rPr>
      </w:pPr>
      <w:r>
        <w:rPr>
          <w:rFonts w:hint="eastAsia"/>
          <w:lang w:val="en-US" w:eastAsia="zh-CN"/>
        </w:rPr>
        <w:t>附件1</w:t>
      </w:r>
    </w:p>
    <w:p w14:paraId="756083B5">
      <w:pPr>
        <w:pStyle w:val="2"/>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1"/>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1"/>
        </w:numPr>
        <w:spacing w:before="0" w:beforeAutospacing="1" w:after="0" w:afterAutospacing="1"/>
        <w:ind w:left="720" w:hanging="360"/>
      </w:pPr>
      <w:r>
        <w:rPr>
          <w:b/>
        </w:rPr>
        <w:t>交货时间</w:t>
      </w:r>
      <w:r>
        <w:t>：________________________。</w:t>
      </w:r>
    </w:p>
    <w:p w14:paraId="7E6B970D">
      <w:pPr>
        <w:numPr>
          <w:ilvl w:val="0"/>
          <w:numId w:val="11"/>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1"/>
        </w:numPr>
        <w:spacing w:before="0" w:beforeAutospacing="1" w:after="0" w:afterAutospacing="1"/>
        <w:ind w:left="720" w:hanging="360"/>
      </w:pPr>
      <w:r>
        <w:t>愿意提供与报价相关的所有数据、资料，理解贵方无义务接受最低价或任何报价。</w:t>
      </w:r>
    </w:p>
    <w:p w14:paraId="6B11732D">
      <w:pPr>
        <w:numPr>
          <w:ilvl w:val="0"/>
          <w:numId w:val="11"/>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2">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3">
    <w:nsid w:val="06D3EDA6"/>
    <w:multiLevelType w:val="singleLevel"/>
    <w:tmpl w:val="06D3EDA6"/>
    <w:lvl w:ilvl="0" w:tentative="0">
      <w:start w:val="1"/>
      <w:numFmt w:val="decimal"/>
      <w:lvlText w:val="%1."/>
      <w:lvlJc w:val="left"/>
      <w:pPr>
        <w:ind w:left="720" w:hanging="360"/>
      </w:pPr>
      <w:rPr>
        <w:sz w:val="24"/>
      </w:rPr>
    </w:lvl>
  </w:abstractNum>
  <w:abstractNum w:abstractNumId="4">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5">
    <w:nsid w:val="31670EE2"/>
    <w:multiLevelType w:val="singleLevel"/>
    <w:tmpl w:val="31670EE2"/>
    <w:lvl w:ilvl="0" w:tentative="0">
      <w:start w:val="1"/>
      <w:numFmt w:val="decimal"/>
      <w:lvlText w:val="%1."/>
      <w:lvlJc w:val="left"/>
      <w:pPr>
        <w:ind w:left="720" w:hanging="360"/>
      </w:pPr>
      <w:rPr>
        <w:sz w:val="24"/>
      </w:rPr>
    </w:lvl>
  </w:abstractNum>
  <w:abstractNum w:abstractNumId="6">
    <w:nsid w:val="3948E2D4"/>
    <w:multiLevelType w:val="singleLevel"/>
    <w:tmpl w:val="3948E2D4"/>
    <w:lvl w:ilvl="0" w:tentative="0">
      <w:start w:val="1"/>
      <w:numFmt w:val="decimal"/>
      <w:lvlText w:val="%1."/>
      <w:lvlJc w:val="left"/>
      <w:pPr>
        <w:ind w:left="720" w:hanging="360"/>
      </w:pPr>
      <w:rPr>
        <w:sz w:val="24"/>
      </w:rPr>
    </w:lvl>
  </w:abstractNum>
  <w:abstractNum w:abstractNumId="7">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8">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9">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0">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0"/>
  </w:num>
  <w:num w:numId="2">
    <w:abstractNumId w:val="7"/>
  </w:num>
  <w:num w:numId="3">
    <w:abstractNumId w:val="2"/>
  </w:num>
  <w:num w:numId="4">
    <w:abstractNumId w:val="6"/>
  </w:num>
  <w:num w:numId="5">
    <w:abstractNumId w:val="9"/>
  </w:num>
  <w:num w:numId="6">
    <w:abstractNumId w:val="8"/>
  </w:num>
  <w:num w:numId="7">
    <w:abstractNumId w:val="4"/>
  </w:num>
  <w:num w:numId="8">
    <w:abstractNumId w:val="5"/>
  </w:num>
  <w:num w:numId="9">
    <w:abstractNumId w:val="1"/>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207C5"/>
    <w:rsid w:val="03661A20"/>
    <w:rsid w:val="05764093"/>
    <w:rsid w:val="082F0A0A"/>
    <w:rsid w:val="09C04B02"/>
    <w:rsid w:val="0B1408EB"/>
    <w:rsid w:val="0C842808"/>
    <w:rsid w:val="0DE019D4"/>
    <w:rsid w:val="12922C84"/>
    <w:rsid w:val="132A7240"/>
    <w:rsid w:val="134678C7"/>
    <w:rsid w:val="147931F1"/>
    <w:rsid w:val="14D05D11"/>
    <w:rsid w:val="15386004"/>
    <w:rsid w:val="155468E1"/>
    <w:rsid w:val="15F1304B"/>
    <w:rsid w:val="16EA5E33"/>
    <w:rsid w:val="17920BDE"/>
    <w:rsid w:val="18E51654"/>
    <w:rsid w:val="196772C2"/>
    <w:rsid w:val="1BD4221C"/>
    <w:rsid w:val="1C0D408C"/>
    <w:rsid w:val="1D7C655F"/>
    <w:rsid w:val="1E00108A"/>
    <w:rsid w:val="204B3AD3"/>
    <w:rsid w:val="213B4094"/>
    <w:rsid w:val="228D7161"/>
    <w:rsid w:val="247C629F"/>
    <w:rsid w:val="24960418"/>
    <w:rsid w:val="24E05525"/>
    <w:rsid w:val="26B845CC"/>
    <w:rsid w:val="296B1496"/>
    <w:rsid w:val="2B8C00D9"/>
    <w:rsid w:val="2C9F7BCD"/>
    <w:rsid w:val="2D6D29C6"/>
    <w:rsid w:val="2E730AF8"/>
    <w:rsid w:val="2EEE0779"/>
    <w:rsid w:val="30DA11D4"/>
    <w:rsid w:val="3D140297"/>
    <w:rsid w:val="3F3A2ABC"/>
    <w:rsid w:val="413D2067"/>
    <w:rsid w:val="48174664"/>
    <w:rsid w:val="495604FE"/>
    <w:rsid w:val="4AA46683"/>
    <w:rsid w:val="4AC251FD"/>
    <w:rsid w:val="4AE1260F"/>
    <w:rsid w:val="4B5D4D26"/>
    <w:rsid w:val="4BD96800"/>
    <w:rsid w:val="4DF13D6E"/>
    <w:rsid w:val="4E6F3D0C"/>
    <w:rsid w:val="4F165675"/>
    <w:rsid w:val="4FF96AF3"/>
    <w:rsid w:val="513A2283"/>
    <w:rsid w:val="522F6F9A"/>
    <w:rsid w:val="57BF3BB6"/>
    <w:rsid w:val="58113834"/>
    <w:rsid w:val="5A702373"/>
    <w:rsid w:val="5CF80AB0"/>
    <w:rsid w:val="5E262825"/>
    <w:rsid w:val="5FED582A"/>
    <w:rsid w:val="60681AA9"/>
    <w:rsid w:val="626F711E"/>
    <w:rsid w:val="6326564D"/>
    <w:rsid w:val="63F87D96"/>
    <w:rsid w:val="64163C08"/>
    <w:rsid w:val="64B90B25"/>
    <w:rsid w:val="694037F5"/>
    <w:rsid w:val="6DD76B71"/>
    <w:rsid w:val="75494059"/>
    <w:rsid w:val="78764386"/>
    <w:rsid w:val="797F507A"/>
    <w:rsid w:val="7A995229"/>
    <w:rsid w:val="7B106F4E"/>
    <w:rsid w:val="7B66335D"/>
    <w:rsid w:val="7F345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character" w:styleId="8">
    <w:name w:val="Hyperlink"/>
    <w:basedOn w:val="7"/>
    <w:qFormat/>
    <w:uiPriority w:val="0"/>
    <w:rPr>
      <w:color w:val="0000FF"/>
      <w:u w:val="single"/>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101"/>
    <w:basedOn w:val="7"/>
    <w:qFormat/>
    <w:uiPriority w:val="0"/>
    <w:rPr>
      <w:rFonts w:hint="default" w:ascii="Times New Roman" w:hAnsi="Times New Roman" w:cs="Times New Roman"/>
      <w:color w:val="000000"/>
      <w:sz w:val="16"/>
      <w:szCs w:val="16"/>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112"/>
    <w:basedOn w:val="7"/>
    <w:qFormat/>
    <w:uiPriority w:val="0"/>
    <w:rPr>
      <w:rFonts w:hint="eastAsia" w:ascii="宋体" w:hAnsi="宋体" w:eastAsia="宋体" w:cs="宋体"/>
      <w:color w:val="000000"/>
      <w:sz w:val="14"/>
      <w:szCs w:val="14"/>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31"/>
    <w:basedOn w:val="7"/>
    <w:qFormat/>
    <w:uiPriority w:val="0"/>
    <w:rPr>
      <w:rFonts w:hint="default" w:ascii="Times New Roman" w:hAnsi="Times New Roman" w:cs="Times New Roman"/>
      <w:color w:val="000000"/>
      <w:sz w:val="18"/>
      <w:szCs w:val="18"/>
      <w:u w:val="none"/>
    </w:rPr>
  </w:style>
  <w:style w:type="character" w:customStyle="1" w:styleId="15">
    <w:name w:val="font11"/>
    <w:basedOn w:val="7"/>
    <w:qFormat/>
    <w:uiPriority w:val="0"/>
    <w:rPr>
      <w:rFonts w:hint="default" w:ascii="Times New Roman" w:hAnsi="Times New Roman" w:cs="Times New Roman"/>
      <w:color w:val="000000"/>
      <w:sz w:val="18"/>
      <w:szCs w:val="18"/>
      <w:u w:val="none"/>
    </w:rPr>
  </w:style>
  <w:style w:type="character" w:customStyle="1" w:styleId="16">
    <w:name w:val="font81"/>
    <w:basedOn w:val="7"/>
    <w:qFormat/>
    <w:uiPriority w:val="0"/>
    <w:rPr>
      <w:rFonts w:hint="eastAsia"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2131</Words>
  <Characters>2486</Characters>
  <Lines>0</Lines>
  <Paragraphs>0</Paragraphs>
  <TotalTime>0</TotalTime>
  <ScaleCrop>false</ScaleCrop>
  <LinksUpToDate>false</LinksUpToDate>
  <CharactersWithSpaces>2531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高</cp:lastModifiedBy>
  <cp:lastPrinted>2026-01-13T08:37:00Z</cp:lastPrinted>
  <dcterms:modified xsi:type="dcterms:W3CDTF">2026-05-08T03:24:22Z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eyJoZGlkIjoiZWZkNGJkMTI1ZDUzNzkwZTY2NTQyNzA0NjE1MjdhNzEiLCJ1c2VySWQiOiI3NDQxMDU1NjIifQ==</vt:lpwstr>
  </property>
  <property fmtid="{D5CDD505-2E9C-101B-9397-08002B2CF9AE}" pid="4" name="ICV">
    <vt:lpwstr>AC08B15DEC824E5996F0D7D741009FFB_12</vt:lpwstr>
  </property>
</Properties>
</file>