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AD04D"/>
    <w:p w14:paraId="2935E7FA">
      <w:pPr>
        <w:jc w:val="center"/>
        <w:rPr>
          <w:b/>
          <w:kern w:val="1"/>
          <w:sz w:val="32"/>
          <w:szCs w:val="32"/>
        </w:rPr>
      </w:pPr>
      <w:r>
        <w:rPr>
          <w:b/>
          <w:kern w:val="1"/>
          <w:sz w:val="32"/>
          <w:szCs w:val="32"/>
        </w:rPr>
        <w:t>技术规格及要求</w:t>
      </w:r>
    </w:p>
    <w:p w14:paraId="141118AC">
      <w:pPr>
        <w:spacing w:line="360" w:lineRule="auto"/>
        <w:rPr>
          <w:b/>
          <w:caps/>
          <w:szCs w:val="21"/>
        </w:rPr>
      </w:pPr>
      <w:r>
        <w:rPr>
          <w:b/>
          <w:caps/>
          <w:szCs w:val="21"/>
        </w:rPr>
        <w:t xml:space="preserve">1.总则 </w:t>
      </w:r>
    </w:p>
    <w:p w14:paraId="6EEC3076">
      <w:pPr>
        <w:widowControl/>
        <w:spacing w:line="360" w:lineRule="auto"/>
        <w:jc w:val="left"/>
        <w:rPr>
          <w:szCs w:val="21"/>
        </w:rPr>
      </w:pPr>
      <w:r>
        <w:rPr>
          <w:szCs w:val="21"/>
        </w:rPr>
        <w:t>1.1设备名称：</w:t>
      </w:r>
      <w:r>
        <w:rPr>
          <w:rFonts w:hint="eastAsia"/>
          <w:szCs w:val="21"/>
        </w:rPr>
        <w:t>有氧废气管路可燃气体LEL检测报警系统（以下简称LEL检测系统。）</w:t>
      </w:r>
    </w:p>
    <w:p w14:paraId="760BFE9F">
      <w:pPr>
        <w:widowControl/>
        <w:spacing w:line="360" w:lineRule="auto"/>
        <w:jc w:val="left"/>
        <w:rPr>
          <w:szCs w:val="21"/>
        </w:rPr>
      </w:pPr>
      <w:r>
        <w:rPr>
          <w:szCs w:val="21"/>
        </w:rPr>
        <w:t>1.2本技术规格书提出的是最低限度的要求，并未对一切细节做出规定，也未充分引述有关标准和规范的条文，</w:t>
      </w:r>
      <w:r>
        <w:rPr>
          <w:rFonts w:hint="eastAsia"/>
          <w:szCs w:val="21"/>
          <w:lang w:val="en-US" w:eastAsia="zh-CN"/>
        </w:rPr>
        <w:t>报价</w:t>
      </w:r>
      <w:r>
        <w:rPr>
          <w:szCs w:val="21"/>
        </w:rPr>
        <w:t>方应保证提供符合本技术规格书和有关最新工业标准的产品。</w:t>
      </w:r>
    </w:p>
    <w:p w14:paraId="45341F5C">
      <w:pPr>
        <w:widowControl/>
        <w:spacing w:line="360" w:lineRule="auto"/>
        <w:jc w:val="left"/>
        <w:rPr>
          <w:szCs w:val="21"/>
        </w:rPr>
      </w:pPr>
      <w:r>
        <w:rPr>
          <w:szCs w:val="21"/>
        </w:rPr>
        <w:t>1.3本次</w:t>
      </w:r>
      <w:r>
        <w:rPr>
          <w:rFonts w:hint="eastAsia"/>
          <w:szCs w:val="21"/>
          <w:lang w:eastAsia="zh-CN"/>
        </w:rPr>
        <w:t>采购</w:t>
      </w:r>
      <w:r>
        <w:rPr>
          <w:szCs w:val="21"/>
        </w:rPr>
        <w:t>的</w:t>
      </w:r>
      <w:r>
        <w:rPr>
          <w:rFonts w:hint="eastAsia"/>
          <w:szCs w:val="21"/>
        </w:rPr>
        <w:t>LEL检测系统</w:t>
      </w:r>
      <w:r>
        <w:rPr>
          <w:szCs w:val="21"/>
        </w:rPr>
        <w:t>用于</w:t>
      </w:r>
      <w:r>
        <w:rPr>
          <w:rFonts w:hint="eastAsia"/>
          <w:szCs w:val="21"/>
        </w:rPr>
        <w:t>醋酸乙烯</w:t>
      </w:r>
      <w:r>
        <w:rPr>
          <w:szCs w:val="21"/>
        </w:rPr>
        <w:t>装置，它包括</w:t>
      </w:r>
      <w:r>
        <w:rPr>
          <w:rFonts w:hint="eastAsia"/>
          <w:szCs w:val="21"/>
        </w:rPr>
        <w:t>LEL检测系统</w:t>
      </w:r>
      <w:r>
        <w:rPr>
          <w:szCs w:val="21"/>
        </w:rPr>
        <w:t>的功能设计、</w:t>
      </w:r>
      <w:r>
        <w:rPr>
          <w:rFonts w:hint="eastAsia"/>
          <w:szCs w:val="21"/>
        </w:rPr>
        <w:t>选型</w:t>
      </w:r>
      <w:r>
        <w:rPr>
          <w:szCs w:val="21"/>
        </w:rPr>
        <w:t>、性能、结构、制造、试验、安装和质量保证等各方面的技术要求。</w:t>
      </w:r>
    </w:p>
    <w:p w14:paraId="7BA3E12A">
      <w:pPr>
        <w:widowControl/>
        <w:spacing w:line="360" w:lineRule="auto"/>
        <w:jc w:val="left"/>
        <w:rPr>
          <w:szCs w:val="21"/>
        </w:rPr>
      </w:pPr>
      <w:r>
        <w:rPr>
          <w:szCs w:val="21"/>
        </w:rPr>
        <w:t>1.4本次</w:t>
      </w:r>
      <w:r>
        <w:rPr>
          <w:rFonts w:hint="eastAsia"/>
          <w:szCs w:val="21"/>
          <w:lang w:val="en-US" w:eastAsia="zh-CN"/>
        </w:rPr>
        <w:t>采购</w:t>
      </w:r>
      <w:r>
        <w:rPr>
          <w:szCs w:val="21"/>
        </w:rPr>
        <w:t>要求所使用的标准如与</w:t>
      </w:r>
      <w:r>
        <w:rPr>
          <w:rFonts w:hint="eastAsia"/>
          <w:szCs w:val="21"/>
          <w:lang w:val="en-US" w:eastAsia="zh-CN"/>
        </w:rPr>
        <w:t>报价</w:t>
      </w:r>
      <w:r>
        <w:rPr>
          <w:szCs w:val="21"/>
        </w:rPr>
        <w:t>方所执行的标准发生矛盾时，按较高较严的标准执行。</w:t>
      </w:r>
    </w:p>
    <w:p w14:paraId="5901F2CE">
      <w:pPr>
        <w:widowControl/>
        <w:spacing w:line="360" w:lineRule="auto"/>
        <w:ind w:left="310" w:hanging="310" w:hangingChars="147"/>
        <w:jc w:val="left"/>
        <w:rPr>
          <w:b/>
          <w:szCs w:val="21"/>
        </w:rPr>
      </w:pPr>
      <w:r>
        <w:rPr>
          <w:b/>
          <w:szCs w:val="21"/>
        </w:rPr>
        <w:t>2.产品描述</w:t>
      </w:r>
    </w:p>
    <w:p w14:paraId="3ACCAE11">
      <w:pPr>
        <w:autoSpaceDE w:val="0"/>
        <w:autoSpaceDN w:val="0"/>
        <w:spacing w:line="360" w:lineRule="exact"/>
        <w:ind w:right="198"/>
        <w:rPr>
          <w:szCs w:val="21"/>
        </w:rPr>
      </w:pPr>
      <w:r>
        <w:rPr>
          <w:caps/>
          <w:szCs w:val="21"/>
        </w:rPr>
        <w:t xml:space="preserve">2.1 </w:t>
      </w:r>
      <w:r>
        <w:rPr>
          <w:szCs w:val="21"/>
        </w:rPr>
        <w:t>本批</w:t>
      </w:r>
      <w:r>
        <w:rPr>
          <w:rFonts w:hint="eastAsia"/>
          <w:szCs w:val="21"/>
        </w:rPr>
        <w:t>LEL检测系统</w:t>
      </w:r>
      <w:r>
        <w:rPr>
          <w:szCs w:val="21"/>
        </w:rPr>
        <w:t>共</w:t>
      </w:r>
      <w:r>
        <w:rPr>
          <w:rFonts w:hint="eastAsia"/>
          <w:szCs w:val="21"/>
        </w:rPr>
        <w:t>2</w:t>
      </w:r>
      <w:r>
        <w:rPr>
          <w:szCs w:val="21"/>
        </w:rPr>
        <w:t>台。</w:t>
      </w:r>
    </w:p>
    <w:tbl>
      <w:tblPr>
        <w:tblStyle w:val="8"/>
        <w:tblW w:w="9610"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
        <w:gridCol w:w="1686"/>
        <w:gridCol w:w="1026"/>
        <w:gridCol w:w="1456"/>
        <w:gridCol w:w="1666"/>
        <w:gridCol w:w="1755"/>
        <w:gridCol w:w="1650"/>
      </w:tblGrid>
      <w:tr w14:paraId="09FBC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371" w:type="dxa"/>
            <w:vAlign w:val="center"/>
          </w:tcPr>
          <w:p w14:paraId="037E01AA">
            <w:pPr>
              <w:jc w:val="center"/>
              <w:rPr>
                <w:b/>
                <w:bCs/>
                <w:color w:val="FF0000"/>
              </w:rPr>
            </w:pPr>
            <w:r>
              <w:rPr>
                <w:rFonts w:hint="eastAsia"/>
                <w:b/>
                <w:bCs/>
                <w:color w:val="FF0000"/>
              </w:rPr>
              <w:t>序号</w:t>
            </w:r>
          </w:p>
        </w:tc>
        <w:tc>
          <w:tcPr>
            <w:tcW w:w="1686" w:type="dxa"/>
            <w:vAlign w:val="center"/>
          </w:tcPr>
          <w:p w14:paraId="1759B4C2">
            <w:pPr>
              <w:jc w:val="center"/>
              <w:rPr>
                <w:b/>
                <w:bCs/>
                <w:color w:val="FF0000"/>
              </w:rPr>
            </w:pPr>
            <w:r>
              <w:rPr>
                <w:rFonts w:hint="eastAsia"/>
                <w:b/>
                <w:bCs/>
                <w:color w:val="FF0000"/>
              </w:rPr>
              <w:t>位号</w:t>
            </w:r>
          </w:p>
        </w:tc>
        <w:tc>
          <w:tcPr>
            <w:tcW w:w="1026" w:type="dxa"/>
            <w:vAlign w:val="center"/>
          </w:tcPr>
          <w:p w14:paraId="316D2A6A">
            <w:pPr>
              <w:jc w:val="center"/>
              <w:rPr>
                <w:b/>
                <w:bCs/>
                <w:color w:val="FF0000"/>
              </w:rPr>
            </w:pPr>
            <w:r>
              <w:rPr>
                <w:rFonts w:hint="eastAsia"/>
                <w:b/>
                <w:bCs/>
                <w:color w:val="FF0000"/>
              </w:rPr>
              <w:t>类型/元件</w:t>
            </w:r>
          </w:p>
        </w:tc>
        <w:tc>
          <w:tcPr>
            <w:tcW w:w="1456" w:type="dxa"/>
            <w:vAlign w:val="center"/>
          </w:tcPr>
          <w:p w14:paraId="6B81716C">
            <w:pPr>
              <w:jc w:val="center"/>
              <w:rPr>
                <w:b/>
                <w:bCs/>
                <w:color w:val="FF0000"/>
              </w:rPr>
            </w:pPr>
            <w:r>
              <w:rPr>
                <w:rFonts w:hint="eastAsia"/>
                <w:b/>
                <w:bCs/>
                <w:color w:val="FF0000"/>
              </w:rPr>
              <w:t>用途</w:t>
            </w:r>
          </w:p>
        </w:tc>
        <w:tc>
          <w:tcPr>
            <w:tcW w:w="1666" w:type="dxa"/>
            <w:vAlign w:val="center"/>
          </w:tcPr>
          <w:p w14:paraId="59833552">
            <w:pPr>
              <w:jc w:val="center"/>
              <w:rPr>
                <w:b/>
                <w:bCs/>
                <w:color w:val="FF0000"/>
              </w:rPr>
            </w:pPr>
            <w:r>
              <w:rPr>
                <w:rFonts w:hint="eastAsia"/>
                <w:b/>
                <w:bCs/>
                <w:color w:val="FF0000"/>
              </w:rPr>
              <w:t>核心参数</w:t>
            </w:r>
          </w:p>
        </w:tc>
        <w:tc>
          <w:tcPr>
            <w:tcW w:w="1755" w:type="dxa"/>
            <w:tcBorders>
              <w:right w:val="single" w:color="auto" w:sz="4" w:space="0"/>
            </w:tcBorders>
            <w:vAlign w:val="center"/>
          </w:tcPr>
          <w:p w14:paraId="4E00E16C">
            <w:pPr>
              <w:jc w:val="center"/>
              <w:rPr>
                <w:b/>
                <w:bCs/>
                <w:color w:val="FF0000"/>
              </w:rPr>
            </w:pPr>
            <w:r>
              <w:rPr>
                <w:rFonts w:hint="eastAsia"/>
                <w:b/>
                <w:bCs/>
                <w:color w:val="FF0000"/>
              </w:rPr>
              <w:t>备注</w:t>
            </w:r>
          </w:p>
        </w:tc>
        <w:tc>
          <w:tcPr>
            <w:tcW w:w="1650" w:type="dxa"/>
            <w:tcBorders>
              <w:left w:val="single" w:color="auto" w:sz="4" w:space="0"/>
            </w:tcBorders>
            <w:vAlign w:val="center"/>
          </w:tcPr>
          <w:p w14:paraId="05E26E8F">
            <w:pPr>
              <w:jc w:val="center"/>
              <w:rPr>
                <w:b/>
                <w:bCs/>
                <w:color w:val="FF0000"/>
              </w:rPr>
            </w:pPr>
            <w:r>
              <w:rPr>
                <w:rFonts w:hint="eastAsia"/>
                <w:b/>
                <w:bCs/>
                <w:color w:val="FF0000"/>
              </w:rPr>
              <w:t>品牌要求</w:t>
            </w:r>
          </w:p>
        </w:tc>
      </w:tr>
      <w:tr w14:paraId="316C2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trPr>
        <w:tc>
          <w:tcPr>
            <w:tcW w:w="371" w:type="dxa"/>
            <w:vAlign w:val="center"/>
          </w:tcPr>
          <w:p w14:paraId="593B9D4D">
            <w:pPr>
              <w:spacing w:line="360" w:lineRule="exact"/>
              <w:jc w:val="center"/>
            </w:pPr>
            <w:r>
              <w:rPr>
                <w:szCs w:val="21"/>
              </w:rPr>
              <w:t>1</w:t>
            </w:r>
          </w:p>
        </w:tc>
        <w:tc>
          <w:tcPr>
            <w:tcW w:w="1686" w:type="dxa"/>
            <w:vAlign w:val="center"/>
          </w:tcPr>
          <w:p w14:paraId="7286DF68">
            <w:pPr>
              <w:spacing w:line="360" w:lineRule="exact"/>
              <w:jc w:val="center"/>
            </w:pPr>
            <w:r>
              <w:rPr>
                <w:rFonts w:hint="eastAsia"/>
                <w:szCs w:val="21"/>
              </w:rPr>
              <w:t>284-AI-5901A</w:t>
            </w:r>
          </w:p>
        </w:tc>
        <w:tc>
          <w:tcPr>
            <w:tcW w:w="1026" w:type="dxa"/>
            <w:vAlign w:val="center"/>
          </w:tcPr>
          <w:p w14:paraId="7E03CF06">
            <w:pPr>
              <w:spacing w:line="360" w:lineRule="exact"/>
              <w:jc w:val="center"/>
            </w:pPr>
            <w:r>
              <w:rPr>
                <w:rFonts w:hint="eastAsia"/>
                <w:szCs w:val="21"/>
              </w:rPr>
              <w:t>LEL检测系统</w:t>
            </w:r>
            <w:r>
              <w:t xml:space="preserve"> </w:t>
            </w:r>
          </w:p>
        </w:tc>
        <w:tc>
          <w:tcPr>
            <w:tcW w:w="1456" w:type="dxa"/>
            <w:vAlign w:val="center"/>
          </w:tcPr>
          <w:p w14:paraId="230F11E4">
            <w:pPr>
              <w:spacing w:line="360" w:lineRule="exact"/>
              <w:jc w:val="center"/>
            </w:pPr>
            <w:r>
              <w:rPr>
                <w:rFonts w:hint="eastAsia"/>
                <w:szCs w:val="21"/>
              </w:rPr>
              <w:t>TO炉的可燃气体检测</w:t>
            </w:r>
          </w:p>
        </w:tc>
        <w:tc>
          <w:tcPr>
            <w:tcW w:w="1666" w:type="dxa"/>
            <w:vAlign w:val="center"/>
          </w:tcPr>
          <w:p w14:paraId="3E9B1F75">
            <w:pPr>
              <w:spacing w:line="360" w:lineRule="exact"/>
              <w:jc w:val="center"/>
            </w:pPr>
            <w:r>
              <w:rPr>
                <w:rFonts w:hint="eastAsia"/>
                <w:szCs w:val="21"/>
              </w:rPr>
              <w:t>检测范围0-100%LEL，仪器T90≤4s，系统T90≤8s</w:t>
            </w:r>
          </w:p>
        </w:tc>
        <w:tc>
          <w:tcPr>
            <w:tcW w:w="1755" w:type="dxa"/>
            <w:tcBorders>
              <w:right w:val="single" w:color="auto" w:sz="4" w:space="0"/>
            </w:tcBorders>
            <w:vAlign w:val="center"/>
          </w:tcPr>
          <w:p w14:paraId="1FCB9B8D">
            <w:pPr>
              <w:spacing w:line="360" w:lineRule="exact"/>
              <w:jc w:val="center"/>
            </w:pPr>
            <w:r>
              <w:rPr>
                <w:rFonts w:hint="eastAsia"/>
              </w:rPr>
              <w:t>详细参数见数据表</w:t>
            </w:r>
          </w:p>
        </w:tc>
        <w:tc>
          <w:tcPr>
            <w:tcW w:w="1650" w:type="dxa"/>
            <w:tcBorders>
              <w:left w:val="single" w:color="auto" w:sz="4" w:space="0"/>
            </w:tcBorders>
            <w:vAlign w:val="center"/>
          </w:tcPr>
          <w:p w14:paraId="6E324F9E">
            <w:pPr>
              <w:spacing w:line="360" w:lineRule="exact"/>
              <w:jc w:val="center"/>
            </w:pPr>
            <w:r>
              <w:rPr>
                <w:rFonts w:hint="eastAsia"/>
                <w:szCs w:val="21"/>
              </w:rPr>
              <w:t>德尔格，ABB,赛默飞</w:t>
            </w:r>
          </w:p>
        </w:tc>
      </w:tr>
      <w:tr w14:paraId="699CC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371" w:type="dxa"/>
            <w:vAlign w:val="center"/>
          </w:tcPr>
          <w:p w14:paraId="29238BD9">
            <w:pPr>
              <w:spacing w:line="360" w:lineRule="exact"/>
              <w:jc w:val="center"/>
              <w:rPr>
                <w:szCs w:val="21"/>
              </w:rPr>
            </w:pPr>
            <w:r>
              <w:rPr>
                <w:szCs w:val="21"/>
              </w:rPr>
              <w:t>2</w:t>
            </w:r>
          </w:p>
        </w:tc>
        <w:tc>
          <w:tcPr>
            <w:tcW w:w="1686" w:type="dxa"/>
            <w:vAlign w:val="center"/>
          </w:tcPr>
          <w:p w14:paraId="6DDFF146">
            <w:pPr>
              <w:spacing w:line="360" w:lineRule="exact"/>
              <w:jc w:val="center"/>
              <w:rPr>
                <w:szCs w:val="21"/>
              </w:rPr>
            </w:pPr>
            <w:r>
              <w:rPr>
                <w:rFonts w:hint="eastAsia"/>
                <w:szCs w:val="21"/>
              </w:rPr>
              <w:t>284-AI-5901B</w:t>
            </w:r>
          </w:p>
        </w:tc>
        <w:tc>
          <w:tcPr>
            <w:tcW w:w="1026" w:type="dxa"/>
            <w:vAlign w:val="center"/>
          </w:tcPr>
          <w:p w14:paraId="1DA1773F">
            <w:pPr>
              <w:spacing w:line="360" w:lineRule="exact"/>
              <w:jc w:val="center"/>
              <w:rPr>
                <w:szCs w:val="21"/>
              </w:rPr>
            </w:pPr>
            <w:r>
              <w:rPr>
                <w:rFonts w:hint="eastAsia"/>
                <w:szCs w:val="21"/>
              </w:rPr>
              <w:t>LEL检测系统</w:t>
            </w:r>
          </w:p>
        </w:tc>
        <w:tc>
          <w:tcPr>
            <w:tcW w:w="1456" w:type="dxa"/>
            <w:vAlign w:val="center"/>
          </w:tcPr>
          <w:p w14:paraId="4D1721A8">
            <w:pPr>
              <w:spacing w:line="360" w:lineRule="exact"/>
              <w:jc w:val="center"/>
              <w:rPr>
                <w:szCs w:val="21"/>
              </w:rPr>
            </w:pPr>
            <w:r>
              <w:rPr>
                <w:rFonts w:hint="eastAsia"/>
                <w:szCs w:val="21"/>
              </w:rPr>
              <w:t>TO炉的可燃气体检测</w:t>
            </w:r>
          </w:p>
        </w:tc>
        <w:tc>
          <w:tcPr>
            <w:tcW w:w="1666" w:type="dxa"/>
            <w:vAlign w:val="center"/>
          </w:tcPr>
          <w:p w14:paraId="3A552DB9">
            <w:pPr>
              <w:spacing w:line="360" w:lineRule="exact"/>
              <w:jc w:val="center"/>
              <w:rPr>
                <w:szCs w:val="21"/>
              </w:rPr>
            </w:pPr>
            <w:r>
              <w:rPr>
                <w:rFonts w:hint="eastAsia"/>
                <w:szCs w:val="21"/>
              </w:rPr>
              <w:t>检测范围0-100%LEL，仪器T90≤4s，系统T90≤8s</w:t>
            </w:r>
          </w:p>
        </w:tc>
        <w:tc>
          <w:tcPr>
            <w:tcW w:w="1755" w:type="dxa"/>
            <w:tcBorders>
              <w:right w:val="single" w:color="auto" w:sz="4" w:space="0"/>
            </w:tcBorders>
            <w:vAlign w:val="center"/>
          </w:tcPr>
          <w:p w14:paraId="7A501B62">
            <w:pPr>
              <w:spacing w:line="360" w:lineRule="exact"/>
              <w:jc w:val="center"/>
              <w:rPr>
                <w:szCs w:val="21"/>
              </w:rPr>
            </w:pPr>
            <w:r>
              <w:rPr>
                <w:rFonts w:hint="eastAsia"/>
              </w:rPr>
              <w:t>详细参数见数据表</w:t>
            </w:r>
          </w:p>
        </w:tc>
        <w:tc>
          <w:tcPr>
            <w:tcW w:w="1650" w:type="dxa"/>
            <w:tcBorders>
              <w:left w:val="single" w:color="auto" w:sz="4" w:space="0"/>
            </w:tcBorders>
            <w:shd w:val="clear" w:color="auto" w:fill="auto"/>
            <w:vAlign w:val="center"/>
          </w:tcPr>
          <w:p w14:paraId="588E94D1">
            <w:pPr>
              <w:spacing w:line="360" w:lineRule="exact"/>
              <w:jc w:val="center"/>
            </w:pPr>
            <w:r>
              <w:rPr>
                <w:rFonts w:hint="eastAsia"/>
                <w:szCs w:val="21"/>
              </w:rPr>
              <w:t>德尔格，ABB,赛默飞</w:t>
            </w:r>
          </w:p>
        </w:tc>
      </w:tr>
    </w:tbl>
    <w:p w14:paraId="3E3D997E">
      <w:pPr>
        <w:autoSpaceDE w:val="0"/>
        <w:autoSpaceDN w:val="0"/>
        <w:spacing w:line="360" w:lineRule="exact"/>
        <w:ind w:right="198"/>
        <w:rPr>
          <w:szCs w:val="21"/>
        </w:rPr>
      </w:pPr>
    </w:p>
    <w:p w14:paraId="5D6159BD">
      <w:pPr>
        <w:autoSpaceDE w:val="0"/>
        <w:autoSpaceDN w:val="0"/>
        <w:spacing w:line="360" w:lineRule="exact"/>
        <w:ind w:right="198"/>
        <w:rPr>
          <w:szCs w:val="21"/>
        </w:rPr>
      </w:pPr>
    </w:p>
    <w:p w14:paraId="3161613F">
      <w:pPr>
        <w:widowControl/>
        <w:spacing w:line="360" w:lineRule="auto"/>
        <w:jc w:val="left"/>
        <w:rPr>
          <w:b/>
          <w:szCs w:val="21"/>
        </w:rPr>
      </w:pPr>
      <w:r>
        <w:rPr>
          <w:b/>
          <w:szCs w:val="21"/>
        </w:rPr>
        <w:t>该清单仅供参考，</w:t>
      </w:r>
      <w:r>
        <w:rPr>
          <w:rFonts w:hint="eastAsia"/>
          <w:b/>
          <w:szCs w:val="21"/>
          <w:lang w:eastAsia="zh-CN"/>
        </w:rPr>
        <w:t>报价</w:t>
      </w:r>
      <w:r>
        <w:rPr>
          <w:b/>
          <w:szCs w:val="21"/>
        </w:rPr>
        <w:t>方需根据附件数据表核实各</w:t>
      </w:r>
      <w:r>
        <w:rPr>
          <w:szCs w:val="21"/>
        </w:rPr>
        <w:t>有氧废气管路可燃气体LEL报警</w:t>
      </w:r>
      <w:r>
        <w:rPr>
          <w:b/>
          <w:szCs w:val="21"/>
        </w:rPr>
        <w:t>数量</w:t>
      </w:r>
      <w:r>
        <w:rPr>
          <w:rFonts w:hint="eastAsia"/>
          <w:b/>
          <w:szCs w:val="21"/>
        </w:rPr>
        <w:t>，</w:t>
      </w:r>
      <w:r>
        <w:rPr>
          <w:b/>
          <w:szCs w:val="21"/>
        </w:rPr>
        <w:t>并在</w:t>
      </w:r>
      <w:r>
        <w:rPr>
          <w:rFonts w:hint="eastAsia"/>
          <w:b/>
          <w:szCs w:val="21"/>
          <w:lang w:eastAsia="zh-CN"/>
        </w:rPr>
        <w:t>报价</w:t>
      </w:r>
      <w:r>
        <w:rPr>
          <w:b/>
          <w:szCs w:val="21"/>
        </w:rPr>
        <w:t>文件中提供相应的供货清单。</w:t>
      </w:r>
    </w:p>
    <w:p w14:paraId="7FDC8DA4">
      <w:pPr>
        <w:spacing w:line="360" w:lineRule="exact"/>
        <w:rPr>
          <w:szCs w:val="21"/>
        </w:rPr>
      </w:pPr>
      <w:r>
        <w:rPr>
          <w:szCs w:val="21"/>
        </w:rPr>
        <w:t>2.2 本批</w:t>
      </w:r>
      <w:r>
        <w:rPr>
          <w:rFonts w:hint="eastAsia"/>
          <w:szCs w:val="21"/>
          <w:lang w:eastAsia="zh-CN"/>
        </w:rPr>
        <w:t>采购</w:t>
      </w:r>
      <w:r>
        <w:rPr>
          <w:rFonts w:hint="eastAsia"/>
          <w:szCs w:val="21"/>
        </w:rPr>
        <w:t>LEL检测系统</w:t>
      </w:r>
      <w:r>
        <w:rPr>
          <w:szCs w:val="21"/>
        </w:rPr>
        <w:t>不得转包和供应贴牌产品。</w:t>
      </w:r>
    </w:p>
    <w:p w14:paraId="4B32D206">
      <w:pPr>
        <w:spacing w:line="360" w:lineRule="exact"/>
        <w:rPr>
          <w:szCs w:val="21"/>
        </w:rPr>
      </w:pPr>
    </w:p>
    <w:p w14:paraId="77B01D59">
      <w:pPr>
        <w:spacing w:line="360" w:lineRule="auto"/>
        <w:rPr>
          <w:b/>
          <w:szCs w:val="21"/>
        </w:rPr>
      </w:pPr>
      <w:r>
        <w:rPr>
          <w:b/>
          <w:szCs w:val="21"/>
        </w:rPr>
        <w:t>3.设计依据</w:t>
      </w:r>
      <w:r>
        <w:rPr>
          <w:b/>
          <w:szCs w:val="21"/>
        </w:rPr>
        <w:tab/>
      </w:r>
    </w:p>
    <w:p w14:paraId="3A62D21F">
      <w:pPr>
        <w:spacing w:line="360" w:lineRule="auto"/>
        <w:rPr>
          <w:szCs w:val="21"/>
        </w:rPr>
      </w:pPr>
      <w:r>
        <w:rPr>
          <w:szCs w:val="21"/>
        </w:rPr>
        <w:t>3.1</w:t>
      </w:r>
      <w:r>
        <w:rPr>
          <w:rFonts w:hint="eastAsia"/>
          <w:szCs w:val="21"/>
        </w:rPr>
        <w:t>LEL检测系统</w:t>
      </w:r>
      <w:r>
        <w:rPr>
          <w:szCs w:val="21"/>
        </w:rPr>
        <w:t>设计和选型应完全满足或优于数据表的要求，能满足</w:t>
      </w:r>
      <w:r>
        <w:rPr>
          <w:rFonts w:hint="eastAsia"/>
          <w:szCs w:val="21"/>
          <w:lang w:eastAsia="zh-CN"/>
        </w:rPr>
        <w:t>采购</w:t>
      </w:r>
      <w:r>
        <w:rPr>
          <w:szCs w:val="21"/>
        </w:rPr>
        <w:t>方和</w:t>
      </w:r>
      <w:r>
        <w:rPr>
          <w:rFonts w:hint="eastAsia"/>
          <w:szCs w:val="21"/>
          <w:lang w:eastAsia="zh-CN"/>
        </w:rPr>
        <w:t>采购</w:t>
      </w:r>
      <w:r>
        <w:rPr>
          <w:szCs w:val="21"/>
        </w:rPr>
        <w:t>方设计院提出的任何其它技术要求。</w:t>
      </w:r>
    </w:p>
    <w:p w14:paraId="7C23D396">
      <w:pPr>
        <w:widowControl/>
        <w:spacing w:line="360" w:lineRule="auto"/>
        <w:jc w:val="left"/>
        <w:rPr>
          <w:szCs w:val="21"/>
        </w:rPr>
      </w:pPr>
      <w:r>
        <w:rPr>
          <w:szCs w:val="21"/>
        </w:rPr>
        <w:t>3.2环境状况：</w:t>
      </w:r>
    </w:p>
    <w:p w14:paraId="05792A04">
      <w:pPr>
        <w:spacing w:line="360" w:lineRule="auto"/>
        <w:ind w:firstLine="539" w:firstLineChars="257"/>
        <w:rPr>
          <w:szCs w:val="21"/>
        </w:rPr>
      </w:pPr>
      <w:r>
        <w:rPr>
          <w:szCs w:val="21"/>
        </w:rPr>
        <w:t>年平均气温：                                  15.4℃；</w:t>
      </w:r>
    </w:p>
    <w:p w14:paraId="144D8D22">
      <w:pPr>
        <w:spacing w:line="360" w:lineRule="auto"/>
        <w:ind w:firstLine="539" w:firstLineChars="257"/>
        <w:rPr>
          <w:szCs w:val="21"/>
        </w:rPr>
      </w:pPr>
      <w:r>
        <w:rPr>
          <w:szCs w:val="21"/>
        </w:rPr>
        <w:t>极端最低气温：                                －12.4℃；</w:t>
      </w:r>
    </w:p>
    <w:p w14:paraId="7E2C153C">
      <w:pPr>
        <w:spacing w:line="360" w:lineRule="auto"/>
        <w:ind w:firstLine="539" w:firstLineChars="257"/>
        <w:rPr>
          <w:szCs w:val="21"/>
        </w:rPr>
      </w:pPr>
      <w:r>
        <w:rPr>
          <w:szCs w:val="21"/>
        </w:rPr>
        <w:t>极端最高气温：                                40.9℃</w:t>
      </w:r>
    </w:p>
    <w:p w14:paraId="7C378E5D">
      <w:pPr>
        <w:spacing w:line="360" w:lineRule="auto"/>
        <w:ind w:firstLine="539" w:firstLineChars="257"/>
        <w:rPr>
          <w:szCs w:val="21"/>
        </w:rPr>
      </w:pPr>
      <w:r>
        <w:rPr>
          <w:szCs w:val="21"/>
        </w:rPr>
        <w:t>年平均相对湿度：                              76%；</w:t>
      </w:r>
    </w:p>
    <w:p w14:paraId="7A5D7174">
      <w:pPr>
        <w:spacing w:line="360" w:lineRule="auto"/>
        <w:ind w:firstLine="539" w:firstLineChars="257"/>
        <w:rPr>
          <w:szCs w:val="21"/>
        </w:rPr>
      </w:pPr>
      <w:r>
        <w:rPr>
          <w:szCs w:val="21"/>
        </w:rPr>
        <w:t>年平均大气压：                                101.4kPa</w:t>
      </w:r>
    </w:p>
    <w:p w14:paraId="6DD67017">
      <w:pPr>
        <w:spacing w:line="360" w:lineRule="auto"/>
        <w:ind w:firstLine="539" w:firstLineChars="257"/>
        <w:rPr>
          <w:color w:val="FF0000"/>
          <w:szCs w:val="21"/>
        </w:rPr>
      </w:pPr>
      <w:r>
        <w:rPr>
          <w:szCs w:val="21"/>
        </w:rPr>
        <w:t>其它：</w:t>
      </w:r>
      <w:r>
        <w:rPr>
          <w:rFonts w:hint="eastAsia"/>
          <w:szCs w:val="21"/>
        </w:rPr>
        <w:t>仪表</w:t>
      </w:r>
      <w:r>
        <w:rPr>
          <w:szCs w:val="21"/>
        </w:rPr>
        <w:t>气源                  0.40~0.</w:t>
      </w:r>
      <w:r>
        <w:rPr>
          <w:rFonts w:hint="eastAsia"/>
          <w:szCs w:val="21"/>
        </w:rPr>
        <w:t>7</w:t>
      </w:r>
      <w:r>
        <w:rPr>
          <w:szCs w:val="21"/>
        </w:rPr>
        <w:t>MPa(G)</w:t>
      </w:r>
    </w:p>
    <w:p w14:paraId="650DF4E6">
      <w:pPr>
        <w:spacing w:line="360" w:lineRule="exact"/>
        <w:rPr>
          <w:szCs w:val="21"/>
        </w:rPr>
      </w:pPr>
      <w:r>
        <w:rPr>
          <w:szCs w:val="21"/>
        </w:rPr>
        <w:t>3.3仪表及所配电气附件防护要求：</w:t>
      </w:r>
    </w:p>
    <w:p w14:paraId="327A7EDA">
      <w:pPr>
        <w:spacing w:line="360" w:lineRule="exact"/>
        <w:rPr>
          <w:b/>
          <w:szCs w:val="21"/>
        </w:rPr>
      </w:pPr>
      <w:r>
        <w:rPr>
          <w:szCs w:val="21"/>
        </w:rPr>
        <w:t xml:space="preserve">    防护等级                                </w:t>
      </w:r>
      <w:r>
        <w:rPr>
          <w:rFonts w:hint="eastAsia"/>
          <w:szCs w:val="21"/>
        </w:rPr>
        <w:t xml:space="preserve">     不低于IP65  </w:t>
      </w:r>
    </w:p>
    <w:p w14:paraId="25B9C00E">
      <w:pPr>
        <w:spacing w:line="360" w:lineRule="exact"/>
        <w:ind w:left="283" w:hanging="283" w:hangingChars="135"/>
        <w:rPr>
          <w:szCs w:val="21"/>
        </w:rPr>
      </w:pPr>
      <w:r>
        <w:rPr>
          <w:szCs w:val="21"/>
        </w:rPr>
        <w:t xml:space="preserve">  </w:t>
      </w:r>
      <w:r>
        <w:rPr>
          <w:rFonts w:hint="eastAsia"/>
          <w:szCs w:val="21"/>
        </w:rPr>
        <w:t xml:space="preserve"> </w:t>
      </w:r>
      <w:r>
        <w:rPr>
          <w:szCs w:val="21"/>
        </w:rPr>
        <w:t>仪表安装手册                                 API RP550</w:t>
      </w:r>
    </w:p>
    <w:p w14:paraId="23EB408F">
      <w:pPr>
        <w:spacing w:line="360" w:lineRule="exact"/>
        <w:ind w:firstLine="420" w:firstLineChars="200"/>
        <w:rPr>
          <w:szCs w:val="21"/>
        </w:rPr>
      </w:pPr>
      <w:r>
        <w:rPr>
          <w:szCs w:val="21"/>
        </w:rPr>
        <w:t xml:space="preserve">铭牌和印记                                   </w:t>
      </w:r>
      <w:r>
        <w:rPr>
          <w:rFonts w:hint="eastAsia"/>
          <w:szCs w:val="21"/>
        </w:rPr>
        <w:t>284-AI-5901A/B</w:t>
      </w:r>
    </w:p>
    <w:p w14:paraId="6BFCB9F1">
      <w:pPr>
        <w:spacing w:line="360" w:lineRule="exact"/>
        <w:ind w:left="210" w:leftChars="100" w:firstLine="210" w:firstLineChars="100"/>
        <w:rPr>
          <w:szCs w:val="21"/>
        </w:rPr>
      </w:pPr>
      <w:r>
        <w:rPr>
          <w:rFonts w:hint="eastAsia"/>
          <w:szCs w:val="21"/>
        </w:rPr>
        <w:t>化工装置自控设计规定                         HG/T 20636-20639</w:t>
      </w:r>
    </w:p>
    <w:p w14:paraId="09F47B00">
      <w:pPr>
        <w:widowControl/>
        <w:spacing w:line="360" w:lineRule="exact"/>
        <w:ind w:firstLine="420" w:firstLineChars="200"/>
        <w:jc w:val="left"/>
        <w:rPr>
          <w:szCs w:val="21"/>
        </w:rPr>
      </w:pPr>
      <w:r>
        <w:rPr>
          <w:szCs w:val="21"/>
        </w:rPr>
        <w:t xml:space="preserve">仪表防护              </w:t>
      </w:r>
      <w:r>
        <w:rPr>
          <w:szCs w:val="21"/>
        </w:rPr>
        <w:tab/>
      </w:r>
      <w:r>
        <w:rPr>
          <w:szCs w:val="21"/>
        </w:rPr>
        <w:t xml:space="preserve">                </w:t>
      </w:r>
      <w:r>
        <w:rPr>
          <w:rFonts w:hint="eastAsia"/>
          <w:szCs w:val="21"/>
        </w:rPr>
        <w:t xml:space="preserve"> </w:t>
      </w:r>
      <w:r>
        <w:rPr>
          <w:szCs w:val="21"/>
        </w:rPr>
        <w:t xml:space="preserve">    GB</w:t>
      </w:r>
      <w:r>
        <w:rPr>
          <w:rFonts w:hint="eastAsia"/>
          <w:szCs w:val="21"/>
        </w:rPr>
        <w:t xml:space="preserve"> 4208（</w:t>
      </w:r>
      <w:r>
        <w:rPr>
          <w:szCs w:val="21"/>
        </w:rPr>
        <w:t>IEC 529</w:t>
      </w:r>
      <w:r>
        <w:rPr>
          <w:rFonts w:hint="eastAsia"/>
          <w:szCs w:val="21"/>
        </w:rPr>
        <w:t>）</w:t>
      </w:r>
    </w:p>
    <w:p w14:paraId="2FC20BC8">
      <w:pPr>
        <w:widowControl/>
        <w:spacing w:line="360" w:lineRule="exact"/>
        <w:ind w:firstLine="420" w:firstLineChars="200"/>
        <w:jc w:val="left"/>
        <w:rPr>
          <w:szCs w:val="21"/>
        </w:rPr>
      </w:pPr>
      <w:r>
        <w:rPr>
          <w:szCs w:val="21"/>
        </w:rPr>
        <w:t xml:space="preserve">防爆等级                                  </w:t>
      </w:r>
      <w:r>
        <w:rPr>
          <w:rFonts w:hint="eastAsia"/>
          <w:szCs w:val="21"/>
        </w:rPr>
        <w:t xml:space="preserve">  不低于Ex d IICT4 Gb/Exd IICT4 Gb</w:t>
      </w:r>
    </w:p>
    <w:p w14:paraId="0402903E">
      <w:pPr>
        <w:spacing w:line="360" w:lineRule="exact"/>
      </w:pPr>
      <w:r>
        <w:rPr>
          <w:rFonts w:hint="eastAsia"/>
        </w:rPr>
        <w:t xml:space="preserve">   </w:t>
      </w:r>
      <w:r>
        <w:t xml:space="preserve">爆炸性环境用防爆电气设备  </w:t>
      </w:r>
      <w:r>
        <w:tab/>
      </w:r>
      <w:r>
        <w:t xml:space="preserve">                </w:t>
      </w:r>
      <w:r>
        <w:rPr>
          <w:rFonts w:hint="eastAsia"/>
        </w:rPr>
        <w:t xml:space="preserve"> </w:t>
      </w:r>
      <w:r>
        <w:t>IEC 60079</w:t>
      </w:r>
      <w:r>
        <w:rPr>
          <w:rFonts w:hint="eastAsia"/>
        </w:rPr>
        <w:t>-</w:t>
      </w:r>
      <w:r>
        <w:t>1998</w:t>
      </w:r>
    </w:p>
    <w:p w14:paraId="59924C8C">
      <w:pPr>
        <w:spacing w:line="360" w:lineRule="exact"/>
        <w:rPr>
          <w:color w:val="000000"/>
          <w:szCs w:val="21"/>
        </w:rPr>
      </w:pPr>
      <w:r>
        <w:rPr>
          <w:rFonts w:hint="eastAsia"/>
        </w:rPr>
        <w:t xml:space="preserve">   </w:t>
      </w:r>
      <w:r>
        <w:rPr>
          <w:rFonts w:hint="eastAsia"/>
          <w:color w:val="000000"/>
          <w:szCs w:val="21"/>
        </w:rPr>
        <w:t xml:space="preserve">石油化工可燃气体和有毒气体检测报警设计规范    </w:t>
      </w:r>
      <w:r>
        <w:rPr>
          <w:color w:val="000000"/>
          <w:szCs w:val="21"/>
        </w:rPr>
        <w:t>GB/T50493-2019</w:t>
      </w:r>
    </w:p>
    <w:p w14:paraId="39C52CFA">
      <w:pPr>
        <w:spacing w:line="360" w:lineRule="exact"/>
        <w:ind w:firstLine="420" w:firstLineChars="200"/>
        <w:rPr>
          <w:color w:val="000000"/>
          <w:szCs w:val="21"/>
        </w:rPr>
      </w:pPr>
      <w:r>
        <w:rPr>
          <w:rFonts w:hint="eastAsia"/>
          <w:color w:val="000000"/>
          <w:szCs w:val="21"/>
        </w:rPr>
        <w:t>自动化仪表工程施工及验收规程</w:t>
      </w:r>
      <w:r>
        <w:rPr>
          <w:rFonts w:hint="eastAsia"/>
        </w:rPr>
        <w:t xml:space="preserve">                 </w:t>
      </w:r>
      <w:r>
        <w:rPr>
          <w:color w:val="000000"/>
          <w:szCs w:val="21"/>
        </w:rPr>
        <w:t>GB50093-20</w:t>
      </w:r>
      <w:r>
        <w:rPr>
          <w:rFonts w:hint="eastAsia"/>
          <w:color w:val="000000"/>
          <w:szCs w:val="21"/>
        </w:rPr>
        <w:t>13</w:t>
      </w:r>
    </w:p>
    <w:p w14:paraId="15C88699">
      <w:pPr>
        <w:spacing w:line="360" w:lineRule="exact"/>
        <w:ind w:firstLine="420" w:firstLineChars="200"/>
      </w:pPr>
    </w:p>
    <w:p w14:paraId="1E0CC154">
      <w:pPr>
        <w:widowControl/>
        <w:numPr>
          <w:ilvl w:val="0"/>
          <w:numId w:val="1"/>
        </w:numPr>
        <w:spacing w:line="360" w:lineRule="auto"/>
        <w:ind w:left="309" w:hanging="308" w:hangingChars="147"/>
        <w:jc w:val="left"/>
        <w:rPr>
          <w:rFonts w:ascii="宋体" w:hAnsi="宋体" w:cs="宋体"/>
          <w:b/>
          <w:szCs w:val="21"/>
        </w:rPr>
      </w:pPr>
      <w:r>
        <w:rPr>
          <w:rFonts w:hint="eastAsia"/>
          <w:szCs w:val="21"/>
        </w:rPr>
        <w:t>LEL检测系统</w:t>
      </w:r>
      <w:r>
        <w:rPr>
          <w:rFonts w:hint="eastAsia" w:ascii="宋体" w:hAnsi="宋体" w:cs="宋体"/>
          <w:b/>
          <w:szCs w:val="21"/>
        </w:rPr>
        <w:t>及技术要求</w:t>
      </w:r>
    </w:p>
    <w:p w14:paraId="36CCE388">
      <w:pPr>
        <w:widowControl/>
        <w:spacing w:line="360" w:lineRule="auto"/>
        <w:ind w:left="2"/>
        <w:jc w:val="left"/>
        <w:rPr>
          <w:szCs w:val="21"/>
        </w:rPr>
      </w:pPr>
      <w:r>
        <w:rPr>
          <w:rFonts w:hint="eastAsia"/>
          <w:szCs w:val="21"/>
        </w:rPr>
        <w:t>4.1 LEL检测系统供货及技术要求</w:t>
      </w:r>
    </w:p>
    <w:p w14:paraId="610BCA2A">
      <w:pPr>
        <w:widowControl/>
        <w:numPr>
          <w:ilvl w:val="2"/>
          <w:numId w:val="1"/>
        </w:numPr>
        <w:spacing w:line="360" w:lineRule="auto"/>
        <w:ind w:left="2"/>
        <w:jc w:val="left"/>
        <w:rPr>
          <w:szCs w:val="21"/>
        </w:rPr>
      </w:pPr>
      <w:r>
        <w:rPr>
          <w:szCs w:val="21"/>
        </w:rPr>
        <w:t>规格书中规定的仪表材料按照制造厂</w:t>
      </w:r>
      <w:bookmarkStart w:id="0" w:name="_GoBack"/>
      <w:bookmarkEnd w:id="0"/>
      <w:r>
        <w:rPr>
          <w:szCs w:val="21"/>
        </w:rPr>
        <w:t>标准，必须适合仪表数据表给出的工艺操作条件。</w:t>
      </w:r>
    </w:p>
    <w:p w14:paraId="024F870E">
      <w:pPr>
        <w:widowControl/>
        <w:numPr>
          <w:ilvl w:val="2"/>
          <w:numId w:val="1"/>
        </w:numPr>
        <w:spacing w:line="360" w:lineRule="auto"/>
        <w:ind w:left="2"/>
        <w:jc w:val="left"/>
        <w:rPr>
          <w:szCs w:val="21"/>
        </w:rPr>
      </w:pPr>
      <w:r>
        <w:rPr>
          <w:rFonts w:hint="eastAsia"/>
          <w:szCs w:val="21"/>
        </w:rPr>
        <w:t>LEL检测系统</w:t>
      </w:r>
      <w:r>
        <w:rPr>
          <w:szCs w:val="21"/>
        </w:rPr>
        <w:t>带液晶数字就地指示表头，可显示</w:t>
      </w:r>
      <w:r>
        <w:rPr>
          <w:rFonts w:hint="eastAsia"/>
          <w:szCs w:val="21"/>
        </w:rPr>
        <w:t>检测气体和浓度值</w:t>
      </w:r>
      <w:r>
        <w:rPr>
          <w:szCs w:val="21"/>
        </w:rPr>
        <w:t>。</w:t>
      </w:r>
    </w:p>
    <w:p w14:paraId="0B0339D6">
      <w:pPr>
        <w:widowControl/>
        <w:numPr>
          <w:ilvl w:val="2"/>
          <w:numId w:val="1"/>
        </w:numPr>
        <w:spacing w:line="360" w:lineRule="auto"/>
        <w:ind w:left="2"/>
        <w:jc w:val="left"/>
        <w:rPr>
          <w:szCs w:val="21"/>
        </w:rPr>
      </w:pPr>
      <w:r>
        <w:rPr>
          <w:rFonts w:hint="eastAsia"/>
          <w:szCs w:val="21"/>
        </w:rPr>
        <w:t>LEL检测系统</w:t>
      </w:r>
      <w:r>
        <w:rPr>
          <w:szCs w:val="21"/>
        </w:rPr>
        <w:t>具有自诊断功能并显示故障</w:t>
      </w:r>
      <w:r>
        <w:rPr>
          <w:rFonts w:hint="eastAsia"/>
          <w:szCs w:val="21"/>
        </w:rPr>
        <w:t>，且可以在自带显示器中显示</w:t>
      </w:r>
      <w:r>
        <w:rPr>
          <w:szCs w:val="21"/>
        </w:rPr>
        <w:t>。</w:t>
      </w:r>
    </w:p>
    <w:p w14:paraId="5727A53A">
      <w:pPr>
        <w:widowControl/>
        <w:numPr>
          <w:ilvl w:val="2"/>
          <w:numId w:val="1"/>
        </w:numPr>
        <w:spacing w:line="360" w:lineRule="auto"/>
        <w:ind w:left="2"/>
        <w:jc w:val="left"/>
        <w:rPr>
          <w:szCs w:val="21"/>
        </w:rPr>
      </w:pPr>
      <w:r>
        <w:rPr>
          <w:rFonts w:hint="eastAsia"/>
          <w:szCs w:val="21"/>
        </w:rPr>
        <w:t>LEL检测系统</w:t>
      </w:r>
      <w:r>
        <w:rPr>
          <w:szCs w:val="21"/>
        </w:rPr>
        <w:t>的</w:t>
      </w:r>
      <w:r>
        <w:rPr>
          <w:rFonts w:hint="eastAsia"/>
          <w:szCs w:val="21"/>
        </w:rPr>
        <w:t>液晶显示屏幕-单位</w:t>
      </w:r>
      <w:r>
        <w:rPr>
          <w:szCs w:val="21"/>
        </w:rPr>
        <w:t>应是可调的。</w:t>
      </w:r>
      <w:r>
        <w:rPr>
          <w:rFonts w:hint="eastAsia"/>
          <w:szCs w:val="21"/>
        </w:rPr>
        <w:t>单位</w:t>
      </w:r>
      <w:r>
        <w:rPr>
          <w:szCs w:val="21"/>
        </w:rPr>
        <w:t>可有</w:t>
      </w:r>
      <w:r>
        <w:rPr>
          <w:rFonts w:hint="eastAsia"/>
          <w:szCs w:val="21"/>
        </w:rPr>
        <w:t>（ppm/LEL%/vol）</w:t>
      </w:r>
      <w:r>
        <w:rPr>
          <w:szCs w:val="21"/>
        </w:rPr>
        <w:t>的调节</w:t>
      </w:r>
      <w:r>
        <w:rPr>
          <w:rFonts w:hint="eastAsia"/>
          <w:szCs w:val="21"/>
        </w:rPr>
        <w:t>。同时也可以进行中英文界面选择（标定和设置界面），LEL检测系统</w:t>
      </w:r>
      <w:r>
        <w:rPr>
          <w:szCs w:val="21"/>
        </w:rPr>
        <w:t>应为端子压接式接线。接线端子标以+ -号、试验连接等，端子盒密封符合所在区域防爆级别。</w:t>
      </w:r>
    </w:p>
    <w:p w14:paraId="4D529E02">
      <w:pPr>
        <w:widowControl/>
        <w:numPr>
          <w:ilvl w:val="2"/>
          <w:numId w:val="1"/>
        </w:numPr>
        <w:spacing w:line="360" w:lineRule="auto"/>
        <w:ind w:left="2"/>
        <w:jc w:val="left"/>
        <w:rPr>
          <w:szCs w:val="21"/>
        </w:rPr>
      </w:pPr>
      <w:r>
        <w:rPr>
          <w:rFonts w:hint="eastAsia"/>
          <w:szCs w:val="21"/>
        </w:rPr>
        <w:t>LEL检测系统</w:t>
      </w:r>
      <w:r>
        <w:rPr>
          <w:szCs w:val="21"/>
        </w:rPr>
        <w:t>有304不锈钢铭牌，牌上打印制造厂名称、商标、位号、产品型号、量程等主要内容</w:t>
      </w:r>
      <w:r>
        <w:rPr>
          <w:rFonts w:hint="eastAsia"/>
          <w:szCs w:val="21"/>
        </w:rPr>
        <w:t>。</w:t>
      </w:r>
    </w:p>
    <w:p w14:paraId="608011D4">
      <w:pPr>
        <w:widowControl/>
        <w:numPr>
          <w:ilvl w:val="2"/>
          <w:numId w:val="1"/>
        </w:numPr>
        <w:spacing w:line="360" w:lineRule="auto"/>
        <w:ind w:left="2"/>
        <w:jc w:val="left"/>
        <w:rPr>
          <w:szCs w:val="21"/>
        </w:rPr>
      </w:pPr>
      <w:r>
        <w:rPr>
          <w:rFonts w:hint="eastAsia"/>
          <w:szCs w:val="21"/>
        </w:rPr>
        <w:t>检测原理需是NDIR，且为双光源，四光路以上</w:t>
      </w:r>
      <w:r>
        <w:rPr>
          <w:szCs w:val="21"/>
        </w:rPr>
        <w:t>。</w:t>
      </w:r>
    </w:p>
    <w:p w14:paraId="554F04D5">
      <w:pPr>
        <w:widowControl/>
        <w:numPr>
          <w:ilvl w:val="2"/>
          <w:numId w:val="1"/>
        </w:numPr>
        <w:spacing w:line="360" w:lineRule="auto"/>
        <w:ind w:left="2"/>
        <w:jc w:val="left"/>
        <w:rPr>
          <w:szCs w:val="21"/>
        </w:rPr>
      </w:pPr>
      <w:r>
        <w:rPr>
          <w:rFonts w:hint="eastAsia"/>
          <w:szCs w:val="21"/>
        </w:rPr>
        <w:t>检测量程为0-100%LEL。</w:t>
      </w:r>
    </w:p>
    <w:p w14:paraId="543561C2">
      <w:pPr>
        <w:widowControl/>
        <w:numPr>
          <w:ilvl w:val="2"/>
          <w:numId w:val="1"/>
        </w:numPr>
        <w:spacing w:line="360" w:lineRule="auto"/>
        <w:ind w:left="2"/>
        <w:jc w:val="left"/>
        <w:rPr>
          <w:szCs w:val="21"/>
        </w:rPr>
      </w:pPr>
      <w:r>
        <w:rPr>
          <w:rFonts w:hint="eastAsia"/>
          <w:szCs w:val="21"/>
        </w:rPr>
        <w:t>仪器的T90响应时间为T90＜4s，且整套系统T90＜8s</w:t>
      </w:r>
    </w:p>
    <w:p w14:paraId="05E1E917">
      <w:pPr>
        <w:widowControl/>
        <w:numPr>
          <w:ilvl w:val="2"/>
          <w:numId w:val="1"/>
        </w:numPr>
        <w:spacing w:line="360" w:lineRule="auto"/>
        <w:ind w:left="2"/>
        <w:jc w:val="left"/>
        <w:rPr>
          <w:szCs w:val="21"/>
        </w:rPr>
      </w:pPr>
      <w:r>
        <w:rPr>
          <w:rFonts w:hint="eastAsia"/>
          <w:szCs w:val="21"/>
        </w:rPr>
        <w:t>LEL检测须配备防爆电动泵，24V供电，且需要提供泵体本身防爆证明，泵流量＞2L/min</w:t>
      </w:r>
    </w:p>
    <w:p w14:paraId="7F0A42FD">
      <w:pPr>
        <w:widowControl/>
        <w:numPr>
          <w:ilvl w:val="2"/>
          <w:numId w:val="1"/>
        </w:numPr>
        <w:spacing w:line="360" w:lineRule="auto"/>
        <w:ind w:left="2"/>
        <w:jc w:val="left"/>
        <w:rPr>
          <w:szCs w:val="21"/>
        </w:rPr>
      </w:pPr>
      <w:r>
        <w:rPr>
          <w:rFonts w:hint="eastAsia"/>
          <w:szCs w:val="21"/>
        </w:rPr>
        <w:t>LEL检测系统需要带伴热组件，且至少采用进口HEAT-TRACE及以上</w:t>
      </w:r>
      <w:r>
        <w:rPr>
          <w:szCs w:val="21"/>
        </w:rPr>
        <w:t>。</w:t>
      </w:r>
    </w:p>
    <w:p w14:paraId="23A70D1A">
      <w:pPr>
        <w:widowControl/>
        <w:numPr>
          <w:ilvl w:val="2"/>
          <w:numId w:val="1"/>
        </w:numPr>
        <w:spacing w:line="360" w:lineRule="auto"/>
        <w:ind w:left="2"/>
        <w:jc w:val="left"/>
        <w:rPr>
          <w:szCs w:val="21"/>
        </w:rPr>
      </w:pPr>
      <w:r>
        <w:rPr>
          <w:szCs w:val="21"/>
        </w:rPr>
        <w:t>每台仪表应附带出厂合格证书、出厂校验证书及记录单，安装使用维护说明书、装箱单、材料证明及其它相关技术资料。</w:t>
      </w:r>
    </w:p>
    <w:p w14:paraId="05FE4E92">
      <w:pPr>
        <w:widowControl/>
        <w:numPr>
          <w:ilvl w:val="2"/>
          <w:numId w:val="1"/>
        </w:numPr>
        <w:spacing w:line="360" w:lineRule="auto"/>
        <w:ind w:left="2"/>
        <w:jc w:val="left"/>
        <w:rPr>
          <w:szCs w:val="21"/>
        </w:rPr>
      </w:pPr>
      <w:r>
        <w:rPr>
          <w:szCs w:val="21"/>
        </w:rPr>
        <w:t>提供有效的生产厂商计量器具生产许可证等相关证件。</w:t>
      </w:r>
    </w:p>
    <w:p w14:paraId="67DD42B4">
      <w:pPr>
        <w:widowControl/>
        <w:numPr>
          <w:ilvl w:val="2"/>
          <w:numId w:val="1"/>
        </w:numPr>
        <w:spacing w:line="360" w:lineRule="auto"/>
        <w:ind w:left="2"/>
        <w:jc w:val="left"/>
      </w:pPr>
      <w:r>
        <w:rPr>
          <w:rFonts w:hint="eastAsia"/>
        </w:rPr>
        <w:t>LEL检测系统应为抽取式，一体式安装。系统管路由PTFE及316不锈钢管组成。</w:t>
      </w:r>
    </w:p>
    <w:p w14:paraId="72501B47">
      <w:pPr>
        <w:widowControl/>
        <w:numPr>
          <w:ilvl w:val="2"/>
          <w:numId w:val="1"/>
        </w:numPr>
        <w:spacing w:line="360" w:lineRule="auto"/>
        <w:ind w:left="2"/>
        <w:jc w:val="left"/>
        <w:rPr>
          <w:szCs w:val="21"/>
        </w:rPr>
      </w:pPr>
      <w:r>
        <w:rPr>
          <w:rFonts w:hint="eastAsia"/>
        </w:rPr>
        <w:t>LEL检测系统的温度耐温范围为-20~70℃。</w:t>
      </w:r>
    </w:p>
    <w:p w14:paraId="2C0CD538">
      <w:pPr>
        <w:widowControl/>
        <w:numPr>
          <w:ilvl w:val="2"/>
          <w:numId w:val="1"/>
        </w:numPr>
        <w:spacing w:line="360" w:lineRule="auto"/>
        <w:ind w:left="2"/>
        <w:jc w:val="left"/>
        <w:rPr>
          <w:szCs w:val="21"/>
        </w:rPr>
      </w:pPr>
      <w:r>
        <w:rPr>
          <w:rFonts w:hint="eastAsia"/>
        </w:rPr>
        <w:t>检测器探头材质为316SS不锈钢，变送器材质为铝合金或316SS不锈钢。。</w:t>
      </w:r>
    </w:p>
    <w:p w14:paraId="539AE6A3">
      <w:pPr>
        <w:widowControl/>
        <w:numPr>
          <w:ilvl w:val="2"/>
          <w:numId w:val="1"/>
        </w:numPr>
        <w:spacing w:line="360" w:lineRule="auto"/>
        <w:ind w:left="2"/>
        <w:jc w:val="left"/>
        <w:rPr>
          <w:szCs w:val="21"/>
        </w:rPr>
      </w:pPr>
      <w:r>
        <w:rPr>
          <w:rFonts w:hint="eastAsia"/>
          <w:szCs w:val="21"/>
        </w:rPr>
        <w:t>LEL检测系统</w:t>
      </w:r>
      <w:r>
        <w:rPr>
          <w:rFonts w:hint="eastAsia"/>
        </w:rPr>
        <w:t>防护等级不低于GB/T4208-2017或IEC60529-2013标准规定的IP65/IP66。</w:t>
      </w:r>
    </w:p>
    <w:p w14:paraId="3C242164">
      <w:pPr>
        <w:widowControl/>
        <w:numPr>
          <w:ilvl w:val="2"/>
          <w:numId w:val="1"/>
        </w:numPr>
        <w:spacing w:line="360" w:lineRule="auto"/>
        <w:ind w:left="2"/>
        <w:jc w:val="left"/>
        <w:rPr>
          <w:szCs w:val="21"/>
        </w:rPr>
      </w:pPr>
      <w:r>
        <w:rPr>
          <w:rFonts w:hint="eastAsia"/>
          <w:szCs w:val="21"/>
        </w:rPr>
        <w:t>LEL检测系统</w:t>
      </w:r>
      <w:r>
        <w:rPr>
          <w:rFonts w:hint="eastAsia"/>
        </w:rPr>
        <w:t>电压24V，输出信号为4~20mA叠加HART协议，通信方式符合HART协议6.0及以上版本。伴热系统为220V供电（且防爆)</w:t>
      </w:r>
    </w:p>
    <w:p w14:paraId="32206587">
      <w:pPr>
        <w:widowControl/>
        <w:numPr>
          <w:ilvl w:val="2"/>
          <w:numId w:val="1"/>
        </w:numPr>
        <w:spacing w:line="360" w:lineRule="auto"/>
        <w:ind w:left="2"/>
        <w:jc w:val="left"/>
        <w:rPr>
          <w:szCs w:val="21"/>
        </w:rPr>
      </w:pPr>
      <w:r>
        <w:rPr>
          <w:rFonts w:hint="eastAsia"/>
        </w:rPr>
        <w:t>LEL检测仪表须有SIL2及以上认证及国家3C认证</w:t>
      </w:r>
    </w:p>
    <w:p w14:paraId="623EE41B">
      <w:pPr>
        <w:widowControl/>
        <w:numPr>
          <w:ilvl w:val="255"/>
          <w:numId w:val="0"/>
        </w:numPr>
        <w:spacing w:line="360" w:lineRule="auto"/>
        <w:ind w:left="2"/>
        <w:jc w:val="left"/>
        <w:rPr>
          <w:szCs w:val="21"/>
        </w:rPr>
      </w:pPr>
      <w:r>
        <w:rPr>
          <w:rFonts w:hint="eastAsia"/>
          <w:szCs w:val="21"/>
        </w:rPr>
        <w:t xml:space="preserve"> </w:t>
      </w:r>
    </w:p>
    <w:p w14:paraId="44C285E1">
      <w:pPr>
        <w:widowControl/>
        <w:spacing w:line="360" w:lineRule="auto"/>
        <w:jc w:val="left"/>
        <w:rPr>
          <w:szCs w:val="21"/>
        </w:rPr>
      </w:pPr>
    </w:p>
    <w:p w14:paraId="04070764">
      <w:pPr>
        <w:widowControl/>
        <w:spacing w:line="360" w:lineRule="auto"/>
        <w:ind w:left="2"/>
        <w:jc w:val="left"/>
        <w:rPr>
          <w:b/>
          <w:szCs w:val="21"/>
        </w:rPr>
      </w:pPr>
      <w:r>
        <w:rPr>
          <w:rFonts w:hint="eastAsia"/>
          <w:b/>
          <w:szCs w:val="21"/>
        </w:rPr>
        <w:t>5</w:t>
      </w:r>
      <w:r>
        <w:rPr>
          <w:b/>
          <w:szCs w:val="21"/>
        </w:rPr>
        <w:t>.检验与验收</w:t>
      </w:r>
    </w:p>
    <w:p w14:paraId="1CB32F44">
      <w:pPr>
        <w:widowControl/>
        <w:spacing w:line="360" w:lineRule="auto"/>
        <w:ind w:left="2"/>
        <w:jc w:val="left"/>
        <w:rPr>
          <w:szCs w:val="21"/>
        </w:rPr>
      </w:pPr>
      <w:r>
        <w:rPr>
          <w:rFonts w:hint="eastAsia"/>
          <w:szCs w:val="21"/>
        </w:rPr>
        <w:t>5</w:t>
      </w:r>
      <w:r>
        <w:rPr>
          <w:szCs w:val="21"/>
        </w:rPr>
        <w:t>.1</w:t>
      </w:r>
      <w:r>
        <w:rPr>
          <w:rFonts w:hint="eastAsia"/>
          <w:szCs w:val="21"/>
        </w:rPr>
        <w:t xml:space="preserve"> LEL检测系统</w:t>
      </w:r>
      <w:r>
        <w:rPr>
          <w:szCs w:val="21"/>
        </w:rPr>
        <w:t>发货前要按照有关最新国际标准进行</w:t>
      </w:r>
      <w:r>
        <w:rPr>
          <w:rFonts w:hint="eastAsia"/>
          <w:szCs w:val="21"/>
        </w:rPr>
        <w:t>检测</w:t>
      </w:r>
      <w:r>
        <w:rPr>
          <w:szCs w:val="21"/>
        </w:rPr>
        <w:t>，生产厂签字盖章的检验报告要求附在随机资料中随设备发运。</w:t>
      </w:r>
    </w:p>
    <w:p w14:paraId="2129166D">
      <w:pPr>
        <w:spacing w:line="360" w:lineRule="auto"/>
        <w:rPr>
          <w:szCs w:val="21"/>
        </w:rPr>
      </w:pPr>
      <w:r>
        <w:rPr>
          <w:rFonts w:hint="eastAsia"/>
          <w:szCs w:val="21"/>
        </w:rPr>
        <w:t>5</w:t>
      </w:r>
      <w:r>
        <w:rPr>
          <w:szCs w:val="21"/>
        </w:rPr>
        <w:t>.2</w:t>
      </w:r>
      <w:r>
        <w:rPr>
          <w:rFonts w:hint="eastAsia"/>
          <w:szCs w:val="21"/>
        </w:rPr>
        <w:t xml:space="preserve"> </w:t>
      </w:r>
      <w:r>
        <w:rPr>
          <w:rFonts w:hint="eastAsia"/>
          <w:szCs w:val="21"/>
          <w:lang w:eastAsia="zh-CN"/>
        </w:rPr>
        <w:t>报价</w:t>
      </w:r>
      <w:r>
        <w:rPr>
          <w:szCs w:val="21"/>
        </w:rPr>
        <w:t>方负责将所供设备运送到</w:t>
      </w:r>
      <w:r>
        <w:rPr>
          <w:rFonts w:hint="eastAsia"/>
          <w:szCs w:val="21"/>
          <w:lang w:eastAsia="zh-CN"/>
        </w:rPr>
        <w:t>采购</w:t>
      </w:r>
      <w:r>
        <w:rPr>
          <w:szCs w:val="21"/>
        </w:rPr>
        <w:t>方指定地点。</w:t>
      </w:r>
    </w:p>
    <w:p w14:paraId="404E1B74">
      <w:pPr>
        <w:widowControl/>
        <w:spacing w:line="360" w:lineRule="auto"/>
        <w:ind w:left="2"/>
        <w:jc w:val="left"/>
        <w:rPr>
          <w:szCs w:val="21"/>
        </w:rPr>
      </w:pPr>
      <w:r>
        <w:rPr>
          <w:rFonts w:hint="eastAsia"/>
          <w:szCs w:val="21"/>
        </w:rPr>
        <w:t>5</w:t>
      </w:r>
      <w:r>
        <w:rPr>
          <w:szCs w:val="21"/>
        </w:rPr>
        <w:t>.</w:t>
      </w:r>
      <w:r>
        <w:rPr>
          <w:rFonts w:hint="eastAsia"/>
          <w:szCs w:val="21"/>
        </w:rPr>
        <w:t xml:space="preserve">3 </w:t>
      </w:r>
      <w:r>
        <w:rPr>
          <w:szCs w:val="21"/>
        </w:rPr>
        <w:t>货到现场后，</w:t>
      </w:r>
      <w:r>
        <w:rPr>
          <w:rFonts w:hint="eastAsia"/>
          <w:szCs w:val="21"/>
          <w:lang w:eastAsia="zh-CN"/>
        </w:rPr>
        <w:t>采购</w:t>
      </w:r>
      <w:r>
        <w:rPr>
          <w:szCs w:val="21"/>
        </w:rPr>
        <w:t>方应在开箱验收前三天和</w:t>
      </w:r>
      <w:r>
        <w:rPr>
          <w:rFonts w:hint="eastAsia"/>
          <w:szCs w:val="21"/>
          <w:lang w:eastAsia="zh-CN"/>
        </w:rPr>
        <w:t>报价</w:t>
      </w:r>
      <w:r>
        <w:rPr>
          <w:szCs w:val="21"/>
        </w:rPr>
        <w:t>方联系以便</w:t>
      </w:r>
      <w:r>
        <w:rPr>
          <w:rFonts w:hint="eastAsia"/>
          <w:szCs w:val="21"/>
          <w:lang w:eastAsia="zh-CN"/>
        </w:rPr>
        <w:t>报价</w:t>
      </w:r>
      <w:r>
        <w:rPr>
          <w:szCs w:val="21"/>
        </w:rPr>
        <w:t>方按时派验货人员到现场进行开箱验收。</w:t>
      </w:r>
      <w:r>
        <w:rPr>
          <w:rFonts w:hint="eastAsia"/>
          <w:szCs w:val="21"/>
          <w:lang w:eastAsia="zh-CN"/>
        </w:rPr>
        <w:t>报价</w:t>
      </w:r>
      <w:r>
        <w:rPr>
          <w:szCs w:val="21"/>
        </w:rPr>
        <w:t>方应及时将验货人员到达时间通知</w:t>
      </w:r>
      <w:r>
        <w:rPr>
          <w:rFonts w:hint="eastAsia"/>
          <w:szCs w:val="21"/>
          <w:lang w:eastAsia="zh-CN"/>
        </w:rPr>
        <w:t>采购</w:t>
      </w:r>
      <w:r>
        <w:rPr>
          <w:szCs w:val="21"/>
        </w:rPr>
        <w:t>方，如三天内</w:t>
      </w:r>
      <w:r>
        <w:rPr>
          <w:rFonts w:hint="eastAsia"/>
          <w:szCs w:val="21"/>
          <w:lang w:eastAsia="zh-CN"/>
        </w:rPr>
        <w:t>报价</w:t>
      </w:r>
      <w:r>
        <w:rPr>
          <w:szCs w:val="21"/>
        </w:rPr>
        <w:t>方人员不答复，或三天内不到</w:t>
      </w:r>
      <w:r>
        <w:rPr>
          <w:rFonts w:hint="eastAsia"/>
          <w:szCs w:val="21"/>
          <w:lang w:eastAsia="zh-CN"/>
        </w:rPr>
        <w:t>采购</w:t>
      </w:r>
      <w:r>
        <w:rPr>
          <w:szCs w:val="21"/>
        </w:rPr>
        <w:t>方现场，</w:t>
      </w:r>
      <w:r>
        <w:rPr>
          <w:rFonts w:hint="eastAsia"/>
          <w:szCs w:val="21"/>
          <w:lang w:eastAsia="zh-CN"/>
        </w:rPr>
        <w:t>采购</w:t>
      </w:r>
      <w:r>
        <w:rPr>
          <w:szCs w:val="21"/>
        </w:rPr>
        <w:t>方可自行验货，出现问题由</w:t>
      </w:r>
      <w:r>
        <w:rPr>
          <w:rFonts w:hint="eastAsia"/>
          <w:szCs w:val="21"/>
          <w:lang w:eastAsia="zh-CN"/>
        </w:rPr>
        <w:t>报价</w:t>
      </w:r>
      <w:r>
        <w:rPr>
          <w:szCs w:val="21"/>
        </w:rPr>
        <w:t>方负责。</w:t>
      </w:r>
      <w:r>
        <w:rPr>
          <w:rFonts w:hint="eastAsia"/>
          <w:szCs w:val="21"/>
          <w:lang w:eastAsia="zh-CN"/>
        </w:rPr>
        <w:t>报价</w:t>
      </w:r>
      <w:r>
        <w:rPr>
          <w:szCs w:val="21"/>
        </w:rPr>
        <w:t>方应免费进行现场服务。</w:t>
      </w:r>
    </w:p>
    <w:p w14:paraId="0F801267">
      <w:pPr>
        <w:widowControl/>
        <w:spacing w:line="360" w:lineRule="auto"/>
        <w:jc w:val="left"/>
        <w:rPr>
          <w:szCs w:val="21"/>
        </w:rPr>
      </w:pPr>
      <w:r>
        <w:rPr>
          <w:rFonts w:hint="eastAsia"/>
          <w:szCs w:val="21"/>
        </w:rPr>
        <w:t>5</w:t>
      </w:r>
      <w:r>
        <w:rPr>
          <w:szCs w:val="21"/>
        </w:rPr>
        <w:t>.4</w:t>
      </w:r>
      <w:r>
        <w:rPr>
          <w:kern w:val="1"/>
          <w:szCs w:val="21"/>
        </w:rPr>
        <w:t>性能考核</w:t>
      </w:r>
      <w:r>
        <w:rPr>
          <w:szCs w:val="21"/>
        </w:rPr>
        <w:t>：单体试车后</w:t>
      </w:r>
      <w:r>
        <w:rPr>
          <w:rFonts w:hint="eastAsia"/>
          <w:szCs w:val="21"/>
        </w:rPr>
        <w:t>1年</w:t>
      </w:r>
      <w:r>
        <w:rPr>
          <w:szCs w:val="21"/>
        </w:rPr>
        <w:t>内</w:t>
      </w:r>
      <w:r>
        <w:rPr>
          <w:rFonts w:hint="eastAsia"/>
          <w:szCs w:val="21"/>
        </w:rPr>
        <w:t>LEL检测系统</w:t>
      </w:r>
      <w:r>
        <w:rPr>
          <w:szCs w:val="21"/>
        </w:rPr>
        <w:t>不发生质量故障，视为最终验收合格。</w:t>
      </w:r>
    </w:p>
    <w:p w14:paraId="3F4EA40D">
      <w:pPr>
        <w:widowControl/>
        <w:spacing w:line="360" w:lineRule="auto"/>
        <w:ind w:left="310" w:hanging="310" w:hangingChars="147"/>
        <w:jc w:val="left"/>
        <w:rPr>
          <w:b/>
          <w:szCs w:val="21"/>
        </w:rPr>
      </w:pPr>
      <w:r>
        <w:rPr>
          <w:rFonts w:hint="eastAsia"/>
          <w:b/>
          <w:szCs w:val="21"/>
        </w:rPr>
        <w:t>6</w:t>
      </w:r>
      <w:r>
        <w:rPr>
          <w:b/>
          <w:szCs w:val="21"/>
        </w:rPr>
        <w:t>.质量保证</w:t>
      </w:r>
    </w:p>
    <w:p w14:paraId="46F86E20">
      <w:pPr>
        <w:widowControl/>
        <w:spacing w:line="360" w:lineRule="auto"/>
        <w:jc w:val="left"/>
        <w:rPr>
          <w:szCs w:val="21"/>
        </w:rPr>
      </w:pPr>
      <w:r>
        <w:rPr>
          <w:rFonts w:hint="eastAsia"/>
          <w:szCs w:val="21"/>
        </w:rPr>
        <w:t>6</w:t>
      </w:r>
      <w:r>
        <w:rPr>
          <w:szCs w:val="21"/>
        </w:rPr>
        <w:t>.1质量保证期为投运验收合格后12个月。质保期内出现产品质量事故，质保期应从</w:t>
      </w:r>
      <w:r>
        <w:rPr>
          <w:rFonts w:hint="eastAsia"/>
          <w:szCs w:val="21"/>
          <w:lang w:eastAsia="zh-CN"/>
        </w:rPr>
        <w:t>报价</w:t>
      </w:r>
      <w:r>
        <w:rPr>
          <w:szCs w:val="21"/>
        </w:rPr>
        <w:t>方</w:t>
      </w:r>
      <w:r>
        <w:rPr>
          <w:rFonts w:hint="eastAsia"/>
          <w:szCs w:val="21"/>
        </w:rPr>
        <w:t>维修</w:t>
      </w:r>
      <w:r>
        <w:rPr>
          <w:szCs w:val="21"/>
        </w:rPr>
        <w:t>或</w:t>
      </w:r>
      <w:r>
        <w:rPr>
          <w:rFonts w:hint="eastAsia"/>
          <w:szCs w:val="21"/>
        </w:rPr>
        <w:t>更换</w:t>
      </w:r>
      <w:r>
        <w:rPr>
          <w:szCs w:val="21"/>
        </w:rPr>
        <w:t>后重新计算12个月。</w:t>
      </w:r>
      <w:r>
        <w:rPr>
          <w:rFonts w:hint="eastAsia"/>
          <w:szCs w:val="21"/>
          <w:lang w:eastAsia="zh-CN"/>
        </w:rPr>
        <w:t>采购</w:t>
      </w:r>
      <w:r>
        <w:rPr>
          <w:szCs w:val="21"/>
        </w:rPr>
        <w:t>方责任出现</w:t>
      </w:r>
      <w:r>
        <w:rPr>
          <w:rFonts w:hint="eastAsia"/>
          <w:szCs w:val="21"/>
        </w:rPr>
        <w:t>LEL检测系统</w:t>
      </w:r>
      <w:r>
        <w:rPr>
          <w:szCs w:val="21"/>
        </w:rPr>
        <w:t>故障不在此范围内。</w:t>
      </w:r>
    </w:p>
    <w:p w14:paraId="43A58E94">
      <w:pPr>
        <w:widowControl/>
        <w:spacing w:line="360" w:lineRule="auto"/>
        <w:jc w:val="left"/>
        <w:rPr>
          <w:szCs w:val="21"/>
        </w:rPr>
      </w:pPr>
      <w:r>
        <w:rPr>
          <w:rFonts w:hint="eastAsia"/>
          <w:szCs w:val="21"/>
        </w:rPr>
        <w:t>6</w:t>
      </w:r>
      <w:r>
        <w:rPr>
          <w:szCs w:val="21"/>
        </w:rPr>
        <w:t xml:space="preserve">.2 </w:t>
      </w:r>
      <w:r>
        <w:rPr>
          <w:rFonts w:hint="eastAsia"/>
          <w:szCs w:val="21"/>
          <w:lang w:eastAsia="zh-CN"/>
        </w:rPr>
        <w:t>报价</w:t>
      </w:r>
      <w:r>
        <w:rPr>
          <w:szCs w:val="21"/>
        </w:rPr>
        <w:t>方所有产品都无材料或加工缺陷，完全能够满足</w:t>
      </w:r>
      <w:r>
        <w:rPr>
          <w:rFonts w:hint="eastAsia"/>
          <w:szCs w:val="21"/>
          <w:lang w:eastAsia="zh-CN"/>
        </w:rPr>
        <w:t>采购</w:t>
      </w:r>
      <w:r>
        <w:rPr>
          <w:szCs w:val="21"/>
        </w:rPr>
        <w:t>方工况的要求。如果因</w:t>
      </w:r>
      <w:r>
        <w:rPr>
          <w:rFonts w:hint="eastAsia"/>
          <w:szCs w:val="21"/>
        </w:rPr>
        <w:t>LEL检测系统</w:t>
      </w:r>
      <w:r>
        <w:rPr>
          <w:szCs w:val="21"/>
        </w:rPr>
        <w:t>部件先天缺陷导致失效，</w:t>
      </w:r>
      <w:r>
        <w:rPr>
          <w:rFonts w:hint="eastAsia"/>
          <w:szCs w:val="21"/>
          <w:lang w:eastAsia="zh-CN"/>
        </w:rPr>
        <w:t>报价</w:t>
      </w:r>
      <w:r>
        <w:rPr>
          <w:szCs w:val="21"/>
        </w:rPr>
        <w:t>方应无偿更换同型号、同品质的</w:t>
      </w:r>
      <w:r>
        <w:rPr>
          <w:rFonts w:hint="eastAsia"/>
          <w:szCs w:val="21"/>
        </w:rPr>
        <w:t>LEL检测系统部件或LEL检测系统本体</w:t>
      </w:r>
      <w:r>
        <w:rPr>
          <w:szCs w:val="21"/>
        </w:rPr>
        <w:t>。</w:t>
      </w:r>
    </w:p>
    <w:p w14:paraId="48A413F7">
      <w:pPr>
        <w:widowControl/>
        <w:spacing w:line="360" w:lineRule="auto"/>
        <w:ind w:left="310" w:hanging="310" w:hangingChars="147"/>
        <w:jc w:val="left"/>
        <w:rPr>
          <w:b/>
          <w:szCs w:val="21"/>
        </w:rPr>
      </w:pPr>
    </w:p>
    <w:p w14:paraId="701C531C">
      <w:pPr>
        <w:widowControl/>
        <w:spacing w:line="360" w:lineRule="auto"/>
        <w:ind w:left="310" w:hanging="310" w:hangingChars="147"/>
        <w:jc w:val="left"/>
        <w:rPr>
          <w:b/>
          <w:szCs w:val="21"/>
        </w:rPr>
      </w:pPr>
      <w:r>
        <w:rPr>
          <w:rFonts w:hint="eastAsia"/>
          <w:b/>
          <w:szCs w:val="21"/>
        </w:rPr>
        <w:t>7</w:t>
      </w:r>
      <w:r>
        <w:rPr>
          <w:b/>
          <w:szCs w:val="21"/>
        </w:rPr>
        <w:t>.售后服务</w:t>
      </w:r>
    </w:p>
    <w:p w14:paraId="09AD5A0D">
      <w:pPr>
        <w:widowControl/>
        <w:spacing w:line="360" w:lineRule="auto"/>
        <w:jc w:val="left"/>
        <w:rPr>
          <w:szCs w:val="21"/>
        </w:rPr>
      </w:pPr>
      <w:r>
        <w:rPr>
          <w:rFonts w:hint="eastAsia"/>
          <w:szCs w:val="21"/>
        </w:rPr>
        <w:t>7</w:t>
      </w:r>
      <w:r>
        <w:rPr>
          <w:szCs w:val="21"/>
        </w:rPr>
        <w:t>.1为使</w:t>
      </w:r>
      <w:r>
        <w:rPr>
          <w:rFonts w:hint="eastAsia"/>
          <w:szCs w:val="21"/>
          <w:lang w:eastAsia="zh-CN"/>
        </w:rPr>
        <w:t>采购</w:t>
      </w:r>
      <w:r>
        <w:rPr>
          <w:szCs w:val="21"/>
        </w:rPr>
        <w:t>方人员能正常地进行操作和维修，</w:t>
      </w:r>
      <w:r>
        <w:rPr>
          <w:rFonts w:hint="eastAsia"/>
          <w:szCs w:val="21"/>
          <w:lang w:eastAsia="zh-CN"/>
        </w:rPr>
        <w:t>报价</w:t>
      </w:r>
      <w:r>
        <w:rPr>
          <w:szCs w:val="21"/>
        </w:rPr>
        <w:t>方应免费在调试前对</w:t>
      </w:r>
      <w:r>
        <w:rPr>
          <w:rFonts w:hint="eastAsia"/>
          <w:szCs w:val="21"/>
          <w:lang w:eastAsia="zh-CN"/>
        </w:rPr>
        <w:t>采购</w:t>
      </w:r>
      <w:r>
        <w:rPr>
          <w:szCs w:val="21"/>
        </w:rPr>
        <w:t>方人员进行技术培训，在调试期间对</w:t>
      </w:r>
      <w:r>
        <w:rPr>
          <w:rFonts w:hint="eastAsia"/>
          <w:szCs w:val="21"/>
          <w:lang w:eastAsia="zh-CN"/>
        </w:rPr>
        <w:t>采购</w:t>
      </w:r>
      <w:r>
        <w:rPr>
          <w:szCs w:val="21"/>
        </w:rPr>
        <w:t>方人员进行操作和维修培训。</w:t>
      </w:r>
    </w:p>
    <w:p w14:paraId="5A646862">
      <w:pPr>
        <w:widowControl/>
        <w:spacing w:line="360" w:lineRule="auto"/>
        <w:jc w:val="left"/>
        <w:rPr>
          <w:szCs w:val="21"/>
        </w:rPr>
      </w:pPr>
      <w:r>
        <w:rPr>
          <w:rFonts w:hint="eastAsia"/>
          <w:szCs w:val="21"/>
        </w:rPr>
        <w:t>7</w:t>
      </w:r>
      <w:r>
        <w:rPr>
          <w:szCs w:val="21"/>
        </w:rPr>
        <w:t>.2</w:t>
      </w:r>
      <w:r>
        <w:rPr>
          <w:rFonts w:hint="eastAsia"/>
          <w:szCs w:val="21"/>
          <w:lang w:eastAsia="zh-CN"/>
        </w:rPr>
        <w:t>报价</w:t>
      </w:r>
      <w:r>
        <w:rPr>
          <w:szCs w:val="21"/>
        </w:rPr>
        <w:t>方免费提供指导现场安装及调试的服务，时间根据工程需要确定。</w:t>
      </w:r>
    </w:p>
    <w:p w14:paraId="59055243">
      <w:pPr>
        <w:widowControl/>
        <w:spacing w:line="360" w:lineRule="auto"/>
        <w:jc w:val="left"/>
        <w:rPr>
          <w:szCs w:val="21"/>
        </w:rPr>
      </w:pPr>
      <w:r>
        <w:rPr>
          <w:rFonts w:hint="eastAsia"/>
          <w:szCs w:val="21"/>
        </w:rPr>
        <w:t>7</w:t>
      </w:r>
      <w:r>
        <w:rPr>
          <w:szCs w:val="21"/>
        </w:rPr>
        <w:t>.3如质保期内</w:t>
      </w:r>
      <w:r>
        <w:rPr>
          <w:rFonts w:hint="eastAsia"/>
          <w:szCs w:val="21"/>
        </w:rPr>
        <w:t>LEL检测系统</w:t>
      </w:r>
      <w:r>
        <w:rPr>
          <w:szCs w:val="21"/>
        </w:rPr>
        <w:t>质量存在问题，</w:t>
      </w:r>
      <w:r>
        <w:rPr>
          <w:rFonts w:hint="eastAsia"/>
          <w:szCs w:val="21"/>
          <w:lang w:eastAsia="zh-CN"/>
        </w:rPr>
        <w:t>报价</w:t>
      </w:r>
      <w:r>
        <w:rPr>
          <w:szCs w:val="21"/>
        </w:rPr>
        <w:t>方在接到</w:t>
      </w:r>
      <w:r>
        <w:rPr>
          <w:rFonts w:hint="eastAsia"/>
          <w:szCs w:val="21"/>
          <w:lang w:eastAsia="zh-CN"/>
        </w:rPr>
        <w:t>采购</w:t>
      </w:r>
      <w:r>
        <w:rPr>
          <w:szCs w:val="21"/>
        </w:rPr>
        <w:t>方通知</w:t>
      </w:r>
      <w:r>
        <w:rPr>
          <w:rFonts w:hint="eastAsia"/>
          <w:szCs w:val="21"/>
        </w:rPr>
        <w:t>48</w:t>
      </w:r>
      <w:r>
        <w:rPr>
          <w:szCs w:val="21"/>
        </w:rPr>
        <w:t>小时内</w:t>
      </w:r>
      <w:r>
        <w:rPr>
          <w:rFonts w:hint="eastAsia"/>
          <w:szCs w:val="21"/>
        </w:rPr>
        <w:t>进行响应，并解决问题</w:t>
      </w:r>
      <w:r>
        <w:rPr>
          <w:szCs w:val="21"/>
        </w:rPr>
        <w:t>。</w:t>
      </w:r>
    </w:p>
    <w:p w14:paraId="3C31CC4D">
      <w:pPr>
        <w:widowControl/>
        <w:spacing w:line="360" w:lineRule="auto"/>
        <w:jc w:val="left"/>
        <w:rPr>
          <w:b/>
          <w:szCs w:val="21"/>
        </w:rPr>
      </w:pPr>
      <w:r>
        <w:rPr>
          <w:rFonts w:hint="eastAsia"/>
          <w:b/>
          <w:szCs w:val="21"/>
        </w:rPr>
        <w:t>8</w:t>
      </w:r>
      <w:r>
        <w:rPr>
          <w:b/>
          <w:szCs w:val="21"/>
        </w:rPr>
        <w:t>.资料交付</w:t>
      </w:r>
    </w:p>
    <w:p w14:paraId="5D777864">
      <w:pPr>
        <w:widowControl/>
        <w:spacing w:line="360" w:lineRule="auto"/>
        <w:ind w:left="2"/>
        <w:jc w:val="left"/>
        <w:rPr>
          <w:szCs w:val="21"/>
        </w:rPr>
      </w:pPr>
      <w:r>
        <w:rPr>
          <w:rFonts w:hint="eastAsia"/>
          <w:szCs w:val="21"/>
        </w:rPr>
        <w:t>8</w:t>
      </w:r>
      <w:r>
        <w:rPr>
          <w:szCs w:val="21"/>
        </w:rPr>
        <w:t xml:space="preserve">.1 </w:t>
      </w:r>
      <w:r>
        <w:rPr>
          <w:rFonts w:hint="eastAsia"/>
          <w:szCs w:val="21"/>
          <w:lang w:eastAsia="zh-CN"/>
        </w:rPr>
        <w:t>报价</w:t>
      </w:r>
      <w:r>
        <w:rPr>
          <w:szCs w:val="21"/>
        </w:rPr>
        <w:t>方必须提供</w:t>
      </w:r>
      <w:r>
        <w:rPr>
          <w:rFonts w:hint="eastAsia"/>
          <w:szCs w:val="21"/>
        </w:rPr>
        <w:t>LEL检测系统</w:t>
      </w:r>
      <w:r>
        <w:rPr>
          <w:szCs w:val="21"/>
        </w:rPr>
        <w:t>的出厂检验报告、材料证明单、计算书、规格表、外协部件合格证等必要的质量控制和保证文件。</w:t>
      </w:r>
    </w:p>
    <w:p w14:paraId="4B528D0A">
      <w:pPr>
        <w:widowControl/>
        <w:spacing w:line="360" w:lineRule="auto"/>
        <w:jc w:val="left"/>
        <w:rPr>
          <w:szCs w:val="21"/>
        </w:rPr>
      </w:pPr>
      <w:r>
        <w:rPr>
          <w:rFonts w:hint="eastAsia"/>
          <w:szCs w:val="21"/>
        </w:rPr>
        <w:t>8</w:t>
      </w:r>
      <w:r>
        <w:rPr>
          <w:szCs w:val="21"/>
        </w:rPr>
        <w:t xml:space="preserve">.2配套资料 </w:t>
      </w:r>
    </w:p>
    <w:p w14:paraId="38F98403">
      <w:pPr>
        <w:widowControl/>
        <w:spacing w:line="360" w:lineRule="auto"/>
        <w:jc w:val="left"/>
        <w:rPr>
          <w:szCs w:val="21"/>
        </w:rPr>
      </w:pPr>
      <w:r>
        <w:rPr>
          <w:rFonts w:hint="eastAsia"/>
          <w:szCs w:val="21"/>
        </w:rPr>
        <w:t>8</w:t>
      </w:r>
      <w:r>
        <w:rPr>
          <w:szCs w:val="21"/>
        </w:rPr>
        <w:t>.2.1合格证书、出厂</w:t>
      </w:r>
      <w:r>
        <w:rPr>
          <w:rFonts w:hint="eastAsia"/>
          <w:szCs w:val="21"/>
        </w:rPr>
        <w:t>检验</w:t>
      </w:r>
      <w:r>
        <w:rPr>
          <w:szCs w:val="21"/>
        </w:rPr>
        <w:t xml:space="preserve">证书、记录单及安装、操作、维修说明书 </w:t>
      </w:r>
    </w:p>
    <w:p w14:paraId="574A3696">
      <w:pPr>
        <w:widowControl/>
        <w:spacing w:line="360" w:lineRule="auto"/>
        <w:jc w:val="left"/>
        <w:rPr>
          <w:szCs w:val="21"/>
        </w:rPr>
      </w:pPr>
      <w:r>
        <w:rPr>
          <w:rFonts w:hint="eastAsia"/>
          <w:szCs w:val="21"/>
        </w:rPr>
        <w:t>8</w:t>
      </w:r>
      <w:r>
        <w:rPr>
          <w:szCs w:val="21"/>
        </w:rPr>
        <w:t>.2.2对于防爆产品，供货厂商必须提供防爆认证证书复印件。</w:t>
      </w:r>
    </w:p>
    <w:p w14:paraId="551D0DFB">
      <w:pPr>
        <w:spacing w:line="360" w:lineRule="exact"/>
        <w:rPr>
          <w:b/>
          <w:szCs w:val="21"/>
        </w:rPr>
      </w:pPr>
      <w:r>
        <w:rPr>
          <w:rFonts w:hint="eastAsia"/>
          <w:b/>
          <w:szCs w:val="21"/>
        </w:rPr>
        <w:t>9</w:t>
      </w:r>
      <w:r>
        <w:rPr>
          <w:b/>
          <w:szCs w:val="21"/>
        </w:rPr>
        <w:t>.备件清单：</w:t>
      </w:r>
    </w:p>
    <w:p w14:paraId="56AE28D4">
      <w:pPr>
        <w:spacing w:line="360" w:lineRule="exact"/>
        <w:ind w:left="199" w:leftChars="95"/>
        <w:rPr>
          <w:rFonts w:hint="eastAsia" w:hAnsi="宋体"/>
          <w:szCs w:val="21"/>
        </w:rPr>
      </w:pPr>
      <w:r>
        <w:rPr>
          <w:rFonts w:hint="eastAsia" w:hAnsi="宋体"/>
          <w:szCs w:val="21"/>
          <w:lang w:eastAsia="zh-CN"/>
        </w:rPr>
        <w:t>报价</w:t>
      </w:r>
      <w:r>
        <w:rPr>
          <w:rFonts w:hint="eastAsia" w:hAnsi="宋体"/>
          <w:szCs w:val="21"/>
        </w:rPr>
        <w:t>人推荐并提供所需开车备件及调试工具。</w:t>
      </w:r>
      <w:r>
        <w:rPr>
          <w:rFonts w:hint="eastAsia" w:hAnsi="宋体"/>
          <w:szCs w:val="21"/>
          <w:lang w:eastAsia="zh-CN"/>
        </w:rPr>
        <w:t>报价</w:t>
      </w:r>
      <w:r>
        <w:rPr>
          <w:rFonts w:hint="eastAsia" w:hAnsi="宋体"/>
          <w:szCs w:val="21"/>
        </w:rPr>
        <w:t>人提供的仪表应成套供货，包括开车备件，并提供相关现场服务等，包括在</w:t>
      </w:r>
      <w:r>
        <w:rPr>
          <w:rFonts w:hint="eastAsia" w:hAnsi="宋体"/>
          <w:szCs w:val="21"/>
          <w:lang w:eastAsia="zh-CN"/>
        </w:rPr>
        <w:t>报价</w:t>
      </w:r>
      <w:r>
        <w:rPr>
          <w:rFonts w:hint="eastAsia" w:hAnsi="宋体"/>
          <w:szCs w:val="21"/>
        </w:rPr>
        <w:t>总价中。</w:t>
      </w:r>
    </w:p>
    <w:p w14:paraId="72613444">
      <w:pPr>
        <w:spacing w:line="360" w:lineRule="exact"/>
        <w:ind w:left="199" w:leftChars="95"/>
        <w:rPr>
          <w:rFonts w:hint="eastAsia" w:hAnsi="宋体"/>
          <w:szCs w:val="21"/>
        </w:rPr>
      </w:pPr>
      <w:r>
        <w:rPr>
          <w:rFonts w:hint="eastAsia" w:hAnsi="宋体"/>
          <w:szCs w:val="21"/>
        </w:rPr>
        <w:t>凡属仪表运行、调试、集成、维护所必需的硬件、软件和工程技术服务以及专用工具，即使本技术要求并没有要求，</w:t>
      </w:r>
      <w:r>
        <w:rPr>
          <w:rFonts w:hint="eastAsia" w:hAnsi="宋体"/>
          <w:szCs w:val="21"/>
          <w:lang w:eastAsia="zh-CN"/>
        </w:rPr>
        <w:t>报价</w:t>
      </w:r>
      <w:r>
        <w:rPr>
          <w:rFonts w:hint="eastAsia" w:hAnsi="宋体"/>
          <w:szCs w:val="21"/>
        </w:rPr>
        <w:t>人的</w:t>
      </w:r>
      <w:r>
        <w:rPr>
          <w:rFonts w:hint="eastAsia" w:hAnsi="宋体"/>
          <w:szCs w:val="21"/>
          <w:lang w:eastAsia="zh-CN"/>
        </w:rPr>
        <w:t>报价</w:t>
      </w:r>
      <w:r>
        <w:rPr>
          <w:rFonts w:hint="eastAsia" w:hAnsi="宋体"/>
          <w:szCs w:val="21"/>
        </w:rPr>
        <w:t>文件中也应提供说明，供</w:t>
      </w:r>
      <w:r>
        <w:rPr>
          <w:rFonts w:hint="eastAsia" w:hAnsi="宋体"/>
          <w:szCs w:val="21"/>
          <w:lang w:eastAsia="zh-CN"/>
        </w:rPr>
        <w:t>采购</w:t>
      </w:r>
      <w:r>
        <w:rPr>
          <w:rFonts w:hint="eastAsia" w:hAnsi="宋体"/>
          <w:szCs w:val="21"/>
        </w:rPr>
        <w:t>人确认。</w:t>
      </w:r>
    </w:p>
    <w:p w14:paraId="40E69BD4">
      <w:pPr>
        <w:spacing w:line="360" w:lineRule="exact"/>
        <w:ind w:firstLine="210" w:firstLineChars="100"/>
        <w:rPr>
          <w:szCs w:val="21"/>
          <w:shd w:val="clear" w:color="auto" w:fill="FFFFFF"/>
        </w:rPr>
      </w:pPr>
      <w:r>
        <w:rPr>
          <w:rFonts w:hint="eastAsia"/>
          <w:szCs w:val="21"/>
        </w:rPr>
        <w:t>另列出主要备件价格清单，不包含在</w:t>
      </w:r>
      <w:r>
        <w:rPr>
          <w:rFonts w:hint="eastAsia"/>
          <w:szCs w:val="21"/>
          <w:lang w:eastAsia="zh-CN"/>
        </w:rPr>
        <w:t>报价</w:t>
      </w:r>
      <w:r>
        <w:rPr>
          <w:rFonts w:hint="eastAsia"/>
          <w:szCs w:val="21"/>
        </w:rPr>
        <w:t>总价中，承诺2年内不涨价。</w:t>
      </w:r>
    </w:p>
    <w:p w14:paraId="69F4FA11">
      <w:pPr>
        <w:widowControl/>
        <w:spacing w:line="360" w:lineRule="auto"/>
        <w:jc w:val="left"/>
        <w:rPr>
          <w:szCs w:val="21"/>
        </w:rPr>
      </w:pPr>
    </w:p>
    <w:p w14:paraId="762A4726">
      <w:pPr>
        <w:widowControl/>
        <w:spacing w:line="360" w:lineRule="auto"/>
        <w:ind w:left="310" w:hanging="310" w:hangingChars="147"/>
        <w:jc w:val="left"/>
        <w:rPr>
          <w:b/>
          <w:szCs w:val="21"/>
        </w:rPr>
      </w:pPr>
      <w:r>
        <w:rPr>
          <w:rFonts w:hint="eastAsia"/>
          <w:b/>
          <w:szCs w:val="21"/>
        </w:rPr>
        <w:t>10</w:t>
      </w:r>
      <w:r>
        <w:rPr>
          <w:b/>
          <w:szCs w:val="21"/>
        </w:rPr>
        <w:t>.附件</w:t>
      </w:r>
    </w:p>
    <w:p w14:paraId="4EF86900">
      <w:pPr>
        <w:widowControl/>
        <w:spacing w:line="360" w:lineRule="auto"/>
        <w:ind w:left="353" w:leftChars="168"/>
        <w:jc w:val="left"/>
        <w:rPr>
          <w:szCs w:val="21"/>
        </w:rPr>
      </w:pPr>
      <w:r>
        <w:rPr>
          <w:szCs w:val="21"/>
        </w:rPr>
        <w:t>数据表（见附页）</w:t>
      </w:r>
    </w:p>
    <w:p w14:paraId="2AE109EE">
      <w:pPr>
        <w:pStyle w:val="4"/>
        <w:spacing w:line="440" w:lineRule="atLeast"/>
        <w:ind w:firstLine="0"/>
        <w:rPr>
          <w:szCs w:val="21"/>
        </w:rPr>
      </w:pPr>
    </w:p>
    <w:p w14:paraId="1646BCA4">
      <w:pPr>
        <w:widowControl/>
        <w:spacing w:line="360" w:lineRule="auto"/>
        <w:ind w:left="310" w:hanging="310" w:hangingChars="147"/>
        <w:jc w:val="left"/>
        <w:rPr>
          <w:b/>
          <w:szCs w:val="21"/>
        </w:rPr>
      </w:pPr>
      <w:r>
        <w:rPr>
          <w:rFonts w:hint="eastAsia"/>
          <w:b/>
          <w:szCs w:val="21"/>
        </w:rPr>
        <w:t>11、数字化交付</w:t>
      </w:r>
    </w:p>
    <w:p w14:paraId="32BF9680">
      <w:pPr>
        <w:pStyle w:val="17"/>
        <w:spacing w:line="420" w:lineRule="exact"/>
        <w:textAlignment w:val="baseline"/>
        <w:rPr>
          <w:rFonts w:hint="eastAsia" w:hAnsi="宋体"/>
          <w:szCs w:val="21"/>
        </w:rPr>
      </w:pPr>
      <w:r>
        <w:rPr>
          <w:rFonts w:hAnsi="宋体"/>
          <w:szCs w:val="21"/>
        </w:rPr>
        <w:t>1.交付总体要求</w:t>
      </w:r>
    </w:p>
    <w:p w14:paraId="7AFD8BCE">
      <w:pPr>
        <w:spacing w:line="420" w:lineRule="exact"/>
        <w:ind w:firstLine="420" w:firstLineChars="200"/>
        <w:textAlignment w:val="baseline"/>
        <w:rPr>
          <w:rFonts w:hint="eastAsia" w:hAnsi="宋体"/>
          <w:szCs w:val="21"/>
        </w:rPr>
      </w:pPr>
      <w:r>
        <w:rPr>
          <w:rFonts w:hAnsi="宋体"/>
          <w:szCs w:val="21"/>
        </w:rPr>
        <w:t>在合同签订后，</w:t>
      </w:r>
      <w:r>
        <w:rPr>
          <w:rFonts w:hint="eastAsia" w:hAnsi="宋体"/>
          <w:szCs w:val="21"/>
          <w:lang w:eastAsia="zh-CN"/>
        </w:rPr>
        <w:t>报价</w:t>
      </w:r>
      <w:r>
        <w:rPr>
          <w:rFonts w:hint="eastAsia" w:hAnsi="宋体"/>
          <w:szCs w:val="21"/>
        </w:rPr>
        <w:t>方</w:t>
      </w:r>
      <w:r>
        <w:rPr>
          <w:rFonts w:hAnsi="宋体"/>
          <w:szCs w:val="21"/>
        </w:rPr>
        <w:t>需向</w:t>
      </w:r>
      <w:r>
        <w:rPr>
          <w:rFonts w:hint="eastAsia" w:hAnsi="宋体"/>
          <w:szCs w:val="21"/>
          <w:lang w:eastAsia="zh-CN"/>
        </w:rPr>
        <w:t>采购</w:t>
      </w:r>
      <w:r>
        <w:rPr>
          <w:rFonts w:hint="eastAsia" w:hAnsi="宋体"/>
          <w:szCs w:val="21"/>
        </w:rPr>
        <w:t>方</w:t>
      </w:r>
      <w:r>
        <w:rPr>
          <w:rFonts w:hAnsi="宋体"/>
          <w:szCs w:val="21"/>
        </w:rPr>
        <w:t>提交相关数字化人员信息，由</w:t>
      </w:r>
      <w:r>
        <w:rPr>
          <w:rFonts w:hint="eastAsia" w:hAnsi="宋体"/>
          <w:szCs w:val="21"/>
          <w:lang w:eastAsia="zh-CN"/>
        </w:rPr>
        <w:t>采购</w:t>
      </w:r>
      <w:r>
        <w:rPr>
          <w:rFonts w:hint="eastAsia" w:hAnsi="宋体"/>
          <w:szCs w:val="21"/>
        </w:rPr>
        <w:t>方</w:t>
      </w:r>
      <w:r>
        <w:rPr>
          <w:rFonts w:hAnsi="宋体"/>
          <w:szCs w:val="21"/>
        </w:rPr>
        <w:t>授予该</w:t>
      </w:r>
      <w:r>
        <w:rPr>
          <w:rFonts w:hint="eastAsia" w:hAnsi="宋体"/>
          <w:szCs w:val="21"/>
          <w:lang w:eastAsia="zh-CN"/>
        </w:rPr>
        <w:t>报价</w:t>
      </w:r>
      <w:r>
        <w:rPr>
          <w:rFonts w:hint="eastAsia" w:hAnsi="宋体"/>
          <w:szCs w:val="21"/>
        </w:rPr>
        <w:t>方</w:t>
      </w:r>
      <w:r>
        <w:rPr>
          <w:rFonts w:hAnsi="宋体"/>
          <w:szCs w:val="21"/>
        </w:rPr>
        <w:t>本项目数字化交付平台的录入权限。</w:t>
      </w:r>
      <w:r>
        <w:rPr>
          <w:rFonts w:hint="eastAsia" w:hAnsi="宋体"/>
          <w:szCs w:val="21"/>
          <w:lang w:eastAsia="zh-CN"/>
        </w:rPr>
        <w:t>报价</w:t>
      </w:r>
      <w:r>
        <w:rPr>
          <w:rFonts w:hint="eastAsia" w:hAnsi="宋体"/>
          <w:szCs w:val="21"/>
        </w:rPr>
        <w:t>方</w:t>
      </w:r>
      <w:r>
        <w:rPr>
          <w:rFonts w:hAnsi="宋体"/>
          <w:szCs w:val="21"/>
        </w:rPr>
        <w:t>需根据所提供物资的实际生产进度及时间节点，依据</w:t>
      </w:r>
      <w:r>
        <w:rPr>
          <w:rFonts w:hint="eastAsia" w:hAnsi="宋体"/>
          <w:szCs w:val="21"/>
          <w:lang w:eastAsia="zh-CN"/>
        </w:rPr>
        <w:t>采购</w:t>
      </w:r>
      <w:r>
        <w:rPr>
          <w:rFonts w:hint="eastAsia" w:hAnsi="宋体"/>
          <w:szCs w:val="21"/>
        </w:rPr>
        <w:t>方</w:t>
      </w:r>
      <w:r>
        <w:rPr>
          <w:rFonts w:hAnsi="宋体"/>
          <w:szCs w:val="21"/>
        </w:rPr>
        <w:t>发布的数字化交付统一规定在数字化交付平台上交付所要求的各项数字化成果，交付的成果必须满足数字化相关的规定，该部分要求作为验收、付款的重要考核依据。</w:t>
      </w:r>
    </w:p>
    <w:p w14:paraId="6BE95FD6">
      <w:pPr>
        <w:spacing w:line="420" w:lineRule="exact"/>
        <w:textAlignment w:val="baseline"/>
        <w:rPr>
          <w:rFonts w:hint="eastAsia" w:hAnsi="宋体"/>
          <w:szCs w:val="21"/>
        </w:rPr>
      </w:pPr>
      <w:r>
        <w:rPr>
          <w:rFonts w:hAnsi="宋体"/>
          <w:szCs w:val="21"/>
        </w:rPr>
        <w:t>2.数字化交付范围</w:t>
      </w:r>
    </w:p>
    <w:p w14:paraId="730E7446">
      <w:pPr>
        <w:spacing w:line="420" w:lineRule="exact"/>
        <w:ind w:firstLine="420" w:firstLineChars="200"/>
        <w:textAlignment w:val="baseline"/>
        <w:rPr>
          <w:rFonts w:hint="eastAsia" w:hAnsi="宋体"/>
          <w:szCs w:val="21"/>
        </w:rPr>
      </w:pPr>
      <w:r>
        <w:rPr>
          <w:rFonts w:hint="eastAsia" w:hAnsi="宋体"/>
          <w:szCs w:val="21"/>
          <w:lang w:eastAsia="zh-CN"/>
        </w:rPr>
        <w:t>报价</w:t>
      </w:r>
      <w:r>
        <w:rPr>
          <w:rFonts w:hAnsi="宋体"/>
          <w:szCs w:val="21"/>
        </w:rPr>
        <w:t>方的交付内容职责范围如下：</w:t>
      </w:r>
    </w:p>
    <w:p w14:paraId="0C8F920D">
      <w:pPr>
        <w:spacing w:line="420" w:lineRule="exact"/>
        <w:ind w:firstLine="420" w:firstLineChars="200"/>
        <w:textAlignment w:val="baseline"/>
        <w:rPr>
          <w:rFonts w:hint="eastAsia" w:hAnsi="宋体"/>
          <w:szCs w:val="21"/>
        </w:rPr>
      </w:pPr>
      <w:r>
        <w:rPr>
          <w:rFonts w:hAnsi="宋体"/>
          <w:szCs w:val="21"/>
        </w:rPr>
        <w:t>1）负责按照数字化交付统一规定范围、内容、进度和质量要求，整理供货范围内的对象清单及对象属性数据、三维模型（包括原始数据库和元件库文件）、智能P&amp;ID（包括项目原始的备份文件）、工程文档和文档属性，以及上述内容的关联关系。</w:t>
      </w:r>
    </w:p>
    <w:p w14:paraId="7AE2B07F">
      <w:pPr>
        <w:spacing w:line="420" w:lineRule="exact"/>
        <w:ind w:firstLine="420" w:firstLineChars="200"/>
        <w:textAlignment w:val="baseline"/>
        <w:rPr>
          <w:rFonts w:hint="eastAsia" w:hAnsi="宋体"/>
          <w:szCs w:val="21"/>
        </w:rPr>
      </w:pPr>
      <w:r>
        <w:rPr>
          <w:rFonts w:hAnsi="宋体"/>
          <w:szCs w:val="21"/>
        </w:rPr>
        <w:t>2）负责将内控合格的上述内容上载整合到数字化交付平台中。</w:t>
      </w:r>
    </w:p>
    <w:p w14:paraId="6599E5AE">
      <w:pPr>
        <w:spacing w:line="420" w:lineRule="exact"/>
        <w:ind w:firstLine="420" w:firstLineChars="200"/>
        <w:textAlignment w:val="baseline"/>
        <w:rPr>
          <w:rFonts w:hint="eastAsia" w:hAnsi="宋体"/>
          <w:szCs w:val="21"/>
        </w:rPr>
      </w:pPr>
      <w:r>
        <w:rPr>
          <w:rFonts w:hAnsi="宋体"/>
          <w:szCs w:val="21"/>
        </w:rPr>
        <w:t>3）负责按照校验、数据检查、验收等要求，对交付的成果进行完善，直至验收通过。</w:t>
      </w:r>
    </w:p>
    <w:p w14:paraId="5C0D33A1">
      <w:pPr>
        <w:spacing w:line="420" w:lineRule="exact"/>
        <w:textAlignment w:val="baseline"/>
        <w:rPr>
          <w:rFonts w:hint="eastAsia" w:hAnsi="宋体"/>
          <w:szCs w:val="21"/>
        </w:rPr>
      </w:pPr>
      <w:r>
        <w:rPr>
          <w:rFonts w:hAnsi="宋体"/>
          <w:szCs w:val="21"/>
        </w:rPr>
        <w:t>3.数字化交付的内容及要求</w:t>
      </w:r>
    </w:p>
    <w:p w14:paraId="01828527">
      <w:pPr>
        <w:spacing w:line="420" w:lineRule="exact"/>
        <w:ind w:firstLine="420" w:firstLineChars="200"/>
        <w:textAlignment w:val="baseline"/>
        <w:rPr>
          <w:rFonts w:hint="eastAsia" w:hAnsi="宋体"/>
          <w:szCs w:val="21"/>
        </w:rPr>
      </w:pPr>
      <w:r>
        <w:rPr>
          <w:rFonts w:hint="eastAsia" w:hAnsi="宋体"/>
          <w:szCs w:val="21"/>
        </w:rPr>
        <w:t>3.1.</w:t>
      </w:r>
      <w:r>
        <w:rPr>
          <w:rFonts w:hAnsi="宋体"/>
          <w:szCs w:val="21"/>
        </w:rPr>
        <w:t>1工厂对象清单内容</w:t>
      </w:r>
    </w:p>
    <w:p w14:paraId="073ADE98">
      <w:pPr>
        <w:spacing w:line="420" w:lineRule="exact"/>
        <w:ind w:firstLine="420" w:firstLineChars="200"/>
        <w:textAlignment w:val="baseline"/>
        <w:rPr>
          <w:rFonts w:hint="eastAsia" w:hAnsi="宋体"/>
          <w:szCs w:val="21"/>
        </w:rPr>
      </w:pPr>
      <w:r>
        <w:rPr>
          <w:rFonts w:hint="eastAsia" w:hAnsi="宋体"/>
          <w:szCs w:val="21"/>
          <w:lang w:eastAsia="zh-CN"/>
        </w:rPr>
        <w:t>报价</w:t>
      </w:r>
      <w:r>
        <w:rPr>
          <w:rFonts w:hint="eastAsia" w:hAnsi="宋体"/>
          <w:szCs w:val="21"/>
        </w:rPr>
        <w:t>方</w:t>
      </w:r>
      <w:r>
        <w:rPr>
          <w:rFonts w:hAnsi="宋体"/>
          <w:szCs w:val="21"/>
        </w:rPr>
        <w:t>按照</w:t>
      </w:r>
      <w:r>
        <w:rPr>
          <w:rFonts w:hint="eastAsia" w:hAnsi="宋体"/>
          <w:szCs w:val="21"/>
          <w:lang w:eastAsia="zh-CN"/>
        </w:rPr>
        <w:t>采购</w:t>
      </w:r>
      <w:r>
        <w:rPr>
          <w:rFonts w:hint="eastAsia" w:hAnsi="宋体"/>
          <w:szCs w:val="21"/>
        </w:rPr>
        <w:t>方后续</w:t>
      </w:r>
      <w:r>
        <w:rPr>
          <w:rFonts w:hAnsi="宋体"/>
          <w:szCs w:val="21"/>
        </w:rPr>
        <w:t>发布的数字化交付统一规定并提交其合同范围内的工厂对象清单，包含工厂对象位号、名称以及分类；</w:t>
      </w:r>
    </w:p>
    <w:p w14:paraId="787A3440">
      <w:pPr>
        <w:spacing w:line="420" w:lineRule="exact"/>
        <w:ind w:firstLine="420" w:firstLineChars="200"/>
        <w:textAlignment w:val="baseline"/>
        <w:rPr>
          <w:rFonts w:hint="eastAsia" w:hAnsi="宋体"/>
          <w:szCs w:val="21"/>
        </w:rPr>
      </w:pPr>
      <w:r>
        <w:rPr>
          <w:rFonts w:hAnsi="宋体"/>
          <w:szCs w:val="21"/>
        </w:rPr>
        <w:t>对于包设备（包括大型机组、成套设备、撬装设备等），由</w:t>
      </w:r>
      <w:r>
        <w:rPr>
          <w:rFonts w:hint="eastAsia" w:hAnsi="宋体"/>
          <w:szCs w:val="21"/>
          <w:lang w:eastAsia="zh-CN"/>
        </w:rPr>
        <w:t>报价</w:t>
      </w:r>
      <w:r>
        <w:rPr>
          <w:rFonts w:hint="eastAsia" w:hAnsi="宋体"/>
          <w:szCs w:val="21"/>
        </w:rPr>
        <w:t>方</w:t>
      </w:r>
      <w:r>
        <w:rPr>
          <w:rFonts w:hAnsi="宋体"/>
          <w:szCs w:val="21"/>
        </w:rPr>
        <w:t>按照</w:t>
      </w:r>
      <w:r>
        <w:rPr>
          <w:rFonts w:hint="eastAsia" w:hAnsi="宋体"/>
          <w:szCs w:val="21"/>
          <w:lang w:eastAsia="zh-CN"/>
        </w:rPr>
        <w:t>采购</w:t>
      </w:r>
      <w:r>
        <w:rPr>
          <w:rFonts w:hint="eastAsia" w:hAnsi="宋体"/>
          <w:szCs w:val="21"/>
        </w:rPr>
        <w:t>方</w:t>
      </w:r>
      <w:r>
        <w:rPr>
          <w:rFonts w:hAnsi="宋体"/>
          <w:szCs w:val="21"/>
        </w:rPr>
        <w:t>发布的相关规范要求对包设备进行拆分，并按照设计总体院发布的编码规定编制子设备位号，形成包设备拆分清单，内容包括成套设备位号、子设备位号、子设备名称、子设备分类等；</w:t>
      </w:r>
    </w:p>
    <w:p w14:paraId="03336816">
      <w:pPr>
        <w:spacing w:line="420" w:lineRule="exact"/>
        <w:ind w:firstLine="420" w:firstLineChars="200"/>
        <w:textAlignment w:val="baseline"/>
        <w:rPr>
          <w:rFonts w:hint="eastAsia" w:hAnsi="宋体"/>
          <w:szCs w:val="21"/>
        </w:rPr>
      </w:pPr>
      <w:r>
        <w:rPr>
          <w:rFonts w:hint="eastAsia" w:hAnsi="宋体"/>
          <w:szCs w:val="21"/>
          <w:lang w:eastAsia="zh-CN"/>
        </w:rPr>
        <w:t>采购</w:t>
      </w:r>
      <w:r>
        <w:rPr>
          <w:rFonts w:hint="eastAsia" w:hAnsi="宋体"/>
          <w:szCs w:val="21"/>
        </w:rPr>
        <w:t>方</w:t>
      </w:r>
      <w:r>
        <w:rPr>
          <w:rFonts w:hAnsi="宋体"/>
          <w:szCs w:val="21"/>
        </w:rPr>
        <w:t>负责审核工厂对象清单中的位号和分类是否满足相关编码规则和分类标准，经确认后由</w:t>
      </w:r>
      <w:r>
        <w:rPr>
          <w:rFonts w:hint="eastAsia" w:hAnsi="宋体"/>
          <w:szCs w:val="21"/>
          <w:lang w:eastAsia="zh-CN"/>
        </w:rPr>
        <w:t>报价</w:t>
      </w:r>
      <w:r>
        <w:rPr>
          <w:rFonts w:hint="eastAsia" w:hAnsi="宋体"/>
          <w:szCs w:val="21"/>
        </w:rPr>
        <w:t>方</w:t>
      </w:r>
      <w:r>
        <w:rPr>
          <w:rFonts w:hAnsi="宋体"/>
          <w:szCs w:val="21"/>
        </w:rPr>
        <w:t>据此开展工厂对象属性和关联性资料的交付工作。</w:t>
      </w:r>
    </w:p>
    <w:p w14:paraId="662CD45B">
      <w:pPr>
        <w:spacing w:line="420" w:lineRule="exact"/>
        <w:ind w:firstLine="420" w:firstLineChars="200"/>
        <w:textAlignment w:val="baseline"/>
        <w:rPr>
          <w:rFonts w:hint="eastAsia" w:hAnsi="宋体"/>
          <w:szCs w:val="21"/>
        </w:rPr>
      </w:pPr>
      <w:r>
        <w:rPr>
          <w:rFonts w:hint="eastAsia" w:hAnsi="宋体"/>
          <w:szCs w:val="21"/>
        </w:rPr>
        <w:t>3.1</w:t>
      </w:r>
      <w:r>
        <w:rPr>
          <w:rFonts w:hAnsi="宋体"/>
          <w:szCs w:val="21"/>
        </w:rPr>
        <w:t>.2工厂对象属性数据交付</w:t>
      </w:r>
    </w:p>
    <w:p w14:paraId="60DB8206">
      <w:pPr>
        <w:spacing w:line="420" w:lineRule="exact"/>
        <w:ind w:firstLine="420" w:firstLineChars="200"/>
        <w:textAlignment w:val="baseline"/>
        <w:rPr>
          <w:rFonts w:hint="eastAsia" w:hAnsi="宋体"/>
          <w:szCs w:val="21"/>
        </w:rPr>
      </w:pPr>
      <w:r>
        <w:rPr>
          <w:rFonts w:hAnsi="宋体"/>
          <w:szCs w:val="21"/>
        </w:rPr>
        <w:t>应按照项目数字化交付统一规定中工厂对象分类及属性内容交付的要求，以及数字化交付平台提供的工厂对象属性数据模板，填报供货范围内工厂对象的属性数据（信息来源为P的部分），并导入到数字化交付平台实现属性数据的存储。</w:t>
      </w:r>
    </w:p>
    <w:p w14:paraId="6017FE4A">
      <w:pPr>
        <w:spacing w:line="420" w:lineRule="exact"/>
        <w:ind w:firstLine="420" w:firstLineChars="200"/>
        <w:textAlignment w:val="baseline"/>
        <w:rPr>
          <w:rFonts w:hint="eastAsia" w:hAnsi="宋体"/>
          <w:szCs w:val="21"/>
        </w:rPr>
      </w:pPr>
      <w:r>
        <w:rPr>
          <w:rFonts w:hAnsi="宋体"/>
          <w:szCs w:val="21"/>
        </w:rPr>
        <w:t>属性数据交付说明：</w:t>
      </w:r>
    </w:p>
    <w:p w14:paraId="13833C1F">
      <w:pPr>
        <w:spacing w:line="420" w:lineRule="exact"/>
        <w:ind w:firstLine="420" w:firstLineChars="200"/>
        <w:textAlignment w:val="baseline"/>
        <w:rPr>
          <w:rFonts w:hint="eastAsia" w:hAnsi="宋体"/>
          <w:szCs w:val="21"/>
        </w:rPr>
      </w:pPr>
      <w:r>
        <w:rPr>
          <w:rFonts w:hAnsi="宋体"/>
          <w:szCs w:val="21"/>
        </w:rPr>
        <w:t>1）工厂对象应对应到数字化交付规定中对象分类的叶子节点。</w:t>
      </w:r>
    </w:p>
    <w:p w14:paraId="2CA61F92">
      <w:pPr>
        <w:spacing w:line="420" w:lineRule="exact"/>
        <w:ind w:firstLine="420" w:firstLineChars="200"/>
        <w:textAlignment w:val="baseline"/>
        <w:rPr>
          <w:rFonts w:hint="eastAsia" w:hAnsi="宋体"/>
          <w:szCs w:val="21"/>
        </w:rPr>
      </w:pPr>
      <w:r>
        <w:rPr>
          <w:rFonts w:hAnsi="宋体"/>
          <w:szCs w:val="21"/>
        </w:rPr>
        <w:t>2）移交属性数据的工厂对象应与实际供货范围，以及供货清单保持一致。</w:t>
      </w:r>
    </w:p>
    <w:p w14:paraId="7C15E141">
      <w:pPr>
        <w:spacing w:line="420" w:lineRule="exact"/>
        <w:ind w:firstLine="420" w:firstLineChars="200"/>
        <w:textAlignment w:val="baseline"/>
        <w:rPr>
          <w:rFonts w:hint="eastAsia" w:hAnsi="宋体"/>
          <w:szCs w:val="21"/>
        </w:rPr>
      </w:pPr>
      <w:r>
        <w:rPr>
          <w:rFonts w:hint="eastAsia" w:hAnsi="宋体"/>
          <w:szCs w:val="21"/>
        </w:rPr>
        <w:t>3.1.</w:t>
      </w:r>
      <w:r>
        <w:rPr>
          <w:rFonts w:hAnsi="宋体"/>
          <w:szCs w:val="21"/>
        </w:rPr>
        <w:t>3三维模型交付内容</w:t>
      </w:r>
    </w:p>
    <w:p w14:paraId="6E6F63CF">
      <w:pPr>
        <w:spacing w:line="420" w:lineRule="exact"/>
        <w:ind w:firstLine="420" w:firstLineChars="200"/>
        <w:textAlignment w:val="baseline"/>
        <w:rPr>
          <w:rFonts w:hint="eastAsia" w:hAnsi="宋体"/>
          <w:szCs w:val="21"/>
        </w:rPr>
      </w:pPr>
      <w:r>
        <w:rPr>
          <w:rFonts w:hAnsi="宋体"/>
          <w:szCs w:val="21"/>
        </w:rPr>
        <w:t>针对业主方确定的重点设备，需要按照数字化交付统一规定的要求进行建模，建模内容、深度，以及交付物需要满足业主方发布的数字化交付统一规定的要求，以下为典型的模型交付要求：</w:t>
      </w:r>
    </w:p>
    <w:p w14:paraId="4254FD4D">
      <w:pPr>
        <w:spacing w:line="420" w:lineRule="exact"/>
        <w:ind w:firstLine="420" w:firstLineChars="200"/>
        <w:textAlignment w:val="baseline"/>
        <w:rPr>
          <w:rFonts w:hint="eastAsia" w:hAnsi="宋体"/>
          <w:szCs w:val="21"/>
        </w:rPr>
      </w:pPr>
      <w:r>
        <w:rPr>
          <w:rFonts w:hAnsi="宋体"/>
          <w:szCs w:val="21"/>
        </w:rPr>
        <w:t>a)设备建模要求</w:t>
      </w:r>
    </w:p>
    <w:p w14:paraId="51864B9D">
      <w:pPr>
        <w:spacing w:line="420" w:lineRule="exact"/>
        <w:ind w:firstLine="420" w:firstLineChars="200"/>
        <w:textAlignment w:val="baseline"/>
        <w:rPr>
          <w:rFonts w:hint="eastAsia" w:hAnsi="宋体"/>
          <w:szCs w:val="21"/>
        </w:rPr>
      </w:pPr>
      <w:r>
        <w:rPr>
          <w:rFonts w:hAnsi="宋体"/>
          <w:szCs w:val="21"/>
        </w:rPr>
        <w:t>1)</w:t>
      </w:r>
      <w:r>
        <w:rPr>
          <w:rFonts w:hAnsi="宋体"/>
          <w:szCs w:val="21"/>
        </w:rPr>
        <w:tab/>
      </w:r>
      <w:r>
        <w:rPr>
          <w:rFonts w:hAnsi="宋体"/>
          <w:szCs w:val="21"/>
        </w:rPr>
        <w:t>设备供应商应根据业主的要求提供准确的、与实际设备外形尺寸一致的设备模型。</w:t>
      </w:r>
    </w:p>
    <w:p w14:paraId="280F9B4E">
      <w:pPr>
        <w:spacing w:line="420" w:lineRule="exact"/>
        <w:ind w:firstLine="420" w:firstLineChars="200"/>
        <w:textAlignment w:val="baseline"/>
        <w:rPr>
          <w:rFonts w:hint="eastAsia" w:hAnsi="宋体"/>
          <w:szCs w:val="21"/>
        </w:rPr>
      </w:pPr>
      <w:r>
        <w:rPr>
          <w:rFonts w:hAnsi="宋体"/>
          <w:szCs w:val="21"/>
        </w:rPr>
        <w:t>2)</w:t>
      </w:r>
      <w:r>
        <w:rPr>
          <w:rFonts w:hAnsi="宋体"/>
          <w:szCs w:val="21"/>
        </w:rPr>
        <w:tab/>
      </w:r>
      <w:r>
        <w:rPr>
          <w:rFonts w:hAnsi="宋体"/>
          <w:szCs w:val="21"/>
        </w:rPr>
        <w:t>模型外观形状、内部结构、零部件规格型号与设备图纸等参考资料一致。</w:t>
      </w:r>
    </w:p>
    <w:p w14:paraId="79C5CDEF">
      <w:pPr>
        <w:spacing w:line="420" w:lineRule="exact"/>
        <w:ind w:firstLine="420" w:firstLineChars="200"/>
        <w:textAlignment w:val="baseline"/>
        <w:rPr>
          <w:rFonts w:hint="eastAsia" w:hAnsi="宋体"/>
          <w:szCs w:val="21"/>
        </w:rPr>
      </w:pPr>
      <w:r>
        <w:rPr>
          <w:rFonts w:hAnsi="宋体"/>
          <w:szCs w:val="21"/>
        </w:rPr>
        <w:t>3)</w:t>
      </w:r>
      <w:r>
        <w:rPr>
          <w:rFonts w:hAnsi="宋体"/>
          <w:szCs w:val="21"/>
        </w:rPr>
        <w:tab/>
      </w:r>
      <w:r>
        <w:rPr>
          <w:rFonts w:hAnsi="宋体"/>
          <w:szCs w:val="21"/>
        </w:rPr>
        <w:t>模型外观颜色、内部零部件颜色和实物照片与设备图纸等参考资料一致。</w:t>
      </w:r>
    </w:p>
    <w:p w14:paraId="347A386B">
      <w:pPr>
        <w:spacing w:line="420" w:lineRule="exact"/>
        <w:ind w:firstLine="420" w:firstLineChars="200"/>
        <w:textAlignment w:val="baseline"/>
        <w:rPr>
          <w:rFonts w:hint="eastAsia" w:hAnsi="宋体"/>
          <w:szCs w:val="21"/>
        </w:rPr>
      </w:pPr>
      <w:r>
        <w:rPr>
          <w:rFonts w:hAnsi="宋体"/>
          <w:szCs w:val="21"/>
        </w:rPr>
        <w:t>4)</w:t>
      </w:r>
      <w:r>
        <w:rPr>
          <w:rFonts w:hAnsi="宋体"/>
          <w:szCs w:val="21"/>
        </w:rPr>
        <w:tab/>
      </w:r>
      <w:r>
        <w:rPr>
          <w:rFonts w:hAnsi="宋体"/>
          <w:szCs w:val="21"/>
        </w:rPr>
        <w:t>针对有对象分类的三维模型中的工程对象应按照业主发布的数字化交付统一规定中的要求进行编码并附加工程数据信息，包括位号、名称等内容。</w:t>
      </w:r>
    </w:p>
    <w:p w14:paraId="4FD33E9B">
      <w:pPr>
        <w:spacing w:line="420" w:lineRule="exact"/>
        <w:ind w:firstLine="420" w:firstLineChars="200"/>
        <w:textAlignment w:val="baseline"/>
        <w:rPr>
          <w:rFonts w:hint="eastAsia" w:hAnsi="宋体"/>
          <w:szCs w:val="21"/>
        </w:rPr>
      </w:pPr>
      <w:r>
        <w:rPr>
          <w:rFonts w:hAnsi="宋体"/>
          <w:szCs w:val="21"/>
        </w:rPr>
        <w:t>5)</w:t>
      </w:r>
      <w:r>
        <w:rPr>
          <w:rFonts w:hAnsi="宋体"/>
          <w:szCs w:val="21"/>
        </w:rPr>
        <w:tab/>
      </w:r>
      <w:r>
        <w:rPr>
          <w:rFonts w:hAnsi="宋体"/>
          <w:szCs w:val="21"/>
        </w:rPr>
        <w:t>模型输出类型必须是“实体几何面”，不允许输出“抽壳”“线框”或者“3D曲线”。</w:t>
      </w:r>
    </w:p>
    <w:p w14:paraId="7615A310">
      <w:pPr>
        <w:spacing w:line="420" w:lineRule="exact"/>
        <w:ind w:firstLine="420" w:firstLineChars="200"/>
        <w:textAlignment w:val="baseline"/>
        <w:rPr>
          <w:rFonts w:hint="eastAsia" w:hAnsi="宋体"/>
          <w:szCs w:val="21"/>
        </w:rPr>
      </w:pPr>
      <w:r>
        <w:rPr>
          <w:rFonts w:hAnsi="宋体"/>
          <w:szCs w:val="21"/>
        </w:rPr>
        <w:t>6）应采用装配体建模，零部件装配由内向外按层级组装，如果多台设备是总体装配在一起的，要提交总体装配模型，以每台设备为单位装配，各设备分支独立，不能混合装配。</w:t>
      </w:r>
    </w:p>
    <w:p w14:paraId="371D8616">
      <w:pPr>
        <w:spacing w:line="420" w:lineRule="exact"/>
        <w:ind w:firstLine="420" w:firstLineChars="200"/>
        <w:textAlignment w:val="baseline"/>
        <w:rPr>
          <w:rFonts w:hint="eastAsia" w:hAnsi="宋体"/>
          <w:szCs w:val="21"/>
        </w:rPr>
      </w:pPr>
      <w:r>
        <w:rPr>
          <w:rFonts w:hAnsi="宋体"/>
          <w:szCs w:val="21"/>
        </w:rPr>
        <w:t>b)交付物要求</w:t>
      </w:r>
    </w:p>
    <w:p w14:paraId="02ADDBC7">
      <w:pPr>
        <w:spacing w:line="420" w:lineRule="exact"/>
        <w:ind w:firstLine="420" w:firstLineChars="200"/>
        <w:textAlignment w:val="baseline"/>
        <w:rPr>
          <w:rFonts w:hint="eastAsia" w:hAnsi="宋体"/>
          <w:szCs w:val="21"/>
        </w:rPr>
      </w:pPr>
      <w:r>
        <w:rPr>
          <w:rFonts w:hAnsi="宋体"/>
          <w:szCs w:val="21"/>
        </w:rPr>
        <w:t>供应商应交付模型文件、数据库备份文件，同时提供所使用建模软件的名称、版本。</w:t>
      </w:r>
    </w:p>
    <w:p w14:paraId="62D51657">
      <w:pPr>
        <w:spacing w:line="420" w:lineRule="exact"/>
        <w:ind w:firstLine="420" w:firstLineChars="200"/>
        <w:textAlignment w:val="baseline"/>
        <w:rPr>
          <w:rFonts w:hint="eastAsia" w:hAnsi="宋体"/>
          <w:szCs w:val="21"/>
        </w:rPr>
      </w:pPr>
      <w:r>
        <w:rPr>
          <w:rFonts w:hAnsi="宋体"/>
          <w:szCs w:val="21"/>
        </w:rPr>
        <w:t>c)建模软件要求</w:t>
      </w:r>
    </w:p>
    <w:p w14:paraId="23C6F887">
      <w:pPr>
        <w:spacing w:line="420" w:lineRule="exact"/>
        <w:ind w:firstLine="420" w:firstLineChars="200"/>
        <w:textAlignment w:val="baseline"/>
        <w:rPr>
          <w:rFonts w:hint="eastAsia" w:hAnsi="宋体"/>
          <w:szCs w:val="21"/>
        </w:rPr>
      </w:pPr>
      <w:r>
        <w:rPr>
          <w:rFonts w:hAnsi="宋体"/>
          <w:szCs w:val="21"/>
        </w:rPr>
        <w:t>精细化三维模型应采用主流设计软件，采用统一的定位基准、单位和方位，按照与实体工厂1∶1的比例建模，模型定位应与真实工程坐标一致或具备映射关系。三维模型的软件范围及其输出的格式和要求应从下表中进行选择：</w:t>
      </w:r>
    </w:p>
    <w:tbl>
      <w:tblPr>
        <w:tblStyle w:val="8"/>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540"/>
        <w:gridCol w:w="3591"/>
        <w:gridCol w:w="1785"/>
      </w:tblGrid>
      <w:tr w14:paraId="45712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1601" w:type="dxa"/>
            <w:vAlign w:val="center"/>
          </w:tcPr>
          <w:p w14:paraId="23391342">
            <w:pPr>
              <w:pStyle w:val="18"/>
              <w:spacing w:before="31" w:after="31" w:line="500" w:lineRule="exact"/>
              <w:ind w:left="21"/>
              <w:jc w:val="both"/>
              <w:rPr>
                <w:rFonts w:hint="eastAsia" w:ascii="Times New Roman" w:cs="Times New Roman"/>
                <w:kern w:val="2"/>
                <w:szCs w:val="21"/>
                <w:lang w:val="en-US" w:eastAsia="zh-CN" w:bidi="ar-SA"/>
              </w:rPr>
            </w:pPr>
            <w:r>
              <w:rPr>
                <w:rFonts w:hint="eastAsia" w:ascii="Times New Roman" w:cs="Times New Roman"/>
                <w:kern w:val="2"/>
                <w:szCs w:val="21"/>
                <w:lang w:val="en-US" w:eastAsia="zh-CN" w:bidi="ar-SA"/>
              </w:rPr>
              <w:t>模型类型</w:t>
            </w:r>
          </w:p>
        </w:tc>
        <w:tc>
          <w:tcPr>
            <w:tcW w:w="1540" w:type="dxa"/>
            <w:vAlign w:val="center"/>
          </w:tcPr>
          <w:p w14:paraId="5FA49800">
            <w:pPr>
              <w:pStyle w:val="18"/>
              <w:spacing w:before="31" w:after="31" w:line="500" w:lineRule="exact"/>
              <w:ind w:left="21"/>
              <w:jc w:val="both"/>
              <w:rPr>
                <w:rFonts w:hint="eastAsia" w:ascii="Times New Roman" w:cs="Times New Roman"/>
                <w:kern w:val="2"/>
                <w:szCs w:val="21"/>
                <w:lang w:val="en-US" w:eastAsia="zh-CN" w:bidi="ar-SA"/>
              </w:rPr>
            </w:pPr>
            <w:r>
              <w:rPr>
                <w:rFonts w:hint="eastAsia" w:ascii="Times New Roman" w:cs="Times New Roman"/>
                <w:kern w:val="2"/>
                <w:szCs w:val="21"/>
                <w:lang w:val="en-US" w:eastAsia="zh-CN" w:bidi="ar-SA"/>
              </w:rPr>
              <w:t>软件名称</w:t>
            </w:r>
          </w:p>
        </w:tc>
        <w:tc>
          <w:tcPr>
            <w:tcW w:w="3591" w:type="dxa"/>
            <w:vAlign w:val="center"/>
          </w:tcPr>
          <w:p w14:paraId="48682DB6">
            <w:pPr>
              <w:pStyle w:val="18"/>
              <w:spacing w:before="31" w:after="31" w:line="500" w:lineRule="exact"/>
              <w:ind w:left="21"/>
              <w:jc w:val="both"/>
              <w:rPr>
                <w:rFonts w:hint="eastAsia" w:ascii="Times New Roman" w:cs="Times New Roman"/>
                <w:kern w:val="2"/>
                <w:szCs w:val="21"/>
                <w:lang w:val="en-US" w:eastAsia="zh-CN" w:bidi="ar-SA"/>
              </w:rPr>
            </w:pPr>
            <w:r>
              <w:rPr>
                <w:rFonts w:hint="eastAsia" w:ascii="Times New Roman" w:cs="Times New Roman"/>
                <w:kern w:val="2"/>
                <w:szCs w:val="21"/>
                <w:lang w:val="en-US" w:eastAsia="zh-CN" w:bidi="ar-SA"/>
              </w:rPr>
              <w:t>输出格式</w:t>
            </w:r>
          </w:p>
        </w:tc>
        <w:tc>
          <w:tcPr>
            <w:tcW w:w="1785" w:type="dxa"/>
            <w:vAlign w:val="center"/>
          </w:tcPr>
          <w:p w14:paraId="5FAE86AB">
            <w:pPr>
              <w:pStyle w:val="18"/>
              <w:spacing w:before="31" w:after="31" w:line="500" w:lineRule="exact"/>
              <w:ind w:left="21"/>
              <w:jc w:val="both"/>
              <w:rPr>
                <w:rFonts w:hint="eastAsia" w:ascii="Times New Roman" w:cs="Times New Roman"/>
                <w:kern w:val="2"/>
                <w:szCs w:val="21"/>
                <w:lang w:val="en-US" w:eastAsia="zh-CN" w:bidi="ar-SA"/>
              </w:rPr>
            </w:pPr>
            <w:r>
              <w:rPr>
                <w:rFonts w:hint="eastAsia" w:ascii="Times New Roman" w:cs="Times New Roman"/>
                <w:kern w:val="2"/>
                <w:szCs w:val="21"/>
                <w:lang w:val="en-US" w:eastAsia="zh-CN" w:bidi="ar-SA"/>
              </w:rPr>
              <w:t>备注</w:t>
            </w:r>
          </w:p>
        </w:tc>
      </w:tr>
      <w:tr w14:paraId="5542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601" w:type="dxa"/>
            <w:vMerge w:val="restart"/>
            <w:vAlign w:val="center"/>
          </w:tcPr>
          <w:p w14:paraId="213F183B">
            <w:pPr>
              <w:pStyle w:val="18"/>
              <w:spacing w:before="31" w:after="31" w:line="500" w:lineRule="exact"/>
              <w:ind w:left="21"/>
              <w:jc w:val="both"/>
              <w:rPr>
                <w:rFonts w:hint="eastAsia" w:ascii="Times New Roman" w:cs="Times New Roman"/>
                <w:kern w:val="2"/>
                <w:szCs w:val="21"/>
                <w:lang w:val="en-US" w:eastAsia="zh-CN" w:bidi="ar-SA"/>
              </w:rPr>
            </w:pPr>
            <w:r>
              <w:rPr>
                <w:rFonts w:hint="eastAsia" w:ascii="Times New Roman" w:cs="Times New Roman"/>
                <w:kern w:val="2"/>
                <w:szCs w:val="21"/>
                <w:lang w:val="en-US" w:eastAsia="zh-CN" w:bidi="ar-SA"/>
              </w:rPr>
              <w:t>精细化模型</w:t>
            </w:r>
          </w:p>
        </w:tc>
        <w:tc>
          <w:tcPr>
            <w:tcW w:w="1540" w:type="dxa"/>
            <w:vMerge w:val="restart"/>
            <w:vAlign w:val="center"/>
          </w:tcPr>
          <w:p w14:paraId="0C91557F">
            <w:pPr>
              <w:pStyle w:val="18"/>
              <w:spacing w:before="31" w:after="31" w:line="500" w:lineRule="exact"/>
              <w:ind w:left="21"/>
              <w:jc w:val="both"/>
              <w:rPr>
                <w:rFonts w:hint="eastAsia" w:ascii="Times New Roman" w:cs="Times New Roman"/>
                <w:kern w:val="2"/>
                <w:szCs w:val="21"/>
                <w:lang w:val="en-US" w:eastAsia="zh-CN" w:bidi="ar-SA"/>
              </w:rPr>
            </w:pPr>
            <w:r>
              <w:rPr>
                <w:rFonts w:hint="eastAsia" w:ascii="Times New Roman" w:cs="Times New Roman"/>
                <w:kern w:val="2"/>
                <w:szCs w:val="21"/>
                <w:lang w:val="en-US" w:eastAsia="zh-CN" w:bidi="ar-SA"/>
              </w:rPr>
              <w:t>Pro/E</w:t>
            </w:r>
          </w:p>
        </w:tc>
        <w:tc>
          <w:tcPr>
            <w:tcW w:w="3591" w:type="dxa"/>
            <w:vAlign w:val="center"/>
          </w:tcPr>
          <w:p w14:paraId="3E89963E">
            <w:pPr>
              <w:pStyle w:val="18"/>
              <w:spacing w:before="31" w:after="31" w:line="500" w:lineRule="exact"/>
              <w:ind w:left="21"/>
              <w:jc w:val="both"/>
              <w:rPr>
                <w:rFonts w:hint="eastAsia" w:ascii="Times New Roman" w:cs="Times New Roman"/>
                <w:kern w:val="2"/>
                <w:szCs w:val="21"/>
                <w:lang w:val="en-US" w:eastAsia="zh-CN" w:bidi="ar-SA"/>
              </w:rPr>
            </w:pPr>
            <w:r>
              <w:rPr>
                <w:rFonts w:hint="eastAsia" w:ascii="Times New Roman" w:cs="Times New Roman"/>
                <w:kern w:val="2"/>
                <w:szCs w:val="21"/>
                <w:lang w:val="en-US" w:eastAsia="zh-CN" w:bidi="ar-SA"/>
              </w:rPr>
              <w:t>.asm+.prt</w:t>
            </w:r>
          </w:p>
        </w:tc>
        <w:tc>
          <w:tcPr>
            <w:tcW w:w="1785" w:type="dxa"/>
            <w:vMerge w:val="restart"/>
            <w:vAlign w:val="center"/>
          </w:tcPr>
          <w:p w14:paraId="3F55AFB3">
            <w:pPr>
              <w:pStyle w:val="18"/>
              <w:spacing w:before="31" w:after="31" w:line="500" w:lineRule="exact"/>
              <w:ind w:left="21"/>
              <w:jc w:val="both"/>
              <w:rPr>
                <w:rFonts w:hint="eastAsia" w:ascii="Times New Roman" w:cs="Times New Roman"/>
                <w:kern w:val="2"/>
                <w:szCs w:val="21"/>
                <w:lang w:val="en-US" w:eastAsia="zh-CN" w:bidi="ar-SA"/>
              </w:rPr>
            </w:pPr>
          </w:p>
        </w:tc>
      </w:tr>
      <w:tr w14:paraId="79DCE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vAlign w:val="center"/>
          </w:tcPr>
          <w:p w14:paraId="6A48516E">
            <w:pPr>
              <w:pStyle w:val="18"/>
              <w:spacing w:before="31" w:after="31" w:line="500" w:lineRule="exact"/>
              <w:ind w:left="21"/>
              <w:jc w:val="both"/>
              <w:rPr>
                <w:rFonts w:hint="eastAsia" w:ascii="Times New Roman" w:cs="Times New Roman"/>
                <w:kern w:val="2"/>
                <w:szCs w:val="21"/>
                <w:lang w:val="en-US" w:eastAsia="zh-CN" w:bidi="ar-SA"/>
              </w:rPr>
            </w:pPr>
          </w:p>
        </w:tc>
        <w:tc>
          <w:tcPr>
            <w:tcW w:w="1540" w:type="dxa"/>
            <w:vMerge w:val="continue"/>
            <w:vAlign w:val="center"/>
          </w:tcPr>
          <w:p w14:paraId="7368D382">
            <w:pPr>
              <w:pStyle w:val="18"/>
              <w:spacing w:before="31" w:after="31" w:line="500" w:lineRule="exact"/>
              <w:ind w:left="21"/>
              <w:jc w:val="both"/>
              <w:rPr>
                <w:rFonts w:hint="eastAsia" w:ascii="Times New Roman" w:cs="Times New Roman"/>
                <w:kern w:val="2"/>
                <w:szCs w:val="21"/>
                <w:lang w:val="en-US" w:eastAsia="zh-CN" w:bidi="ar-SA"/>
              </w:rPr>
            </w:pPr>
          </w:p>
        </w:tc>
        <w:tc>
          <w:tcPr>
            <w:tcW w:w="3591" w:type="dxa"/>
            <w:vAlign w:val="center"/>
          </w:tcPr>
          <w:p w14:paraId="1787074F">
            <w:pPr>
              <w:pStyle w:val="18"/>
              <w:spacing w:before="31" w:after="31" w:line="500" w:lineRule="exact"/>
              <w:ind w:left="21"/>
              <w:jc w:val="both"/>
              <w:rPr>
                <w:rFonts w:hint="eastAsia" w:ascii="Times New Roman" w:cs="Times New Roman"/>
                <w:kern w:val="2"/>
                <w:szCs w:val="21"/>
                <w:lang w:val="en-US" w:eastAsia="zh-CN" w:bidi="ar-SA"/>
              </w:rPr>
            </w:pPr>
            <w:r>
              <w:rPr>
                <w:rFonts w:hint="eastAsia" w:ascii="Times New Roman" w:cs="Times New Roman"/>
                <w:kern w:val="2"/>
                <w:szCs w:val="21"/>
                <w:lang w:val="en-US" w:eastAsia="zh-CN" w:bidi="ar-SA"/>
              </w:rPr>
              <w:t>.stp</w:t>
            </w:r>
          </w:p>
        </w:tc>
        <w:tc>
          <w:tcPr>
            <w:tcW w:w="1785" w:type="dxa"/>
            <w:vMerge w:val="continue"/>
            <w:vAlign w:val="center"/>
          </w:tcPr>
          <w:p w14:paraId="32301686">
            <w:pPr>
              <w:pStyle w:val="18"/>
              <w:spacing w:before="31" w:after="31" w:line="500" w:lineRule="exact"/>
              <w:ind w:left="21"/>
              <w:jc w:val="both"/>
              <w:rPr>
                <w:rFonts w:hint="eastAsia" w:ascii="Times New Roman" w:cs="Times New Roman"/>
                <w:kern w:val="2"/>
                <w:szCs w:val="21"/>
                <w:lang w:val="en-US" w:eastAsia="zh-CN" w:bidi="ar-SA"/>
              </w:rPr>
            </w:pPr>
          </w:p>
        </w:tc>
      </w:tr>
      <w:tr w14:paraId="2ADC7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vAlign w:val="center"/>
          </w:tcPr>
          <w:p w14:paraId="2BBDD83D">
            <w:pPr>
              <w:pStyle w:val="18"/>
              <w:spacing w:before="31" w:after="31" w:line="500" w:lineRule="exact"/>
              <w:ind w:left="21"/>
              <w:jc w:val="both"/>
              <w:rPr>
                <w:rFonts w:hint="eastAsia" w:ascii="Times New Roman" w:cs="Times New Roman"/>
                <w:kern w:val="2"/>
                <w:szCs w:val="21"/>
                <w:lang w:val="en-US" w:eastAsia="zh-CN" w:bidi="ar-SA"/>
              </w:rPr>
            </w:pPr>
          </w:p>
        </w:tc>
        <w:tc>
          <w:tcPr>
            <w:tcW w:w="1540" w:type="dxa"/>
            <w:vMerge w:val="restart"/>
            <w:vAlign w:val="center"/>
          </w:tcPr>
          <w:p w14:paraId="2D1D7135">
            <w:pPr>
              <w:pStyle w:val="18"/>
              <w:spacing w:before="31" w:after="31" w:line="500" w:lineRule="exact"/>
              <w:ind w:left="21"/>
              <w:jc w:val="both"/>
              <w:rPr>
                <w:rFonts w:hint="eastAsia" w:ascii="Times New Roman" w:cs="Times New Roman"/>
                <w:kern w:val="2"/>
                <w:szCs w:val="21"/>
                <w:lang w:val="en-US" w:eastAsia="zh-CN" w:bidi="ar-SA"/>
              </w:rPr>
            </w:pPr>
            <w:r>
              <w:rPr>
                <w:rFonts w:hint="eastAsia" w:ascii="Times New Roman" w:cs="Times New Roman"/>
                <w:kern w:val="2"/>
                <w:szCs w:val="21"/>
                <w:lang w:val="en-US" w:eastAsia="zh-CN" w:bidi="ar-SA"/>
              </w:rPr>
              <w:t>SolidWorks</w:t>
            </w:r>
          </w:p>
        </w:tc>
        <w:tc>
          <w:tcPr>
            <w:tcW w:w="3591" w:type="dxa"/>
            <w:vAlign w:val="center"/>
          </w:tcPr>
          <w:p w14:paraId="5D8CB7F2">
            <w:pPr>
              <w:pStyle w:val="18"/>
              <w:spacing w:before="31" w:after="31" w:line="500" w:lineRule="exact"/>
              <w:ind w:left="21"/>
              <w:jc w:val="both"/>
              <w:rPr>
                <w:rFonts w:hint="eastAsia" w:ascii="Times New Roman" w:cs="Times New Roman"/>
                <w:kern w:val="2"/>
                <w:szCs w:val="21"/>
                <w:lang w:val="en-US" w:eastAsia="zh-CN" w:bidi="ar-SA"/>
              </w:rPr>
            </w:pPr>
            <w:r>
              <w:rPr>
                <w:rFonts w:hint="eastAsia" w:ascii="Times New Roman" w:cs="Times New Roman"/>
                <w:kern w:val="2"/>
                <w:szCs w:val="21"/>
                <w:lang w:val="en-US" w:eastAsia="zh-CN" w:bidi="ar-SA"/>
              </w:rPr>
              <w:t>.sldasm+.sldprt</w:t>
            </w:r>
          </w:p>
        </w:tc>
        <w:tc>
          <w:tcPr>
            <w:tcW w:w="1785" w:type="dxa"/>
            <w:vMerge w:val="restart"/>
            <w:vAlign w:val="center"/>
          </w:tcPr>
          <w:p w14:paraId="7A79B9DE">
            <w:pPr>
              <w:pStyle w:val="18"/>
              <w:spacing w:before="31" w:after="31" w:line="500" w:lineRule="exact"/>
              <w:ind w:left="21"/>
              <w:jc w:val="both"/>
              <w:rPr>
                <w:rFonts w:hint="eastAsia" w:ascii="Times New Roman" w:cs="Times New Roman"/>
                <w:kern w:val="2"/>
                <w:szCs w:val="21"/>
                <w:lang w:val="en-US" w:eastAsia="zh-CN" w:bidi="ar-SA"/>
              </w:rPr>
            </w:pPr>
          </w:p>
        </w:tc>
      </w:tr>
      <w:tr w14:paraId="17E8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vAlign w:val="center"/>
          </w:tcPr>
          <w:p w14:paraId="67A5CD14">
            <w:pPr>
              <w:pStyle w:val="18"/>
              <w:spacing w:before="31" w:after="31" w:line="500" w:lineRule="exact"/>
              <w:ind w:left="21"/>
              <w:jc w:val="both"/>
              <w:rPr>
                <w:rFonts w:hint="eastAsia" w:ascii="Times New Roman" w:cs="Times New Roman"/>
                <w:kern w:val="2"/>
                <w:szCs w:val="21"/>
                <w:lang w:val="en-US" w:eastAsia="zh-CN" w:bidi="ar-SA"/>
              </w:rPr>
            </w:pPr>
          </w:p>
        </w:tc>
        <w:tc>
          <w:tcPr>
            <w:tcW w:w="1540" w:type="dxa"/>
            <w:vMerge w:val="continue"/>
            <w:vAlign w:val="center"/>
          </w:tcPr>
          <w:p w14:paraId="5EB978FE">
            <w:pPr>
              <w:pStyle w:val="18"/>
              <w:spacing w:before="31" w:after="31" w:line="500" w:lineRule="exact"/>
              <w:ind w:left="21"/>
              <w:jc w:val="both"/>
              <w:rPr>
                <w:rFonts w:hint="eastAsia" w:ascii="Times New Roman" w:cs="Times New Roman"/>
                <w:kern w:val="2"/>
                <w:szCs w:val="21"/>
                <w:lang w:val="en-US" w:eastAsia="zh-CN" w:bidi="ar-SA"/>
              </w:rPr>
            </w:pPr>
          </w:p>
        </w:tc>
        <w:tc>
          <w:tcPr>
            <w:tcW w:w="3591" w:type="dxa"/>
            <w:vAlign w:val="center"/>
          </w:tcPr>
          <w:p w14:paraId="0C63845D">
            <w:pPr>
              <w:pStyle w:val="18"/>
              <w:spacing w:before="31" w:after="31" w:line="500" w:lineRule="exact"/>
              <w:ind w:left="21"/>
              <w:jc w:val="both"/>
              <w:rPr>
                <w:rFonts w:hint="eastAsia" w:ascii="Times New Roman" w:cs="Times New Roman"/>
                <w:kern w:val="2"/>
                <w:szCs w:val="21"/>
                <w:lang w:val="en-US" w:eastAsia="zh-CN" w:bidi="ar-SA"/>
              </w:rPr>
            </w:pPr>
            <w:r>
              <w:rPr>
                <w:rFonts w:hint="eastAsia" w:ascii="Times New Roman" w:cs="Times New Roman"/>
                <w:kern w:val="2"/>
                <w:szCs w:val="21"/>
                <w:lang w:val="en-US" w:eastAsia="zh-CN" w:bidi="ar-SA"/>
              </w:rPr>
              <w:t>.stp</w:t>
            </w:r>
          </w:p>
        </w:tc>
        <w:tc>
          <w:tcPr>
            <w:tcW w:w="1785" w:type="dxa"/>
            <w:vMerge w:val="continue"/>
            <w:vAlign w:val="center"/>
          </w:tcPr>
          <w:p w14:paraId="60D9A053">
            <w:pPr>
              <w:pStyle w:val="18"/>
              <w:spacing w:before="31" w:after="31" w:line="500" w:lineRule="exact"/>
              <w:ind w:left="21"/>
              <w:jc w:val="both"/>
              <w:rPr>
                <w:rFonts w:hint="eastAsia" w:ascii="Times New Roman" w:cs="Times New Roman"/>
                <w:kern w:val="2"/>
                <w:szCs w:val="21"/>
                <w:lang w:val="en-US" w:eastAsia="zh-CN" w:bidi="ar-SA"/>
              </w:rPr>
            </w:pPr>
          </w:p>
        </w:tc>
      </w:tr>
      <w:tr w14:paraId="12971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vAlign w:val="center"/>
          </w:tcPr>
          <w:p w14:paraId="4E9DD440">
            <w:pPr>
              <w:pStyle w:val="18"/>
              <w:spacing w:before="31" w:after="31" w:line="500" w:lineRule="exact"/>
              <w:ind w:left="21"/>
              <w:jc w:val="both"/>
              <w:rPr>
                <w:rFonts w:hint="eastAsia" w:ascii="Times New Roman" w:cs="Times New Roman"/>
                <w:kern w:val="2"/>
                <w:szCs w:val="21"/>
                <w:lang w:val="en-US" w:eastAsia="zh-CN" w:bidi="ar-SA"/>
              </w:rPr>
            </w:pPr>
          </w:p>
        </w:tc>
        <w:tc>
          <w:tcPr>
            <w:tcW w:w="1540" w:type="dxa"/>
            <w:vAlign w:val="center"/>
          </w:tcPr>
          <w:p w14:paraId="17E47072">
            <w:pPr>
              <w:pStyle w:val="18"/>
              <w:spacing w:before="31" w:after="31" w:line="500" w:lineRule="exact"/>
              <w:ind w:left="21"/>
              <w:jc w:val="both"/>
              <w:rPr>
                <w:rFonts w:hint="eastAsia" w:ascii="Times New Roman" w:cs="Times New Roman"/>
                <w:kern w:val="2"/>
                <w:szCs w:val="21"/>
                <w:lang w:val="en-US" w:eastAsia="zh-CN" w:bidi="ar-SA"/>
              </w:rPr>
            </w:pPr>
            <w:r>
              <w:rPr>
                <w:rFonts w:hint="eastAsia" w:ascii="Times New Roman" w:cs="Times New Roman"/>
                <w:kern w:val="2"/>
                <w:szCs w:val="21"/>
                <w:lang w:val="en-US" w:eastAsia="zh-CN" w:bidi="ar-SA"/>
              </w:rPr>
              <w:t>INVENTOR</w:t>
            </w:r>
          </w:p>
        </w:tc>
        <w:tc>
          <w:tcPr>
            <w:tcW w:w="3591" w:type="dxa"/>
            <w:vAlign w:val="center"/>
          </w:tcPr>
          <w:p w14:paraId="31BA8D0C">
            <w:pPr>
              <w:pStyle w:val="18"/>
              <w:spacing w:before="31" w:after="31" w:line="500" w:lineRule="exact"/>
              <w:ind w:left="21"/>
              <w:jc w:val="both"/>
              <w:rPr>
                <w:rFonts w:hint="eastAsia" w:ascii="Times New Roman" w:cs="Times New Roman"/>
                <w:kern w:val="2"/>
                <w:szCs w:val="21"/>
                <w:lang w:val="en-US" w:eastAsia="zh-CN" w:bidi="ar-SA"/>
              </w:rPr>
            </w:pPr>
            <w:r>
              <w:rPr>
                <w:rFonts w:hint="eastAsia" w:ascii="Times New Roman" w:cs="Times New Roman"/>
                <w:kern w:val="2"/>
                <w:szCs w:val="21"/>
                <w:lang w:val="en-US" w:eastAsia="zh-CN" w:bidi="ar-SA"/>
              </w:rPr>
              <w:t>.stp</w:t>
            </w:r>
          </w:p>
        </w:tc>
        <w:tc>
          <w:tcPr>
            <w:tcW w:w="1785" w:type="dxa"/>
            <w:vAlign w:val="center"/>
          </w:tcPr>
          <w:p w14:paraId="5CC1D1B6">
            <w:pPr>
              <w:pStyle w:val="18"/>
              <w:spacing w:before="31" w:after="31" w:line="500" w:lineRule="exact"/>
              <w:ind w:left="21"/>
              <w:jc w:val="both"/>
              <w:rPr>
                <w:rFonts w:hint="eastAsia" w:ascii="Times New Roman" w:cs="Times New Roman"/>
                <w:kern w:val="2"/>
                <w:szCs w:val="21"/>
                <w:lang w:val="en-US" w:eastAsia="zh-CN" w:bidi="ar-SA"/>
              </w:rPr>
            </w:pPr>
          </w:p>
        </w:tc>
      </w:tr>
      <w:tr w14:paraId="4F032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vAlign w:val="center"/>
          </w:tcPr>
          <w:p w14:paraId="485FFE99">
            <w:pPr>
              <w:pStyle w:val="18"/>
              <w:spacing w:before="31" w:after="31" w:line="500" w:lineRule="exact"/>
              <w:ind w:left="21"/>
              <w:jc w:val="both"/>
              <w:rPr>
                <w:rFonts w:hint="eastAsia" w:ascii="Times New Roman" w:cs="Times New Roman"/>
                <w:kern w:val="2"/>
                <w:szCs w:val="21"/>
                <w:lang w:val="en-US" w:eastAsia="zh-CN" w:bidi="ar-SA"/>
              </w:rPr>
            </w:pPr>
          </w:p>
        </w:tc>
        <w:tc>
          <w:tcPr>
            <w:tcW w:w="1540" w:type="dxa"/>
            <w:vAlign w:val="center"/>
          </w:tcPr>
          <w:p w14:paraId="25B70B1A">
            <w:pPr>
              <w:pStyle w:val="18"/>
              <w:spacing w:before="31" w:after="31" w:line="500" w:lineRule="exact"/>
              <w:ind w:left="21"/>
              <w:jc w:val="both"/>
              <w:rPr>
                <w:rFonts w:hint="eastAsia" w:ascii="Times New Roman" w:cs="Times New Roman"/>
                <w:kern w:val="2"/>
                <w:szCs w:val="21"/>
                <w:lang w:val="en-US" w:eastAsia="zh-CN" w:bidi="ar-SA"/>
              </w:rPr>
            </w:pPr>
            <w:r>
              <w:rPr>
                <w:rFonts w:hint="eastAsia" w:ascii="Times New Roman" w:cs="Times New Roman"/>
                <w:kern w:val="2"/>
                <w:szCs w:val="21"/>
                <w:lang w:val="en-US" w:eastAsia="zh-CN" w:bidi="ar-SA"/>
              </w:rPr>
              <w:t>CATIA</w:t>
            </w:r>
          </w:p>
        </w:tc>
        <w:tc>
          <w:tcPr>
            <w:tcW w:w="3591" w:type="dxa"/>
            <w:vAlign w:val="center"/>
          </w:tcPr>
          <w:p w14:paraId="7A319DE9">
            <w:pPr>
              <w:pStyle w:val="18"/>
              <w:spacing w:before="31" w:after="31" w:line="500" w:lineRule="exact"/>
              <w:ind w:left="21"/>
              <w:jc w:val="both"/>
              <w:rPr>
                <w:rFonts w:hint="eastAsia" w:ascii="Times New Roman" w:cs="Times New Roman"/>
                <w:kern w:val="2"/>
                <w:szCs w:val="21"/>
                <w:lang w:val="en-US" w:eastAsia="zh-CN" w:bidi="ar-SA"/>
              </w:rPr>
            </w:pPr>
            <w:r>
              <w:rPr>
                <w:rFonts w:hint="eastAsia" w:ascii="Times New Roman" w:cs="Times New Roman"/>
                <w:kern w:val="2"/>
                <w:szCs w:val="21"/>
                <w:lang w:val="en-US" w:eastAsia="zh-CN" w:bidi="ar-SA"/>
              </w:rPr>
              <w:t>.stp</w:t>
            </w:r>
          </w:p>
        </w:tc>
        <w:tc>
          <w:tcPr>
            <w:tcW w:w="1785" w:type="dxa"/>
            <w:vAlign w:val="center"/>
          </w:tcPr>
          <w:p w14:paraId="5C84000F">
            <w:pPr>
              <w:pStyle w:val="18"/>
              <w:spacing w:before="31" w:after="31" w:line="500" w:lineRule="exact"/>
              <w:ind w:left="21"/>
              <w:jc w:val="both"/>
              <w:rPr>
                <w:rFonts w:hint="eastAsia" w:ascii="Times New Roman" w:cs="Times New Roman"/>
                <w:kern w:val="2"/>
                <w:szCs w:val="21"/>
                <w:lang w:val="en-US" w:eastAsia="zh-CN" w:bidi="ar-SA"/>
              </w:rPr>
            </w:pPr>
          </w:p>
        </w:tc>
      </w:tr>
      <w:tr w14:paraId="75960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vAlign w:val="center"/>
          </w:tcPr>
          <w:p w14:paraId="4738632C">
            <w:pPr>
              <w:pStyle w:val="18"/>
              <w:spacing w:before="31" w:after="31" w:line="500" w:lineRule="exact"/>
              <w:ind w:left="21"/>
              <w:jc w:val="both"/>
              <w:rPr>
                <w:rFonts w:hint="eastAsia" w:ascii="Times New Roman" w:cs="Times New Roman"/>
                <w:kern w:val="2"/>
                <w:szCs w:val="21"/>
                <w:lang w:val="en-US" w:eastAsia="zh-CN" w:bidi="ar-SA"/>
              </w:rPr>
            </w:pPr>
          </w:p>
        </w:tc>
        <w:tc>
          <w:tcPr>
            <w:tcW w:w="1540" w:type="dxa"/>
            <w:vAlign w:val="center"/>
          </w:tcPr>
          <w:p w14:paraId="59416BAB">
            <w:pPr>
              <w:pStyle w:val="18"/>
              <w:spacing w:before="31" w:after="31" w:line="500" w:lineRule="exact"/>
              <w:ind w:left="21"/>
              <w:jc w:val="both"/>
              <w:rPr>
                <w:rFonts w:hint="eastAsia" w:ascii="Times New Roman" w:cs="Times New Roman"/>
                <w:kern w:val="2"/>
                <w:szCs w:val="21"/>
                <w:lang w:val="en-US" w:eastAsia="zh-CN" w:bidi="ar-SA"/>
              </w:rPr>
            </w:pPr>
            <w:r>
              <w:rPr>
                <w:rFonts w:hint="eastAsia" w:ascii="Times New Roman" w:cs="Times New Roman"/>
                <w:kern w:val="2"/>
                <w:szCs w:val="21"/>
                <w:lang w:val="en-US" w:eastAsia="zh-CN" w:bidi="ar-SA"/>
              </w:rPr>
              <w:t>其他机械设计3D模型</w:t>
            </w:r>
          </w:p>
        </w:tc>
        <w:tc>
          <w:tcPr>
            <w:tcW w:w="3591" w:type="dxa"/>
            <w:vAlign w:val="center"/>
          </w:tcPr>
          <w:p w14:paraId="3DCC7369">
            <w:pPr>
              <w:pStyle w:val="18"/>
              <w:spacing w:before="31" w:after="31" w:line="500" w:lineRule="exact"/>
              <w:ind w:left="21"/>
              <w:jc w:val="both"/>
              <w:rPr>
                <w:rFonts w:hint="eastAsia" w:ascii="Times New Roman" w:cs="Times New Roman"/>
                <w:kern w:val="2"/>
                <w:szCs w:val="21"/>
                <w:lang w:val="en-US" w:eastAsia="zh-CN" w:bidi="ar-SA"/>
              </w:rPr>
            </w:pPr>
            <w:r>
              <w:rPr>
                <w:rFonts w:hint="eastAsia" w:ascii="Times New Roman" w:cs="Times New Roman"/>
                <w:kern w:val="2"/>
                <w:szCs w:val="21"/>
                <w:lang w:val="en-US" w:eastAsia="zh-CN" w:bidi="ar-SA"/>
              </w:rPr>
              <w:t>.stp</w:t>
            </w:r>
          </w:p>
        </w:tc>
        <w:tc>
          <w:tcPr>
            <w:tcW w:w="1785" w:type="dxa"/>
            <w:vAlign w:val="center"/>
          </w:tcPr>
          <w:p w14:paraId="67745963">
            <w:pPr>
              <w:pStyle w:val="18"/>
              <w:spacing w:before="31" w:after="31" w:line="500" w:lineRule="exact"/>
              <w:ind w:left="21"/>
              <w:jc w:val="both"/>
              <w:rPr>
                <w:rFonts w:hint="eastAsia" w:ascii="Times New Roman" w:cs="Times New Roman"/>
                <w:kern w:val="2"/>
                <w:szCs w:val="21"/>
                <w:lang w:val="en-US" w:eastAsia="zh-CN" w:bidi="ar-SA"/>
              </w:rPr>
            </w:pPr>
          </w:p>
        </w:tc>
      </w:tr>
    </w:tbl>
    <w:p w14:paraId="17A7BFFC">
      <w:pPr>
        <w:pStyle w:val="17"/>
        <w:spacing w:line="420" w:lineRule="exact"/>
        <w:ind w:firstLine="420" w:firstLineChars="200"/>
        <w:rPr>
          <w:rFonts w:hint="eastAsia" w:hAnsi="宋体"/>
          <w:szCs w:val="21"/>
        </w:rPr>
      </w:pPr>
      <w:r>
        <w:rPr>
          <w:rFonts w:hint="eastAsia" w:hAnsi="宋体"/>
          <w:szCs w:val="21"/>
        </w:rPr>
        <w:t>3.1.</w:t>
      </w:r>
      <w:r>
        <w:rPr>
          <w:rFonts w:hAnsi="宋体"/>
          <w:szCs w:val="21"/>
        </w:rPr>
        <w:t>4智能P&amp;ID交付内容</w:t>
      </w:r>
    </w:p>
    <w:p w14:paraId="197CE2DE">
      <w:pPr>
        <w:spacing w:line="420" w:lineRule="exact"/>
        <w:ind w:firstLine="420" w:firstLineChars="200"/>
        <w:textAlignment w:val="baseline"/>
        <w:rPr>
          <w:rFonts w:hint="eastAsia" w:hAnsi="宋体"/>
          <w:szCs w:val="21"/>
        </w:rPr>
      </w:pPr>
      <w:r>
        <w:rPr>
          <w:rFonts w:hAnsi="宋体"/>
          <w:szCs w:val="21"/>
        </w:rPr>
        <w:t>针对成套设备，需要移交智能P&amp;ID文件，原则上智能P&amp;ID软件的选择应符合下表的要求。</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843"/>
        <w:gridCol w:w="2835"/>
        <w:gridCol w:w="2205"/>
      </w:tblGrid>
      <w:tr w14:paraId="3B450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14:paraId="67181A97">
            <w:pPr>
              <w:pStyle w:val="19"/>
              <w:widowControl w:val="0"/>
              <w:adjustRightInd w:val="0"/>
              <w:spacing w:line="500" w:lineRule="exact"/>
              <w:ind w:firstLine="0" w:firstLineChars="0"/>
              <w:textAlignment w:val="baseline"/>
              <w:rPr>
                <w:rFonts w:hint="eastAsia" w:ascii="Times New Roman" w:hAnsi="宋体"/>
                <w:kern w:val="0"/>
                <w:sz w:val="21"/>
                <w:szCs w:val="21"/>
              </w:rPr>
            </w:pPr>
            <w:r>
              <w:rPr>
                <w:rFonts w:hint="eastAsia" w:ascii="Times New Roman" w:hAnsi="宋体"/>
                <w:sz w:val="21"/>
                <w:szCs w:val="21"/>
              </w:rPr>
              <w:t>软件类型</w:t>
            </w:r>
          </w:p>
        </w:tc>
        <w:tc>
          <w:tcPr>
            <w:tcW w:w="1843" w:type="dxa"/>
          </w:tcPr>
          <w:p w14:paraId="22C0F8AF">
            <w:pPr>
              <w:pStyle w:val="19"/>
              <w:widowControl w:val="0"/>
              <w:adjustRightInd w:val="0"/>
              <w:spacing w:line="500" w:lineRule="exact"/>
              <w:ind w:firstLine="0" w:firstLineChars="0"/>
              <w:textAlignment w:val="baseline"/>
              <w:rPr>
                <w:rFonts w:hint="eastAsia" w:ascii="Times New Roman" w:hAnsi="宋体"/>
                <w:kern w:val="0"/>
                <w:sz w:val="21"/>
                <w:szCs w:val="21"/>
              </w:rPr>
            </w:pPr>
            <w:r>
              <w:rPr>
                <w:rFonts w:hint="eastAsia" w:ascii="Times New Roman" w:hAnsi="宋体"/>
                <w:sz w:val="21"/>
                <w:szCs w:val="21"/>
              </w:rPr>
              <w:t>软件推荐</w:t>
            </w:r>
          </w:p>
        </w:tc>
        <w:tc>
          <w:tcPr>
            <w:tcW w:w="2835" w:type="dxa"/>
          </w:tcPr>
          <w:p w14:paraId="601125A4">
            <w:pPr>
              <w:pStyle w:val="19"/>
              <w:widowControl w:val="0"/>
              <w:adjustRightInd w:val="0"/>
              <w:spacing w:line="500" w:lineRule="exact"/>
              <w:ind w:firstLine="0" w:firstLineChars="0"/>
              <w:textAlignment w:val="baseline"/>
              <w:rPr>
                <w:rFonts w:hint="eastAsia" w:ascii="Times New Roman" w:hAnsi="宋体"/>
                <w:kern w:val="0"/>
                <w:sz w:val="21"/>
                <w:szCs w:val="21"/>
              </w:rPr>
            </w:pPr>
            <w:r>
              <w:rPr>
                <w:rFonts w:hint="eastAsia" w:ascii="Times New Roman" w:hAnsi="宋体"/>
                <w:sz w:val="21"/>
                <w:szCs w:val="21"/>
              </w:rPr>
              <w:t>交付输出格式</w:t>
            </w:r>
          </w:p>
        </w:tc>
        <w:tc>
          <w:tcPr>
            <w:tcW w:w="2205" w:type="dxa"/>
          </w:tcPr>
          <w:p w14:paraId="0CDDFD24">
            <w:pPr>
              <w:pStyle w:val="19"/>
              <w:widowControl w:val="0"/>
              <w:adjustRightInd w:val="0"/>
              <w:spacing w:line="500" w:lineRule="exact"/>
              <w:ind w:firstLine="0" w:firstLineChars="0"/>
              <w:textAlignment w:val="baseline"/>
              <w:rPr>
                <w:rFonts w:hint="eastAsia" w:ascii="Times New Roman" w:hAnsi="宋体"/>
                <w:kern w:val="0"/>
                <w:sz w:val="21"/>
                <w:szCs w:val="21"/>
              </w:rPr>
            </w:pPr>
            <w:r>
              <w:rPr>
                <w:rFonts w:hint="eastAsia" w:ascii="Times New Roman" w:hAnsi="宋体"/>
                <w:sz w:val="21"/>
                <w:szCs w:val="21"/>
              </w:rPr>
              <w:t>备注</w:t>
            </w:r>
          </w:p>
        </w:tc>
      </w:tr>
      <w:tr w14:paraId="23077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restart"/>
          </w:tcPr>
          <w:p w14:paraId="62D7C50E">
            <w:pPr>
              <w:pStyle w:val="19"/>
              <w:widowControl w:val="0"/>
              <w:adjustRightInd w:val="0"/>
              <w:spacing w:line="500" w:lineRule="exact"/>
              <w:ind w:firstLine="0" w:firstLineChars="0"/>
              <w:textAlignment w:val="baseline"/>
              <w:rPr>
                <w:rFonts w:hint="eastAsia" w:ascii="Times New Roman" w:hAnsi="宋体"/>
                <w:kern w:val="0"/>
                <w:sz w:val="21"/>
                <w:szCs w:val="21"/>
              </w:rPr>
            </w:pPr>
            <w:r>
              <w:rPr>
                <w:rFonts w:hint="eastAsia" w:ascii="Times New Roman" w:hAnsi="宋体"/>
                <w:sz w:val="21"/>
                <w:szCs w:val="21"/>
              </w:rPr>
              <w:t>智能P&amp;ID</w:t>
            </w:r>
          </w:p>
        </w:tc>
        <w:tc>
          <w:tcPr>
            <w:tcW w:w="1843" w:type="dxa"/>
          </w:tcPr>
          <w:p w14:paraId="0AAF9ED4">
            <w:pPr>
              <w:pStyle w:val="19"/>
              <w:widowControl w:val="0"/>
              <w:adjustRightInd w:val="0"/>
              <w:spacing w:line="500" w:lineRule="exact"/>
              <w:ind w:firstLine="0" w:firstLineChars="0"/>
              <w:textAlignment w:val="baseline"/>
              <w:rPr>
                <w:rFonts w:hint="eastAsia" w:ascii="Times New Roman" w:hAnsi="宋体"/>
                <w:kern w:val="0"/>
                <w:sz w:val="21"/>
                <w:szCs w:val="21"/>
              </w:rPr>
            </w:pPr>
            <w:r>
              <w:rPr>
                <w:rFonts w:hint="eastAsia" w:ascii="Times New Roman" w:hAnsi="宋体"/>
                <w:sz w:val="21"/>
                <w:szCs w:val="21"/>
              </w:rPr>
              <w:t>AVEVA Diagram</w:t>
            </w:r>
          </w:p>
        </w:tc>
        <w:tc>
          <w:tcPr>
            <w:tcW w:w="2835" w:type="dxa"/>
          </w:tcPr>
          <w:p w14:paraId="0E6CDE58">
            <w:pPr>
              <w:pStyle w:val="19"/>
              <w:widowControl w:val="0"/>
              <w:adjustRightInd w:val="0"/>
              <w:spacing w:line="500" w:lineRule="exact"/>
              <w:ind w:firstLine="0" w:firstLineChars="0"/>
              <w:textAlignment w:val="baseline"/>
              <w:rPr>
                <w:rFonts w:hint="eastAsia" w:ascii="Times New Roman" w:hAnsi="宋体"/>
                <w:kern w:val="0"/>
                <w:sz w:val="21"/>
                <w:szCs w:val="21"/>
              </w:rPr>
            </w:pPr>
            <w:r>
              <w:rPr>
                <w:rFonts w:hint="eastAsia" w:ascii="Times New Roman" w:hAnsi="宋体"/>
                <w:sz w:val="21"/>
                <w:szCs w:val="21"/>
              </w:rPr>
              <w:t>.svg+.xml</w:t>
            </w:r>
          </w:p>
        </w:tc>
        <w:tc>
          <w:tcPr>
            <w:tcW w:w="2205" w:type="dxa"/>
          </w:tcPr>
          <w:p w14:paraId="019A99B5">
            <w:pPr>
              <w:pStyle w:val="19"/>
              <w:widowControl w:val="0"/>
              <w:adjustRightInd w:val="0"/>
              <w:spacing w:line="500" w:lineRule="exact"/>
              <w:ind w:firstLine="0" w:firstLineChars="0"/>
              <w:textAlignment w:val="baseline"/>
              <w:rPr>
                <w:rFonts w:hint="eastAsia" w:ascii="Times New Roman" w:hAnsi="宋体"/>
                <w:kern w:val="0"/>
                <w:sz w:val="21"/>
                <w:szCs w:val="21"/>
              </w:rPr>
            </w:pPr>
          </w:p>
        </w:tc>
      </w:tr>
      <w:tr w14:paraId="05B4D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tcPr>
          <w:p w14:paraId="6F6163A7">
            <w:pPr>
              <w:pStyle w:val="19"/>
              <w:widowControl w:val="0"/>
              <w:adjustRightInd w:val="0"/>
              <w:spacing w:line="500" w:lineRule="exact"/>
              <w:ind w:firstLine="0" w:firstLineChars="0"/>
              <w:textAlignment w:val="baseline"/>
              <w:rPr>
                <w:rFonts w:hint="eastAsia" w:ascii="Times New Roman" w:hAnsi="宋体"/>
                <w:kern w:val="0"/>
                <w:sz w:val="21"/>
                <w:szCs w:val="21"/>
              </w:rPr>
            </w:pPr>
          </w:p>
        </w:tc>
        <w:tc>
          <w:tcPr>
            <w:tcW w:w="1843" w:type="dxa"/>
          </w:tcPr>
          <w:p w14:paraId="06390255">
            <w:pPr>
              <w:pStyle w:val="19"/>
              <w:widowControl w:val="0"/>
              <w:adjustRightInd w:val="0"/>
              <w:spacing w:line="500" w:lineRule="exact"/>
              <w:ind w:firstLine="0" w:firstLineChars="0"/>
              <w:textAlignment w:val="baseline"/>
              <w:rPr>
                <w:rFonts w:hint="eastAsia" w:ascii="Times New Roman" w:hAnsi="宋体"/>
                <w:kern w:val="0"/>
                <w:sz w:val="21"/>
                <w:szCs w:val="21"/>
              </w:rPr>
            </w:pPr>
            <w:r>
              <w:rPr>
                <w:rFonts w:hint="eastAsia" w:ascii="Times New Roman" w:hAnsi="宋体"/>
                <w:sz w:val="21"/>
                <w:szCs w:val="21"/>
              </w:rPr>
              <w:t>SmartPlant P&amp;ID</w:t>
            </w:r>
          </w:p>
        </w:tc>
        <w:tc>
          <w:tcPr>
            <w:tcW w:w="2835" w:type="dxa"/>
          </w:tcPr>
          <w:p w14:paraId="541B2E1A">
            <w:pPr>
              <w:pStyle w:val="19"/>
              <w:widowControl w:val="0"/>
              <w:adjustRightInd w:val="0"/>
              <w:spacing w:line="500" w:lineRule="exact"/>
              <w:ind w:firstLine="0" w:firstLineChars="0"/>
              <w:textAlignment w:val="baseline"/>
              <w:rPr>
                <w:rFonts w:hint="eastAsia" w:ascii="Times New Roman" w:hAnsi="宋体"/>
                <w:kern w:val="0"/>
                <w:sz w:val="21"/>
                <w:szCs w:val="21"/>
              </w:rPr>
            </w:pPr>
            <w:r>
              <w:rPr>
                <w:rFonts w:hint="eastAsia" w:ascii="Times New Roman" w:hAnsi="宋体"/>
                <w:sz w:val="21"/>
                <w:szCs w:val="21"/>
              </w:rPr>
              <w:t>.pid+.xml+EFSchema.cmf</w:t>
            </w:r>
          </w:p>
        </w:tc>
        <w:tc>
          <w:tcPr>
            <w:tcW w:w="2205" w:type="dxa"/>
          </w:tcPr>
          <w:p w14:paraId="31C47044">
            <w:pPr>
              <w:pStyle w:val="19"/>
              <w:widowControl w:val="0"/>
              <w:adjustRightInd w:val="0"/>
              <w:spacing w:line="500" w:lineRule="exact"/>
              <w:ind w:firstLine="0" w:firstLineChars="0"/>
              <w:textAlignment w:val="baseline"/>
              <w:rPr>
                <w:rFonts w:hint="eastAsia" w:ascii="Times New Roman" w:hAnsi="宋体"/>
                <w:kern w:val="0"/>
                <w:sz w:val="21"/>
                <w:szCs w:val="21"/>
              </w:rPr>
            </w:pPr>
            <w:r>
              <w:rPr>
                <w:rFonts w:hint="eastAsia" w:ascii="Times New Roman" w:hAnsi="宋体"/>
                <w:sz w:val="21"/>
                <w:szCs w:val="21"/>
              </w:rPr>
              <w:t>Schema 文件如未</w:t>
            </w:r>
          </w:p>
          <w:p w14:paraId="5813ABDB">
            <w:pPr>
              <w:pStyle w:val="19"/>
              <w:widowControl w:val="0"/>
              <w:adjustRightInd w:val="0"/>
              <w:spacing w:line="500" w:lineRule="exact"/>
              <w:ind w:firstLine="0" w:firstLineChars="0"/>
              <w:textAlignment w:val="baseline"/>
              <w:rPr>
                <w:rFonts w:hint="eastAsia" w:ascii="Times New Roman" w:hAnsi="宋体"/>
                <w:kern w:val="0"/>
                <w:sz w:val="21"/>
                <w:szCs w:val="21"/>
              </w:rPr>
            </w:pPr>
            <w:r>
              <w:rPr>
                <w:rFonts w:hint="eastAsia" w:ascii="Times New Roman" w:hAnsi="宋体"/>
                <w:sz w:val="21"/>
                <w:szCs w:val="21"/>
              </w:rPr>
              <w:t>修改，可不提供</w:t>
            </w:r>
          </w:p>
        </w:tc>
      </w:tr>
      <w:tr w14:paraId="3FA51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tcPr>
          <w:p w14:paraId="04D69072">
            <w:pPr>
              <w:pStyle w:val="19"/>
              <w:widowControl w:val="0"/>
              <w:adjustRightInd w:val="0"/>
              <w:spacing w:line="500" w:lineRule="exact"/>
              <w:ind w:firstLine="0" w:firstLineChars="0"/>
              <w:textAlignment w:val="baseline"/>
              <w:rPr>
                <w:rFonts w:hint="eastAsia" w:ascii="Times New Roman" w:hAnsi="宋体"/>
                <w:kern w:val="0"/>
                <w:sz w:val="21"/>
                <w:szCs w:val="21"/>
              </w:rPr>
            </w:pPr>
          </w:p>
        </w:tc>
        <w:tc>
          <w:tcPr>
            <w:tcW w:w="1843" w:type="dxa"/>
          </w:tcPr>
          <w:p w14:paraId="36701093">
            <w:pPr>
              <w:pStyle w:val="19"/>
              <w:widowControl w:val="0"/>
              <w:adjustRightInd w:val="0"/>
              <w:spacing w:line="500" w:lineRule="exact"/>
              <w:ind w:firstLine="0" w:firstLineChars="0"/>
              <w:textAlignment w:val="baseline"/>
              <w:rPr>
                <w:rFonts w:hint="eastAsia" w:ascii="Times New Roman" w:hAnsi="宋体"/>
                <w:kern w:val="0"/>
                <w:sz w:val="21"/>
                <w:szCs w:val="21"/>
              </w:rPr>
            </w:pPr>
            <w:r>
              <w:rPr>
                <w:rFonts w:hint="eastAsia" w:ascii="Times New Roman" w:hAnsi="宋体"/>
                <w:sz w:val="21"/>
                <w:szCs w:val="21"/>
              </w:rPr>
              <w:t>AutoCAD P&amp;ID</w:t>
            </w:r>
          </w:p>
        </w:tc>
        <w:tc>
          <w:tcPr>
            <w:tcW w:w="2835" w:type="dxa"/>
          </w:tcPr>
          <w:p w14:paraId="0438A2DC">
            <w:pPr>
              <w:pStyle w:val="19"/>
              <w:widowControl w:val="0"/>
              <w:adjustRightInd w:val="0"/>
              <w:spacing w:line="500" w:lineRule="exact"/>
              <w:ind w:firstLine="0" w:firstLineChars="0"/>
              <w:textAlignment w:val="baseline"/>
              <w:rPr>
                <w:rFonts w:hint="eastAsia" w:ascii="Times New Roman" w:hAnsi="宋体"/>
                <w:kern w:val="0"/>
                <w:sz w:val="21"/>
                <w:szCs w:val="21"/>
              </w:rPr>
            </w:pPr>
            <w:r>
              <w:rPr>
                <w:rFonts w:hint="eastAsia" w:ascii="Times New Roman" w:hAnsi="宋体"/>
                <w:sz w:val="21"/>
                <w:szCs w:val="21"/>
              </w:rPr>
              <w:t>.dwg+项目文件</w:t>
            </w:r>
          </w:p>
        </w:tc>
        <w:tc>
          <w:tcPr>
            <w:tcW w:w="2205" w:type="dxa"/>
          </w:tcPr>
          <w:p w14:paraId="0BCC8208">
            <w:pPr>
              <w:pStyle w:val="19"/>
              <w:widowControl w:val="0"/>
              <w:adjustRightInd w:val="0"/>
              <w:spacing w:line="500" w:lineRule="exact"/>
              <w:ind w:firstLine="0" w:firstLineChars="0"/>
              <w:textAlignment w:val="baseline"/>
              <w:rPr>
                <w:rFonts w:hint="eastAsia" w:ascii="Times New Roman" w:hAnsi="宋体"/>
                <w:kern w:val="0"/>
                <w:sz w:val="21"/>
                <w:szCs w:val="21"/>
              </w:rPr>
            </w:pPr>
          </w:p>
        </w:tc>
      </w:tr>
    </w:tbl>
    <w:p w14:paraId="3A9EFAE1">
      <w:pPr>
        <w:pStyle w:val="17"/>
        <w:spacing w:line="500" w:lineRule="exact"/>
        <w:rPr>
          <w:rFonts w:hint="eastAsia" w:hAnsi="宋体"/>
          <w:szCs w:val="21"/>
        </w:rPr>
      </w:pPr>
    </w:p>
    <w:p w14:paraId="000B6D79">
      <w:pPr>
        <w:pStyle w:val="17"/>
        <w:spacing w:line="420" w:lineRule="exact"/>
        <w:ind w:firstLine="420" w:firstLineChars="200"/>
        <w:rPr>
          <w:rFonts w:hint="eastAsia" w:hAnsi="宋体"/>
          <w:szCs w:val="21"/>
        </w:rPr>
      </w:pPr>
      <w:r>
        <w:rPr>
          <w:rFonts w:hAnsi="宋体"/>
          <w:szCs w:val="21"/>
        </w:rPr>
        <w:t>智能P&amp;ID的文档命名和编码、图例、属性、图框、质量等应满足</w:t>
      </w:r>
      <w:r>
        <w:rPr>
          <w:rFonts w:hint="eastAsia" w:hAnsi="宋体"/>
          <w:szCs w:val="21"/>
          <w:lang w:eastAsia="zh-CN"/>
        </w:rPr>
        <w:t>采购</w:t>
      </w:r>
      <w:r>
        <w:rPr>
          <w:rFonts w:hint="eastAsia" w:hAnsi="宋体"/>
          <w:szCs w:val="21"/>
        </w:rPr>
        <w:t>方</w:t>
      </w:r>
      <w:r>
        <w:rPr>
          <w:rFonts w:hAnsi="宋体"/>
          <w:szCs w:val="21"/>
        </w:rPr>
        <w:t>发布的数字化交付统一规定的要求。</w:t>
      </w:r>
    </w:p>
    <w:p w14:paraId="5173655E">
      <w:pPr>
        <w:pStyle w:val="17"/>
        <w:spacing w:line="420" w:lineRule="exact"/>
        <w:ind w:firstLine="420" w:firstLineChars="200"/>
        <w:rPr>
          <w:rFonts w:hint="eastAsia" w:hAnsi="宋体"/>
          <w:szCs w:val="21"/>
        </w:rPr>
      </w:pPr>
      <w:r>
        <w:rPr>
          <w:rFonts w:hint="eastAsia" w:hAnsi="宋体"/>
          <w:szCs w:val="21"/>
        </w:rPr>
        <w:t>3.1.</w:t>
      </w:r>
      <w:r>
        <w:rPr>
          <w:rFonts w:hAnsi="宋体"/>
          <w:szCs w:val="21"/>
        </w:rPr>
        <w:t>5工程文档交付</w:t>
      </w:r>
    </w:p>
    <w:p w14:paraId="530499A5">
      <w:pPr>
        <w:pStyle w:val="17"/>
        <w:spacing w:line="420" w:lineRule="exact"/>
        <w:ind w:firstLine="420" w:firstLineChars="200"/>
        <w:rPr>
          <w:rFonts w:hint="eastAsia" w:hAnsi="宋体"/>
          <w:szCs w:val="21"/>
        </w:rPr>
      </w:pPr>
      <w:r>
        <w:rPr>
          <w:rFonts w:hAnsi="宋体"/>
          <w:szCs w:val="21"/>
        </w:rPr>
        <w:t>供应商应按照</w:t>
      </w:r>
      <w:r>
        <w:rPr>
          <w:rFonts w:hint="eastAsia" w:hAnsi="宋体"/>
          <w:szCs w:val="21"/>
          <w:lang w:eastAsia="zh-CN"/>
        </w:rPr>
        <w:t>采购</w:t>
      </w:r>
      <w:r>
        <w:rPr>
          <w:rFonts w:hint="eastAsia" w:hAnsi="宋体"/>
          <w:szCs w:val="21"/>
        </w:rPr>
        <w:t>方</w:t>
      </w:r>
      <w:r>
        <w:rPr>
          <w:rFonts w:hAnsi="宋体"/>
          <w:szCs w:val="21"/>
        </w:rPr>
        <w:t>发布的数字化交付统一规定的要求，移交设备随机文件（如合格证、图纸、检验报告、操作/维护说明、备品备件清单、零部件清单等），文件的编码、目录结构、属性、质量等应符合规定的要求。</w:t>
      </w:r>
    </w:p>
    <w:p w14:paraId="728735E4">
      <w:pPr>
        <w:pStyle w:val="17"/>
        <w:spacing w:line="420" w:lineRule="exact"/>
        <w:ind w:firstLine="420" w:firstLineChars="200"/>
        <w:rPr>
          <w:rFonts w:hint="eastAsia" w:hAnsi="宋体"/>
          <w:szCs w:val="21"/>
        </w:rPr>
      </w:pPr>
      <w:r>
        <w:rPr>
          <w:rFonts w:hAnsi="宋体"/>
          <w:szCs w:val="21"/>
        </w:rPr>
        <w:t>原则上移交的文档为带签章的PDF文件，针对数据表、备品备件清单、零部件清单等文件，还需同时移交可编辑版本，需要移交可编辑版的文件范围、文件格式以发布的统一规定为准。</w:t>
      </w:r>
    </w:p>
    <w:p w14:paraId="482B5BB2">
      <w:pPr>
        <w:pStyle w:val="17"/>
        <w:spacing w:line="420" w:lineRule="exact"/>
        <w:ind w:firstLine="420" w:firstLineChars="200"/>
        <w:rPr>
          <w:rFonts w:hint="eastAsia" w:hAnsi="宋体"/>
          <w:szCs w:val="21"/>
        </w:rPr>
      </w:pPr>
      <w:r>
        <w:rPr>
          <w:rFonts w:hint="eastAsia" w:hAnsi="宋体"/>
          <w:szCs w:val="21"/>
        </w:rPr>
        <w:t>3.1</w:t>
      </w:r>
      <w:r>
        <w:rPr>
          <w:rFonts w:hAnsi="宋体"/>
          <w:szCs w:val="21"/>
        </w:rPr>
        <w:t>.6工厂对象与文档的关联关系</w:t>
      </w:r>
    </w:p>
    <w:p w14:paraId="42699CD9">
      <w:pPr>
        <w:pStyle w:val="17"/>
        <w:spacing w:line="420" w:lineRule="exact"/>
        <w:ind w:firstLine="420" w:firstLineChars="200"/>
        <w:rPr>
          <w:rFonts w:hint="eastAsia" w:hAnsi="宋体"/>
          <w:szCs w:val="21"/>
        </w:rPr>
      </w:pPr>
      <w:r>
        <w:rPr>
          <w:rFonts w:hAnsi="宋体"/>
          <w:szCs w:val="21"/>
        </w:rPr>
        <w:t>供应商应按照项目数字化交付统一规定的要求，以及数字化交付平台提供的关联关系模板，移交对象与文档的关联关系。</w:t>
      </w:r>
    </w:p>
    <w:p w14:paraId="68B2FADC">
      <w:pPr>
        <w:pStyle w:val="17"/>
        <w:spacing w:line="380" w:lineRule="exact"/>
        <w:rPr>
          <w:rFonts w:hint="eastAsia" w:hAnsi="宋体"/>
          <w:szCs w:val="21"/>
        </w:rPr>
      </w:pPr>
    </w:p>
    <w:p w14:paraId="354EB572"/>
    <w:p w14:paraId="2793A2FE"/>
    <w:p w14:paraId="65E0B62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2712F6"/>
    <w:multiLevelType w:val="multilevel"/>
    <w:tmpl w:val="B02712F6"/>
    <w:lvl w:ilvl="0" w:tentative="0">
      <w:start w:val="4"/>
      <w:numFmt w:val="decimal"/>
      <w:lvlText w:val="%1."/>
      <w:lvlJc w:val="left"/>
      <w:pPr>
        <w:tabs>
          <w:tab w:val="left" w:pos="312"/>
        </w:tabs>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1F3E18"/>
    <w:rsid w:val="00007ABB"/>
    <w:rsid w:val="00025555"/>
    <w:rsid w:val="00027E59"/>
    <w:rsid w:val="00061AA3"/>
    <w:rsid w:val="00085DE0"/>
    <w:rsid w:val="000B6141"/>
    <w:rsid w:val="000D2A16"/>
    <w:rsid w:val="00121C4C"/>
    <w:rsid w:val="00143B1D"/>
    <w:rsid w:val="00154BF9"/>
    <w:rsid w:val="001A13D2"/>
    <w:rsid w:val="001B73A2"/>
    <w:rsid w:val="001C3DED"/>
    <w:rsid w:val="001D194D"/>
    <w:rsid w:val="001D2570"/>
    <w:rsid w:val="001F3E18"/>
    <w:rsid w:val="001F4EEF"/>
    <w:rsid w:val="002865FD"/>
    <w:rsid w:val="00287006"/>
    <w:rsid w:val="002D6C6E"/>
    <w:rsid w:val="00305560"/>
    <w:rsid w:val="00336E9E"/>
    <w:rsid w:val="003640E4"/>
    <w:rsid w:val="00387C32"/>
    <w:rsid w:val="003D7BA7"/>
    <w:rsid w:val="00433230"/>
    <w:rsid w:val="004332FE"/>
    <w:rsid w:val="004373BC"/>
    <w:rsid w:val="004425D9"/>
    <w:rsid w:val="00442BF8"/>
    <w:rsid w:val="0044424F"/>
    <w:rsid w:val="004524B4"/>
    <w:rsid w:val="004601D6"/>
    <w:rsid w:val="00474611"/>
    <w:rsid w:val="00486103"/>
    <w:rsid w:val="004906A5"/>
    <w:rsid w:val="004D4C29"/>
    <w:rsid w:val="005173E7"/>
    <w:rsid w:val="0052745B"/>
    <w:rsid w:val="00530F59"/>
    <w:rsid w:val="005368A2"/>
    <w:rsid w:val="005409D2"/>
    <w:rsid w:val="005A18A5"/>
    <w:rsid w:val="005A3DF7"/>
    <w:rsid w:val="005A44D6"/>
    <w:rsid w:val="005C1AC9"/>
    <w:rsid w:val="005C30DC"/>
    <w:rsid w:val="005D5508"/>
    <w:rsid w:val="005F0217"/>
    <w:rsid w:val="00651F57"/>
    <w:rsid w:val="00693A19"/>
    <w:rsid w:val="006A4F7C"/>
    <w:rsid w:val="00701EF3"/>
    <w:rsid w:val="00712B82"/>
    <w:rsid w:val="00726CB3"/>
    <w:rsid w:val="00791E25"/>
    <w:rsid w:val="007C1946"/>
    <w:rsid w:val="007C282B"/>
    <w:rsid w:val="007C4213"/>
    <w:rsid w:val="007F1A12"/>
    <w:rsid w:val="00837783"/>
    <w:rsid w:val="00852D6C"/>
    <w:rsid w:val="008736F4"/>
    <w:rsid w:val="008827E7"/>
    <w:rsid w:val="00896DB2"/>
    <w:rsid w:val="008F4430"/>
    <w:rsid w:val="00901623"/>
    <w:rsid w:val="00907C00"/>
    <w:rsid w:val="00914106"/>
    <w:rsid w:val="009367EE"/>
    <w:rsid w:val="00945112"/>
    <w:rsid w:val="009612AE"/>
    <w:rsid w:val="009732D3"/>
    <w:rsid w:val="009D3701"/>
    <w:rsid w:val="009F33EF"/>
    <w:rsid w:val="00A2590C"/>
    <w:rsid w:val="00A26D26"/>
    <w:rsid w:val="00A27BED"/>
    <w:rsid w:val="00A61EF5"/>
    <w:rsid w:val="00A71B4E"/>
    <w:rsid w:val="00A96AA0"/>
    <w:rsid w:val="00AA04C9"/>
    <w:rsid w:val="00AA36F5"/>
    <w:rsid w:val="00AB56EC"/>
    <w:rsid w:val="00AC5AAB"/>
    <w:rsid w:val="00AE0BE0"/>
    <w:rsid w:val="00AE20B3"/>
    <w:rsid w:val="00AF64FB"/>
    <w:rsid w:val="00B10EB6"/>
    <w:rsid w:val="00B50494"/>
    <w:rsid w:val="00B726E5"/>
    <w:rsid w:val="00B7279A"/>
    <w:rsid w:val="00BA0FEE"/>
    <w:rsid w:val="00C01251"/>
    <w:rsid w:val="00C11063"/>
    <w:rsid w:val="00C2501D"/>
    <w:rsid w:val="00C519ED"/>
    <w:rsid w:val="00C86EBF"/>
    <w:rsid w:val="00CC06E6"/>
    <w:rsid w:val="00CC162B"/>
    <w:rsid w:val="00CC32B0"/>
    <w:rsid w:val="00CC3952"/>
    <w:rsid w:val="00CD5C71"/>
    <w:rsid w:val="00D843B9"/>
    <w:rsid w:val="00DC783F"/>
    <w:rsid w:val="00DE2257"/>
    <w:rsid w:val="00DE6621"/>
    <w:rsid w:val="00E038BA"/>
    <w:rsid w:val="00E84589"/>
    <w:rsid w:val="00ED5D7A"/>
    <w:rsid w:val="00EF02ED"/>
    <w:rsid w:val="00F12FFD"/>
    <w:rsid w:val="00F327C6"/>
    <w:rsid w:val="00F62DC4"/>
    <w:rsid w:val="00FB1ECE"/>
    <w:rsid w:val="00FD2E09"/>
    <w:rsid w:val="055B3926"/>
    <w:rsid w:val="088A6486"/>
    <w:rsid w:val="0AC7549A"/>
    <w:rsid w:val="0E925341"/>
    <w:rsid w:val="0EFE6908"/>
    <w:rsid w:val="0F3D5AB8"/>
    <w:rsid w:val="0F4811BC"/>
    <w:rsid w:val="0FBF0038"/>
    <w:rsid w:val="14CF0772"/>
    <w:rsid w:val="16F520F4"/>
    <w:rsid w:val="1BDC5AAC"/>
    <w:rsid w:val="1E594890"/>
    <w:rsid w:val="1E5D3CF4"/>
    <w:rsid w:val="22676B31"/>
    <w:rsid w:val="28955ACD"/>
    <w:rsid w:val="29F30D95"/>
    <w:rsid w:val="2CEC010D"/>
    <w:rsid w:val="2D177764"/>
    <w:rsid w:val="2D7A1A3B"/>
    <w:rsid w:val="2DB63369"/>
    <w:rsid w:val="33734499"/>
    <w:rsid w:val="39A14F85"/>
    <w:rsid w:val="40DC48CC"/>
    <w:rsid w:val="42A32D51"/>
    <w:rsid w:val="464A4750"/>
    <w:rsid w:val="490E5A67"/>
    <w:rsid w:val="4ADE1EFC"/>
    <w:rsid w:val="4B79531C"/>
    <w:rsid w:val="4B842E52"/>
    <w:rsid w:val="4F3F45C3"/>
    <w:rsid w:val="593E1508"/>
    <w:rsid w:val="5A8B6BDC"/>
    <w:rsid w:val="5C5D02DE"/>
    <w:rsid w:val="6A460B02"/>
    <w:rsid w:val="6A470C7C"/>
    <w:rsid w:val="6A96273B"/>
    <w:rsid w:val="6E0D2FA5"/>
    <w:rsid w:val="74673FB1"/>
    <w:rsid w:val="753D48AC"/>
    <w:rsid w:val="75D91D6C"/>
    <w:rsid w:val="78247380"/>
    <w:rsid w:val="7BC33428"/>
    <w:rsid w:val="7C683210"/>
    <w:rsid w:val="7CAA087A"/>
    <w:rsid w:val="7CAF4890"/>
    <w:rsid w:val="7EE022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3"/>
    <w:qFormat/>
    <w:uiPriority w:val="0"/>
    <w:pPr>
      <w:keepNext/>
      <w:keepLines/>
      <w:spacing w:before="340" w:after="330" w:line="578" w:lineRule="auto"/>
      <w:outlineLvl w:val="0"/>
    </w:pPr>
    <w:rPr>
      <w:b/>
      <w:bCs/>
      <w:kern w:val="44"/>
      <w:sz w:val="44"/>
      <w:szCs w:val="44"/>
    </w:rPr>
  </w:style>
  <w:style w:type="paragraph" w:styleId="3">
    <w:name w:val="heading 3"/>
    <w:basedOn w:val="1"/>
    <w:next w:val="1"/>
    <w:link w:val="14"/>
    <w:qFormat/>
    <w:uiPriority w:val="0"/>
    <w:pPr>
      <w:keepNext/>
      <w:keepLines/>
      <w:spacing w:before="120" w:after="120"/>
      <w:outlineLvl w:val="2"/>
    </w:pPr>
    <w:rPr>
      <w:b/>
      <w:bCs/>
      <w:szCs w:val="32"/>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6"/>
    <w:qFormat/>
    <w:uiPriority w:val="0"/>
    <w:pPr>
      <w:ind w:firstLine="420"/>
    </w:pPr>
  </w:style>
  <w:style w:type="paragraph" w:styleId="5">
    <w:name w:val="Document Map"/>
    <w:basedOn w:val="1"/>
    <w:link w:val="20"/>
    <w:semiHidden/>
    <w:unhideWhenUsed/>
    <w:qFormat/>
    <w:uiPriority w:val="99"/>
    <w:rPr>
      <w:rFonts w:ascii="宋体"/>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7"/>
    <w:qFormat/>
    <w:uiPriority w:val="99"/>
    <w:rPr>
      <w:sz w:val="18"/>
      <w:szCs w:val="18"/>
    </w:rPr>
  </w:style>
  <w:style w:type="character" w:customStyle="1" w:styleId="12">
    <w:name w:val="页脚 字符"/>
    <w:basedOn w:val="10"/>
    <w:link w:val="6"/>
    <w:qFormat/>
    <w:uiPriority w:val="99"/>
    <w:rPr>
      <w:sz w:val="18"/>
      <w:szCs w:val="18"/>
    </w:rPr>
  </w:style>
  <w:style w:type="character" w:customStyle="1" w:styleId="13">
    <w:name w:val="标题 1 字符"/>
    <w:basedOn w:val="10"/>
    <w:link w:val="2"/>
    <w:qFormat/>
    <w:uiPriority w:val="0"/>
    <w:rPr>
      <w:rFonts w:ascii="Times New Roman" w:hAnsi="Times New Roman" w:eastAsia="宋体" w:cs="Times New Roman"/>
      <w:b/>
      <w:bCs/>
      <w:kern w:val="44"/>
      <w:sz w:val="44"/>
      <w:szCs w:val="44"/>
    </w:rPr>
  </w:style>
  <w:style w:type="character" w:customStyle="1" w:styleId="14">
    <w:name w:val="标题 3 字符"/>
    <w:basedOn w:val="10"/>
    <w:link w:val="3"/>
    <w:qFormat/>
    <w:uiPriority w:val="0"/>
    <w:rPr>
      <w:rFonts w:ascii="Times New Roman" w:hAnsi="Times New Roman" w:eastAsia="宋体" w:cs="Times New Roman"/>
      <w:b/>
      <w:bCs/>
      <w:szCs w:val="32"/>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6">
    <w:name w:val="正文缩进 字符"/>
    <w:link w:val="4"/>
    <w:qFormat/>
    <w:uiPriority w:val="0"/>
    <w:rPr>
      <w:rFonts w:ascii="Times New Roman" w:hAnsi="Times New Roman" w:eastAsia="宋体" w:cs="Times New Roman"/>
      <w:szCs w:val="20"/>
    </w:rPr>
  </w:style>
  <w:style w:type="paragraph" w:customStyle="1" w:styleId="17">
    <w:name w:val="小于节标题"/>
    <w:basedOn w:val="1"/>
    <w:qFormat/>
    <w:uiPriority w:val="0"/>
    <w:pPr>
      <w:tabs>
        <w:tab w:val="left" w:pos="567"/>
      </w:tabs>
      <w:spacing w:line="360" w:lineRule="auto"/>
    </w:pPr>
    <w:rPr>
      <w:szCs w:val="24"/>
    </w:rPr>
  </w:style>
  <w:style w:type="paragraph" w:customStyle="1" w:styleId="18">
    <w:name w:val="表格中"/>
    <w:qFormat/>
    <w:uiPriority w:val="0"/>
    <w:pPr>
      <w:topLinePunct/>
      <w:spacing w:beforeLines="10" w:afterLines="10"/>
      <w:ind w:left="10" w:leftChars="10"/>
    </w:pPr>
    <w:rPr>
      <w:rFonts w:ascii="宋体" w:hAnsi="宋体" w:eastAsia="宋体" w:cs="宋体"/>
      <w:bCs/>
      <w:sz w:val="21"/>
      <w:szCs w:val="24"/>
      <w:lang w:val="zh-CN" w:eastAsia="en-US" w:bidi="en-US"/>
    </w:rPr>
  </w:style>
  <w:style w:type="paragraph" w:customStyle="1" w:styleId="19">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 w:type="character" w:customStyle="1" w:styleId="20">
    <w:name w:val="文档结构图 字符"/>
    <w:basedOn w:val="10"/>
    <w:link w:val="5"/>
    <w:semiHidden/>
    <w:qFormat/>
    <w:uiPriority w:val="99"/>
    <w:rPr>
      <w:rFonts w:ascii="宋体" w:hAnsi="Times New Roman" w:eastAsia="宋体" w:cs="Times New Roman"/>
      <w:kern w:val="2"/>
      <w:sz w:val="18"/>
      <w:szCs w:val="18"/>
    </w:rPr>
  </w:style>
  <w:style w:type="paragraph" w:customStyle="1" w:styleId="21">
    <w:name w:val="修订1"/>
    <w:hidden/>
    <w:unhideWhenUsed/>
    <w:qFormat/>
    <w:uiPriority w:val="99"/>
    <w:rPr>
      <w:rFonts w:ascii="Times New Roman" w:hAnsi="Times New Roman" w:eastAsia="宋体" w:cs="Times New Roman"/>
      <w:kern w:val="2"/>
      <w:sz w:val="21"/>
      <w:lang w:val="en-US" w:eastAsia="zh-CN" w:bidi="ar-SA"/>
    </w:rPr>
  </w:style>
  <w:style w:type="paragraph" w:styleId="22">
    <w:name w:val="List Paragraph"/>
    <w:basedOn w:val="1"/>
    <w:unhideWhenUsed/>
    <w:qFormat/>
    <w:uiPriority w:val="99"/>
    <w:pPr>
      <w:ind w:firstLine="420" w:firstLineChars="200"/>
    </w:pPr>
  </w:style>
  <w:style w:type="paragraph" w:customStyle="1" w:styleId="23">
    <w:name w:val="修订2"/>
    <w:hidden/>
    <w:unhideWhenUsed/>
    <w:qFormat/>
    <w:uiPriority w:val="99"/>
    <w:rPr>
      <w:rFonts w:ascii="Times New Roman" w:hAnsi="Times New Roman" w:eastAsia="宋体" w:cs="Times New Roman"/>
      <w:kern w:val="2"/>
      <w:sz w:val="21"/>
      <w:lang w:val="en-US" w:eastAsia="zh-CN" w:bidi="ar-SA"/>
    </w:rPr>
  </w:style>
  <w:style w:type="paragraph" w:customStyle="1" w:styleId="24">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7</Pages>
  <Words>3915</Words>
  <Characters>4536</Characters>
  <Lines>37</Lines>
  <Paragraphs>10</Paragraphs>
  <TotalTime>7</TotalTime>
  <ScaleCrop>false</ScaleCrop>
  <LinksUpToDate>false</LinksUpToDate>
  <CharactersWithSpaces>5006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2025-11-07T14:28:00Z</dcterms:created>
  <dc:creator>Administrator</dc:creator>
  <cp:lastModifiedBy>启航2016</cp:lastModifiedBy>
  <dcterms:modified xsi:type="dcterms:W3CDTF">2026-05-19T07:04:24Z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eyJoZGlkIjoiMTExNzYzOTExMmFmM2UwMGEyMTA2ZmI2NTBjMjViZDciLCJ1c2VySWQiOiI1Mzc0Mjc1MTYifQ==</vt:lpwstr>
  </property>
  <property fmtid="{D5CDD505-2E9C-101B-9397-08002B2CF9AE}" pid="3" name="KSOProductBuildVer">
    <vt:lpwstr>2052-12.1.0.25865</vt:lpwstr>
  </property>
  <property fmtid="{D5CDD505-2E9C-101B-9397-08002B2CF9AE}" pid="4" name="ICV">
    <vt:lpwstr>5E2F8CD3394A429F8DE32AE5F22D93C3_12</vt:lpwstr>
  </property>
</Properties>
</file>