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CE904">
      <w:pPr>
        <w:tabs>
          <w:tab w:val="center" w:pos="4535"/>
          <w:tab w:val="left" w:pos="7725"/>
        </w:tabs>
        <w:spacing w:before="40" w:after="40" w:line="360" w:lineRule="auto"/>
        <w:ind w:firstLine="645"/>
        <w:jc w:val="center"/>
        <w:rPr>
          <w:rFonts w:ascii="宋体" w:hAnsi="宋体" w:cs="Arial"/>
          <w:b/>
          <w:bCs/>
          <w:sz w:val="40"/>
          <w:szCs w:val="36"/>
        </w:rPr>
      </w:pPr>
      <w:bookmarkStart w:id="0" w:name="OLE_LINK6"/>
      <w:bookmarkStart w:id="1" w:name="OLE_LINK1"/>
      <w:r>
        <w:rPr>
          <w:rFonts w:hint="eastAsia" w:ascii="宋体" w:hAnsi="宋体" w:cs="Arial"/>
          <w:b/>
          <w:bCs/>
          <w:sz w:val="40"/>
          <w:szCs w:val="36"/>
        </w:rPr>
        <w:t>江苏索普化工股份有限公司</w:t>
      </w:r>
    </w:p>
    <w:bookmarkEnd w:id="0"/>
    <w:bookmarkEnd w:id="1"/>
    <w:p w14:paraId="1EDA9D90">
      <w:pPr>
        <w:tabs>
          <w:tab w:val="center" w:pos="4535"/>
          <w:tab w:val="left" w:pos="7725"/>
        </w:tabs>
        <w:spacing w:before="40" w:after="40" w:line="360" w:lineRule="auto"/>
        <w:ind w:firstLine="645"/>
        <w:jc w:val="center"/>
        <w:rPr>
          <w:rFonts w:hint="default" w:ascii="宋体" w:hAnsi="宋体" w:eastAsia="宋体" w:cs="Arial"/>
          <w:b/>
          <w:bCs/>
          <w:sz w:val="40"/>
          <w:szCs w:val="36"/>
          <w:lang w:val="en-US" w:eastAsia="zh-CN"/>
        </w:rPr>
      </w:pPr>
      <w:r>
        <w:rPr>
          <w:rFonts w:hint="eastAsia" w:ascii="宋体" w:hAnsi="宋体" w:cs="Arial"/>
          <w:b/>
          <w:bCs/>
          <w:sz w:val="40"/>
          <w:szCs w:val="36"/>
          <w:lang w:val="en-US" w:eastAsia="zh-CN"/>
        </w:rPr>
        <w:t>输煤廊道CO无线气体监测系统</w:t>
      </w:r>
    </w:p>
    <w:p w14:paraId="6E8F7E29">
      <w:pPr>
        <w:jc w:val="center"/>
        <w:rPr>
          <w:rFonts w:ascii="宋体" w:hAnsi="宋体"/>
          <w:b/>
          <w:sz w:val="52"/>
          <w:szCs w:val="52"/>
        </w:rPr>
      </w:pPr>
    </w:p>
    <w:p w14:paraId="2EC2706B">
      <w:pPr>
        <w:jc w:val="center"/>
        <w:rPr>
          <w:rFonts w:ascii="宋体"/>
          <w:b/>
          <w:sz w:val="52"/>
          <w:szCs w:val="52"/>
        </w:rPr>
      </w:pPr>
      <w:r>
        <w:rPr>
          <w:rFonts w:hint="eastAsia" w:ascii="宋体" w:hAnsi="宋体"/>
          <w:b/>
          <w:sz w:val="52"/>
          <w:szCs w:val="52"/>
        </w:rPr>
        <w:t>技</w:t>
      </w:r>
    </w:p>
    <w:p w14:paraId="79E1B51E">
      <w:pPr>
        <w:jc w:val="center"/>
        <w:rPr>
          <w:rFonts w:ascii="宋体"/>
          <w:b/>
          <w:sz w:val="52"/>
          <w:szCs w:val="52"/>
        </w:rPr>
      </w:pPr>
      <w:r>
        <w:rPr>
          <w:rFonts w:hint="eastAsia" w:ascii="宋体" w:hAnsi="宋体"/>
          <w:b/>
          <w:sz w:val="52"/>
          <w:szCs w:val="52"/>
        </w:rPr>
        <w:t>术</w:t>
      </w:r>
    </w:p>
    <w:p w14:paraId="0B717E40">
      <w:pPr>
        <w:jc w:val="center"/>
        <w:rPr>
          <w:rFonts w:hint="eastAsia" w:ascii="宋体" w:hAnsi="宋体"/>
          <w:b/>
          <w:sz w:val="52"/>
          <w:szCs w:val="52"/>
          <w:lang w:val="en-US" w:eastAsia="zh-CN"/>
        </w:rPr>
      </w:pPr>
      <w:r>
        <w:rPr>
          <w:rFonts w:hint="eastAsia" w:ascii="宋体" w:hAnsi="宋体"/>
          <w:b/>
          <w:sz w:val="52"/>
          <w:szCs w:val="52"/>
          <w:lang w:val="en-US" w:eastAsia="zh-CN"/>
        </w:rPr>
        <w:t>协</w:t>
      </w:r>
    </w:p>
    <w:p w14:paraId="13AE17E7">
      <w:pPr>
        <w:jc w:val="center"/>
        <w:rPr>
          <w:rFonts w:ascii="宋体"/>
          <w:b/>
          <w:sz w:val="52"/>
          <w:szCs w:val="52"/>
        </w:rPr>
      </w:pPr>
      <w:r>
        <w:rPr>
          <w:rFonts w:hint="eastAsia" w:ascii="宋体" w:hAnsi="宋体"/>
          <w:b/>
          <w:sz w:val="52"/>
          <w:szCs w:val="52"/>
          <w:lang w:val="en-US" w:eastAsia="zh-CN"/>
        </w:rPr>
        <w:t>议</w:t>
      </w:r>
    </w:p>
    <w:p w14:paraId="7D9F1854">
      <w:pPr>
        <w:jc w:val="center"/>
        <w:rPr>
          <w:rFonts w:ascii="宋体"/>
          <w:b/>
          <w:sz w:val="52"/>
          <w:szCs w:val="52"/>
        </w:rPr>
      </w:pPr>
    </w:p>
    <w:p w14:paraId="413AE5FD">
      <w:pPr>
        <w:jc w:val="center"/>
        <w:rPr>
          <w:rFonts w:ascii="宋体"/>
          <w:b/>
          <w:sz w:val="52"/>
          <w:szCs w:val="52"/>
        </w:rPr>
      </w:pPr>
    </w:p>
    <w:p w14:paraId="53D7EA3D">
      <w:pPr>
        <w:jc w:val="center"/>
        <w:rPr>
          <w:rFonts w:ascii="宋体"/>
          <w:b/>
          <w:sz w:val="52"/>
          <w:szCs w:val="52"/>
        </w:rPr>
      </w:pPr>
    </w:p>
    <w:p w14:paraId="74988EE7">
      <w:pPr>
        <w:jc w:val="center"/>
        <w:rPr>
          <w:rFonts w:ascii="宋体"/>
          <w:b/>
          <w:sz w:val="52"/>
          <w:szCs w:val="52"/>
        </w:rPr>
      </w:pPr>
    </w:p>
    <w:p w14:paraId="04DBFC04">
      <w:pPr>
        <w:jc w:val="center"/>
        <w:rPr>
          <w:rFonts w:ascii="宋体"/>
          <w:b/>
          <w:sz w:val="52"/>
          <w:szCs w:val="52"/>
        </w:rPr>
      </w:pPr>
    </w:p>
    <w:p w14:paraId="459ACF85">
      <w:pPr>
        <w:jc w:val="center"/>
        <w:rPr>
          <w:rFonts w:ascii="宋体"/>
          <w:b/>
          <w:sz w:val="52"/>
          <w:szCs w:val="52"/>
        </w:rPr>
      </w:pPr>
    </w:p>
    <w:p w14:paraId="5C3BD1AB">
      <w:pPr>
        <w:ind w:firstLine="2641" w:firstLineChars="600"/>
        <w:rPr>
          <w:rFonts w:ascii="宋体" w:hAnsi="宋体"/>
          <w:b/>
          <w:sz w:val="44"/>
          <w:szCs w:val="44"/>
        </w:rPr>
      </w:pPr>
    </w:p>
    <w:p w14:paraId="2B18E32A">
      <w:pPr>
        <w:ind w:firstLine="3522" w:firstLineChars="800"/>
        <w:rPr>
          <w:rFonts w:ascii="宋体"/>
          <w:b/>
          <w:sz w:val="44"/>
          <w:szCs w:val="44"/>
        </w:rPr>
      </w:pPr>
      <w:r>
        <w:rPr>
          <w:rFonts w:ascii="宋体" w:hAnsi="宋体"/>
          <w:b/>
          <w:sz w:val="44"/>
          <w:szCs w:val="44"/>
        </w:rPr>
        <w:t>202</w:t>
      </w:r>
      <w:r>
        <w:rPr>
          <w:rFonts w:hint="eastAsia" w:ascii="宋体" w:hAnsi="宋体"/>
          <w:b/>
          <w:sz w:val="44"/>
          <w:szCs w:val="44"/>
        </w:rPr>
        <w:t>6年</w:t>
      </w:r>
      <w:r>
        <w:rPr>
          <w:rFonts w:hint="eastAsia" w:ascii="宋体" w:hAnsi="宋体"/>
          <w:b/>
          <w:sz w:val="44"/>
          <w:szCs w:val="44"/>
          <w:lang w:val="en-US" w:eastAsia="zh-CN"/>
        </w:rPr>
        <w:t>4</w:t>
      </w:r>
      <w:r>
        <w:rPr>
          <w:rFonts w:hint="eastAsia" w:ascii="宋体" w:hAnsi="宋体"/>
          <w:b/>
          <w:sz w:val="44"/>
          <w:szCs w:val="44"/>
        </w:rPr>
        <w:t>月</w:t>
      </w:r>
    </w:p>
    <w:p w14:paraId="6DF4EDA4">
      <w:pPr>
        <w:spacing w:before="60" w:after="60"/>
        <w:rPr>
          <w:color w:val="auto"/>
        </w:rPr>
      </w:pPr>
    </w:p>
    <w:p w14:paraId="27710E60">
      <w:pPr>
        <w:spacing w:before="60" w:after="60"/>
        <w:rPr>
          <w:color w:val="auto"/>
        </w:rPr>
      </w:pPr>
    </w:p>
    <w:p w14:paraId="71CBE491">
      <w:pPr>
        <w:spacing w:before="60" w:after="60"/>
        <w:rPr>
          <w:color w:val="auto"/>
        </w:rPr>
      </w:pPr>
    </w:p>
    <w:p w14:paraId="76EB0B0D">
      <w:pPr>
        <w:spacing w:before="60" w:after="60"/>
        <w:rPr>
          <w:color w:val="auto"/>
        </w:rPr>
      </w:pPr>
    </w:p>
    <w:p w14:paraId="374709C5">
      <w:pPr>
        <w:spacing w:before="60" w:after="60"/>
        <w:rPr>
          <w:color w:val="auto"/>
        </w:rPr>
      </w:pPr>
    </w:p>
    <w:p w14:paraId="7CC3872C">
      <w:pPr>
        <w:spacing w:before="60" w:after="60"/>
        <w:rPr>
          <w:color w:val="auto"/>
        </w:rPr>
      </w:pPr>
    </w:p>
    <w:p w14:paraId="2990025B">
      <w:pPr>
        <w:spacing w:before="60" w:after="60"/>
        <w:rPr>
          <w:color w:val="auto"/>
        </w:rPr>
      </w:pPr>
    </w:p>
    <w:p w14:paraId="63967577">
      <w:pPr>
        <w:spacing w:before="60" w:after="60"/>
        <w:rPr>
          <w:color w:val="auto"/>
        </w:rPr>
      </w:pPr>
    </w:p>
    <w:p w14:paraId="5BAD8004">
      <w:pPr>
        <w:spacing w:before="60" w:after="60"/>
        <w:rPr>
          <w:color w:val="auto"/>
        </w:rPr>
      </w:pPr>
    </w:p>
    <w:p w14:paraId="2CB7D704">
      <w:pPr>
        <w:spacing w:before="60" w:after="60"/>
        <w:rPr>
          <w:color w:val="auto"/>
        </w:rPr>
      </w:pPr>
    </w:p>
    <w:p w14:paraId="2354524F">
      <w:pPr>
        <w:spacing w:before="60" w:after="60"/>
        <w:rPr>
          <w:color w:val="auto"/>
        </w:rPr>
      </w:pPr>
    </w:p>
    <w:p w14:paraId="5B289250">
      <w:pPr>
        <w:spacing w:before="60" w:after="60"/>
        <w:rPr>
          <w:color w:val="auto"/>
        </w:rPr>
      </w:pPr>
    </w:p>
    <w:p w14:paraId="29F3600C">
      <w:pPr>
        <w:pStyle w:val="2"/>
        <w:spacing w:before="300" w:after="150"/>
        <w:rPr>
          <w:rFonts w:ascii="Arial" w:hAnsi="Arial" w:eastAsia="Arial" w:cs="Arial"/>
          <w:b/>
          <w:bCs/>
          <w:color w:val="auto"/>
          <w:sz w:val="28"/>
          <w:szCs w:val="28"/>
        </w:rPr>
      </w:pPr>
    </w:p>
    <w:p w14:paraId="0885B4F0">
      <w:pPr>
        <w:pStyle w:val="2"/>
        <w:spacing w:before="300" w:after="150"/>
        <w:rPr>
          <w:color w:val="auto"/>
        </w:rPr>
      </w:pPr>
      <w:r>
        <w:rPr>
          <w:rFonts w:ascii="Arial" w:hAnsi="Arial" w:eastAsia="Arial" w:cs="Arial"/>
          <w:b/>
          <w:bCs/>
          <w:color w:val="auto"/>
          <w:sz w:val="28"/>
          <w:szCs w:val="28"/>
        </w:rPr>
        <w:t>1  工艺背景与需求</w:t>
      </w:r>
    </w:p>
    <w:p w14:paraId="72BAD8DD">
      <w:pPr>
        <w:spacing w:before="80" w:after="80"/>
        <w:jc w:val="left"/>
        <w:rPr>
          <w:color w:val="auto"/>
        </w:rPr>
      </w:pPr>
      <w:r>
        <w:rPr>
          <w:rFonts w:ascii="Arial" w:hAnsi="Arial" w:eastAsia="Arial" w:cs="Arial"/>
          <w:b/>
          <w:bCs/>
          <w:color w:val="auto"/>
          <w:sz w:val="20"/>
          <w:szCs w:val="20"/>
        </w:rPr>
        <w:t>1.1  项目背景</w:t>
      </w:r>
    </w:p>
    <w:p w14:paraId="1BACFAED">
      <w:pPr>
        <w:spacing w:before="80" w:after="80"/>
        <w:jc w:val="left"/>
        <w:rPr>
          <w:color w:val="auto"/>
        </w:rPr>
      </w:pPr>
      <w:r>
        <w:rPr>
          <w:rFonts w:ascii="Arial" w:hAnsi="Arial" w:eastAsia="Arial" w:cs="Arial"/>
          <w:color w:val="auto"/>
          <w:sz w:val="20"/>
          <w:szCs w:val="20"/>
        </w:rPr>
        <w:t>江苏索普化工股份有限公司热电厂输煤系统由多条封闭式输煤廊道组成，廊道内皮带运煤过程中存在煤尘自燃及一氧化碳（CO）气体积聚风险。为切实保障现场作业人员安全、防范火灾爆炸事故发生，需在各输煤廊道关键节点安装智能无线CO气体探测仪，并将监测数据通过无线自组网实时传输至监控中心，实现廊道全程气体环境的连续在线监控与联动报警。</w:t>
      </w:r>
    </w:p>
    <w:p w14:paraId="10B8C389">
      <w:pPr>
        <w:spacing w:before="60" w:after="60"/>
        <w:rPr>
          <w:color w:val="auto"/>
        </w:rPr>
      </w:pPr>
    </w:p>
    <w:p w14:paraId="081962F2">
      <w:pPr>
        <w:spacing w:before="80" w:after="80"/>
        <w:jc w:val="left"/>
        <w:rPr>
          <w:color w:val="auto"/>
        </w:rPr>
      </w:pPr>
      <w:r>
        <w:rPr>
          <w:rFonts w:ascii="Arial" w:hAnsi="Arial" w:eastAsia="Arial" w:cs="Arial"/>
          <w:b/>
          <w:bCs/>
          <w:color w:val="auto"/>
          <w:sz w:val="20"/>
          <w:szCs w:val="20"/>
        </w:rPr>
        <w:t>1.2  项目目标</w:t>
      </w:r>
    </w:p>
    <w:p w14:paraId="48118812">
      <w:pPr>
        <w:pStyle w:val="16"/>
        <w:numPr>
          <w:ilvl w:val="0"/>
          <w:numId w:val="1"/>
        </w:numPr>
        <w:spacing w:before="60" w:after="60"/>
        <w:rPr>
          <w:color w:val="auto"/>
        </w:rPr>
      </w:pPr>
      <w:r>
        <w:rPr>
          <w:rFonts w:ascii="Arial" w:hAnsi="Arial" w:eastAsia="Arial" w:cs="Arial"/>
          <w:color w:val="auto"/>
          <w:sz w:val="20"/>
          <w:szCs w:val="20"/>
        </w:rPr>
        <w:t>在各输煤廊道安装12台智能无线CO气体探测器，实现一氧化碳浓度全时段在线监测；</w:t>
      </w:r>
    </w:p>
    <w:p w14:paraId="19DD8128">
      <w:pPr>
        <w:pStyle w:val="16"/>
        <w:numPr>
          <w:ilvl w:val="0"/>
          <w:numId w:val="1"/>
        </w:numPr>
        <w:spacing w:before="60" w:after="60"/>
        <w:rPr>
          <w:color w:val="auto"/>
        </w:rPr>
      </w:pPr>
      <w:r>
        <w:rPr>
          <w:rFonts w:ascii="Arial" w:hAnsi="Arial" w:eastAsia="Arial" w:cs="Arial"/>
          <w:color w:val="auto"/>
          <w:sz w:val="20"/>
          <w:szCs w:val="20"/>
        </w:rPr>
        <w:t>通过2套无线网关（1+1冗余）将监测数据汇聚至监控中心，实现集中显示、历史查询和联动报警；</w:t>
      </w:r>
    </w:p>
    <w:p w14:paraId="46601772">
      <w:pPr>
        <w:pStyle w:val="16"/>
        <w:numPr>
          <w:ilvl w:val="0"/>
          <w:numId w:val="1"/>
        </w:numPr>
        <w:spacing w:before="60" w:after="60"/>
        <w:rPr>
          <w:color w:val="auto"/>
        </w:rPr>
      </w:pPr>
      <w:r>
        <w:rPr>
          <w:rFonts w:ascii="Arial" w:hAnsi="Arial" w:eastAsia="Arial" w:cs="Arial"/>
          <w:color w:val="auto"/>
          <w:sz w:val="20"/>
          <w:szCs w:val="20"/>
        </w:rPr>
        <w:t>探测器须满足热电厂爆炸性危险区域的防爆要求，电池供电，免维护周期≥24个月；</w:t>
      </w:r>
    </w:p>
    <w:p w14:paraId="468AA869">
      <w:pPr>
        <w:pStyle w:val="16"/>
        <w:numPr>
          <w:ilvl w:val="0"/>
          <w:numId w:val="1"/>
        </w:numPr>
        <w:spacing w:before="60" w:after="60"/>
        <w:rPr>
          <w:color w:val="auto"/>
        </w:rPr>
      </w:pPr>
      <w:r>
        <w:rPr>
          <w:rFonts w:ascii="Arial" w:hAnsi="Arial" w:eastAsia="Arial" w:cs="Arial"/>
          <w:color w:val="auto"/>
          <w:sz w:val="20"/>
          <w:szCs w:val="20"/>
        </w:rPr>
        <w:t>系统整体传输可靠、抗干扰，确保报警信号准确同步传输。</w:t>
      </w:r>
    </w:p>
    <w:p w14:paraId="6098934A">
      <w:pPr>
        <w:spacing w:before="60" w:after="60"/>
        <w:rPr>
          <w:color w:val="auto"/>
        </w:rPr>
      </w:pPr>
    </w:p>
    <w:p w14:paraId="27B79F95">
      <w:pPr>
        <w:pBdr>
          <w:bottom w:val="single" w:color="1A5276" w:sz="4" w:space="1"/>
        </w:pBdr>
        <w:spacing w:before="120" w:after="120"/>
        <w:rPr>
          <w:color w:val="auto"/>
        </w:rPr>
      </w:pPr>
    </w:p>
    <w:p w14:paraId="1F45D814">
      <w:pPr>
        <w:pStyle w:val="2"/>
        <w:spacing w:before="300" w:after="150"/>
        <w:rPr>
          <w:color w:val="auto"/>
        </w:rPr>
      </w:pPr>
      <w:r>
        <w:rPr>
          <w:rFonts w:ascii="Arial" w:hAnsi="Arial" w:eastAsia="Arial" w:cs="Arial"/>
          <w:b/>
          <w:bCs/>
          <w:color w:val="auto"/>
          <w:sz w:val="28"/>
          <w:szCs w:val="28"/>
        </w:rPr>
        <w:t>2  适用标准与规范</w:t>
      </w:r>
    </w:p>
    <w:p w14:paraId="062F533C">
      <w:pPr>
        <w:spacing w:before="80" w:after="80"/>
        <w:jc w:val="left"/>
        <w:rPr>
          <w:color w:val="auto"/>
        </w:rPr>
      </w:pPr>
      <w:r>
        <w:rPr>
          <w:rFonts w:ascii="Arial" w:hAnsi="Arial" w:eastAsia="Arial" w:cs="Arial"/>
          <w:color w:val="auto"/>
          <w:sz w:val="20"/>
          <w:szCs w:val="20"/>
        </w:rPr>
        <w:t>本技术协议的设计、制造、测试及验收均应遵循以下国家标准、行业标准及规范。提供的设备须满足以下标准的最新有效版本要求：</w:t>
      </w:r>
    </w:p>
    <w:p w14:paraId="7D08F464">
      <w:pPr>
        <w:spacing w:before="60" w:after="60"/>
        <w:rPr>
          <w:color w:val="auto"/>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4"/>
        <w:gridCol w:w="2372"/>
        <w:gridCol w:w="6258"/>
      </w:tblGrid>
      <w:tr w14:paraId="6355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224"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783C74F5">
            <w:pPr>
              <w:snapToGrid w:val="0"/>
              <w:ind w:left="0" w:leftChars="0" w:right="0" w:rightChars="0" w:firstLine="0" w:firstLineChars="0"/>
              <w:jc w:val="center"/>
              <w:rPr>
                <w:b/>
                <w:color w:val="auto"/>
              </w:rPr>
            </w:pPr>
            <w:r>
              <w:rPr>
                <w:rFonts w:ascii="Arial" w:hAnsi="Arial" w:eastAsia="Arial" w:cs="Arial"/>
                <w:b/>
                <w:bCs/>
                <w:color w:val="auto"/>
                <w:sz w:val="20"/>
                <w:szCs w:val="20"/>
              </w:rPr>
              <w:t>类别</w:t>
            </w:r>
          </w:p>
        </w:tc>
        <w:tc>
          <w:tcPr>
            <w:tcW w:w="2372"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370E8ED0">
            <w:pPr>
              <w:snapToGrid w:val="0"/>
              <w:ind w:left="0" w:leftChars="0" w:right="0" w:rightChars="0" w:firstLine="0" w:firstLineChars="0"/>
              <w:jc w:val="center"/>
              <w:rPr>
                <w:b/>
                <w:color w:val="auto"/>
              </w:rPr>
            </w:pPr>
            <w:r>
              <w:rPr>
                <w:rFonts w:ascii="Arial" w:hAnsi="Arial" w:eastAsia="Arial" w:cs="Arial"/>
                <w:b/>
                <w:bCs/>
                <w:color w:val="auto"/>
                <w:sz w:val="20"/>
                <w:szCs w:val="20"/>
              </w:rPr>
              <w:t>标准编号</w:t>
            </w:r>
          </w:p>
        </w:tc>
        <w:tc>
          <w:tcPr>
            <w:tcW w:w="6258"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1ADCD441">
            <w:pPr>
              <w:snapToGrid w:val="0"/>
              <w:ind w:left="0" w:leftChars="0" w:right="0" w:rightChars="0" w:firstLine="0" w:firstLineChars="0"/>
              <w:jc w:val="center"/>
              <w:rPr>
                <w:b/>
                <w:color w:val="auto"/>
              </w:rPr>
            </w:pPr>
            <w:r>
              <w:rPr>
                <w:rFonts w:ascii="Arial" w:hAnsi="Arial" w:eastAsia="Arial" w:cs="Arial"/>
                <w:b/>
                <w:bCs/>
                <w:color w:val="auto"/>
                <w:sz w:val="20"/>
                <w:szCs w:val="20"/>
              </w:rPr>
              <w:t>标准名称</w:t>
            </w:r>
          </w:p>
        </w:tc>
      </w:tr>
      <w:tr w14:paraId="2A12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B665FE5">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防爆安全</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5C55A04">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 3836.1—2021</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15CAFED">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爆炸性环境 第1部分：设备通用要求</w:t>
            </w:r>
          </w:p>
        </w:tc>
      </w:tr>
      <w:tr w14:paraId="0EC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6FB68C5">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防爆安全</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95ADDB5">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 3836.2—2021</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6ECD397">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爆炸性环境 第2部分：由隔爆外壳"d"保护的设备</w:t>
            </w:r>
          </w:p>
        </w:tc>
      </w:tr>
      <w:tr w14:paraId="2B9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AA55F79">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气体检测</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9CFD04C">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GB/T 50493—2019</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755ABE3">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石油化工可燃气体和有毒气体检测报警设计标准</w:t>
            </w:r>
          </w:p>
        </w:tc>
      </w:tr>
      <w:tr w14:paraId="10EF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FB15B83">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气体检测</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5543F0B">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 12358—2006</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3EC45BA">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作业场所环境气体检测报警仪 通用技术要求</w:t>
            </w:r>
          </w:p>
        </w:tc>
      </w:tr>
      <w:tr w14:paraId="5CE9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65DD93E">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煤矿/工矿</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1039BE0">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AQ 1029—2019</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B8DFEC0">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煤矿安全监控系统及检测仪器使用管理规范</w:t>
            </w:r>
          </w:p>
        </w:tc>
      </w:tr>
      <w:tr w14:paraId="2BB4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6D0EA93">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煤矿/工矿</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9BC3A73">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MT/T 408—1995</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C8A70C7">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煤矿用一氧化碳传感器（行业参考）</w:t>
            </w:r>
          </w:p>
        </w:tc>
      </w:tr>
      <w:tr w14:paraId="21C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36383E3">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无线通信</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972BAF3">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GB/T 18659—2002</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ADE8545">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封闭式道路隧道内通信系统及技术要求（参考）</w:t>
            </w:r>
          </w:p>
        </w:tc>
      </w:tr>
      <w:tr w14:paraId="337B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6C3F818">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无线通信</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066E18E">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YD/T 1312系列</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A3946B8">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无线通信设备电磁兼容性要求</w:t>
            </w:r>
          </w:p>
        </w:tc>
      </w:tr>
      <w:tr w14:paraId="77EF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34E079C">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系统防护</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7551A2A">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GB/T 4208—2017</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55115B9">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外壳防护等级（IP代码）</w:t>
            </w:r>
          </w:p>
        </w:tc>
      </w:tr>
      <w:tr w14:paraId="1815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FE6E99D">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系统防护</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8601A63">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GB/T 17626.2—2018</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413F56E">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电磁兼容 试验和测量技术 静电放电抗扰度试验</w:t>
            </w:r>
          </w:p>
        </w:tc>
      </w:tr>
      <w:tr w14:paraId="5623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E899AC8">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安全生产</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75B6691">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GB 50116—2013</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890573F">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火灾自动报警系统设计规范</w:t>
            </w:r>
          </w:p>
        </w:tc>
      </w:tr>
      <w:tr w14:paraId="54DB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24"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124CBFB">
            <w:pPr>
              <w:snapToGrid w:val="0"/>
              <w:ind w:left="0" w:leftChars="0" w:right="0" w:rightChars="0" w:firstLine="0" w:firstLineChars="0"/>
              <w:jc w:val="center"/>
              <w:rPr>
                <w:rFonts w:ascii="Arial" w:eastAsia="Arial"/>
                <w:color w:val="auto"/>
                <w:sz w:val="18"/>
              </w:rPr>
            </w:pPr>
            <w:r>
              <w:rPr>
                <w:rFonts w:ascii="Arial" w:hAnsi="Arial" w:eastAsia="Arial" w:cs="Arial"/>
                <w:color w:val="auto"/>
                <w:sz w:val="18"/>
                <w:szCs w:val="18"/>
              </w:rPr>
              <w:t>安全生产</w:t>
            </w:r>
          </w:p>
        </w:tc>
        <w:tc>
          <w:tcPr>
            <w:tcW w:w="237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6B9D23A">
            <w:pPr>
              <w:snapToGrid w:val="0"/>
              <w:ind w:left="0" w:leftChars="0" w:right="0" w:rightChars="0" w:firstLine="0" w:firstLineChars="0"/>
              <w:jc w:val="center"/>
              <w:rPr>
                <w:rFonts w:ascii="Arial" w:eastAsia="Arial"/>
                <w:color w:val="auto"/>
                <w:sz w:val="18"/>
              </w:rPr>
            </w:pPr>
            <w:r>
              <w:rPr>
                <w:rFonts w:ascii="Arial" w:hAnsi="Arial" w:eastAsia="Arial" w:cs="Arial"/>
                <w:b/>
                <w:bCs/>
                <w:color w:val="auto"/>
                <w:sz w:val="18"/>
                <w:szCs w:val="18"/>
              </w:rPr>
              <w:t>AQ 3036—2010</w:t>
            </w:r>
          </w:p>
        </w:tc>
        <w:tc>
          <w:tcPr>
            <w:tcW w:w="6258"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67E5E43">
            <w:pPr>
              <w:snapToGrid w:val="0"/>
              <w:ind w:left="0" w:leftChars="0" w:right="0" w:rightChars="0" w:firstLine="0" w:firstLineChars="0"/>
              <w:jc w:val="left"/>
              <w:rPr>
                <w:rFonts w:ascii="Arial" w:eastAsia="Arial"/>
                <w:color w:val="auto"/>
                <w:sz w:val="18"/>
              </w:rPr>
            </w:pPr>
            <w:r>
              <w:rPr>
                <w:rFonts w:ascii="Arial" w:hAnsi="Arial" w:eastAsia="Arial" w:cs="Arial"/>
                <w:color w:val="auto"/>
                <w:sz w:val="18"/>
                <w:szCs w:val="18"/>
              </w:rPr>
              <w:t>危险化学品重大危险源 安全监控通用技术规范</w:t>
            </w:r>
          </w:p>
        </w:tc>
      </w:tr>
    </w:tbl>
    <w:p w14:paraId="1FD047A7">
      <w:pPr>
        <w:spacing w:before="60" w:after="60"/>
        <w:rPr>
          <w:color w:val="auto"/>
        </w:rPr>
      </w:pPr>
    </w:p>
    <w:p w14:paraId="191362FB">
      <w:pPr>
        <w:spacing w:before="80" w:after="80"/>
        <w:jc w:val="left"/>
        <w:rPr>
          <w:color w:val="auto"/>
        </w:rPr>
      </w:pPr>
      <w:r>
        <w:rPr>
          <w:rFonts w:ascii="Arial" w:hAnsi="Arial" w:eastAsia="Arial" w:cs="Arial"/>
          <w:color w:val="auto"/>
          <w:sz w:val="20"/>
          <w:szCs w:val="20"/>
        </w:rPr>
        <w:t>注：以上标准若有修订版本，以合同签署时最新现行有效版本为准。乙方在</w:t>
      </w:r>
      <w:r>
        <w:rPr>
          <w:rFonts w:hint="eastAsia" w:eastAsia="宋体" w:cs="Arial"/>
          <w:color w:val="auto"/>
          <w:sz w:val="20"/>
          <w:szCs w:val="20"/>
          <w:lang w:val="en-US" w:eastAsia="zh-CN"/>
        </w:rPr>
        <w:t>报价</w:t>
      </w:r>
      <w:r>
        <w:rPr>
          <w:rFonts w:ascii="Arial" w:hAnsi="Arial" w:eastAsia="Arial" w:cs="Arial"/>
          <w:color w:val="auto"/>
          <w:sz w:val="20"/>
          <w:szCs w:val="20"/>
        </w:rPr>
        <w:t>时须提供产品对应标准的合格证书或检测报告复印件，加盖公章。</w:t>
      </w:r>
    </w:p>
    <w:p w14:paraId="4479C94E">
      <w:pPr>
        <w:spacing w:before="60" w:after="60"/>
        <w:rPr>
          <w:color w:val="auto"/>
        </w:rPr>
      </w:pPr>
    </w:p>
    <w:p w14:paraId="38656B10">
      <w:pPr>
        <w:pBdr>
          <w:bottom w:val="single" w:color="1A5276" w:sz="4" w:space="1"/>
        </w:pBdr>
        <w:spacing w:before="120" w:after="120"/>
        <w:rPr>
          <w:color w:val="auto"/>
        </w:rPr>
      </w:pPr>
    </w:p>
    <w:p w14:paraId="05ACED5B">
      <w:pPr>
        <w:pStyle w:val="2"/>
        <w:spacing w:before="300" w:after="150"/>
        <w:rPr>
          <w:rFonts w:ascii="Arial" w:hAnsi="Arial" w:eastAsia="Arial" w:cs="Arial"/>
          <w:b/>
          <w:bCs/>
          <w:color w:val="auto"/>
          <w:sz w:val="28"/>
          <w:szCs w:val="28"/>
        </w:rPr>
      </w:pPr>
    </w:p>
    <w:p w14:paraId="02CD040F">
      <w:pPr>
        <w:pStyle w:val="2"/>
        <w:spacing w:before="300" w:after="150"/>
        <w:rPr>
          <w:color w:val="auto"/>
        </w:rPr>
      </w:pPr>
      <w:r>
        <w:rPr>
          <w:rFonts w:ascii="Arial" w:hAnsi="Arial" w:eastAsia="Arial" w:cs="Arial"/>
          <w:b/>
          <w:bCs/>
          <w:color w:val="auto"/>
          <w:sz w:val="28"/>
          <w:szCs w:val="28"/>
        </w:rPr>
        <w:t>3  无线监测系统技术参数</w:t>
      </w:r>
    </w:p>
    <w:p w14:paraId="1C0DB35D">
      <w:pPr>
        <w:pStyle w:val="3"/>
        <w:spacing w:before="200" w:after="100"/>
        <w:rPr>
          <w:color w:val="auto"/>
        </w:rPr>
      </w:pPr>
      <w:r>
        <w:rPr>
          <w:rFonts w:ascii="Arial" w:hAnsi="Arial" w:eastAsia="Arial" w:cs="Arial"/>
          <w:b/>
          <w:bCs/>
          <w:color w:val="auto"/>
          <w:sz w:val="24"/>
          <w:szCs w:val="24"/>
        </w:rPr>
        <w:t>3.1  技术参数总览</w:t>
      </w:r>
    </w:p>
    <w:p w14:paraId="64156178">
      <w:pPr>
        <w:spacing w:before="80" w:after="80"/>
        <w:jc w:val="left"/>
        <w:rPr>
          <w:color w:val="auto"/>
        </w:rPr>
      </w:pPr>
      <w:r>
        <w:rPr>
          <w:rFonts w:ascii="Arial" w:hAnsi="Arial" w:eastAsia="Arial" w:cs="Arial"/>
          <w:color w:val="auto"/>
          <w:sz w:val="20"/>
          <w:szCs w:val="20"/>
        </w:rPr>
        <w:t>下表为本项目CO无线监测系统的完整技术参数要求。</w:t>
      </w:r>
    </w:p>
    <w:p w14:paraId="24320074">
      <w:pPr>
        <w:spacing w:before="100" w:after="100"/>
        <w:rPr>
          <w:color w:val="auto"/>
        </w:rPr>
      </w:pPr>
      <w:r>
        <w:rPr>
          <w:rFonts w:hint="eastAsia" w:eastAsia="宋体" w:cs="Arial"/>
          <w:b/>
          <w:bCs/>
          <w:color w:val="auto"/>
          <w:sz w:val="20"/>
          <w:szCs w:val="20"/>
          <w:lang w:val="en-US" w:eastAsia="zh-CN"/>
        </w:rPr>
        <w:t>技术</w:t>
      </w:r>
      <w:r>
        <w:rPr>
          <w:rFonts w:ascii="Arial" w:hAnsi="Arial" w:eastAsia="Arial" w:cs="Arial"/>
          <w:b/>
          <w:bCs/>
          <w:color w:val="auto"/>
          <w:sz w:val="20"/>
          <w:szCs w:val="20"/>
        </w:rPr>
        <w:t>参数说明：</w:t>
      </w:r>
      <w:r>
        <w:rPr>
          <w:rFonts w:ascii="Arial" w:hAnsi="Arial" w:eastAsia="Arial" w:cs="Arial"/>
          <w:color w:val="auto"/>
          <w:sz w:val="20"/>
          <w:szCs w:val="20"/>
        </w:rPr>
        <w:t>凡标注★的参数，投标方须在</w:t>
      </w:r>
      <w:r>
        <w:rPr>
          <w:rFonts w:hint="eastAsia" w:eastAsia="宋体" w:cs="Arial"/>
          <w:color w:val="auto"/>
          <w:sz w:val="20"/>
          <w:szCs w:val="20"/>
          <w:lang w:val="en-US" w:eastAsia="zh-CN"/>
        </w:rPr>
        <w:t>报价</w:t>
      </w:r>
      <w:r>
        <w:rPr>
          <w:rFonts w:ascii="Arial" w:hAnsi="Arial" w:eastAsia="Arial" w:cs="Arial"/>
          <w:color w:val="auto"/>
          <w:sz w:val="20"/>
          <w:szCs w:val="20"/>
        </w:rPr>
        <w:t>文件中逐项提供满足要求的证明材料（产品说明书、检测报告、防爆证书等），缺项或不满足者</w:t>
      </w:r>
      <w:r>
        <w:rPr>
          <w:rFonts w:hint="eastAsia" w:eastAsia="宋体" w:cs="Arial"/>
          <w:color w:val="auto"/>
          <w:sz w:val="20"/>
          <w:szCs w:val="20"/>
          <w:lang w:val="en-US" w:eastAsia="zh-CN"/>
        </w:rPr>
        <w:t>视为报价无效</w:t>
      </w:r>
      <w:r>
        <w:rPr>
          <w:rFonts w:ascii="Arial" w:hAnsi="Arial" w:eastAsia="Arial" w:cs="Arial"/>
          <w:color w:val="auto"/>
          <w:sz w:val="20"/>
          <w:szCs w:val="20"/>
        </w:rPr>
        <w:t>。</w:t>
      </w:r>
    </w:p>
    <w:p w14:paraId="2B3B8F24">
      <w:pPr>
        <w:spacing w:before="60" w:after="60"/>
        <w:rPr>
          <w:color w:val="auto"/>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 w:type="dxa"/>
          <w:bottom w:w="0" w:type="dxa"/>
          <w:right w:w="10" w:type="dxa"/>
        </w:tblCellMar>
      </w:tblPr>
      <w:tblGrid>
        <w:gridCol w:w="656"/>
        <w:gridCol w:w="1482"/>
        <w:gridCol w:w="5076"/>
        <w:gridCol w:w="2640"/>
      </w:tblGrid>
      <w:tr w14:paraId="1090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tblHeader/>
          <w:jc w:val="center"/>
        </w:trPr>
        <w:tc>
          <w:tcPr>
            <w:tcW w:w="656"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4503F8E4">
            <w:pPr>
              <w:snapToGrid w:val="0"/>
              <w:ind w:left="0" w:leftChars="0" w:right="0" w:rightChars="0" w:firstLine="0" w:firstLineChars="0"/>
              <w:jc w:val="left"/>
              <w:rPr>
                <w:b/>
                <w:color w:val="auto"/>
              </w:rPr>
            </w:pPr>
            <w:r>
              <w:rPr>
                <w:rFonts w:ascii="Arial" w:hAnsi="Arial" w:eastAsia="Arial" w:cs="Arial"/>
                <w:b/>
                <w:bCs/>
                <w:color w:val="auto"/>
                <w:sz w:val="20"/>
                <w:szCs w:val="20"/>
              </w:rPr>
              <w:t>序号</w:t>
            </w:r>
          </w:p>
        </w:tc>
        <w:tc>
          <w:tcPr>
            <w:tcW w:w="1482"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74BEC61D">
            <w:pPr>
              <w:snapToGrid w:val="0"/>
              <w:ind w:left="0" w:leftChars="0" w:right="0" w:rightChars="0" w:firstLine="0" w:firstLineChars="0"/>
              <w:jc w:val="left"/>
              <w:rPr>
                <w:b/>
                <w:color w:val="auto"/>
              </w:rPr>
            </w:pPr>
            <w:r>
              <w:rPr>
                <w:rFonts w:ascii="Arial" w:hAnsi="Arial" w:eastAsia="Arial" w:cs="Arial"/>
                <w:b/>
                <w:bCs/>
                <w:color w:val="auto"/>
                <w:sz w:val="20"/>
                <w:szCs w:val="20"/>
              </w:rPr>
              <w:t>参数项</w:t>
            </w:r>
          </w:p>
        </w:tc>
        <w:tc>
          <w:tcPr>
            <w:tcW w:w="5076"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25358862">
            <w:pPr>
              <w:snapToGrid w:val="0"/>
              <w:ind w:left="0" w:leftChars="0" w:right="0" w:rightChars="0" w:firstLine="0" w:firstLineChars="0"/>
              <w:jc w:val="left"/>
              <w:rPr>
                <w:b/>
                <w:color w:val="auto"/>
              </w:rPr>
            </w:pPr>
            <w:r>
              <w:rPr>
                <w:rFonts w:ascii="Arial" w:hAnsi="Arial" w:eastAsia="Arial" w:cs="Arial"/>
                <w:b/>
                <w:bCs/>
                <w:color w:val="auto"/>
                <w:sz w:val="20"/>
                <w:szCs w:val="20"/>
              </w:rPr>
              <w:t>技术要求</w:t>
            </w:r>
          </w:p>
        </w:tc>
        <w:tc>
          <w:tcPr>
            <w:tcW w:w="2640" w:type="dxa"/>
            <w:tcBorders>
              <w:top w:val="single" w:color="1A5276" w:sz="4" w:space="0"/>
              <w:left w:val="single" w:color="1A5276" w:sz="4" w:space="0"/>
              <w:bottom w:val="single" w:color="1A5276" w:sz="4" w:space="0"/>
              <w:right w:val="single" w:color="1A5276" w:sz="4" w:space="0"/>
            </w:tcBorders>
            <w:shd w:val="clear" w:color="auto" w:fill="FFFFFF" w:themeFill="background1"/>
            <w:tcMar>
              <w:top w:w="80" w:type="dxa"/>
              <w:left w:w="120" w:type="dxa"/>
              <w:bottom w:w="80" w:type="dxa"/>
              <w:right w:w="120" w:type="dxa"/>
            </w:tcMar>
            <w:vAlign w:val="center"/>
          </w:tcPr>
          <w:p w14:paraId="7B61CFC2">
            <w:pPr>
              <w:snapToGrid w:val="0"/>
              <w:ind w:left="0" w:leftChars="0" w:right="0" w:rightChars="0" w:firstLine="0" w:firstLineChars="0"/>
              <w:jc w:val="left"/>
              <w:rPr>
                <w:b/>
                <w:color w:val="auto"/>
              </w:rPr>
            </w:pPr>
            <w:r>
              <w:rPr>
                <w:rFonts w:ascii="Arial" w:hAnsi="Arial" w:eastAsia="Arial" w:cs="Arial"/>
                <w:b/>
                <w:bCs/>
                <w:color w:val="auto"/>
                <w:sz w:val="20"/>
                <w:szCs w:val="20"/>
              </w:rPr>
              <w:t>备注说明</w:t>
            </w:r>
          </w:p>
        </w:tc>
      </w:tr>
      <w:tr w14:paraId="5247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61DB735">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1</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3F5FF4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仪器名称</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48F4FC7">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智能无线气体探测器</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8C429C1">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数量：12台</w:t>
            </w:r>
          </w:p>
        </w:tc>
      </w:tr>
      <w:tr w14:paraId="68E8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04D6C2A">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2</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C18B8FD">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测量组分</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D614386">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一氧化碳（CO）</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64552B0">
            <w:pPr>
              <w:snapToGrid w:val="0"/>
              <w:ind w:left="0" w:leftChars="0" w:right="0" w:rightChars="0" w:firstLine="0" w:firstLineChars="0"/>
              <w:jc w:val="left"/>
              <w:rPr>
                <w:rFonts w:ascii="Arial" w:hAnsi="Arial" w:eastAsia="Arial" w:cs="Arial"/>
                <w:b w:val="0"/>
                <w:bCs w:val="0"/>
                <w:color w:val="auto"/>
                <w:sz w:val="18"/>
                <w:szCs w:val="18"/>
              </w:rPr>
            </w:pPr>
          </w:p>
        </w:tc>
      </w:tr>
      <w:tr w14:paraId="5CD4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1C99B55">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3</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6EC24D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测量范围</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C6D3E51">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0～</w:t>
            </w:r>
            <w:r>
              <w:rPr>
                <w:rFonts w:hint="eastAsia" w:eastAsia="宋体" w:cs="Arial"/>
                <w:b w:val="0"/>
                <w:bCs w:val="0"/>
                <w:color w:val="auto"/>
                <w:sz w:val="18"/>
                <w:szCs w:val="18"/>
                <w:lang w:val="en-US" w:eastAsia="zh-CN"/>
              </w:rPr>
              <w:t>5</w:t>
            </w:r>
            <w:r>
              <w:rPr>
                <w:rFonts w:ascii="Arial" w:hAnsi="Arial" w:eastAsia="Arial" w:cs="Arial"/>
                <w:b w:val="0"/>
                <w:bCs w:val="0"/>
                <w:color w:val="auto"/>
                <w:sz w:val="18"/>
                <w:szCs w:val="18"/>
              </w:rPr>
              <w:t>00 ppm★</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7641F07">
            <w:pPr>
              <w:snapToGrid w:val="0"/>
              <w:ind w:left="0" w:leftChars="0" w:right="0" w:rightChars="0" w:firstLine="0" w:firstLineChars="0"/>
              <w:jc w:val="left"/>
              <w:rPr>
                <w:rFonts w:ascii="Arial" w:hAnsi="Arial" w:eastAsia="Arial" w:cs="Arial"/>
                <w:b w:val="0"/>
                <w:bCs w:val="0"/>
                <w:color w:val="auto"/>
                <w:sz w:val="18"/>
                <w:szCs w:val="18"/>
              </w:rPr>
            </w:pPr>
          </w:p>
        </w:tc>
      </w:tr>
      <w:tr w14:paraId="23B1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EECF139">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4</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329F164">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一级报警值</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9D91C4B">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24ppm</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CB79BFD">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可调</w:t>
            </w:r>
          </w:p>
        </w:tc>
      </w:tr>
      <w:tr w14:paraId="3B68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FD3E245">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5</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D1AB41A">
            <w:pPr>
              <w:snapToGrid w:val="0"/>
              <w:ind w:left="0" w:leftChars="0" w:right="0" w:rightChars="0" w:firstLine="0" w:firstLineChars="0"/>
              <w:jc w:val="left"/>
              <w:rPr>
                <w:rFonts w:ascii="Arial" w:hAnsi="Arial" w:eastAsia="Arial" w:cs="Arial"/>
                <w:b w:val="0"/>
                <w:bCs w:val="0"/>
                <w:color w:val="auto"/>
                <w:sz w:val="18"/>
                <w:szCs w:val="18"/>
              </w:rPr>
            </w:pPr>
            <w:r>
              <w:rPr>
                <w:rFonts w:hint="eastAsia" w:eastAsia="宋体" w:cs="Arial"/>
                <w:b w:val="0"/>
                <w:bCs w:val="0"/>
                <w:color w:val="auto"/>
                <w:sz w:val="18"/>
                <w:szCs w:val="18"/>
                <w:lang w:val="en-US" w:eastAsia="zh-CN"/>
              </w:rPr>
              <w:t>二级报警值</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324148C">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48ppm</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BA86342">
            <w:pPr>
              <w:snapToGrid w:val="0"/>
              <w:ind w:left="0" w:leftChars="0" w:right="0" w:rightChars="0" w:firstLine="0" w:firstLineChars="0"/>
              <w:jc w:val="left"/>
              <w:rPr>
                <w:rFonts w:ascii="Arial" w:hAnsi="Arial" w:eastAsia="Arial" w:cs="Arial"/>
                <w:b w:val="0"/>
                <w:bCs w:val="0"/>
                <w:color w:val="auto"/>
                <w:sz w:val="18"/>
                <w:szCs w:val="18"/>
              </w:rPr>
            </w:pPr>
            <w:r>
              <w:rPr>
                <w:rFonts w:hint="eastAsia" w:eastAsia="宋体" w:cs="Arial"/>
                <w:b w:val="0"/>
                <w:bCs w:val="0"/>
                <w:color w:val="auto"/>
                <w:sz w:val="18"/>
                <w:szCs w:val="18"/>
                <w:lang w:val="en-US" w:eastAsia="zh-CN"/>
              </w:rPr>
              <w:t>可调</w:t>
            </w:r>
          </w:p>
        </w:tc>
      </w:tr>
      <w:tr w14:paraId="00F2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373E8F8">
            <w:pPr>
              <w:snapToGrid w:val="0"/>
              <w:ind w:left="0" w:leftChars="0" w:right="0" w:rightChars="0" w:firstLine="0" w:firstLineChars="0"/>
              <w:jc w:val="left"/>
              <w:rPr>
                <w:rFonts w:hint="eastAsia" w:ascii="Arial" w:hAnsi="Arial" w:eastAsia="宋体" w:cs="Arial"/>
                <w:b w:val="0"/>
                <w:bCs w:val="0"/>
                <w:color w:val="auto"/>
                <w:sz w:val="18"/>
                <w:szCs w:val="18"/>
                <w:lang w:eastAsia="zh-CN"/>
              </w:rPr>
            </w:pPr>
            <w:r>
              <w:rPr>
                <w:rFonts w:hint="eastAsia" w:eastAsia="宋体" w:cs="Arial"/>
                <w:b w:val="0"/>
                <w:bCs w:val="0"/>
                <w:color w:val="auto"/>
                <w:sz w:val="18"/>
                <w:szCs w:val="18"/>
                <w:lang w:val="en-US" w:eastAsia="zh-CN"/>
              </w:rPr>
              <w:t>6</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1F96282">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检测精度</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CFDA338">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±5% F.S.★</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B44AA9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按满量程误差计算</w:t>
            </w:r>
          </w:p>
        </w:tc>
      </w:tr>
      <w:tr w14:paraId="7E1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B17F708">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7</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DDF7C97">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响应时间（T90）</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2B6CCC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≤20 s★</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6E25793">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超过此值视为不合格</w:t>
            </w:r>
          </w:p>
        </w:tc>
      </w:tr>
      <w:tr w14:paraId="3BB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4A9006F">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8</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AE2FABD">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输出信号方式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129940E">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无线自组网（Mesh组网）★</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434E35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须支持多跳中继</w:t>
            </w:r>
          </w:p>
        </w:tc>
      </w:tr>
      <w:tr w14:paraId="14B3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99D08F5">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9</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AD1EB1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无线传输距离</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F50D3B9">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≥3 km（视野空旷条件）★</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BA1C426">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考虑</w:t>
            </w:r>
            <w:r>
              <w:rPr>
                <w:rFonts w:hint="eastAsia" w:eastAsia="宋体" w:cs="Arial"/>
                <w:b w:val="0"/>
                <w:bCs w:val="0"/>
                <w:color w:val="auto"/>
                <w:sz w:val="18"/>
                <w:szCs w:val="18"/>
                <w:lang w:val="en-US" w:eastAsia="zh-CN"/>
              </w:rPr>
              <w:t>实际应用中</w:t>
            </w:r>
            <w:r>
              <w:rPr>
                <w:rFonts w:ascii="Arial" w:hAnsi="Arial" w:eastAsia="Arial" w:cs="Arial"/>
                <w:b w:val="0"/>
                <w:bCs w:val="0"/>
                <w:color w:val="auto"/>
                <w:sz w:val="18"/>
                <w:szCs w:val="18"/>
              </w:rPr>
              <w:t>廊道外墙、控制室外墙</w:t>
            </w:r>
            <w:r>
              <w:rPr>
                <w:rFonts w:hint="eastAsia" w:eastAsia="宋体" w:cs="Arial"/>
                <w:b w:val="0"/>
                <w:bCs w:val="0"/>
                <w:color w:val="auto"/>
                <w:sz w:val="18"/>
                <w:szCs w:val="18"/>
                <w:lang w:val="en-US" w:eastAsia="zh-CN"/>
              </w:rPr>
              <w:t>导致的</w:t>
            </w:r>
            <w:r>
              <w:rPr>
                <w:rFonts w:ascii="Arial" w:hAnsi="Arial" w:eastAsia="Arial" w:cs="Arial"/>
                <w:b w:val="0"/>
                <w:bCs w:val="0"/>
                <w:color w:val="auto"/>
                <w:sz w:val="18"/>
                <w:szCs w:val="18"/>
              </w:rPr>
              <w:t>信号衰减</w:t>
            </w:r>
          </w:p>
        </w:tc>
      </w:tr>
      <w:tr w14:paraId="4A86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2C2B1CC">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10</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4FE0E1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无线网关数量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0AA971F">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2套</w:t>
            </w:r>
            <w:r>
              <w:rPr>
                <w:rFonts w:hint="eastAsia" w:eastAsia="宋体" w:cs="Arial"/>
                <w:b w:val="0"/>
                <w:bCs w:val="0"/>
                <w:color w:val="auto"/>
                <w:sz w:val="18"/>
                <w:szCs w:val="18"/>
                <w:lang w:val="en-US" w:eastAsia="zh-CN"/>
              </w:rPr>
              <w:t>防爆型</w:t>
            </w:r>
            <w:r>
              <w:rPr>
                <w:rFonts w:ascii="Arial" w:hAnsi="Arial" w:eastAsia="Arial" w:cs="Arial"/>
                <w:b w:val="0"/>
                <w:bCs w:val="0"/>
                <w:color w:val="auto"/>
                <w:sz w:val="18"/>
                <w:szCs w:val="18"/>
              </w:rPr>
              <w:t>（1+1冗余）★</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8A4F86A">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单点故障不影响监控</w:t>
            </w:r>
          </w:p>
        </w:tc>
      </w:tr>
      <w:tr w14:paraId="5C27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7298C9E">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11</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052E2CA">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电气接口</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38CC2FF">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3/4 NPT</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61E6822">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符合现场管道规格</w:t>
            </w:r>
          </w:p>
        </w:tc>
      </w:tr>
      <w:tr w14:paraId="1A5C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265FDB2">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2</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CBF97F6">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电源供电方式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C0CE778">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内置电池，标称电压 DC 7.2V</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F4CEBF6">
            <w:pPr>
              <w:snapToGrid w:val="0"/>
              <w:ind w:left="0" w:leftChars="0" w:right="0" w:rightChars="0" w:firstLine="0" w:firstLineChars="0"/>
              <w:jc w:val="left"/>
              <w:rPr>
                <w:rFonts w:ascii="Arial" w:hAnsi="Arial" w:eastAsia="Arial" w:cs="Arial"/>
                <w:b w:val="0"/>
                <w:bCs w:val="0"/>
                <w:color w:val="auto"/>
                <w:sz w:val="18"/>
                <w:szCs w:val="18"/>
              </w:rPr>
            </w:pPr>
          </w:p>
        </w:tc>
      </w:tr>
      <w:tr w14:paraId="3F02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7751939">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3</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C57D57A">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电池使用寿命</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274584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一次性电池寿命 ≥24 个月★</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451268B">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基于正常工况连续工作</w:t>
            </w:r>
          </w:p>
        </w:tc>
      </w:tr>
      <w:tr w14:paraId="3226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E55EA3F">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4</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6A4933F">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功耗</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5D2D04B">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≤0.1 W（正常工作状态）★</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7DBAA0E">
            <w:pPr>
              <w:snapToGrid w:val="0"/>
              <w:ind w:left="0" w:leftChars="0" w:right="0" w:rightChars="0" w:firstLine="0" w:firstLineChars="0"/>
              <w:jc w:val="left"/>
              <w:rPr>
                <w:rFonts w:ascii="Arial" w:hAnsi="Arial" w:eastAsia="Arial" w:cs="Arial"/>
                <w:b w:val="0"/>
                <w:bCs w:val="0"/>
                <w:color w:val="auto"/>
                <w:sz w:val="18"/>
                <w:szCs w:val="18"/>
              </w:rPr>
            </w:pPr>
          </w:p>
        </w:tc>
      </w:tr>
      <w:tr w14:paraId="5091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18B03E9">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5</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4534237">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防爆等级</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02ABCCB">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Ex db IIC T6 Gb（隔爆型）★</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B3CE08C">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须取得国家防爆合格证</w:t>
            </w:r>
          </w:p>
        </w:tc>
      </w:tr>
      <w:tr w14:paraId="709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59C66F5">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6</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FE0E88A">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防护等级</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6B1CA4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IP6</w:t>
            </w:r>
            <w:r>
              <w:rPr>
                <w:rFonts w:hint="eastAsia" w:eastAsia="宋体" w:cs="Arial"/>
                <w:b w:val="0"/>
                <w:bCs w:val="0"/>
                <w:color w:val="auto"/>
                <w:sz w:val="18"/>
                <w:szCs w:val="18"/>
                <w:lang w:val="en-US" w:eastAsia="zh-CN"/>
              </w:rPr>
              <w:t>5</w:t>
            </w:r>
            <w:r>
              <w:rPr>
                <w:rFonts w:ascii="Arial" w:hAnsi="Arial" w:eastAsia="Arial" w:cs="Arial"/>
                <w:b w:val="0"/>
                <w:bCs w:val="0"/>
                <w:color w:val="auto"/>
                <w:sz w:val="18"/>
                <w:szCs w:val="18"/>
              </w:rPr>
              <w:t>及以上★</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583C38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户外/工业廊道环境适用</w:t>
            </w:r>
          </w:p>
        </w:tc>
      </w:tr>
      <w:tr w14:paraId="37A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FA7B54D">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7</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118028F">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安装位置</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7DB75A0">
            <w:pPr>
              <w:snapToGrid w:val="0"/>
              <w:ind w:left="0" w:leftChars="0" w:right="0" w:rightChars="0" w:firstLine="0" w:firstLineChars="0"/>
              <w:jc w:val="left"/>
              <w:rPr>
                <w:rFonts w:ascii="Arial" w:hAnsi="Arial" w:eastAsia="Arial" w:cs="Arial"/>
                <w:b w:val="0"/>
                <w:bCs w:val="0"/>
                <w:color w:val="auto"/>
                <w:sz w:val="18"/>
                <w:szCs w:val="18"/>
              </w:rPr>
            </w:pPr>
            <w:r>
              <w:rPr>
                <w:rFonts w:hint="eastAsia" w:eastAsia="宋体" w:cs="Arial"/>
                <w:b w:val="0"/>
                <w:bCs w:val="0"/>
                <w:color w:val="auto"/>
                <w:sz w:val="18"/>
                <w:szCs w:val="18"/>
                <w:lang w:val="en-US" w:eastAsia="zh-CN"/>
              </w:rPr>
              <w:t>热电厂</w:t>
            </w:r>
            <w:r>
              <w:rPr>
                <w:rFonts w:ascii="Arial" w:hAnsi="Arial" w:eastAsia="Arial" w:cs="Arial"/>
                <w:b w:val="0"/>
                <w:bCs w:val="0"/>
                <w:color w:val="auto"/>
                <w:sz w:val="18"/>
                <w:szCs w:val="18"/>
              </w:rPr>
              <w:t>输煤廊道</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406F13FF">
            <w:pPr>
              <w:snapToGrid w:val="0"/>
              <w:ind w:left="0" w:leftChars="0" w:right="0" w:rightChars="0" w:firstLine="0" w:firstLineChars="0"/>
              <w:jc w:val="left"/>
              <w:rPr>
                <w:rFonts w:ascii="Arial" w:hAnsi="Arial" w:eastAsia="Arial" w:cs="Arial"/>
                <w:b w:val="0"/>
                <w:bCs w:val="0"/>
                <w:color w:val="auto"/>
                <w:sz w:val="18"/>
                <w:szCs w:val="18"/>
              </w:rPr>
            </w:pPr>
          </w:p>
        </w:tc>
      </w:tr>
      <w:tr w14:paraId="2A7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76606F2">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8</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D87D37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安装方式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6C514A6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DN40～DN50管夹安装</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21581BF">
            <w:pPr>
              <w:snapToGrid w:val="0"/>
              <w:ind w:left="0" w:leftChars="0" w:right="0" w:rightChars="0" w:firstLine="0" w:firstLineChars="0"/>
              <w:jc w:val="left"/>
              <w:rPr>
                <w:rFonts w:ascii="Arial" w:hAnsi="Arial" w:eastAsia="Arial" w:cs="Arial"/>
                <w:b w:val="0"/>
                <w:bCs w:val="0"/>
                <w:color w:val="auto"/>
                <w:sz w:val="18"/>
                <w:szCs w:val="18"/>
              </w:rPr>
            </w:pPr>
          </w:p>
        </w:tc>
      </w:tr>
      <w:tr w14:paraId="341E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006A64A">
            <w:pPr>
              <w:snapToGrid w:val="0"/>
              <w:ind w:left="0" w:leftChars="0" w:right="0" w:rightChars="0" w:firstLine="0" w:firstLineChars="0"/>
              <w:jc w:val="left"/>
              <w:rPr>
                <w:rFonts w:hint="eastAsia" w:ascii="Arial" w:hAnsi="Arial" w:eastAsia="宋体" w:cs="Arial"/>
                <w:b w:val="0"/>
                <w:bCs w:val="0"/>
                <w:color w:val="auto"/>
                <w:sz w:val="18"/>
                <w:szCs w:val="18"/>
                <w:lang w:val="en-US" w:eastAsia="zh-CN"/>
              </w:rPr>
            </w:pPr>
            <w:r>
              <w:rPr>
                <w:rFonts w:ascii="Arial" w:hAnsi="Arial" w:eastAsia="Arial" w:cs="Arial"/>
                <w:b w:val="0"/>
                <w:bCs w:val="0"/>
                <w:color w:val="auto"/>
                <w:sz w:val="18"/>
                <w:szCs w:val="18"/>
              </w:rPr>
              <w:t>1</w:t>
            </w:r>
            <w:r>
              <w:rPr>
                <w:rFonts w:hint="eastAsia" w:eastAsia="宋体" w:cs="Arial"/>
                <w:b w:val="0"/>
                <w:bCs w:val="0"/>
                <w:color w:val="auto"/>
                <w:sz w:val="18"/>
                <w:szCs w:val="18"/>
                <w:lang w:val="en-US" w:eastAsia="zh-CN"/>
              </w:rPr>
              <w:t>9</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0FC8F63">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显示方式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7E206DF3">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无线网关联接计算机，具备历史趋势及历史报警查询功能，配套监控软件★</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C1E7BB9">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软件需提供正版授权</w:t>
            </w:r>
          </w:p>
        </w:tc>
      </w:tr>
      <w:tr w14:paraId="70E1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13238C6">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20</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9BD8508">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报警方式</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07BE21C">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现场探测器配声光报警；监控中心与现场同步声光报警★</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3AC5E91B">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须满足GB/T 50493相关规定</w:t>
            </w:r>
          </w:p>
        </w:tc>
      </w:tr>
      <w:tr w14:paraId="3FC5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B6E5562">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21</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4F220E1">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工作温度范围</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09FC82B4">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-20℃～+55℃</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6A2214D">
            <w:pPr>
              <w:snapToGrid w:val="0"/>
              <w:ind w:left="0" w:leftChars="0" w:right="0" w:rightChars="0" w:firstLine="0" w:firstLineChars="0"/>
              <w:jc w:val="left"/>
              <w:rPr>
                <w:rFonts w:ascii="Arial" w:hAnsi="Arial" w:eastAsia="Arial" w:cs="Arial"/>
                <w:b w:val="0"/>
                <w:bCs w:val="0"/>
                <w:color w:val="auto"/>
                <w:sz w:val="18"/>
                <w:szCs w:val="18"/>
              </w:rPr>
            </w:pPr>
          </w:p>
        </w:tc>
      </w:tr>
      <w:tr w14:paraId="0C9F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5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561A3AF">
            <w:pPr>
              <w:snapToGrid w:val="0"/>
              <w:ind w:left="0" w:leftChars="0" w:right="0" w:rightChars="0" w:firstLine="0" w:firstLineChars="0"/>
              <w:jc w:val="left"/>
              <w:rPr>
                <w:rFonts w:hint="default" w:ascii="Arial" w:hAnsi="Arial" w:eastAsia="宋体" w:cs="Arial"/>
                <w:b w:val="0"/>
                <w:bCs w:val="0"/>
                <w:color w:val="auto"/>
                <w:sz w:val="18"/>
                <w:szCs w:val="18"/>
                <w:lang w:val="en-US" w:eastAsia="zh-CN"/>
              </w:rPr>
            </w:pPr>
            <w:r>
              <w:rPr>
                <w:rFonts w:hint="eastAsia" w:eastAsia="宋体" w:cs="Arial"/>
                <w:b w:val="0"/>
                <w:bCs w:val="0"/>
                <w:color w:val="auto"/>
                <w:sz w:val="18"/>
                <w:szCs w:val="18"/>
                <w:lang w:val="en-US" w:eastAsia="zh-CN"/>
              </w:rPr>
              <w:t>22</w:t>
            </w:r>
          </w:p>
        </w:tc>
        <w:tc>
          <w:tcPr>
            <w:tcW w:w="1482"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54D8EDC3">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工作湿度范围</w:t>
            </w:r>
          </w:p>
        </w:tc>
        <w:tc>
          <w:tcPr>
            <w:tcW w:w="5076"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2BFC0750">
            <w:pPr>
              <w:snapToGrid w:val="0"/>
              <w:ind w:left="0" w:leftChars="0" w:right="0" w:rightChars="0" w:firstLine="0" w:firstLineChars="0"/>
              <w:jc w:val="left"/>
              <w:rPr>
                <w:rFonts w:ascii="Arial" w:hAnsi="Arial" w:eastAsia="Arial" w:cs="Arial"/>
                <w:b w:val="0"/>
                <w:bCs w:val="0"/>
                <w:color w:val="auto"/>
                <w:sz w:val="18"/>
                <w:szCs w:val="18"/>
              </w:rPr>
            </w:pPr>
            <w:r>
              <w:rPr>
                <w:rFonts w:ascii="Arial" w:hAnsi="Arial" w:eastAsia="Arial" w:cs="Arial"/>
                <w:b w:val="0"/>
                <w:bCs w:val="0"/>
                <w:color w:val="auto"/>
                <w:sz w:val="18"/>
                <w:szCs w:val="18"/>
              </w:rPr>
              <w:t>0～95% RH（无凝露）</w:t>
            </w:r>
          </w:p>
        </w:tc>
        <w:tc>
          <w:tcPr>
            <w:tcW w:w="2640" w:type="dxa"/>
            <w:tcBorders>
              <w:top w:val="single" w:color="2E4057" w:sz="4" w:space="0"/>
              <w:left w:val="single" w:color="2E4057" w:sz="4" w:space="0"/>
              <w:bottom w:val="single" w:color="2E4057" w:sz="4" w:space="0"/>
              <w:right w:val="single" w:color="2E4057" w:sz="4" w:space="0"/>
            </w:tcBorders>
            <w:shd w:val="clear" w:color="auto" w:fill="FFFFFF" w:themeFill="background1"/>
            <w:tcMar>
              <w:top w:w="80" w:type="dxa"/>
              <w:left w:w="120" w:type="dxa"/>
              <w:bottom w:w="80" w:type="dxa"/>
              <w:right w:w="120" w:type="dxa"/>
            </w:tcMar>
            <w:vAlign w:val="center"/>
          </w:tcPr>
          <w:p w14:paraId="1F79EFCD">
            <w:pPr>
              <w:snapToGrid w:val="0"/>
              <w:ind w:left="0" w:leftChars="0" w:right="0" w:rightChars="0" w:firstLine="0" w:firstLineChars="0"/>
              <w:jc w:val="left"/>
              <w:rPr>
                <w:rFonts w:ascii="Arial" w:hAnsi="Arial" w:eastAsia="Arial" w:cs="Arial"/>
                <w:b w:val="0"/>
                <w:bCs w:val="0"/>
                <w:color w:val="auto"/>
                <w:sz w:val="18"/>
                <w:szCs w:val="18"/>
              </w:rPr>
            </w:pPr>
          </w:p>
        </w:tc>
      </w:tr>
    </w:tbl>
    <w:p w14:paraId="5D538454">
      <w:pPr>
        <w:snapToGrid w:val="0"/>
        <w:ind w:left="0" w:leftChars="0" w:right="0" w:rightChars="0" w:firstLine="0" w:firstLineChars="0"/>
        <w:jc w:val="left"/>
        <w:rPr>
          <w:rFonts w:ascii="Arial" w:hAnsi="Arial" w:eastAsia="Arial" w:cs="Arial"/>
          <w:b w:val="0"/>
          <w:bCs w:val="0"/>
          <w:color w:val="auto"/>
          <w:sz w:val="18"/>
          <w:szCs w:val="18"/>
        </w:rPr>
      </w:pPr>
    </w:p>
    <w:p w14:paraId="30B7B1BD">
      <w:pPr>
        <w:pStyle w:val="3"/>
        <w:spacing w:before="200" w:after="100"/>
        <w:rPr>
          <w:color w:val="auto"/>
        </w:rPr>
      </w:pPr>
      <w:r>
        <w:rPr>
          <w:rFonts w:ascii="Arial" w:hAnsi="Arial" w:eastAsia="Arial" w:cs="Arial"/>
          <w:b/>
          <w:bCs/>
          <w:color w:val="auto"/>
          <w:sz w:val="24"/>
          <w:szCs w:val="24"/>
        </w:rPr>
        <w:t>3.2  参数重点说明</w:t>
      </w:r>
    </w:p>
    <w:p w14:paraId="32C58A91">
      <w:pPr>
        <w:spacing w:before="80" w:after="80"/>
        <w:jc w:val="left"/>
        <w:rPr>
          <w:color w:val="auto"/>
        </w:rPr>
      </w:pPr>
      <w:r>
        <w:rPr>
          <w:rFonts w:ascii="Arial" w:hAnsi="Arial" w:eastAsia="Arial" w:cs="Arial"/>
          <w:color w:val="auto"/>
          <w:sz w:val="20"/>
          <w:szCs w:val="20"/>
        </w:rPr>
        <w:t>以下参数为影响系统安全性、可靠性和适用性的核心指标，作为</w:t>
      </w:r>
      <w:r>
        <w:rPr>
          <w:rFonts w:hint="eastAsia" w:eastAsia="宋体" w:cs="Arial"/>
          <w:color w:val="auto"/>
          <w:sz w:val="20"/>
          <w:szCs w:val="20"/>
          <w:lang w:val="en-US" w:eastAsia="zh-CN"/>
        </w:rPr>
        <w:t>报价</w:t>
      </w:r>
      <w:r>
        <w:rPr>
          <w:rFonts w:ascii="Arial" w:hAnsi="Arial" w:eastAsia="Arial" w:cs="Arial"/>
          <w:color w:val="auto"/>
          <w:sz w:val="20"/>
          <w:szCs w:val="20"/>
        </w:rPr>
        <w:t>资格</w:t>
      </w:r>
      <w:r>
        <w:rPr>
          <w:rFonts w:hint="eastAsia" w:eastAsia="宋体" w:cs="Arial"/>
          <w:color w:val="auto"/>
          <w:sz w:val="20"/>
          <w:szCs w:val="20"/>
          <w:lang w:val="en-US" w:eastAsia="zh-CN"/>
        </w:rPr>
        <w:t>要求</w:t>
      </w:r>
      <w:r>
        <w:rPr>
          <w:rFonts w:ascii="Arial" w:hAnsi="Arial" w:eastAsia="Arial" w:cs="Arial"/>
          <w:color w:val="auto"/>
          <w:sz w:val="20"/>
          <w:szCs w:val="20"/>
        </w:rPr>
        <w:t>核查：</w:t>
      </w:r>
    </w:p>
    <w:p w14:paraId="767A9D61">
      <w:pPr>
        <w:spacing w:before="60" w:after="60"/>
        <w:rPr>
          <w:color w:val="auto"/>
        </w:rPr>
      </w:pPr>
    </w:p>
    <w:p w14:paraId="6BA62CFC">
      <w:pPr>
        <w:spacing w:before="100" w:after="100"/>
        <w:rPr>
          <w:color w:val="auto"/>
        </w:rPr>
      </w:pPr>
      <w:r>
        <w:rPr>
          <w:rFonts w:ascii="Arial" w:hAnsi="Arial" w:eastAsia="Arial" w:cs="Arial"/>
          <w:b/>
          <w:bCs/>
          <w:color w:val="auto"/>
          <w:sz w:val="20"/>
          <w:szCs w:val="20"/>
        </w:rPr>
        <w:t>★ 测量范围（0～</w:t>
      </w:r>
      <w:r>
        <w:rPr>
          <w:rFonts w:hint="eastAsia" w:eastAsia="宋体" w:cs="Arial"/>
          <w:b/>
          <w:bCs/>
          <w:color w:val="auto"/>
          <w:sz w:val="20"/>
          <w:szCs w:val="20"/>
          <w:lang w:val="en-US" w:eastAsia="zh-CN"/>
        </w:rPr>
        <w:t>5</w:t>
      </w:r>
      <w:r>
        <w:rPr>
          <w:rFonts w:ascii="Arial" w:hAnsi="Arial" w:eastAsia="Arial" w:cs="Arial"/>
          <w:b/>
          <w:bCs/>
          <w:color w:val="auto"/>
          <w:sz w:val="20"/>
          <w:szCs w:val="20"/>
        </w:rPr>
        <w:t>00 ppm）</w:t>
      </w:r>
    </w:p>
    <w:p w14:paraId="3D15C1E8">
      <w:pPr>
        <w:pStyle w:val="16"/>
        <w:numPr>
          <w:ilvl w:val="0"/>
          <w:numId w:val="2"/>
        </w:numPr>
        <w:spacing w:before="40" w:after="40"/>
        <w:rPr>
          <w:b w:val="0"/>
          <w:bCs w:val="0"/>
          <w:color w:val="auto"/>
        </w:rPr>
      </w:pPr>
      <w:r>
        <w:rPr>
          <w:rFonts w:ascii="Arial" w:hAnsi="Arial" w:eastAsia="Arial" w:cs="Arial"/>
          <w:color w:val="auto"/>
          <w:sz w:val="18"/>
          <w:szCs w:val="18"/>
        </w:rPr>
        <w:t>依据GB/T 50493—2019，一氧化碳职业接触限值（PC-</w:t>
      </w:r>
      <w:r>
        <w:rPr>
          <w:rFonts w:hint="eastAsia" w:eastAsia="宋体" w:cs="Arial"/>
          <w:color w:val="auto"/>
          <w:sz w:val="18"/>
          <w:szCs w:val="18"/>
          <w:lang w:val="en-US" w:eastAsia="zh-CN"/>
        </w:rPr>
        <w:t>STEL</w:t>
      </w:r>
      <w:r>
        <w:rPr>
          <w:rFonts w:ascii="Arial" w:hAnsi="Arial" w:eastAsia="Arial" w:cs="Arial"/>
          <w:color w:val="auto"/>
          <w:sz w:val="18"/>
          <w:szCs w:val="18"/>
        </w:rPr>
        <w:t>）为</w:t>
      </w:r>
      <w:r>
        <w:rPr>
          <w:rFonts w:hint="eastAsia" w:eastAsia="宋体" w:cs="Arial"/>
          <w:color w:val="auto"/>
          <w:sz w:val="18"/>
          <w:szCs w:val="18"/>
          <w:lang w:val="en-US" w:eastAsia="zh-CN"/>
        </w:rPr>
        <w:t>3</w:t>
      </w:r>
      <w:r>
        <w:rPr>
          <w:rFonts w:ascii="Arial" w:hAnsi="Arial" w:eastAsia="Arial" w:cs="Arial"/>
          <w:color w:val="auto"/>
          <w:sz w:val="18"/>
          <w:szCs w:val="18"/>
        </w:rPr>
        <w:t>0 mg/m³（约</w:t>
      </w:r>
      <w:r>
        <w:rPr>
          <w:rFonts w:hint="eastAsia" w:eastAsia="宋体" w:cs="Arial"/>
          <w:color w:val="auto"/>
          <w:sz w:val="18"/>
          <w:szCs w:val="18"/>
          <w:lang w:val="en-US" w:eastAsia="zh-CN"/>
        </w:rPr>
        <w:t>24</w:t>
      </w:r>
      <w:r>
        <w:rPr>
          <w:rFonts w:ascii="Arial" w:hAnsi="Arial" w:eastAsia="Arial" w:cs="Arial"/>
          <w:color w:val="auto"/>
          <w:sz w:val="18"/>
          <w:szCs w:val="18"/>
        </w:rPr>
        <w:t>ppm），</w:t>
      </w:r>
      <w:r>
        <w:rPr>
          <w:rFonts w:hint="eastAsia" w:eastAsia="宋体" w:cs="Arial"/>
          <w:color w:val="auto"/>
          <w:sz w:val="18"/>
          <w:szCs w:val="18"/>
          <w:lang w:val="en-US" w:eastAsia="zh-CN"/>
        </w:rPr>
        <w:t>一级报警值不大于一倍职业接触限值</w:t>
      </w:r>
      <w:r>
        <w:rPr>
          <w:rFonts w:ascii="Arial" w:hAnsi="Arial" w:eastAsia="Arial" w:cs="Arial"/>
          <w:color w:val="auto"/>
          <w:sz w:val="18"/>
          <w:szCs w:val="18"/>
        </w:rPr>
        <w:t>。</w:t>
      </w:r>
      <w:r>
        <w:rPr>
          <w:rFonts w:hint="eastAsia" w:eastAsia="宋体" w:cs="Arial"/>
          <w:color w:val="auto"/>
          <w:sz w:val="18"/>
          <w:szCs w:val="18"/>
          <w:lang w:val="en-US" w:eastAsia="zh-CN"/>
        </w:rPr>
        <w:t>为考虑输煤廊道CO气体传感器灵敏度、职业接触限值（短时间接触允许浓度）以及煤炭火灾监测，</w:t>
      </w:r>
      <w:r>
        <w:rPr>
          <w:rFonts w:hint="eastAsia" w:eastAsia="宋体" w:cs="Arial"/>
          <w:b w:val="0"/>
          <w:bCs w:val="0"/>
          <w:color w:val="auto"/>
          <w:sz w:val="18"/>
          <w:szCs w:val="18"/>
          <w:lang w:val="en-US" w:eastAsia="zh-CN"/>
        </w:rPr>
        <w:t>量程设为0</w:t>
      </w:r>
      <w:r>
        <w:rPr>
          <w:rFonts w:ascii="Arial" w:hAnsi="Arial" w:eastAsia="Arial" w:cs="Arial"/>
          <w:b w:val="0"/>
          <w:bCs w:val="0"/>
          <w:color w:val="auto"/>
          <w:sz w:val="20"/>
          <w:szCs w:val="20"/>
        </w:rPr>
        <w:t>～</w:t>
      </w:r>
      <w:r>
        <w:rPr>
          <w:rFonts w:hint="eastAsia" w:eastAsia="宋体" w:cs="Arial"/>
          <w:b w:val="0"/>
          <w:bCs w:val="0"/>
          <w:color w:val="auto"/>
          <w:sz w:val="20"/>
          <w:szCs w:val="20"/>
          <w:lang w:val="en-US" w:eastAsia="zh-CN"/>
        </w:rPr>
        <w:t>500ppm，一级报警值为24ppm，二级报警值为48ppm。</w:t>
      </w:r>
    </w:p>
    <w:p w14:paraId="075091D2">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方须提供第三方检测机构出具的量程检定报告。</w:t>
      </w:r>
    </w:p>
    <w:p w14:paraId="2E60EE0D">
      <w:pPr>
        <w:spacing w:before="60" w:after="60"/>
        <w:rPr>
          <w:color w:val="auto"/>
        </w:rPr>
      </w:pPr>
    </w:p>
    <w:p w14:paraId="311F8529">
      <w:pPr>
        <w:spacing w:before="100" w:after="100"/>
        <w:rPr>
          <w:color w:val="auto"/>
        </w:rPr>
      </w:pPr>
      <w:r>
        <w:rPr>
          <w:rFonts w:ascii="Arial" w:hAnsi="Arial" w:eastAsia="Arial" w:cs="Arial"/>
          <w:b/>
          <w:bCs/>
          <w:color w:val="auto"/>
          <w:sz w:val="20"/>
          <w:szCs w:val="20"/>
        </w:rPr>
        <w:t>★ 检测精度（±5% F.S.）</w:t>
      </w:r>
    </w:p>
    <w:p w14:paraId="321BCF0B">
      <w:pPr>
        <w:pStyle w:val="16"/>
        <w:numPr>
          <w:ilvl w:val="0"/>
          <w:numId w:val="2"/>
        </w:numPr>
        <w:spacing w:before="40" w:after="40"/>
        <w:rPr>
          <w:color w:val="auto"/>
        </w:rPr>
      </w:pPr>
      <w:r>
        <w:rPr>
          <w:rFonts w:ascii="Arial" w:hAnsi="Arial" w:eastAsia="Arial" w:cs="Arial"/>
          <w:color w:val="auto"/>
          <w:sz w:val="18"/>
          <w:szCs w:val="18"/>
        </w:rPr>
        <w:t>精度直接影响报警阈值的准确性。按GB 12358—2006要求，固定式有毒气体探测器精度不得低于±5% F.S.。</w:t>
      </w:r>
    </w:p>
    <w:p w14:paraId="582C03FF">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方须提供型式检验报告，报告中须明确精度指标。</w:t>
      </w:r>
    </w:p>
    <w:p w14:paraId="372004DF">
      <w:pPr>
        <w:spacing w:before="60" w:after="60"/>
        <w:rPr>
          <w:color w:val="auto"/>
        </w:rPr>
      </w:pPr>
    </w:p>
    <w:p w14:paraId="23CD742A">
      <w:pPr>
        <w:spacing w:before="100" w:after="100"/>
        <w:rPr>
          <w:color w:val="auto"/>
        </w:rPr>
      </w:pPr>
      <w:r>
        <w:rPr>
          <w:rFonts w:ascii="Arial" w:hAnsi="Arial" w:eastAsia="Arial" w:cs="Arial"/>
          <w:b/>
          <w:bCs/>
          <w:color w:val="auto"/>
          <w:sz w:val="20"/>
          <w:szCs w:val="20"/>
        </w:rPr>
        <w:t>★ 响应时间（T90 ≤ 20 s）</w:t>
      </w:r>
    </w:p>
    <w:p w14:paraId="2D1EB009">
      <w:pPr>
        <w:pStyle w:val="16"/>
        <w:numPr>
          <w:ilvl w:val="0"/>
          <w:numId w:val="2"/>
        </w:numPr>
        <w:spacing w:before="40" w:after="40"/>
        <w:rPr>
          <w:color w:val="auto"/>
        </w:rPr>
      </w:pPr>
      <w:r>
        <w:rPr>
          <w:rFonts w:ascii="Arial" w:hAnsi="Arial" w:eastAsia="Arial" w:cs="Arial"/>
          <w:color w:val="auto"/>
          <w:sz w:val="18"/>
          <w:szCs w:val="18"/>
        </w:rPr>
        <w:t>响应时间是判断探测器能否及时预警的关键指标。T90超过20 s可能导致突发CO积聚事故时的报警延误。</w:t>
      </w:r>
    </w:p>
    <w:p w14:paraId="6B25FE4A">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方须提供响应时间检测报告，不接受单方声明。</w:t>
      </w:r>
    </w:p>
    <w:p w14:paraId="612C22F7">
      <w:pPr>
        <w:spacing w:before="60" w:after="60"/>
        <w:rPr>
          <w:color w:val="auto"/>
        </w:rPr>
      </w:pPr>
    </w:p>
    <w:p w14:paraId="5EDAA8EC">
      <w:pPr>
        <w:spacing w:before="100" w:after="100"/>
        <w:rPr>
          <w:color w:val="auto"/>
        </w:rPr>
      </w:pPr>
      <w:r>
        <w:rPr>
          <w:rFonts w:ascii="Arial" w:hAnsi="Arial" w:eastAsia="Arial" w:cs="Arial"/>
          <w:b/>
          <w:bCs/>
          <w:color w:val="auto"/>
          <w:sz w:val="20"/>
          <w:szCs w:val="20"/>
        </w:rPr>
        <w:t>★ 防爆等级（Ex db IIC T6 Gb）</w:t>
      </w:r>
    </w:p>
    <w:p w14:paraId="2FE3C550">
      <w:pPr>
        <w:pStyle w:val="16"/>
        <w:numPr>
          <w:ilvl w:val="0"/>
          <w:numId w:val="2"/>
        </w:numPr>
        <w:spacing w:before="40" w:after="40"/>
        <w:rPr>
          <w:color w:val="auto"/>
        </w:rPr>
      </w:pPr>
      <w:r>
        <w:rPr>
          <w:rFonts w:ascii="Arial" w:hAnsi="Arial" w:eastAsia="Arial" w:cs="Arial"/>
          <w:color w:val="auto"/>
          <w:sz w:val="18"/>
          <w:szCs w:val="18"/>
        </w:rPr>
        <w:t>输煤廊道属爆炸危险区域（Zone 1），设备必须取得国家防爆合格证（CSEI或认可机构颁发），防爆形式不低于隔爆型（d），设备组别IIC，温度组T6。</w:t>
      </w:r>
    </w:p>
    <w:p w14:paraId="228A16A9">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方须提供防爆合格证原件或经公证的复印件，证书须在有效期内。</w:t>
      </w:r>
    </w:p>
    <w:p w14:paraId="69D16FEF">
      <w:pPr>
        <w:spacing w:before="60" w:after="60"/>
        <w:rPr>
          <w:color w:val="auto"/>
        </w:rPr>
      </w:pPr>
    </w:p>
    <w:p w14:paraId="7550B34C">
      <w:pPr>
        <w:spacing w:before="100" w:after="100"/>
        <w:rPr>
          <w:color w:val="auto"/>
        </w:rPr>
      </w:pPr>
      <w:r>
        <w:rPr>
          <w:rFonts w:ascii="Arial" w:hAnsi="Arial" w:eastAsia="Arial" w:cs="Arial"/>
          <w:b/>
          <w:bCs/>
          <w:color w:val="auto"/>
          <w:sz w:val="20"/>
          <w:szCs w:val="20"/>
        </w:rPr>
        <w:t>★ 防护等级（IP65 及以上）</w:t>
      </w:r>
    </w:p>
    <w:p w14:paraId="500B9C6C">
      <w:pPr>
        <w:pStyle w:val="16"/>
        <w:numPr>
          <w:ilvl w:val="0"/>
          <w:numId w:val="2"/>
        </w:numPr>
        <w:spacing w:before="40" w:after="40"/>
        <w:rPr>
          <w:color w:val="auto"/>
        </w:rPr>
      </w:pPr>
      <w:r>
        <w:rPr>
          <w:rFonts w:ascii="Arial" w:hAnsi="Arial" w:eastAsia="Arial" w:cs="Arial"/>
          <w:color w:val="auto"/>
          <w:sz w:val="18"/>
          <w:szCs w:val="18"/>
        </w:rPr>
        <w:t>依据GB/T 4208—2017，IP65表示完全防尘且防低压射水，适用于输煤廊道潮湿、粉尘环境。</w:t>
      </w:r>
    </w:p>
    <w:p w14:paraId="5CD9F0D4">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方须提供IP防护等级检测报告。</w:t>
      </w:r>
    </w:p>
    <w:p w14:paraId="300A5B06">
      <w:pPr>
        <w:spacing w:before="60" w:after="60"/>
        <w:rPr>
          <w:color w:val="auto"/>
        </w:rPr>
      </w:pPr>
    </w:p>
    <w:p w14:paraId="25C22E00">
      <w:pPr>
        <w:spacing w:before="100" w:after="100"/>
        <w:rPr>
          <w:color w:val="auto"/>
        </w:rPr>
      </w:pPr>
      <w:r>
        <w:rPr>
          <w:rFonts w:ascii="Arial" w:hAnsi="Arial" w:eastAsia="Arial" w:cs="Arial"/>
          <w:b/>
          <w:bCs/>
          <w:color w:val="auto"/>
          <w:sz w:val="20"/>
          <w:szCs w:val="20"/>
        </w:rPr>
        <w:t>★ 无线传输距离（≥3 km）</w:t>
      </w:r>
    </w:p>
    <w:p w14:paraId="7D4D9294">
      <w:pPr>
        <w:pStyle w:val="16"/>
        <w:numPr>
          <w:ilvl w:val="0"/>
          <w:numId w:val="2"/>
        </w:numPr>
        <w:spacing w:before="40" w:after="40"/>
        <w:rPr>
          <w:color w:val="auto"/>
        </w:rPr>
      </w:pPr>
      <w:r>
        <w:rPr>
          <w:rFonts w:ascii="Arial" w:hAnsi="Arial" w:eastAsia="Arial" w:cs="Arial"/>
          <w:color w:val="auto"/>
          <w:sz w:val="18"/>
          <w:szCs w:val="18"/>
        </w:rPr>
        <w:t>实际廊道存在外墙、钢结构等障碍物导致信号衰减，无线模块在空旷环境的传输距离须≥3 km，以确保穿过建筑结构后仍能稳定传输。</w:t>
      </w:r>
    </w:p>
    <w:p w14:paraId="6F02B69B">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方须在甲方现场完成为期不少于一周的现场测试，并附测试报告。</w:t>
      </w:r>
    </w:p>
    <w:p w14:paraId="12C4A764">
      <w:pPr>
        <w:spacing w:before="60" w:after="60"/>
        <w:rPr>
          <w:color w:val="auto"/>
        </w:rPr>
      </w:pPr>
    </w:p>
    <w:p w14:paraId="4B18EA53">
      <w:pPr>
        <w:spacing w:before="100" w:after="100"/>
        <w:rPr>
          <w:color w:val="auto"/>
        </w:rPr>
      </w:pPr>
      <w:r>
        <w:rPr>
          <w:rFonts w:ascii="Arial" w:hAnsi="Arial" w:eastAsia="Arial" w:cs="Arial"/>
          <w:b/>
          <w:bCs/>
          <w:color w:val="auto"/>
          <w:sz w:val="20"/>
          <w:szCs w:val="20"/>
        </w:rPr>
        <w:t>★ 电池寿命（≥24个月）</w:t>
      </w:r>
    </w:p>
    <w:p w14:paraId="0E6BB15E">
      <w:pPr>
        <w:pStyle w:val="16"/>
        <w:numPr>
          <w:ilvl w:val="0"/>
          <w:numId w:val="2"/>
        </w:numPr>
        <w:spacing w:before="40" w:after="40"/>
        <w:rPr>
          <w:color w:val="auto"/>
        </w:rPr>
      </w:pPr>
      <w:r>
        <w:rPr>
          <w:rFonts w:ascii="Arial" w:hAnsi="Arial" w:eastAsia="Arial" w:cs="Arial"/>
          <w:color w:val="auto"/>
          <w:sz w:val="18"/>
          <w:szCs w:val="18"/>
        </w:rPr>
        <w:t>输煤廊道安装维护不便，电池寿命直接决定系统的运维成本和可靠性。须达到在正常工作功耗（≤0.1 W）条件下24个月免更换标准。</w:t>
      </w:r>
    </w:p>
    <w:p w14:paraId="54F7A377">
      <w:pPr>
        <w:pStyle w:val="16"/>
        <w:numPr>
          <w:ilvl w:val="0"/>
          <w:numId w:val="2"/>
        </w:numPr>
        <w:spacing w:before="40" w:after="40"/>
        <w:rPr>
          <w:color w:val="auto"/>
        </w:rPr>
      </w:pPr>
      <w:r>
        <w:rPr>
          <w:rFonts w:hint="eastAsia" w:eastAsia="宋体" w:cs="Arial"/>
          <w:color w:val="auto"/>
          <w:sz w:val="18"/>
          <w:szCs w:val="18"/>
          <w:lang w:val="en-US" w:eastAsia="zh-CN"/>
        </w:rPr>
        <w:t>报价</w:t>
      </w:r>
      <w:r>
        <w:rPr>
          <w:rFonts w:ascii="Arial" w:hAnsi="Arial" w:eastAsia="Arial" w:cs="Arial"/>
          <w:color w:val="auto"/>
          <w:sz w:val="18"/>
          <w:szCs w:val="18"/>
        </w:rPr>
        <w:t>方须提供电池寿命测试报告或厂家承诺书（须具有法律效力）。</w:t>
      </w:r>
    </w:p>
    <w:p w14:paraId="573550F4">
      <w:pPr>
        <w:spacing w:before="60" w:after="60"/>
        <w:rPr>
          <w:color w:val="auto"/>
        </w:rPr>
      </w:pPr>
    </w:p>
    <w:p w14:paraId="1CB6C1DA">
      <w:pPr>
        <w:spacing w:before="100" w:after="100"/>
        <w:rPr>
          <w:color w:val="auto"/>
        </w:rPr>
      </w:pPr>
      <w:r>
        <w:rPr>
          <w:rFonts w:ascii="Arial" w:hAnsi="Arial" w:eastAsia="Arial" w:cs="Arial"/>
          <w:b/>
          <w:bCs/>
          <w:color w:val="auto"/>
          <w:sz w:val="20"/>
          <w:szCs w:val="20"/>
        </w:rPr>
        <w:t>★ 1+1冗余无线网关</w:t>
      </w:r>
    </w:p>
    <w:p w14:paraId="5BD450E1">
      <w:pPr>
        <w:pStyle w:val="16"/>
        <w:numPr>
          <w:ilvl w:val="0"/>
          <w:numId w:val="2"/>
        </w:numPr>
        <w:spacing w:before="40" w:after="40"/>
        <w:rPr>
          <w:color w:val="auto"/>
        </w:rPr>
      </w:pPr>
      <w:r>
        <w:rPr>
          <w:rFonts w:ascii="Arial" w:hAnsi="Arial" w:eastAsia="Arial" w:cs="Arial"/>
          <w:color w:val="auto"/>
          <w:sz w:val="18"/>
          <w:szCs w:val="18"/>
        </w:rPr>
        <w:t>单套网关故障将导致整个廊道失去监控，必须配置2套独立网关，主备冗余，自动切换，切换时间须＜30 s。</w:t>
      </w:r>
    </w:p>
    <w:p w14:paraId="0221E3A1">
      <w:pPr>
        <w:spacing w:before="60" w:after="60"/>
        <w:rPr>
          <w:color w:val="auto"/>
        </w:rPr>
      </w:pPr>
    </w:p>
    <w:p w14:paraId="3F5F1E97">
      <w:pPr>
        <w:spacing w:before="100" w:after="100"/>
        <w:rPr>
          <w:color w:val="auto"/>
        </w:rPr>
      </w:pPr>
      <w:r>
        <w:rPr>
          <w:rFonts w:ascii="Arial" w:hAnsi="Arial" w:eastAsia="Arial" w:cs="Arial"/>
          <w:b/>
          <w:bCs/>
          <w:color w:val="auto"/>
          <w:sz w:val="20"/>
          <w:szCs w:val="20"/>
        </w:rPr>
        <w:t>★ 报警联动功能</w:t>
      </w:r>
    </w:p>
    <w:p w14:paraId="16FAE773">
      <w:pPr>
        <w:pStyle w:val="16"/>
        <w:numPr>
          <w:ilvl w:val="0"/>
          <w:numId w:val="2"/>
        </w:numPr>
        <w:spacing w:before="40" w:after="40"/>
        <w:rPr>
          <w:color w:val="auto"/>
        </w:rPr>
      </w:pPr>
      <w:r>
        <w:rPr>
          <w:rFonts w:ascii="Arial" w:hAnsi="Arial" w:eastAsia="Arial" w:cs="Arial"/>
          <w:color w:val="auto"/>
          <w:sz w:val="18"/>
          <w:szCs w:val="18"/>
        </w:rPr>
        <w:t>现场探测器触发报警时，须同步联动监控中心声光报警，不允许仅本地报警。须提供软件演示或系统框图说明联动逻辑。</w:t>
      </w:r>
    </w:p>
    <w:p w14:paraId="31C483D4">
      <w:pPr>
        <w:spacing w:before="60" w:after="60"/>
        <w:rPr>
          <w:color w:val="auto"/>
        </w:rPr>
      </w:pPr>
    </w:p>
    <w:p w14:paraId="3285BBA0">
      <w:pPr>
        <w:pBdr>
          <w:bottom w:val="single" w:color="1A5276" w:sz="4" w:space="1"/>
        </w:pBdr>
        <w:spacing w:before="120" w:after="120"/>
        <w:rPr>
          <w:color w:val="auto"/>
        </w:rPr>
      </w:pPr>
    </w:p>
    <w:p w14:paraId="41FDF6BB">
      <w:pPr>
        <w:pStyle w:val="2"/>
        <w:spacing w:before="300" w:after="150"/>
        <w:rPr>
          <w:color w:val="auto"/>
        </w:rPr>
      </w:pPr>
      <w:r>
        <w:rPr>
          <w:rFonts w:ascii="Arial" w:hAnsi="Arial" w:eastAsia="Arial" w:cs="Arial"/>
          <w:b/>
          <w:bCs/>
          <w:color w:val="auto"/>
          <w:sz w:val="28"/>
          <w:szCs w:val="28"/>
        </w:rPr>
        <w:t>4  系统组成与架构</w:t>
      </w:r>
    </w:p>
    <w:p w14:paraId="69938DA4">
      <w:pPr>
        <w:spacing w:before="80" w:after="80"/>
        <w:jc w:val="left"/>
        <w:rPr>
          <w:color w:val="auto"/>
        </w:rPr>
      </w:pPr>
      <w:r>
        <w:rPr>
          <w:rFonts w:ascii="Arial" w:hAnsi="Arial" w:eastAsia="Arial" w:cs="Arial"/>
          <w:color w:val="auto"/>
          <w:sz w:val="20"/>
          <w:szCs w:val="20"/>
        </w:rPr>
        <w:t>本系统由以下三个层次构成：</w:t>
      </w:r>
    </w:p>
    <w:p w14:paraId="1F235F25">
      <w:pPr>
        <w:spacing w:before="60" w:after="60"/>
        <w:rPr>
          <w:color w:val="auto"/>
        </w:rPr>
      </w:pPr>
    </w:p>
    <w:p w14:paraId="08737E70">
      <w:pPr>
        <w:pStyle w:val="16"/>
        <w:numPr>
          <w:ilvl w:val="0"/>
          <w:numId w:val="1"/>
        </w:numPr>
        <w:spacing w:before="60" w:after="60"/>
        <w:rPr>
          <w:color w:val="auto"/>
        </w:rPr>
      </w:pPr>
      <w:r>
        <w:rPr>
          <w:rFonts w:ascii="Arial" w:hAnsi="Arial" w:eastAsia="Arial" w:cs="Arial"/>
          <w:color w:val="auto"/>
          <w:sz w:val="20"/>
          <w:szCs w:val="20"/>
        </w:rPr>
        <w:t>感知层：12台智能无线CO气体探测器，采用内置电池供电，Mesh自组网通信，安装于各输煤廊道关键节点；</w:t>
      </w:r>
    </w:p>
    <w:p w14:paraId="1D228716">
      <w:pPr>
        <w:pStyle w:val="16"/>
        <w:numPr>
          <w:ilvl w:val="0"/>
          <w:numId w:val="1"/>
        </w:numPr>
        <w:spacing w:before="60" w:after="60"/>
        <w:rPr>
          <w:color w:val="auto"/>
        </w:rPr>
      </w:pPr>
      <w:r>
        <w:rPr>
          <w:rFonts w:ascii="Arial" w:hAnsi="Arial" w:eastAsia="Arial" w:cs="Arial"/>
          <w:color w:val="auto"/>
          <w:sz w:val="20"/>
          <w:szCs w:val="20"/>
        </w:rPr>
        <w:t>传输层：2套无线网关（1+1冗余部署），负责汇聚各节点数据并通过有线或以太网上传至监控中心；</w:t>
      </w:r>
    </w:p>
    <w:p w14:paraId="0BA3ADDE">
      <w:pPr>
        <w:pStyle w:val="16"/>
        <w:numPr>
          <w:ilvl w:val="0"/>
          <w:numId w:val="1"/>
        </w:numPr>
        <w:spacing w:before="60" w:after="60"/>
        <w:rPr>
          <w:color w:val="auto"/>
        </w:rPr>
      </w:pPr>
      <w:r>
        <w:rPr>
          <w:rFonts w:ascii="Arial" w:hAnsi="Arial" w:eastAsia="Arial" w:cs="Arial"/>
          <w:color w:val="auto"/>
          <w:sz w:val="20"/>
          <w:szCs w:val="20"/>
        </w:rPr>
        <w:t>应用层：监控中心计算机安装配套监控软件，实现实时数据展示、历史趋势查询、历史报警记录查询及声光联动报警。</w:t>
      </w:r>
    </w:p>
    <w:p w14:paraId="5B0FDA95">
      <w:pPr>
        <w:spacing w:before="60" w:after="60"/>
        <w:rPr>
          <w:color w:val="auto"/>
        </w:rPr>
      </w:pPr>
    </w:p>
    <w:p w14:paraId="2B229AD8">
      <w:pPr>
        <w:spacing w:before="80" w:after="80"/>
        <w:jc w:val="left"/>
        <w:rPr>
          <w:color w:val="auto"/>
        </w:rPr>
      </w:pPr>
      <w:r>
        <w:rPr>
          <w:rFonts w:ascii="Arial" w:hAnsi="Arial" w:eastAsia="Arial" w:cs="Arial"/>
          <w:b/>
          <w:bCs/>
          <w:color w:val="auto"/>
          <w:sz w:val="20"/>
          <w:szCs w:val="20"/>
        </w:rPr>
        <w:t>乙方须在</w:t>
      </w:r>
      <w:r>
        <w:rPr>
          <w:rFonts w:hint="eastAsia" w:eastAsia="宋体" w:cs="Arial"/>
          <w:b/>
          <w:bCs/>
          <w:color w:val="auto"/>
          <w:sz w:val="20"/>
          <w:szCs w:val="20"/>
          <w:lang w:val="en-US" w:eastAsia="zh-CN"/>
        </w:rPr>
        <w:t>报价</w:t>
      </w:r>
      <w:r>
        <w:rPr>
          <w:rFonts w:ascii="Arial" w:hAnsi="Arial" w:eastAsia="Arial" w:cs="Arial"/>
          <w:b/>
          <w:bCs/>
          <w:color w:val="auto"/>
          <w:sz w:val="20"/>
          <w:szCs w:val="20"/>
        </w:rPr>
        <w:t>文件中提供系统架构图、网络拓扑图及信号覆盖示意图。</w:t>
      </w:r>
    </w:p>
    <w:p w14:paraId="368EAED8">
      <w:pPr>
        <w:spacing w:before="60" w:after="60"/>
        <w:rPr>
          <w:color w:val="auto"/>
        </w:rPr>
      </w:pPr>
    </w:p>
    <w:p w14:paraId="1A94247C">
      <w:pPr>
        <w:pBdr>
          <w:bottom w:val="single" w:color="1A5276" w:sz="4" w:space="1"/>
        </w:pBdr>
        <w:spacing w:before="120" w:after="120"/>
        <w:rPr>
          <w:color w:val="auto"/>
        </w:rPr>
      </w:pPr>
    </w:p>
    <w:p w14:paraId="49A61B8E">
      <w:pPr>
        <w:pStyle w:val="2"/>
        <w:spacing w:before="300" w:after="150"/>
        <w:rPr>
          <w:color w:val="auto"/>
        </w:rPr>
      </w:pPr>
      <w:r>
        <w:rPr>
          <w:rFonts w:ascii="Arial" w:hAnsi="Arial" w:eastAsia="Arial" w:cs="Arial"/>
          <w:b/>
          <w:bCs/>
          <w:color w:val="auto"/>
          <w:sz w:val="28"/>
          <w:szCs w:val="28"/>
        </w:rPr>
        <w:t>5  技术服务要求</w:t>
      </w:r>
    </w:p>
    <w:p w14:paraId="4BAB9B3A">
      <w:pPr>
        <w:pStyle w:val="3"/>
        <w:spacing w:before="200" w:after="100"/>
        <w:rPr>
          <w:color w:val="auto"/>
        </w:rPr>
      </w:pPr>
      <w:r>
        <w:rPr>
          <w:rFonts w:ascii="Arial" w:hAnsi="Arial" w:eastAsia="Arial" w:cs="Arial"/>
          <w:b/>
          <w:bCs/>
          <w:color w:val="auto"/>
          <w:sz w:val="24"/>
          <w:szCs w:val="24"/>
        </w:rPr>
        <w:t>5.1  报价前现场测试（</w:t>
      </w:r>
      <w:r>
        <w:rPr>
          <w:rFonts w:hint="eastAsia" w:eastAsia="宋体" w:cs="Arial"/>
          <w:b/>
          <w:bCs/>
          <w:color w:val="auto"/>
          <w:sz w:val="24"/>
          <w:szCs w:val="24"/>
          <w:lang w:val="en-US" w:eastAsia="zh-CN"/>
        </w:rPr>
        <w:t>报价</w:t>
      </w:r>
      <w:r>
        <w:rPr>
          <w:rFonts w:ascii="Arial" w:hAnsi="Arial" w:eastAsia="Arial" w:cs="Arial"/>
          <w:b/>
          <w:bCs/>
          <w:color w:val="auto"/>
          <w:sz w:val="24"/>
          <w:szCs w:val="24"/>
        </w:rPr>
        <w:t>必要条件）</w:t>
      </w:r>
    </w:p>
    <w:p w14:paraId="4D1142F9">
      <w:pPr>
        <w:spacing w:before="80" w:after="80"/>
        <w:jc w:val="left"/>
        <w:rPr>
          <w:color w:val="auto"/>
        </w:rPr>
      </w:pPr>
      <w:r>
        <w:rPr>
          <w:rFonts w:ascii="Arial" w:hAnsi="Arial" w:eastAsia="Arial" w:cs="Arial"/>
          <w:color w:val="auto"/>
          <w:sz w:val="20"/>
          <w:szCs w:val="20"/>
        </w:rPr>
        <w:t>因本项目涉及无线信号在复杂工业廊道环境中的传输可靠性，乙方须在提交</w:t>
      </w:r>
      <w:r>
        <w:rPr>
          <w:rFonts w:hint="eastAsia" w:eastAsia="宋体" w:cs="Arial"/>
          <w:color w:val="auto"/>
          <w:sz w:val="20"/>
          <w:szCs w:val="20"/>
          <w:lang w:val="en-US" w:eastAsia="zh-CN"/>
        </w:rPr>
        <w:t>报价</w:t>
      </w:r>
      <w:r>
        <w:rPr>
          <w:rFonts w:ascii="Arial" w:hAnsi="Arial" w:eastAsia="Arial" w:cs="Arial"/>
          <w:color w:val="auto"/>
          <w:sz w:val="20"/>
          <w:szCs w:val="20"/>
        </w:rPr>
        <w:t>文件前完成以下工作：</w:t>
      </w:r>
    </w:p>
    <w:p w14:paraId="6473D560">
      <w:pPr>
        <w:pStyle w:val="16"/>
        <w:numPr>
          <w:ilvl w:val="0"/>
          <w:numId w:val="1"/>
        </w:numPr>
        <w:spacing w:before="60" w:after="60"/>
        <w:rPr>
          <w:color w:val="auto"/>
        </w:rPr>
      </w:pPr>
      <w:r>
        <w:rPr>
          <w:rFonts w:ascii="Arial" w:hAnsi="Arial" w:eastAsia="Arial" w:cs="Arial"/>
          <w:color w:val="auto"/>
          <w:sz w:val="20"/>
          <w:szCs w:val="20"/>
        </w:rPr>
        <w:t>乙方须携带本次</w:t>
      </w:r>
      <w:r>
        <w:rPr>
          <w:rFonts w:hint="eastAsia" w:eastAsia="宋体" w:cs="Arial"/>
          <w:color w:val="auto"/>
          <w:sz w:val="20"/>
          <w:szCs w:val="20"/>
          <w:lang w:val="en-US" w:eastAsia="zh-CN"/>
        </w:rPr>
        <w:t>报价</w:t>
      </w:r>
      <w:r>
        <w:rPr>
          <w:rFonts w:ascii="Arial" w:hAnsi="Arial" w:eastAsia="Arial" w:cs="Arial"/>
          <w:color w:val="auto"/>
          <w:sz w:val="20"/>
          <w:szCs w:val="20"/>
        </w:rPr>
        <w:t>产品在甲方（江苏索普化工股份有限公司热电厂）实际现场完成无线信号传输测试；</w:t>
      </w:r>
    </w:p>
    <w:p w14:paraId="3F3F63EA">
      <w:pPr>
        <w:pStyle w:val="16"/>
        <w:numPr>
          <w:ilvl w:val="0"/>
          <w:numId w:val="1"/>
        </w:numPr>
        <w:spacing w:before="60" w:after="60"/>
        <w:rPr>
          <w:color w:val="auto"/>
        </w:rPr>
      </w:pPr>
      <w:r>
        <w:rPr>
          <w:rFonts w:ascii="Arial" w:hAnsi="Arial" w:eastAsia="Arial" w:cs="Arial"/>
          <w:color w:val="auto"/>
          <w:sz w:val="20"/>
          <w:szCs w:val="20"/>
        </w:rPr>
        <w:t>测试时间不少于连续7个自然日（一周），</w:t>
      </w:r>
      <w:r>
        <w:rPr>
          <w:rFonts w:hint="eastAsia" w:eastAsia="宋体" w:cs="Arial"/>
          <w:color w:val="auto"/>
          <w:sz w:val="20"/>
          <w:szCs w:val="20"/>
          <w:lang w:val="en-US" w:eastAsia="zh-CN"/>
        </w:rPr>
        <w:t>在此期间</w:t>
      </w:r>
      <w:r>
        <w:rPr>
          <w:rFonts w:ascii="Arial" w:hAnsi="Arial" w:eastAsia="Arial" w:cs="Arial"/>
          <w:color w:val="auto"/>
          <w:sz w:val="20"/>
          <w:szCs w:val="20"/>
        </w:rPr>
        <w:t>无线数据传输须保持稳定，丢包率≤1%；</w:t>
      </w:r>
    </w:p>
    <w:p w14:paraId="069BD902">
      <w:pPr>
        <w:pStyle w:val="16"/>
        <w:numPr>
          <w:ilvl w:val="0"/>
          <w:numId w:val="1"/>
        </w:numPr>
        <w:spacing w:before="60" w:after="60"/>
        <w:rPr>
          <w:color w:val="auto"/>
        </w:rPr>
      </w:pPr>
      <w:r>
        <w:rPr>
          <w:rFonts w:ascii="Arial" w:hAnsi="Arial" w:eastAsia="Arial" w:cs="Arial"/>
          <w:color w:val="auto"/>
          <w:sz w:val="20"/>
          <w:szCs w:val="20"/>
        </w:rPr>
        <w:t>乙方须将本单位出具的现场测试报告（含测试时间、测试地点、测试人员、测试数据记录）随</w:t>
      </w:r>
      <w:r>
        <w:rPr>
          <w:rFonts w:hint="eastAsia" w:eastAsia="宋体" w:cs="Arial"/>
          <w:color w:val="auto"/>
          <w:sz w:val="20"/>
          <w:szCs w:val="20"/>
          <w:lang w:val="en-US" w:eastAsia="zh-CN"/>
        </w:rPr>
        <w:t>报价</w:t>
      </w:r>
      <w:r>
        <w:rPr>
          <w:rFonts w:ascii="Arial" w:hAnsi="Arial" w:eastAsia="Arial" w:cs="Arial"/>
          <w:color w:val="auto"/>
          <w:sz w:val="20"/>
          <w:szCs w:val="20"/>
        </w:rPr>
        <w:t>文件一并提交，缺少测试报告者</w:t>
      </w:r>
      <w:r>
        <w:rPr>
          <w:rFonts w:hint="eastAsia" w:eastAsia="宋体" w:cs="Arial"/>
          <w:color w:val="auto"/>
          <w:sz w:val="20"/>
          <w:szCs w:val="20"/>
          <w:lang w:val="en-US" w:eastAsia="zh-CN"/>
        </w:rPr>
        <w:t>报价</w:t>
      </w:r>
      <w:bookmarkStart w:id="2" w:name="_GoBack"/>
      <w:bookmarkEnd w:id="2"/>
      <w:r>
        <w:rPr>
          <w:rFonts w:ascii="Arial" w:hAnsi="Arial" w:eastAsia="Arial" w:cs="Arial"/>
          <w:color w:val="auto"/>
          <w:sz w:val="20"/>
          <w:szCs w:val="20"/>
        </w:rPr>
        <w:t>无效。</w:t>
      </w:r>
    </w:p>
    <w:p w14:paraId="5923B04F">
      <w:pPr>
        <w:spacing w:before="60" w:after="60"/>
        <w:rPr>
          <w:color w:val="auto"/>
        </w:rPr>
      </w:pPr>
    </w:p>
    <w:p w14:paraId="370EAA93">
      <w:pPr>
        <w:pStyle w:val="3"/>
        <w:spacing w:before="200" w:after="100"/>
        <w:rPr>
          <w:color w:val="auto"/>
        </w:rPr>
      </w:pPr>
      <w:r>
        <w:rPr>
          <w:rFonts w:ascii="Arial" w:hAnsi="Arial" w:eastAsia="Arial" w:cs="Arial"/>
          <w:b/>
          <w:bCs/>
          <w:color w:val="auto"/>
          <w:sz w:val="24"/>
          <w:szCs w:val="24"/>
        </w:rPr>
        <w:t>5.2  产品供货与安装调试</w:t>
      </w:r>
    </w:p>
    <w:p w14:paraId="5E890128">
      <w:pPr>
        <w:pStyle w:val="16"/>
        <w:numPr>
          <w:ilvl w:val="0"/>
          <w:numId w:val="1"/>
        </w:numPr>
        <w:spacing w:before="60" w:after="60"/>
        <w:rPr>
          <w:color w:val="auto"/>
        </w:rPr>
      </w:pPr>
      <w:r>
        <w:rPr>
          <w:rFonts w:ascii="Arial" w:hAnsi="Arial" w:eastAsia="Arial" w:cs="Arial"/>
          <w:color w:val="auto"/>
          <w:sz w:val="20"/>
          <w:szCs w:val="20"/>
        </w:rPr>
        <w:t>合同签订后1个月内完成产品供货；</w:t>
      </w:r>
    </w:p>
    <w:p w14:paraId="388F44D6">
      <w:pPr>
        <w:pStyle w:val="16"/>
        <w:numPr>
          <w:ilvl w:val="0"/>
          <w:numId w:val="1"/>
        </w:numPr>
        <w:spacing w:before="60" w:after="60"/>
        <w:rPr>
          <w:color w:val="auto"/>
        </w:rPr>
      </w:pPr>
      <w:r>
        <w:rPr>
          <w:rFonts w:ascii="Arial" w:hAnsi="Arial" w:eastAsia="Arial" w:cs="Arial"/>
          <w:color w:val="auto"/>
          <w:sz w:val="20"/>
          <w:szCs w:val="20"/>
        </w:rPr>
        <w:t>乙方须提供现场安装指导服务，包括探测器安装、无线网关部署及信号调试；</w:t>
      </w:r>
    </w:p>
    <w:p w14:paraId="69D66EFB">
      <w:pPr>
        <w:pStyle w:val="16"/>
        <w:numPr>
          <w:ilvl w:val="0"/>
          <w:numId w:val="1"/>
        </w:numPr>
        <w:spacing w:before="60" w:after="60"/>
        <w:rPr>
          <w:color w:val="auto"/>
        </w:rPr>
      </w:pPr>
      <w:r>
        <w:rPr>
          <w:rFonts w:ascii="Arial" w:hAnsi="Arial" w:eastAsia="Arial" w:cs="Arial"/>
          <w:color w:val="auto"/>
          <w:sz w:val="20"/>
          <w:szCs w:val="20"/>
        </w:rPr>
        <w:t>调试完成后，须出具系统调试验收报告，由甲乙双方签字确认。</w:t>
      </w:r>
    </w:p>
    <w:p w14:paraId="39891032">
      <w:pPr>
        <w:spacing w:before="60" w:after="60"/>
        <w:rPr>
          <w:color w:val="auto"/>
        </w:rPr>
      </w:pPr>
    </w:p>
    <w:p w14:paraId="19CDCBD0">
      <w:pPr>
        <w:pStyle w:val="3"/>
        <w:spacing w:before="200" w:after="100"/>
        <w:rPr>
          <w:color w:val="auto"/>
        </w:rPr>
      </w:pPr>
      <w:r>
        <w:rPr>
          <w:rFonts w:ascii="Arial" w:hAnsi="Arial" w:eastAsia="Arial" w:cs="Arial"/>
          <w:b/>
          <w:bCs/>
          <w:color w:val="auto"/>
          <w:sz w:val="24"/>
          <w:szCs w:val="24"/>
        </w:rPr>
        <w:t>5.3  技术培训</w:t>
      </w:r>
    </w:p>
    <w:p w14:paraId="06528416">
      <w:pPr>
        <w:pStyle w:val="16"/>
        <w:numPr>
          <w:ilvl w:val="0"/>
          <w:numId w:val="1"/>
        </w:numPr>
        <w:spacing w:before="60" w:after="60"/>
        <w:rPr>
          <w:color w:val="auto"/>
        </w:rPr>
      </w:pPr>
      <w:r>
        <w:rPr>
          <w:rFonts w:ascii="Arial" w:hAnsi="Arial" w:eastAsia="Arial" w:cs="Arial"/>
          <w:color w:val="auto"/>
          <w:sz w:val="20"/>
          <w:szCs w:val="20"/>
        </w:rPr>
        <w:t>系统调试完毕后，乙方须提供现场免费技术培训，培训内容包括：</w:t>
      </w:r>
    </w:p>
    <w:p w14:paraId="06788B09">
      <w:pPr>
        <w:pStyle w:val="16"/>
        <w:numPr>
          <w:ilvl w:val="0"/>
          <w:numId w:val="2"/>
        </w:numPr>
        <w:spacing w:before="40" w:after="40"/>
        <w:rPr>
          <w:color w:val="auto"/>
        </w:rPr>
      </w:pPr>
      <w:r>
        <w:rPr>
          <w:rFonts w:ascii="Arial" w:hAnsi="Arial" w:eastAsia="Arial" w:cs="Arial"/>
          <w:color w:val="auto"/>
          <w:sz w:val="18"/>
          <w:szCs w:val="18"/>
        </w:rPr>
        <w:t>系统工作原理讲解；</w:t>
      </w:r>
    </w:p>
    <w:p w14:paraId="6C0605ED">
      <w:pPr>
        <w:pStyle w:val="16"/>
        <w:numPr>
          <w:ilvl w:val="0"/>
          <w:numId w:val="2"/>
        </w:numPr>
        <w:spacing w:before="40" w:after="40"/>
        <w:rPr>
          <w:color w:val="auto"/>
        </w:rPr>
      </w:pPr>
      <w:r>
        <w:rPr>
          <w:rFonts w:ascii="Arial" w:hAnsi="Arial" w:eastAsia="Arial" w:cs="Arial"/>
          <w:color w:val="auto"/>
          <w:sz w:val="18"/>
          <w:szCs w:val="18"/>
        </w:rPr>
        <w:t>日常操作及数据查询；</w:t>
      </w:r>
    </w:p>
    <w:p w14:paraId="35DBEB07">
      <w:pPr>
        <w:pStyle w:val="16"/>
        <w:numPr>
          <w:ilvl w:val="0"/>
          <w:numId w:val="2"/>
        </w:numPr>
        <w:spacing w:before="40" w:after="40"/>
        <w:rPr>
          <w:color w:val="auto"/>
        </w:rPr>
      </w:pPr>
      <w:r>
        <w:rPr>
          <w:rFonts w:ascii="Arial" w:hAnsi="Arial" w:eastAsia="Arial" w:cs="Arial"/>
          <w:color w:val="auto"/>
          <w:sz w:val="18"/>
          <w:szCs w:val="18"/>
        </w:rPr>
        <w:t>设备维护及故障排查。</w:t>
      </w:r>
    </w:p>
    <w:p w14:paraId="523628B1">
      <w:pPr>
        <w:pStyle w:val="16"/>
        <w:numPr>
          <w:ilvl w:val="0"/>
          <w:numId w:val="1"/>
        </w:numPr>
        <w:spacing w:before="60" w:after="60"/>
        <w:rPr>
          <w:color w:val="auto"/>
        </w:rPr>
      </w:pPr>
      <w:r>
        <w:rPr>
          <w:rFonts w:ascii="Arial" w:hAnsi="Arial" w:eastAsia="Arial" w:cs="Arial"/>
          <w:color w:val="auto"/>
          <w:sz w:val="20"/>
          <w:szCs w:val="20"/>
        </w:rPr>
        <w:t>培训须提供书面培训材料，由甲方存档。</w:t>
      </w:r>
    </w:p>
    <w:p w14:paraId="46F3A5DE">
      <w:pPr>
        <w:spacing w:before="60" w:after="60"/>
        <w:rPr>
          <w:color w:val="auto"/>
        </w:rPr>
      </w:pPr>
    </w:p>
    <w:p w14:paraId="645ED4CD">
      <w:pPr>
        <w:pStyle w:val="3"/>
        <w:spacing w:before="200" w:after="100"/>
        <w:rPr>
          <w:color w:val="auto"/>
        </w:rPr>
      </w:pPr>
      <w:r>
        <w:rPr>
          <w:rFonts w:ascii="Arial" w:hAnsi="Arial" w:eastAsia="Arial" w:cs="Arial"/>
          <w:b/>
          <w:bCs/>
          <w:color w:val="auto"/>
          <w:sz w:val="24"/>
          <w:szCs w:val="24"/>
        </w:rPr>
        <w:t>5.4  质量保证与售后服务</w:t>
      </w:r>
    </w:p>
    <w:p w14:paraId="4BBB213C">
      <w:pPr>
        <w:pStyle w:val="16"/>
        <w:numPr>
          <w:ilvl w:val="0"/>
          <w:numId w:val="1"/>
        </w:numPr>
        <w:spacing w:before="60" w:after="60"/>
        <w:rPr>
          <w:color w:val="auto"/>
        </w:rPr>
      </w:pPr>
      <w:r>
        <w:rPr>
          <w:rFonts w:ascii="Arial" w:hAnsi="Arial" w:eastAsia="Arial" w:cs="Arial"/>
          <w:color w:val="auto"/>
          <w:sz w:val="20"/>
          <w:szCs w:val="20"/>
        </w:rPr>
        <w:t>整套设备（含12台智能无线气体探测器及2套无线网关）质量保证期为</w:t>
      </w:r>
      <w:r>
        <w:rPr>
          <w:rFonts w:hint="eastAsia" w:eastAsia="宋体" w:cs="Arial"/>
          <w:color w:val="auto"/>
          <w:sz w:val="20"/>
          <w:szCs w:val="20"/>
          <w:lang w:val="en-US" w:eastAsia="zh-CN"/>
        </w:rPr>
        <w:t>除电池以外</w:t>
      </w:r>
      <w:r>
        <w:rPr>
          <w:rFonts w:ascii="Arial" w:hAnsi="Arial" w:eastAsia="Arial" w:cs="Arial"/>
          <w:color w:val="auto"/>
          <w:sz w:val="20"/>
          <w:szCs w:val="20"/>
        </w:rPr>
        <w:t>设备</w:t>
      </w:r>
      <w:r>
        <w:rPr>
          <w:rFonts w:hint="eastAsia" w:eastAsia="宋体" w:cs="Arial"/>
          <w:color w:val="auto"/>
          <w:sz w:val="20"/>
          <w:szCs w:val="20"/>
          <w:lang w:val="en-US" w:eastAsia="zh-CN"/>
        </w:rPr>
        <w:t>按</w:t>
      </w:r>
      <w:r>
        <w:rPr>
          <w:rFonts w:ascii="Arial" w:hAnsi="Arial" w:eastAsia="Arial" w:cs="Arial"/>
          <w:color w:val="auto"/>
          <w:sz w:val="20"/>
          <w:szCs w:val="20"/>
        </w:rPr>
        <w:t>最终验收之日起</w:t>
      </w:r>
      <w:r>
        <w:rPr>
          <w:rFonts w:hint="eastAsia" w:eastAsia="宋体" w:cs="Arial"/>
          <w:color w:val="auto"/>
          <w:sz w:val="20"/>
          <w:szCs w:val="20"/>
          <w:lang w:val="en-US" w:eastAsia="zh-CN"/>
        </w:rPr>
        <w:t>一</w:t>
      </w:r>
      <w:r>
        <w:rPr>
          <w:rFonts w:ascii="Arial" w:hAnsi="Arial" w:eastAsia="Arial" w:cs="Arial"/>
          <w:color w:val="auto"/>
          <w:sz w:val="20"/>
          <w:szCs w:val="20"/>
        </w:rPr>
        <w:t>年</w:t>
      </w:r>
      <w:r>
        <w:rPr>
          <w:rFonts w:hint="eastAsia" w:eastAsia="宋体" w:cs="Arial"/>
          <w:color w:val="auto"/>
          <w:sz w:val="20"/>
          <w:szCs w:val="20"/>
          <w:lang w:eastAsia="zh-CN"/>
        </w:rPr>
        <w:t>，</w:t>
      </w:r>
      <w:r>
        <w:rPr>
          <w:rFonts w:hint="eastAsia" w:eastAsia="宋体" w:cs="Arial"/>
          <w:color w:val="auto"/>
          <w:sz w:val="20"/>
          <w:szCs w:val="20"/>
          <w:lang w:val="en-US" w:eastAsia="zh-CN"/>
        </w:rPr>
        <w:t>电池为两年</w:t>
      </w:r>
      <w:r>
        <w:rPr>
          <w:rFonts w:ascii="Arial" w:hAnsi="Arial" w:eastAsia="Arial" w:cs="Arial"/>
          <w:color w:val="auto"/>
          <w:sz w:val="20"/>
          <w:szCs w:val="20"/>
        </w:rPr>
        <w:t>；</w:t>
      </w:r>
    </w:p>
    <w:p w14:paraId="2FFF5287">
      <w:pPr>
        <w:pStyle w:val="16"/>
        <w:numPr>
          <w:ilvl w:val="0"/>
          <w:numId w:val="1"/>
        </w:numPr>
        <w:spacing w:before="60" w:after="60"/>
        <w:rPr>
          <w:color w:val="auto"/>
        </w:rPr>
      </w:pPr>
      <w:r>
        <w:rPr>
          <w:rFonts w:ascii="Arial" w:hAnsi="Arial" w:eastAsia="Arial" w:cs="Arial"/>
          <w:color w:val="auto"/>
          <w:sz w:val="20"/>
          <w:szCs w:val="20"/>
        </w:rPr>
        <w:t>质保期内出现非人为损坏的设备故障，乙方须在接到通知后48小时内响应，72小时内到场处理；</w:t>
      </w:r>
    </w:p>
    <w:p w14:paraId="3EF224EF">
      <w:pPr>
        <w:pStyle w:val="16"/>
        <w:numPr>
          <w:ilvl w:val="0"/>
          <w:numId w:val="1"/>
        </w:numPr>
        <w:spacing w:before="60" w:after="60"/>
        <w:rPr>
          <w:color w:val="auto"/>
        </w:rPr>
      </w:pPr>
      <w:r>
        <w:rPr>
          <w:rFonts w:ascii="Arial" w:hAnsi="Arial" w:eastAsia="Arial" w:cs="Arial"/>
          <w:color w:val="auto"/>
          <w:sz w:val="20"/>
          <w:szCs w:val="20"/>
        </w:rPr>
        <w:t>质保期内因设备质量问题导致的电池更换，由乙方免费承担；</w:t>
      </w:r>
    </w:p>
    <w:p w14:paraId="54CA534E">
      <w:pPr>
        <w:pStyle w:val="16"/>
        <w:numPr>
          <w:ilvl w:val="0"/>
          <w:numId w:val="1"/>
        </w:numPr>
        <w:spacing w:before="60" w:after="60"/>
        <w:rPr>
          <w:color w:val="auto"/>
        </w:rPr>
      </w:pPr>
      <w:r>
        <w:rPr>
          <w:rFonts w:ascii="Arial" w:hAnsi="Arial" w:eastAsia="Arial" w:cs="Arial"/>
          <w:color w:val="auto"/>
          <w:sz w:val="20"/>
          <w:szCs w:val="20"/>
        </w:rPr>
        <w:t>质保期满后，乙方须提供有偿延保服务，并明确备品备件供应周期（≤5个工作日）。</w:t>
      </w:r>
    </w:p>
    <w:p w14:paraId="128BE620">
      <w:pPr>
        <w:spacing w:before="60" w:after="60"/>
        <w:rPr>
          <w:color w:val="auto"/>
        </w:rPr>
      </w:pPr>
    </w:p>
    <w:p w14:paraId="6516A21A">
      <w:pPr>
        <w:pBdr>
          <w:bottom w:val="single" w:color="1A5276" w:sz="4" w:space="1"/>
        </w:pBdr>
        <w:spacing w:before="120" w:after="120"/>
        <w:rPr>
          <w:color w:val="auto"/>
        </w:rPr>
      </w:pPr>
    </w:p>
    <w:p w14:paraId="621A53A2">
      <w:pPr>
        <w:pStyle w:val="2"/>
        <w:spacing w:before="300" w:after="150"/>
        <w:rPr>
          <w:color w:val="auto"/>
        </w:rPr>
      </w:pPr>
      <w:r>
        <w:rPr>
          <w:rFonts w:ascii="Arial" w:hAnsi="Arial" w:eastAsia="Arial" w:cs="Arial"/>
          <w:b/>
          <w:bCs/>
          <w:color w:val="auto"/>
          <w:sz w:val="28"/>
          <w:szCs w:val="28"/>
        </w:rPr>
        <w:t>6  验收条款</w:t>
      </w:r>
    </w:p>
    <w:p w14:paraId="36164229">
      <w:pPr>
        <w:spacing w:before="80" w:after="80"/>
        <w:jc w:val="left"/>
        <w:rPr>
          <w:color w:val="auto"/>
        </w:rPr>
      </w:pPr>
      <w:r>
        <w:rPr>
          <w:rFonts w:ascii="Arial" w:hAnsi="Arial" w:eastAsia="Arial" w:cs="Arial"/>
          <w:color w:val="auto"/>
          <w:sz w:val="20"/>
          <w:szCs w:val="20"/>
        </w:rPr>
        <w:t>6.1  设备到货验收：乙方提供装箱单、合格证、说明书、防爆证书原件，与采购清单逐一核对；</w:t>
      </w:r>
    </w:p>
    <w:p w14:paraId="45867BAC">
      <w:pPr>
        <w:spacing w:before="80" w:after="80"/>
        <w:jc w:val="left"/>
        <w:rPr>
          <w:color w:val="auto"/>
        </w:rPr>
      </w:pPr>
      <w:r>
        <w:rPr>
          <w:rFonts w:ascii="Arial" w:hAnsi="Arial" w:eastAsia="Arial" w:cs="Arial"/>
          <w:color w:val="auto"/>
          <w:sz w:val="20"/>
          <w:szCs w:val="20"/>
        </w:rPr>
        <w:t>6.2  功能验收：通电调试完成后，按照本协议第3条参数逐项测试验收，全部合格方视为通过；</w:t>
      </w:r>
    </w:p>
    <w:p w14:paraId="46D138B0">
      <w:pPr>
        <w:spacing w:before="80" w:after="80"/>
        <w:jc w:val="left"/>
        <w:rPr>
          <w:color w:val="auto"/>
        </w:rPr>
      </w:pPr>
      <w:r>
        <w:rPr>
          <w:rFonts w:ascii="Arial" w:hAnsi="Arial" w:eastAsia="Arial" w:cs="Arial"/>
          <w:color w:val="auto"/>
          <w:sz w:val="20"/>
          <w:szCs w:val="20"/>
        </w:rPr>
        <w:t>6.3  现场运行验收：系统稳定运行30天，期间无因设备原因导致的误报、漏报或通信中断超过1次/周，方为最终验收合格；</w:t>
      </w:r>
    </w:p>
    <w:p w14:paraId="6FC58EE1">
      <w:pPr>
        <w:spacing w:before="80" w:after="80"/>
        <w:jc w:val="left"/>
        <w:rPr>
          <w:color w:val="auto"/>
        </w:rPr>
      </w:pPr>
      <w:r>
        <w:rPr>
          <w:rFonts w:ascii="Arial" w:hAnsi="Arial" w:eastAsia="Arial" w:cs="Arial"/>
          <w:color w:val="auto"/>
          <w:sz w:val="20"/>
          <w:szCs w:val="20"/>
        </w:rPr>
        <w:t>6.4  验收文件：乙方须提供完整的竣工资料，包括系统原理图、配线图、设备清单、检测报告及培训记录。</w:t>
      </w:r>
    </w:p>
    <w:p w14:paraId="227ADFC7">
      <w:pPr>
        <w:spacing w:before="60" w:after="60"/>
        <w:rPr>
          <w:color w:val="auto"/>
        </w:rPr>
      </w:pPr>
    </w:p>
    <w:p w14:paraId="04AD4DC6">
      <w:pPr>
        <w:pBdr>
          <w:bottom w:val="single" w:color="1A5276" w:sz="4" w:space="1"/>
        </w:pBdr>
        <w:spacing w:before="120" w:after="120"/>
        <w:rPr>
          <w:color w:val="auto"/>
        </w:rPr>
      </w:pPr>
    </w:p>
    <w:p w14:paraId="541C7522">
      <w:pPr>
        <w:pStyle w:val="2"/>
        <w:spacing w:before="300" w:after="150"/>
        <w:rPr>
          <w:color w:val="auto"/>
        </w:rPr>
      </w:pPr>
      <w:r>
        <w:rPr>
          <w:rFonts w:ascii="Arial" w:hAnsi="Arial" w:eastAsia="Arial" w:cs="Arial"/>
          <w:b/>
          <w:bCs/>
          <w:color w:val="auto"/>
          <w:sz w:val="28"/>
          <w:szCs w:val="28"/>
        </w:rPr>
        <w:t>7  知识产权与保密</w:t>
      </w:r>
    </w:p>
    <w:p w14:paraId="3B030E5A">
      <w:pPr>
        <w:spacing w:before="80" w:after="80"/>
        <w:jc w:val="left"/>
        <w:rPr>
          <w:color w:val="auto"/>
        </w:rPr>
      </w:pPr>
      <w:r>
        <w:rPr>
          <w:rFonts w:ascii="Arial" w:hAnsi="Arial" w:eastAsia="Arial" w:cs="Arial"/>
          <w:color w:val="auto"/>
          <w:sz w:val="20"/>
          <w:szCs w:val="20"/>
        </w:rPr>
        <w:t>7.1  乙方须承诺所提供的设备及软件不侵犯任何第三方知识产权，如因此产生纠纷，责任由乙方承担；</w:t>
      </w:r>
    </w:p>
    <w:p w14:paraId="7921F8EF">
      <w:pPr>
        <w:spacing w:before="80" w:after="80"/>
        <w:jc w:val="left"/>
        <w:rPr>
          <w:color w:val="auto"/>
        </w:rPr>
      </w:pPr>
      <w:r>
        <w:rPr>
          <w:rFonts w:ascii="Arial" w:hAnsi="Arial" w:eastAsia="Arial" w:cs="Arial"/>
          <w:color w:val="auto"/>
          <w:sz w:val="20"/>
          <w:szCs w:val="20"/>
        </w:rPr>
        <w:t>7.2  双方对本协议内容及项目实施过程中获悉的对方商业信息负有保密义务，保密期限不少于5年；</w:t>
      </w:r>
    </w:p>
    <w:p w14:paraId="3561A1C5">
      <w:pPr>
        <w:spacing w:before="80" w:after="80"/>
        <w:jc w:val="left"/>
        <w:rPr>
          <w:color w:val="auto"/>
        </w:rPr>
      </w:pPr>
      <w:r>
        <w:rPr>
          <w:rFonts w:ascii="Arial" w:hAnsi="Arial" w:eastAsia="Arial" w:cs="Arial"/>
          <w:color w:val="auto"/>
          <w:sz w:val="20"/>
          <w:szCs w:val="20"/>
        </w:rPr>
        <w:t>7.3  乙方提供的监控软件须为正版授权，并将软件授权证书提供给甲方。</w:t>
      </w:r>
    </w:p>
    <w:p w14:paraId="774C17FB">
      <w:pPr>
        <w:spacing w:before="60" w:after="60"/>
        <w:rPr>
          <w:color w:val="auto"/>
        </w:rPr>
      </w:pPr>
    </w:p>
    <w:p w14:paraId="2695C675">
      <w:pPr>
        <w:pBdr>
          <w:bottom w:val="single" w:color="1A5276" w:sz="4" w:space="1"/>
        </w:pBdr>
        <w:spacing w:before="120" w:after="120"/>
        <w:rPr>
          <w:color w:val="auto"/>
        </w:rPr>
      </w:pPr>
    </w:p>
    <w:p w14:paraId="7F908694">
      <w:pPr>
        <w:spacing w:before="60" w:after="60"/>
        <w:rPr>
          <w:color w:val="auto"/>
        </w:rPr>
      </w:pPr>
    </w:p>
    <w:sectPr>
      <w:headerReference r:id="rId3" w:type="default"/>
      <w:footerReference r:id="rId4" w:type="default"/>
      <w:pgSz w:w="11906" w:h="16838"/>
      <w:pgMar w:top="1134" w:right="850" w:bottom="1134" w:left="1418"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E2FC">
    <w:pPr>
      <w:pBdr>
        <w:top w:val="single" w:color="1A5276" w:sz="4" w:space="1"/>
      </w:pBdr>
      <w:jc w:val="center"/>
    </w:pPr>
    <w:r>
      <w:rPr>
        <w:rFonts w:ascii="Arial" w:hAnsi="Arial" w:eastAsia="Arial" w:cs="Arial"/>
        <w:color w:val="666666"/>
        <w:sz w:val="16"/>
        <w:szCs w:val="16"/>
      </w:rPr>
      <w:t xml:space="preserve">第 </w:t>
    </w:r>
    <w:r>
      <w:rPr>
        <w:rFonts w:ascii="Arial" w:hAnsi="Arial" w:eastAsia="Arial" w:cs="Arial"/>
        <w:color w:val="666666"/>
        <w:sz w:val="16"/>
        <w:szCs w:val="16"/>
      </w:rPr>
      <w:fldChar w:fldCharType="begin"/>
    </w:r>
    <w:r>
      <w:rPr>
        <w:rFonts w:ascii="Arial" w:hAnsi="Arial" w:eastAsia="Arial" w:cs="Arial"/>
        <w:color w:val="666666"/>
        <w:sz w:val="16"/>
        <w:szCs w:val="16"/>
      </w:rPr>
      <w:instrText xml:space="preserve">PAGE</w:instrText>
    </w:r>
    <w:r>
      <w:rPr>
        <w:rFonts w:ascii="Arial" w:hAnsi="Arial" w:eastAsia="Arial" w:cs="Arial"/>
        <w:color w:val="666666"/>
        <w:sz w:val="16"/>
        <w:szCs w:val="16"/>
      </w:rPr>
      <w:fldChar w:fldCharType="separate"/>
    </w:r>
    <w:r>
      <w:rPr>
        <w:rFonts w:ascii="Arial" w:hAnsi="Arial" w:eastAsia="Arial" w:cs="Arial"/>
        <w:color w:val="666666"/>
        <w:sz w:val="16"/>
        <w:szCs w:val="16"/>
      </w:rPr>
      <w:fldChar w:fldCharType="end"/>
    </w:r>
    <w:r>
      <w:rPr>
        <w:rFonts w:ascii="Arial" w:hAnsi="Arial" w:eastAsia="Arial" w:cs="Arial"/>
        <w:color w:val="666666"/>
        <w:sz w:val="16"/>
        <w:szCs w:val="16"/>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DEBF">
    <w:pPr>
      <w:pBdr>
        <w:bottom w:val="single" w:color="1A5276" w:sz="4" w:space="1"/>
      </w:pBdr>
      <w:jc w:val="right"/>
    </w:pPr>
    <w:r>
      <w:rPr>
        <w:rFonts w:ascii="Arial" w:hAnsi="Arial" w:eastAsia="Arial" w:cs="Arial"/>
        <w:color w:val="666666"/>
        <w:sz w:val="16"/>
        <w:szCs w:val="16"/>
      </w:rPr>
      <w:t>输煤廊道CO无线监测系统技术协议  |  江苏索普化工股份有限公司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abstractNum w:abstractNumId="1">
    <w:nsid w:val="59ADCABA"/>
    <w:multiLevelType w:val="singleLevel"/>
    <w:tmpl w:val="59ADCABA"/>
    <w:lvl w:ilvl="0" w:tentative="0">
      <w:start w:val="1"/>
      <w:numFmt w:val="bullet"/>
      <w:lvlText w:val="◆"/>
      <w:lvlJc w:val="left"/>
      <w:pPr>
        <w:ind w:left="10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0A97848"/>
    <w:rsid w:val="00FE4037"/>
    <w:rsid w:val="01D26D2E"/>
    <w:rsid w:val="02067F4C"/>
    <w:rsid w:val="043D09D3"/>
    <w:rsid w:val="04722D72"/>
    <w:rsid w:val="09F45FD8"/>
    <w:rsid w:val="0CE25930"/>
    <w:rsid w:val="0DD56120"/>
    <w:rsid w:val="0EA0228A"/>
    <w:rsid w:val="0EEF3211"/>
    <w:rsid w:val="11A025A1"/>
    <w:rsid w:val="14BE16BC"/>
    <w:rsid w:val="17DE7ADC"/>
    <w:rsid w:val="18015487"/>
    <w:rsid w:val="1898373E"/>
    <w:rsid w:val="1C1A2107"/>
    <w:rsid w:val="1C4554F8"/>
    <w:rsid w:val="23BE3486"/>
    <w:rsid w:val="25A246E2"/>
    <w:rsid w:val="26E078DB"/>
    <w:rsid w:val="2A2C20C7"/>
    <w:rsid w:val="2A3B2B86"/>
    <w:rsid w:val="2CBD7BB8"/>
    <w:rsid w:val="2CE25289"/>
    <w:rsid w:val="2DA32202"/>
    <w:rsid w:val="2EF064BE"/>
    <w:rsid w:val="2F1808CE"/>
    <w:rsid w:val="316016A7"/>
    <w:rsid w:val="31E542D4"/>
    <w:rsid w:val="326C2925"/>
    <w:rsid w:val="34B47F8E"/>
    <w:rsid w:val="3BDA2F69"/>
    <w:rsid w:val="3D0C2395"/>
    <w:rsid w:val="3D2F0AF9"/>
    <w:rsid w:val="3DD25F49"/>
    <w:rsid w:val="439F2ED0"/>
    <w:rsid w:val="492F4796"/>
    <w:rsid w:val="4B1B5CC1"/>
    <w:rsid w:val="4D741090"/>
    <w:rsid w:val="4DB24765"/>
    <w:rsid w:val="50AE23C8"/>
    <w:rsid w:val="51327412"/>
    <w:rsid w:val="583D0117"/>
    <w:rsid w:val="5B5C24B3"/>
    <w:rsid w:val="5BE82147"/>
    <w:rsid w:val="5C2E36BE"/>
    <w:rsid w:val="5C7747E7"/>
    <w:rsid w:val="5E044B93"/>
    <w:rsid w:val="62606EDB"/>
    <w:rsid w:val="62932B99"/>
    <w:rsid w:val="644F5459"/>
    <w:rsid w:val="64D97E03"/>
    <w:rsid w:val="6AC63F9C"/>
    <w:rsid w:val="6C385734"/>
    <w:rsid w:val="6C681353"/>
    <w:rsid w:val="6C77379F"/>
    <w:rsid w:val="6D0B30A1"/>
    <w:rsid w:val="79170E1C"/>
    <w:rsid w:val="7AF9262A"/>
    <w:rsid w:val="7B25086A"/>
    <w:rsid w:val="7B2F7CEE"/>
    <w:rsid w:val="7F3E1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sz w:val="20"/>
      <w:szCs w:val="20"/>
    </w:rPr>
  </w:style>
  <w:style w:type="paragraph" w:styleId="2">
    <w:name w:val="heading 1"/>
    <w:next w:val="1"/>
    <w:qFormat/>
    <w:uiPriority w:val="0"/>
    <w:pPr>
      <w:spacing w:before="300" w:after="150"/>
      <w:outlineLvl w:val="0"/>
    </w:pPr>
    <w:rPr>
      <w:rFonts w:ascii="Arial" w:hAnsi="Arial" w:eastAsia="Arial" w:cs="Arial"/>
      <w:b/>
      <w:bCs/>
      <w:color w:val="1A5276"/>
      <w:sz w:val="28"/>
      <w:szCs w:val="28"/>
    </w:rPr>
  </w:style>
  <w:style w:type="paragraph" w:styleId="3">
    <w:name w:val="heading 2"/>
    <w:next w:val="1"/>
    <w:qFormat/>
    <w:uiPriority w:val="0"/>
    <w:pPr>
      <w:spacing w:before="200" w:after="100"/>
      <w:outlineLvl w:val="1"/>
    </w:pPr>
    <w:rPr>
      <w:rFonts w:ascii="Arial" w:hAnsi="Arial" w:eastAsia="Arial" w:cs="Arial"/>
      <w:b/>
      <w:bCs/>
      <w:color w:val="2E4057"/>
      <w:sz w:val="24"/>
      <w:szCs w:val="24"/>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Arial" w:hAnsi="Arial" w:eastAsia="Arial" w:cs="Arial"/>
      <w:sz w:val="20"/>
      <w:szCs w:val="20"/>
    </w:rPr>
  </w:style>
  <w:style w:type="paragraph" w:styleId="9">
    <w:name w:val="footnote text"/>
    <w:link w:val="17"/>
    <w:semiHidden/>
    <w:unhideWhenUsed/>
    <w:qFormat/>
    <w:uiPriority w:val="99"/>
    <w:pPr>
      <w:spacing w:after="0" w:line="240" w:lineRule="auto"/>
    </w:pPr>
    <w:rPr>
      <w:rFonts w:ascii="Arial" w:hAnsi="Arial" w:eastAsia="Arial" w:cs="Arial"/>
      <w:sz w:val="20"/>
      <w:szCs w:val="20"/>
    </w:rPr>
  </w:style>
  <w:style w:type="paragraph" w:styleId="10">
    <w:name w:val="Title"/>
    <w:qFormat/>
    <w:uiPriority w:val="0"/>
    <w:rPr>
      <w:rFonts w:ascii="Arial" w:hAnsi="Arial" w:eastAsia="Arial" w:cs="Arial"/>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Arial" w:hAnsi="Arial" w:eastAsia="Arial" w:cs="Arial"/>
      <w:sz w:val="20"/>
      <w:szCs w:val="20"/>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503</Words>
  <Characters>555</Characters>
  <TotalTime>268</TotalTime>
  <ScaleCrop>false</ScaleCrop>
  <LinksUpToDate>false</LinksUpToDate>
  <CharactersWithSpaces>568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2026-04-10T01:18:00Z</dcterms:created>
  <dc:creator>Un-named</dc:creator>
  <cp:lastModifiedBy>wking</cp:lastModifiedBy>
  <dcterms:modified xsi:type="dcterms:W3CDTF">2026-05-14T06:07:22Z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eyJoZGlkIjoiNTdmMzdjMzYzY2U1ZjdiN2E0ZDBjZTYzYjY4ZGZkMzciLCJ1c2VySWQiOiI0MzkyMDUzNjkifQ==</vt:lpwstr>
  </property>
  <property fmtid="{D5CDD505-2E9C-101B-9397-08002B2CF9AE}" pid="3" name="KSOProductBuildVer">
    <vt:lpwstr>2052-12.1.0.25865</vt:lpwstr>
  </property>
  <property fmtid="{D5CDD505-2E9C-101B-9397-08002B2CF9AE}" pid="4" name="ICV">
    <vt:lpwstr>9DF7C09424384AD18BA26145FEA2D282_13</vt:lpwstr>
  </property>
</Properties>
</file>