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/>
        </w:rPr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。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cs="Times New Roman"/>
          <w:lang w:val="en-US" w:eastAsia="zh-CN"/>
        </w:rPr>
        <w:t>煤制</w:t>
      </w:r>
      <w:r>
        <w:rPr>
          <w:rFonts w:hint="eastAsia" w:ascii="Times New Roman" w:hAnsi="Times New Roman" w:cs="Times New Roman"/>
          <w:lang w:val="en-US" w:eastAsia="zh-CN"/>
        </w:rPr>
        <w:t>乙醇</w:t>
      </w:r>
      <w:r>
        <w:rPr>
          <w:rFonts w:hint="eastAsia" w:cs="Times New Roman"/>
          <w:lang w:val="en-US" w:eastAsia="zh-CN"/>
        </w:rPr>
        <w:t>3000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：2026年6月4日10：00（北京时间）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要求</w:t>
      </w:r>
      <w:r>
        <w:rPr>
          <w:rFonts w:hint="eastAsia"/>
          <w:lang w:val="en-US" w:eastAsia="zh-CN"/>
        </w:rPr>
        <w:t>送到，</w:t>
      </w:r>
      <w:r>
        <w:rPr>
          <w:rFonts w:hint="eastAsia"/>
          <w:b/>
          <w:bCs/>
          <w:lang w:val="en-US" w:eastAsia="zh-CN"/>
        </w:rPr>
        <w:t>建议到货时间：</w:t>
      </w:r>
      <w:r>
        <w:rPr>
          <w:rFonts w:hint="eastAsia"/>
          <w:lang w:val="en-US" w:eastAsia="zh-CN"/>
        </w:rPr>
        <w:t>2026年6月10日起具备送货条件（采用汽运方式送货时，需</w:t>
      </w:r>
      <w:r>
        <w:rPr>
          <w:rFonts w:hint="eastAsia" w:ascii="Times New Roman" w:hAnsi="Times New Roman" w:cs="Times New Roman"/>
          <w:lang w:val="en-US" w:eastAsia="zh-CN"/>
        </w:rPr>
        <w:t>具备</w:t>
      </w:r>
      <w:r>
        <w:rPr>
          <w:rFonts w:hint="eastAsia"/>
          <w:lang w:val="en-US" w:eastAsia="zh-CN"/>
        </w:rPr>
        <w:t>每天到货600吨的条件）。</w:t>
      </w:r>
      <w:r>
        <w:rPr>
          <w:rFonts w:hint="eastAsia" w:cs="Times New Roman"/>
          <w:lang w:val="en-US" w:eastAsia="zh-CN"/>
        </w:rPr>
        <w:t>将根据采购人生产实际需求情况，由采购人安排具体送货时间和每天到货数量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海纳川码头或罐区（江苏省镇江市京口区求索路）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03020000000059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煤制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99.5%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3000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质量应符合国家标准 GB/T 678-2023《化学试剂 乙醇（无水乙醇）》及 GB/T 6820-2016《工业用乙醇》，其中正丙醇+异丙醇含量应 ≤250mg/L，气相色谱图中不得出现苯的特征峰，苯、甲苯、乙苯、二甲苯、环己酮等项目均应未检出。每批次货物须附带出厂质检报告。</w:t>
      </w:r>
      <w:r>
        <w:rPr>
          <w:rFonts w:hint="eastAsia" w:ascii="Times New Roman" w:hAnsi="Times New Roman" w:cs="Times New Roman"/>
          <w:lang w:val="en-US" w:eastAsia="zh-CN"/>
        </w:rPr>
        <w:t>具体指标如下：</w:t>
      </w:r>
    </w:p>
    <w:p w14:paraId="678E43FE">
      <w:pPr>
        <w:adjustRightInd w:val="0"/>
        <w:snapToGrid w:val="0"/>
        <w:spacing w:line="240" w:lineRule="auto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333875" cy="3609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/>
          <w:lang w:val="en-US" w:eastAsia="zh-CN"/>
        </w:rPr>
        <w:t>成交人采用汽运方式送货时，每车运输前应彻底清洗置换，装货后实施逐车检验，检验合格方可发货。运输过程中须做好车辆跟踪监控，并随车提供该车次质检报告。</w:t>
      </w:r>
    </w:p>
    <w:p w14:paraId="6DEB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b/>
          <w:bCs/>
          <w:u w:val="none"/>
          <w:lang w:val="en-US" w:eastAsia="zh-CN"/>
        </w:rPr>
        <w:t>汽运送货时，</w:t>
      </w:r>
      <w:r>
        <w:rPr>
          <w:rFonts w:hint="eastAsia"/>
          <w:lang w:val="en-US" w:eastAsia="zh-CN"/>
        </w:rPr>
        <w:t>采购人检验如发现苯指标（上表第8项）不合格，将按照每车1000元罚款处罚并作退货处理；其他指标不合格，按照每车500元罚款处罚，并依采购人要求处置。所有供货不得影响采购人正常生产，若合同期内多次出现不合格情况，采购人将依据供应商管理规定予以考核，并有权无条件解除合同，由此产生的一切费用由成交人承担。成交人应配合采购人进行产品溯源，并提供上游厂商出库单或磅单等证明文件。</w:t>
      </w:r>
    </w:p>
    <w:p w14:paraId="5014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进入厂区送货车辆要求达到“国五”及以上排放标准，严禁超限超载（行驶证核定总质量）。不接受以燃气为动力的车辆送货。</w:t>
      </w:r>
      <w:r>
        <w:rPr>
          <w:rFonts w:hint="eastAsia"/>
          <w:lang w:val="en-US" w:eastAsia="zh-CN"/>
        </w:rPr>
        <w:t>如遇夏季高温季节，将采取规避高温的卸货方案，请严格执行实时的卸货规定。送货期间可能需要根据生产情况，在现场等待卸货，请综合考虑成本。</w:t>
      </w:r>
    </w:p>
    <w:p w14:paraId="5F8E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汽运取样时，现场排放的废液须根据采购人现场管理要求，在指定地点废液收集（由司乘人员自行带走），要求送货人员自备铁桶收集，禁止停车场内使用塑料桶</w:t>
      </w:r>
      <w:r>
        <w:rPr>
          <w:rFonts w:hint="eastAsia"/>
          <w:lang w:val="en-US" w:eastAsia="zh-CN"/>
        </w:rPr>
        <w:t>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6.有合作意向的新供应商请提供相关资质文件、产品小样及同类行业使用业绩，审核通过符合要求后，方可参与报价，否则报价无效。</w:t>
      </w:r>
    </w:p>
    <w:p w14:paraId="06BC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7.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营业执照、授权代理证书、危化品生产许可证或危化品经营许可证、危化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textAlignment w:val="auto"/>
      </w:pPr>
      <w:r>
        <w:rPr>
          <w:rFonts w:hint="eastAsia"/>
          <w:lang w:val="en-US" w:eastAsia="zh-CN"/>
        </w:rPr>
        <w:t>品安全技术说明书（SDS）、危化品安全标签等，并要求所有资质文件在有效期内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754F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</w:t>
      </w:r>
      <w:r>
        <w:rPr>
          <w:rFonts w:hint="eastAsia" w:cs="Times New Roman"/>
          <w:lang w:val="en-US" w:eastAsia="zh-CN"/>
        </w:rPr>
        <w:t>送货</w:t>
      </w:r>
      <w:r>
        <w:rPr>
          <w:rFonts w:hint="eastAsia" w:ascii="Times New Roman" w:hAnsi="Times New Roman" w:cs="Times New Roman"/>
          <w:lang w:val="en-US" w:eastAsia="zh-CN"/>
        </w:rPr>
        <w:t>条件。</w:t>
      </w:r>
    </w:p>
    <w:p w14:paraId="58E65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送到供货数量须≥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000吨或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船运、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241" w:firstLineChars="100"/>
        <w:textAlignment w:val="auto"/>
      </w:pPr>
      <w:bookmarkStart w:id="0" w:name="_GoBack"/>
      <w:bookmarkEnd w:id="0"/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在能够满足采购人技术要求及供货期要求的供应商中，如最低报价供应商供货数量不能满足采购人要求，则采购人将同报价第二低供应商确定供货数量和价格，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如报价第二低供应商能满足数量要求，则不再询问报价第三低供应商，否则，询问报价第三低供应商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27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煤制乙醇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1.报价要求报价方具备送</w:t>
      </w:r>
      <w:r>
        <w:rPr>
          <w:rFonts w:hint="eastAsia" w:cs="Times New Roman"/>
          <w:lang w:val="en-US" w:eastAsia="zh-CN"/>
        </w:rPr>
        <w:t>货</w:t>
      </w:r>
      <w:r>
        <w:rPr>
          <w:rFonts w:hint="eastAsia" w:ascii="Times New Roman" w:hAnsi="Times New Roman" w:cs="Times New Roman"/>
          <w:lang w:val="en-US" w:eastAsia="zh-CN"/>
        </w:rPr>
        <w:t>条件</w:t>
      </w:r>
      <w:r>
        <w:rPr>
          <w:rFonts w:ascii="Times New Roman" w:hAnsi="Times New Roman" w:cs="Times New Roman"/>
        </w:rPr>
        <w:t>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210" w:firstLineChars="10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  <w:r>
        <w:rPr>
          <w:rFonts w:hint="eastAsia" w:ascii="Times New Roman" w:hAnsi="Times New Roman" w:cs="Times New Roman"/>
          <w:lang w:val="en-US" w:eastAsia="zh-CN"/>
        </w:rPr>
        <w:t>送到供货数量须≥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000吨或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000吨的倍数</w:t>
      </w:r>
      <w:r>
        <w:rPr>
          <w:rFonts w:hint="eastAsia" w:cs="Times New Roman"/>
          <w:lang w:val="en-US" w:eastAsia="zh-CN"/>
        </w:rPr>
        <w:t>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0F43A0D"/>
    <w:rsid w:val="01062EEC"/>
    <w:rsid w:val="02547D62"/>
    <w:rsid w:val="028B36A9"/>
    <w:rsid w:val="03661A20"/>
    <w:rsid w:val="039F7BE3"/>
    <w:rsid w:val="05600E1D"/>
    <w:rsid w:val="07FC2953"/>
    <w:rsid w:val="08A925D2"/>
    <w:rsid w:val="095E1B17"/>
    <w:rsid w:val="09A514F4"/>
    <w:rsid w:val="0A7575D4"/>
    <w:rsid w:val="0B1408EB"/>
    <w:rsid w:val="0C825B1D"/>
    <w:rsid w:val="0D865199"/>
    <w:rsid w:val="0E6D45AA"/>
    <w:rsid w:val="10501A8E"/>
    <w:rsid w:val="10F36FE9"/>
    <w:rsid w:val="12922C84"/>
    <w:rsid w:val="134678C7"/>
    <w:rsid w:val="137848A6"/>
    <w:rsid w:val="13A91615"/>
    <w:rsid w:val="14060AFB"/>
    <w:rsid w:val="147931F1"/>
    <w:rsid w:val="14D05D11"/>
    <w:rsid w:val="15386004"/>
    <w:rsid w:val="15997A33"/>
    <w:rsid w:val="15F1304B"/>
    <w:rsid w:val="16294BEA"/>
    <w:rsid w:val="17920BDE"/>
    <w:rsid w:val="194D1260"/>
    <w:rsid w:val="19E020D4"/>
    <w:rsid w:val="1A4C1518"/>
    <w:rsid w:val="1A6745A4"/>
    <w:rsid w:val="1AF000F5"/>
    <w:rsid w:val="1B595EDD"/>
    <w:rsid w:val="1BAE3374"/>
    <w:rsid w:val="1C0C5403"/>
    <w:rsid w:val="1C0D408C"/>
    <w:rsid w:val="1D1E7053"/>
    <w:rsid w:val="1D7C655F"/>
    <w:rsid w:val="1E1C34D9"/>
    <w:rsid w:val="1ED36D31"/>
    <w:rsid w:val="1F8B663F"/>
    <w:rsid w:val="209634ED"/>
    <w:rsid w:val="215C682E"/>
    <w:rsid w:val="228D7161"/>
    <w:rsid w:val="247C629F"/>
    <w:rsid w:val="24960418"/>
    <w:rsid w:val="24E05525"/>
    <w:rsid w:val="265F3C06"/>
    <w:rsid w:val="271E1B01"/>
    <w:rsid w:val="27D87A1C"/>
    <w:rsid w:val="29D3585C"/>
    <w:rsid w:val="2A0A566D"/>
    <w:rsid w:val="2A68414C"/>
    <w:rsid w:val="2A7A5407"/>
    <w:rsid w:val="2B4324C3"/>
    <w:rsid w:val="2B8C00D9"/>
    <w:rsid w:val="2D6D29C6"/>
    <w:rsid w:val="2DA82AB1"/>
    <w:rsid w:val="2E0A72C8"/>
    <w:rsid w:val="2E730AF8"/>
    <w:rsid w:val="2EAF3745"/>
    <w:rsid w:val="2EEE0779"/>
    <w:rsid w:val="2F340AA1"/>
    <w:rsid w:val="2FCA4F61"/>
    <w:rsid w:val="30B67293"/>
    <w:rsid w:val="30DA11D4"/>
    <w:rsid w:val="33092244"/>
    <w:rsid w:val="339E473B"/>
    <w:rsid w:val="35020CF9"/>
    <w:rsid w:val="3757355A"/>
    <w:rsid w:val="375C6DE7"/>
    <w:rsid w:val="38342E0E"/>
    <w:rsid w:val="384D2BD3"/>
    <w:rsid w:val="386A1AB9"/>
    <w:rsid w:val="387364AE"/>
    <w:rsid w:val="3A211C22"/>
    <w:rsid w:val="3B603C8D"/>
    <w:rsid w:val="3C1F73DA"/>
    <w:rsid w:val="3DA801B8"/>
    <w:rsid w:val="3DCB6A74"/>
    <w:rsid w:val="3E0B6E71"/>
    <w:rsid w:val="3F087854"/>
    <w:rsid w:val="3F6251B6"/>
    <w:rsid w:val="40511990"/>
    <w:rsid w:val="4149029A"/>
    <w:rsid w:val="41566D3D"/>
    <w:rsid w:val="426A6FC0"/>
    <w:rsid w:val="42791D7B"/>
    <w:rsid w:val="43362BE2"/>
    <w:rsid w:val="434C7408"/>
    <w:rsid w:val="452037BF"/>
    <w:rsid w:val="463902F3"/>
    <w:rsid w:val="463F555D"/>
    <w:rsid w:val="46E12E64"/>
    <w:rsid w:val="47233E4B"/>
    <w:rsid w:val="472E5983"/>
    <w:rsid w:val="47D12ED9"/>
    <w:rsid w:val="498875C7"/>
    <w:rsid w:val="49F7474D"/>
    <w:rsid w:val="4A361F60"/>
    <w:rsid w:val="4A462DE3"/>
    <w:rsid w:val="4AC251FD"/>
    <w:rsid w:val="4ADB406F"/>
    <w:rsid w:val="4AE1260F"/>
    <w:rsid w:val="4B195314"/>
    <w:rsid w:val="4BD96800"/>
    <w:rsid w:val="4C1C66ED"/>
    <w:rsid w:val="4D994499"/>
    <w:rsid w:val="4E4D0DDF"/>
    <w:rsid w:val="4E65437B"/>
    <w:rsid w:val="4E9E788D"/>
    <w:rsid w:val="4EA50C1B"/>
    <w:rsid w:val="4F3E7FC5"/>
    <w:rsid w:val="4FD55917"/>
    <w:rsid w:val="513A2283"/>
    <w:rsid w:val="52AB2578"/>
    <w:rsid w:val="547B133D"/>
    <w:rsid w:val="55E464CD"/>
    <w:rsid w:val="58113834"/>
    <w:rsid w:val="58115D78"/>
    <w:rsid w:val="582924E0"/>
    <w:rsid w:val="5A19426B"/>
    <w:rsid w:val="5A702373"/>
    <w:rsid w:val="5A87556D"/>
    <w:rsid w:val="5AF30F60"/>
    <w:rsid w:val="5BFC3B20"/>
    <w:rsid w:val="5CAC586B"/>
    <w:rsid w:val="5F7F1015"/>
    <w:rsid w:val="5FED582A"/>
    <w:rsid w:val="603718EF"/>
    <w:rsid w:val="605C6362"/>
    <w:rsid w:val="60681AA9"/>
    <w:rsid w:val="6233485A"/>
    <w:rsid w:val="626F711E"/>
    <w:rsid w:val="6301327A"/>
    <w:rsid w:val="6326564D"/>
    <w:rsid w:val="63F87D96"/>
    <w:rsid w:val="64B90B25"/>
    <w:rsid w:val="64E04559"/>
    <w:rsid w:val="64E5191A"/>
    <w:rsid w:val="65984BDE"/>
    <w:rsid w:val="672F50CE"/>
    <w:rsid w:val="67E90086"/>
    <w:rsid w:val="685C0145"/>
    <w:rsid w:val="68AF296B"/>
    <w:rsid w:val="694037F5"/>
    <w:rsid w:val="69EA352F"/>
    <w:rsid w:val="6B1E16E2"/>
    <w:rsid w:val="6B7230A5"/>
    <w:rsid w:val="6B7E2906"/>
    <w:rsid w:val="6D4A37B2"/>
    <w:rsid w:val="6DD76B71"/>
    <w:rsid w:val="6DE704B1"/>
    <w:rsid w:val="6E1A2A52"/>
    <w:rsid w:val="6F584A8E"/>
    <w:rsid w:val="70C920F0"/>
    <w:rsid w:val="71F52215"/>
    <w:rsid w:val="74B54E81"/>
    <w:rsid w:val="7720307C"/>
    <w:rsid w:val="77AA4DD8"/>
    <w:rsid w:val="78604DA3"/>
    <w:rsid w:val="78BE5D96"/>
    <w:rsid w:val="79314D2C"/>
    <w:rsid w:val="7A995229"/>
    <w:rsid w:val="7B106F4E"/>
    <w:rsid w:val="7C7E4322"/>
    <w:rsid w:val="7D63567A"/>
    <w:rsid w:val="7D871368"/>
    <w:rsid w:val="7E61605D"/>
    <w:rsid w:val="7E957AB5"/>
    <w:rsid w:val="7EC0633F"/>
    <w:rsid w:val="7ED0618B"/>
    <w:rsid w:val="7FB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3890</Words>
  <Characters>4228</Characters>
  <Lines>0</Lines>
  <Paragraphs>0</Paragraphs>
  <TotalTime>3</TotalTime>
  <ScaleCrop>false</ScaleCrop>
  <LinksUpToDate>false</LinksUpToDate>
  <CharactersWithSpaces>4261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2026-05-27T08:37:48Z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