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rPr>
          <w:rFonts w:ascii="Times New Roman" w:hAnsi="Times New Roman" w:cs="Times New Roman"/>
        </w:rPr>
      </w:pPr>
      <w:r>
        <w:rPr>
          <w:b/>
        </w:rPr>
        <w:t>项目名称</w:t>
      </w:r>
      <w:r>
        <w:rPr>
          <w:rFonts w:ascii="Times New Roman" w:hAnsi="Times New Roman" w:cs="Times New Roman"/>
        </w:rPr>
        <w:t>：</w:t>
      </w:r>
      <w:r>
        <w:rPr>
          <w:rFonts w:hint="eastAsia" w:cs="Times New Roman"/>
          <w:lang w:val="en-US" w:eastAsia="zh-CN"/>
        </w:rPr>
        <w:t>生物</w:t>
      </w:r>
      <w:r>
        <w:rPr>
          <w:rFonts w:hint="eastAsia" w:ascii="Times New Roman" w:hAnsi="Times New Roman" w:cs="Times New Roman"/>
          <w:lang w:val="en-US" w:eastAsia="zh-CN"/>
        </w:rPr>
        <w:t>乙醇</w:t>
      </w:r>
      <w:r>
        <w:rPr>
          <w:rFonts w:hint="eastAsia" w:cs="Times New Roman"/>
          <w:lang w:val="en-US" w:eastAsia="zh-CN"/>
        </w:rPr>
        <w:t>或煤制乙醇4000</w:t>
      </w:r>
      <w:r>
        <w:rPr>
          <w:rFonts w:hint="eastAsia" w:ascii="Times New Roman" w:hAnsi="Times New Roman" w:cs="Times New Roman"/>
          <w:lang w:val="en-US" w:eastAsia="zh-CN"/>
        </w:rPr>
        <w:t>吨</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：2026年6月18日10：00（北京时间）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rFonts w:hint="eastAsia" w:ascii="Times New Roman" w:hAnsi="Times New Roman" w:cs="Times New Roman"/>
          <w:lang w:val="en-US" w:eastAsia="zh-CN"/>
        </w:rPr>
      </w:pPr>
      <w:r>
        <w:rPr>
          <w:rFonts w:hint="eastAsia"/>
          <w:b/>
          <w:bCs/>
          <w:lang w:val="en-US" w:eastAsia="zh-CN"/>
        </w:rPr>
        <w:t>交货时间：</w:t>
      </w:r>
      <w:r>
        <w:rPr>
          <w:rFonts w:hint="eastAsia"/>
          <w:b/>
          <w:bCs/>
          <w:u w:val="single"/>
          <w:lang w:val="en-US" w:eastAsia="zh-CN"/>
        </w:rPr>
        <w:t>建议时间：</w:t>
      </w:r>
      <w:r>
        <w:rPr>
          <w:rFonts w:hint="eastAsia" w:ascii="Times New Roman" w:hAnsi="Times New Roman" w:cs="Times New Roman"/>
          <w:lang w:val="en-US" w:eastAsia="zh-CN"/>
        </w:rPr>
        <w:t>船运送到：须在2026年</w:t>
      </w:r>
      <w:r>
        <w:rPr>
          <w:rFonts w:hint="eastAsia" w:cs="Times New Roman"/>
          <w:lang w:val="en-US" w:eastAsia="zh-CN"/>
        </w:rPr>
        <w:t>6</w:t>
      </w:r>
      <w:r>
        <w:rPr>
          <w:rFonts w:hint="eastAsia" w:ascii="Times New Roman" w:hAnsi="Times New Roman" w:cs="Times New Roman"/>
          <w:lang w:val="en-US" w:eastAsia="zh-CN"/>
        </w:rPr>
        <w:t>月</w:t>
      </w:r>
      <w:r>
        <w:rPr>
          <w:rFonts w:hint="eastAsia" w:cs="Times New Roman"/>
          <w:lang w:val="en-US" w:eastAsia="zh-CN"/>
        </w:rPr>
        <w:t>24</w:t>
      </w:r>
      <w:r>
        <w:rPr>
          <w:rFonts w:hint="eastAsia" w:ascii="Times New Roman" w:hAnsi="Times New Roman" w:cs="Times New Roman"/>
          <w:lang w:val="en-US" w:eastAsia="zh-CN"/>
        </w:rPr>
        <w:t>日具备到货条件；汽运送到：须在2026年</w:t>
      </w:r>
      <w:r>
        <w:rPr>
          <w:rFonts w:hint="eastAsia" w:cs="Times New Roman"/>
          <w:lang w:val="en-US" w:eastAsia="zh-CN"/>
        </w:rPr>
        <w:t>6</w:t>
      </w:r>
      <w:r>
        <w:rPr>
          <w:rFonts w:hint="eastAsia" w:ascii="Times New Roman" w:hAnsi="Times New Roman" w:cs="Times New Roman"/>
          <w:lang w:val="en-US" w:eastAsia="zh-CN"/>
        </w:rPr>
        <w:t>月</w:t>
      </w:r>
      <w:r>
        <w:rPr>
          <w:rFonts w:hint="eastAsia" w:cs="Times New Roman"/>
          <w:lang w:val="en-US" w:eastAsia="zh-CN"/>
        </w:rPr>
        <w:t>23</w:t>
      </w:r>
      <w:r>
        <w:rPr>
          <w:rFonts w:hint="eastAsia" w:ascii="Times New Roman" w:hAnsi="Times New Roman" w:cs="Times New Roman"/>
          <w:lang w:val="en-US" w:eastAsia="zh-CN"/>
        </w:rPr>
        <w:t>日起具备</w:t>
      </w:r>
      <w:r>
        <w:rPr>
          <w:rFonts w:hint="eastAsia" w:cs="Times New Roman"/>
          <w:lang w:val="en-US" w:eastAsia="zh-CN"/>
        </w:rPr>
        <w:t>供货条件，且具备</w:t>
      </w:r>
      <w:r>
        <w:rPr>
          <w:rFonts w:hint="eastAsia" w:ascii="Times New Roman" w:hAnsi="Times New Roman" w:cs="Times New Roman"/>
          <w:lang w:val="en-US" w:eastAsia="zh-CN"/>
        </w:rPr>
        <w:t>每天到货</w:t>
      </w:r>
      <w:r>
        <w:rPr>
          <w:rFonts w:hint="eastAsia" w:cs="Times New Roman"/>
          <w:lang w:val="en-US" w:eastAsia="zh-CN"/>
        </w:rPr>
        <w:t>2</w:t>
      </w:r>
      <w:r>
        <w:rPr>
          <w:rFonts w:hint="eastAsia" w:ascii="Times New Roman" w:hAnsi="Times New Roman" w:cs="Times New Roman"/>
          <w:lang w:val="en-US" w:eastAsia="zh-CN"/>
        </w:rPr>
        <w:t>0车</w:t>
      </w:r>
      <w:r>
        <w:rPr>
          <w:rFonts w:hint="eastAsia" w:cs="Times New Roman"/>
          <w:lang w:val="en-US" w:eastAsia="zh-CN"/>
        </w:rPr>
        <w:t>的</w:t>
      </w:r>
      <w:r>
        <w:rPr>
          <w:rFonts w:hint="eastAsia" w:ascii="Times New Roman" w:hAnsi="Times New Roman" w:cs="Times New Roman"/>
          <w:lang w:val="en-US" w:eastAsia="zh-CN"/>
        </w:rPr>
        <w:t>条件</w:t>
      </w:r>
      <w:r>
        <w:rPr>
          <w:rFonts w:hint="eastAsia" w:cs="Times New Roman"/>
          <w:lang w:val="en-US" w:eastAsia="zh-CN"/>
        </w:rPr>
        <w:t>，将根据采购人生产实际需求情况，由采购人安排具体送货时间和每天到货数量</w:t>
      </w:r>
      <w:r>
        <w:rPr>
          <w:rFonts w:hint="eastAsia" w:ascii="Times New Roman" w:hAnsi="Times New Roman" w:cs="Times New Roman"/>
          <w:lang w:val="en-US" w:eastAsia="zh-CN"/>
        </w:rPr>
        <w:t>。</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海纳川码头或罐区（江苏省镇江市京口区求索路）</w:t>
      </w:r>
    </w:p>
    <w:p w14:paraId="57A490E9">
      <w:pPr>
        <w:numPr>
          <w:ilvl w:val="0"/>
          <w:numId w:val="1"/>
        </w:numPr>
        <w:spacing w:before="0" w:beforeAutospacing="1" w:after="0" w:afterAutospacing="1"/>
        <w:ind w:left="720" w:hanging="360"/>
      </w:pPr>
      <w:r>
        <w:rPr>
          <w:rFonts w:hint="eastAsia"/>
          <w:b/>
          <w:lang w:val="en-US" w:eastAsia="zh-CN"/>
        </w:rPr>
        <w:t>结果</w:t>
      </w:r>
      <w:r>
        <w:rPr>
          <w:b/>
        </w:rPr>
        <w:t>查询</w:t>
      </w:r>
      <w:r>
        <w:t>：</w:t>
      </w:r>
      <w:r>
        <w:rPr>
          <w:rFonts w:hint="eastAsia"/>
          <w:lang w:val="en-US" w:eastAsia="zh-CN"/>
        </w:rPr>
        <w:t>评审完毕后将通过电话告知评审结果。</w:t>
      </w:r>
    </w:p>
    <w:p w14:paraId="76821092">
      <w:pPr>
        <w:pStyle w:val="3"/>
      </w:pPr>
      <w:r>
        <w:t>二、采购内容及要求</w:t>
      </w:r>
    </w:p>
    <w:p w14:paraId="52B753BB">
      <w:pPr>
        <w:pStyle w:val="4"/>
      </w:pPr>
      <w:r>
        <w:t>（一）采购清单</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69"/>
        <w:gridCol w:w="1866"/>
        <w:gridCol w:w="1568"/>
        <w:gridCol w:w="141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tblHeader/>
          <w:jc w:val="center"/>
        </w:trPr>
        <w:tc>
          <w:tcPr>
            <w:tcW w:w="3669" w:type="dxa"/>
            <w:tcMar>
              <w:left w:w="108" w:type="dxa"/>
              <w:right w:w="108" w:type="dxa"/>
            </w:tcMar>
            <w:vAlign w:val="center"/>
          </w:tcPr>
          <w:p w14:paraId="64451CAB">
            <w:pPr>
              <w:keepNext w:val="0"/>
              <w:keepLines w:val="0"/>
              <w:widowControl/>
              <w:suppressLineNumbers w:val="0"/>
              <w:jc w:val="center"/>
              <w:textAlignment w:val="center"/>
              <w:rPr>
                <w:b/>
              </w:rPr>
            </w:pPr>
            <w:r>
              <w:rPr>
                <w:rFonts w:hint="eastAsia" w:ascii="宋体" w:hAnsi="宋体" w:eastAsia="宋体" w:cs="宋体"/>
                <w:b/>
                <w:bCs/>
                <w:i w:val="0"/>
                <w:iCs w:val="0"/>
                <w:color w:val="000000"/>
                <w:kern w:val="0"/>
                <w:sz w:val="24"/>
                <w:szCs w:val="24"/>
                <w:u w:val="none"/>
                <w:lang w:val="en-US" w:eastAsia="zh-CN" w:bidi="ar"/>
              </w:rPr>
              <w:t>物料名称</w:t>
            </w:r>
          </w:p>
        </w:tc>
        <w:tc>
          <w:tcPr>
            <w:tcW w:w="1866" w:type="dxa"/>
            <w:tcMar>
              <w:left w:w="108" w:type="dxa"/>
              <w:right w:w="108" w:type="dxa"/>
            </w:tcMar>
            <w:vAlign w:val="center"/>
          </w:tcPr>
          <w:p w14:paraId="7D06A079">
            <w:pPr>
              <w:keepNext w:val="0"/>
              <w:keepLines w:val="0"/>
              <w:widowControl/>
              <w:suppressLineNumbers w:val="0"/>
              <w:jc w:val="center"/>
              <w:textAlignment w:val="center"/>
              <w:rPr>
                <w:b/>
              </w:rPr>
            </w:pPr>
            <w:r>
              <w:rPr>
                <w:rFonts w:hint="eastAsia" w:ascii="宋体" w:hAnsi="宋体" w:eastAsia="宋体" w:cs="宋体"/>
                <w:b/>
                <w:bCs/>
                <w:i w:val="0"/>
                <w:iCs w:val="0"/>
                <w:color w:val="000000"/>
                <w:kern w:val="0"/>
                <w:sz w:val="24"/>
                <w:szCs w:val="24"/>
                <w:u w:val="none"/>
                <w:lang w:val="en-US" w:eastAsia="zh-CN" w:bidi="ar"/>
              </w:rPr>
              <w:t>型号</w:t>
            </w:r>
          </w:p>
        </w:tc>
        <w:tc>
          <w:tcPr>
            <w:tcW w:w="1568" w:type="dxa"/>
            <w:tcMar>
              <w:left w:w="108" w:type="dxa"/>
              <w:right w:w="108" w:type="dxa"/>
            </w:tcMar>
            <w:vAlign w:val="center"/>
          </w:tcPr>
          <w:p w14:paraId="6C4170C6">
            <w:pPr>
              <w:keepNext w:val="0"/>
              <w:keepLines w:val="0"/>
              <w:widowControl/>
              <w:suppressLineNumbers w:val="0"/>
              <w:jc w:val="center"/>
              <w:textAlignment w:val="center"/>
              <w:rPr>
                <w:b/>
              </w:rPr>
            </w:pPr>
            <w:r>
              <w:rPr>
                <w:rFonts w:hint="eastAsia" w:ascii="宋体" w:hAnsi="宋体" w:eastAsia="宋体" w:cs="宋体"/>
                <w:b/>
                <w:bCs/>
                <w:i w:val="0"/>
                <w:iCs w:val="0"/>
                <w:color w:val="000000"/>
                <w:kern w:val="0"/>
                <w:sz w:val="24"/>
                <w:szCs w:val="24"/>
                <w:u w:val="none"/>
                <w:lang w:val="en-US" w:eastAsia="zh-CN" w:bidi="ar"/>
              </w:rPr>
              <w:t>单位</w:t>
            </w:r>
          </w:p>
        </w:tc>
        <w:tc>
          <w:tcPr>
            <w:tcW w:w="1416" w:type="dxa"/>
            <w:tcMar>
              <w:left w:w="108" w:type="dxa"/>
              <w:right w:w="108" w:type="dxa"/>
            </w:tcMar>
            <w:vAlign w:val="center"/>
          </w:tcPr>
          <w:p w14:paraId="4CDA0717">
            <w:pPr>
              <w:keepNext w:val="0"/>
              <w:keepLines w:val="0"/>
              <w:widowControl/>
              <w:suppressLineNumbers w:val="0"/>
              <w:jc w:val="center"/>
              <w:textAlignment w:val="center"/>
              <w:rPr>
                <w:b/>
              </w:rPr>
            </w:pPr>
            <w:r>
              <w:rPr>
                <w:rFonts w:hint="eastAsia" w:ascii="宋体" w:hAnsi="宋体" w:eastAsia="宋体" w:cs="宋体"/>
                <w:b/>
                <w:bCs/>
                <w:i w:val="0"/>
                <w:iCs w:val="0"/>
                <w:color w:val="000000"/>
                <w:kern w:val="0"/>
                <w:sz w:val="24"/>
                <w:szCs w:val="24"/>
                <w:u w:val="none"/>
                <w:lang w:val="en-US" w:eastAsia="zh-CN" w:bidi="ar"/>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3669" w:type="dxa"/>
            <w:tcMar>
              <w:left w:w="108" w:type="dxa"/>
              <w:right w:w="108" w:type="dxa"/>
            </w:tcMar>
            <w:vAlign w:val="center"/>
          </w:tcPr>
          <w:p w14:paraId="73956F51">
            <w:pPr>
              <w:keepNext w:val="0"/>
              <w:keepLines w:val="0"/>
              <w:pageBreakBefore w:val="0"/>
              <w:widowControl w:val="0"/>
              <w:kinsoku/>
              <w:wordWrap/>
              <w:overflowPunct/>
              <w:topLinePunct w:val="0"/>
              <w:autoSpaceDE/>
              <w:autoSpaceDN/>
              <w:bidi w:val="0"/>
              <w:spacing w:line="240" w:lineRule="exact"/>
              <w:jc w:val="center"/>
              <w:textAlignment w:val="auto"/>
            </w:pPr>
            <w:r>
              <w:rPr>
                <w:rFonts w:hint="eastAsia" w:ascii="宋体" w:hAnsi="宋体" w:cs="宋体"/>
                <w:b/>
                <w:color w:val="000000"/>
                <w:sz w:val="24"/>
                <w:szCs w:val="24"/>
                <w:lang w:val="en-US" w:eastAsia="zh-CN"/>
              </w:rPr>
              <w:t>生物</w:t>
            </w:r>
            <w:r>
              <w:rPr>
                <w:rFonts w:hint="eastAsia" w:ascii="宋体" w:hAnsi="宋体" w:eastAsia="宋体" w:cs="宋体"/>
                <w:b/>
                <w:color w:val="000000"/>
                <w:sz w:val="24"/>
                <w:szCs w:val="24"/>
                <w:lang w:eastAsia="zh-CN"/>
              </w:rPr>
              <w:t>乙醇</w:t>
            </w:r>
            <w:r>
              <w:rPr>
                <w:rFonts w:hint="eastAsia" w:ascii="宋体" w:hAnsi="宋体" w:cs="宋体"/>
                <w:b/>
                <w:color w:val="000000"/>
                <w:sz w:val="24"/>
                <w:szCs w:val="24"/>
                <w:lang w:val="en-US" w:eastAsia="zh-CN"/>
              </w:rPr>
              <w:t>或煤制乙醇</w:t>
            </w:r>
          </w:p>
        </w:tc>
        <w:tc>
          <w:tcPr>
            <w:tcW w:w="1866" w:type="dxa"/>
            <w:tcMar>
              <w:left w:w="108" w:type="dxa"/>
              <w:right w:w="108" w:type="dxa"/>
            </w:tcMar>
            <w:vAlign w:val="center"/>
          </w:tcPr>
          <w:p w14:paraId="0003C06D">
            <w:pPr>
              <w:keepNext w:val="0"/>
              <w:keepLines w:val="0"/>
              <w:pageBreakBefore w:val="0"/>
              <w:widowControl w:val="0"/>
              <w:kinsoku/>
              <w:wordWrap/>
              <w:overflowPunct/>
              <w:topLinePunct w:val="0"/>
              <w:autoSpaceDE/>
              <w:autoSpaceDN/>
              <w:bidi w:val="0"/>
              <w:spacing w:line="240" w:lineRule="exact"/>
              <w:jc w:val="center"/>
              <w:textAlignment w:val="auto"/>
              <w:rPr>
                <w:rFonts w:hint="default"/>
                <w:lang w:val="en-US"/>
              </w:rPr>
            </w:pPr>
            <w:r>
              <w:rPr>
                <w:rFonts w:hint="eastAsia" w:ascii="宋体" w:hAnsi="宋体" w:eastAsia="宋体" w:cs="宋体"/>
                <w:b/>
                <w:color w:val="000000"/>
                <w:sz w:val="24"/>
                <w:szCs w:val="24"/>
                <w:lang w:val="en-US" w:eastAsia="zh-CN"/>
              </w:rPr>
              <w:t>95%</w:t>
            </w:r>
            <w:r>
              <w:rPr>
                <w:rFonts w:hint="eastAsia" w:ascii="宋体" w:hAnsi="宋体" w:cs="宋体"/>
                <w:b/>
                <w:color w:val="000000"/>
                <w:sz w:val="24"/>
                <w:szCs w:val="24"/>
                <w:lang w:val="en-US" w:eastAsia="zh-CN"/>
              </w:rPr>
              <w:t>或99.5%</w:t>
            </w:r>
          </w:p>
        </w:tc>
        <w:tc>
          <w:tcPr>
            <w:tcW w:w="1568" w:type="dxa"/>
            <w:tcMar>
              <w:left w:w="108" w:type="dxa"/>
              <w:right w:w="108" w:type="dxa"/>
            </w:tcMar>
            <w:vAlign w:val="center"/>
          </w:tcPr>
          <w:p w14:paraId="61E75E1D">
            <w:pPr>
              <w:keepNext w:val="0"/>
              <w:keepLines w:val="0"/>
              <w:pageBreakBefore w:val="0"/>
              <w:widowControl w:val="0"/>
              <w:kinsoku/>
              <w:wordWrap/>
              <w:overflowPunct/>
              <w:topLinePunct w:val="0"/>
              <w:autoSpaceDE/>
              <w:autoSpaceDN/>
              <w:bidi w:val="0"/>
              <w:spacing w:line="240" w:lineRule="exact"/>
              <w:jc w:val="center"/>
              <w:textAlignment w:val="auto"/>
            </w:pPr>
            <w:r>
              <w:rPr>
                <w:rFonts w:hint="eastAsia" w:ascii="宋体" w:hAnsi="宋体" w:eastAsia="宋体" w:cs="宋体"/>
                <w:b/>
                <w:color w:val="000000"/>
                <w:sz w:val="24"/>
                <w:szCs w:val="24"/>
                <w:lang w:eastAsia="zh-CN"/>
              </w:rPr>
              <w:t>吨</w:t>
            </w:r>
          </w:p>
        </w:tc>
        <w:tc>
          <w:tcPr>
            <w:tcW w:w="1416" w:type="dxa"/>
            <w:tcMar>
              <w:left w:w="108" w:type="dxa"/>
              <w:right w:w="108" w:type="dxa"/>
            </w:tcMar>
            <w:vAlign w:val="center"/>
          </w:tcPr>
          <w:p w14:paraId="5B718136">
            <w:pPr>
              <w:keepNext w:val="0"/>
              <w:keepLines w:val="0"/>
              <w:pageBreakBefore w:val="0"/>
              <w:widowControl w:val="0"/>
              <w:kinsoku/>
              <w:wordWrap/>
              <w:overflowPunct/>
              <w:topLinePunct w:val="0"/>
              <w:autoSpaceDE/>
              <w:autoSpaceDN/>
              <w:bidi w:val="0"/>
              <w:spacing w:line="240" w:lineRule="exact"/>
              <w:jc w:val="center"/>
              <w:textAlignment w:val="auto"/>
              <w:rPr>
                <w:rFonts w:hint="default"/>
                <w:lang w:val="en-US"/>
              </w:rPr>
            </w:pPr>
            <w:r>
              <w:rPr>
                <w:rFonts w:hint="eastAsia" w:ascii="宋体" w:hAnsi="宋体" w:cs="宋体"/>
                <w:b/>
                <w:color w:val="000000"/>
                <w:sz w:val="24"/>
                <w:szCs w:val="24"/>
                <w:lang w:val="en-US" w:eastAsia="zh-CN"/>
              </w:rPr>
              <w:t>4000</w:t>
            </w:r>
          </w:p>
        </w:tc>
      </w:tr>
    </w:tbl>
    <w:p w14:paraId="536D20A5">
      <w:pPr>
        <w:pStyle w:val="4"/>
      </w:pPr>
      <w:r>
        <w:rPr>
          <w:rFonts w:hint="eastAsia" w:ascii="宋体" w:hAnsi="宋体" w:eastAsia="宋体" w:cs="宋体"/>
          <w:sz w:val="21"/>
          <w:szCs w:val="21"/>
          <w:lang w:val="en-US" w:eastAsia="zh-CN"/>
        </w:rPr>
        <w:t>注：评审时，将综合测算并比较生物乙醇与煤制乙醇的到厂价。</w:t>
      </w:r>
    </w:p>
    <w:p w14:paraId="4FBE22EB">
      <w:pPr>
        <w:pStyle w:val="4"/>
      </w:pPr>
    </w:p>
    <w:p w14:paraId="3C06393A">
      <w:pPr>
        <w:pStyle w:val="4"/>
      </w:pPr>
      <w:r>
        <w:t>（二）技术及资质要求</w:t>
      </w:r>
    </w:p>
    <w:p w14:paraId="184289B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lang w:val="en-US" w:eastAsia="zh-CN"/>
        </w:rPr>
      </w:pPr>
    </w:p>
    <w:p w14:paraId="397B6AE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lang w:val="en-US" w:eastAsia="zh-CN"/>
        </w:rPr>
      </w:pPr>
    </w:p>
    <w:p w14:paraId="45557AE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lang w:val="en-US" w:eastAsia="zh-CN"/>
        </w:rPr>
      </w:pPr>
    </w:p>
    <w:p w14:paraId="4A3A58E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lang w:val="en-US" w:eastAsia="zh-CN"/>
        </w:rPr>
      </w:pPr>
    </w:p>
    <w:p w14:paraId="2294B5A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lang w:val="en-US" w:eastAsia="zh-CN"/>
        </w:rPr>
      </w:pPr>
    </w:p>
    <w:p w14:paraId="78B0F23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lang w:val="en-US" w:eastAsia="zh-CN"/>
        </w:rPr>
      </w:pPr>
    </w:p>
    <w:p w14:paraId="7509D13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cs="Times New Roman"/>
          <w:lang w:val="en-US" w:eastAsia="zh-CN"/>
        </w:rPr>
      </w:pPr>
      <w:r>
        <w:rPr>
          <w:rFonts w:hint="eastAsia"/>
          <w:lang w:val="en-US" w:eastAsia="zh-CN"/>
        </w:rPr>
        <w:t>1.1</w:t>
      </w:r>
      <w:r>
        <w:rPr>
          <w:rFonts w:hint="eastAsia"/>
          <w:b/>
          <w:bCs/>
          <w:lang w:val="en-US" w:eastAsia="zh-CN"/>
        </w:rPr>
        <w:t>生物</w:t>
      </w:r>
      <w:r>
        <w:rPr>
          <w:rFonts w:hint="eastAsia" w:ascii="Times New Roman" w:hAnsi="Times New Roman" w:cs="Times New Roman"/>
          <w:b/>
          <w:bCs/>
          <w:lang w:val="en-US" w:eastAsia="zh-CN"/>
        </w:rPr>
        <w:t>乙醇</w:t>
      </w:r>
      <w:r>
        <w:rPr>
          <w:rFonts w:hint="eastAsia" w:ascii="Times New Roman" w:hAnsi="Times New Roman" w:cs="Times New Roman"/>
          <w:lang w:val="en-US" w:eastAsia="zh-CN"/>
        </w:rPr>
        <w:t>必须符合国标GB/T 10343-2023《食用酒精》，</w:t>
      </w:r>
      <w:r>
        <w:rPr>
          <w:rFonts w:hint="eastAsia" w:cs="Times New Roman"/>
          <w:lang w:val="en-US" w:eastAsia="zh-CN"/>
        </w:rPr>
        <w:t>参照</w:t>
      </w:r>
      <w:r>
        <w:rPr>
          <w:rFonts w:hint="eastAsia" w:ascii="Times New Roman" w:hAnsi="Times New Roman" w:cs="Times New Roman"/>
          <w:lang w:val="en-US" w:eastAsia="zh-CN"/>
        </w:rPr>
        <w:t xml:space="preserve"> GB/T 6820-2016《工业用乙醇》</w:t>
      </w:r>
      <w:r>
        <w:rPr>
          <w:rFonts w:hint="eastAsia" w:cs="Times New Roman"/>
          <w:lang w:val="en-US" w:eastAsia="zh-CN"/>
        </w:rPr>
        <w:t>标准</w:t>
      </w:r>
      <w:r>
        <w:rPr>
          <w:rFonts w:hint="eastAsia" w:ascii="Times New Roman" w:hAnsi="Times New Roman" w:cs="Times New Roman"/>
          <w:lang w:val="en-US" w:eastAsia="zh-CN"/>
        </w:rPr>
        <w:t>，要求气相色谱图上无苯的特征峰出现，苯、甲苯、乙苯、二甲苯未检出，异丙醇（mg/L）≤50。氧化时间要求达到二十分钟以上。具体指标如下：</w:t>
      </w:r>
    </w:p>
    <w:p w14:paraId="1B0EC689">
      <w:pPr>
        <w:adjustRightInd w:val="0"/>
        <w:snapToGrid w:val="0"/>
        <w:spacing w:line="240" w:lineRule="auto"/>
        <w:ind w:firstLine="600" w:firstLineChars="200"/>
        <w:jc w:val="left"/>
        <w:rPr>
          <w:rFonts w:hint="eastAsia" w:ascii="仿宋_GB2312" w:hAnsi="仿宋_GB2312" w:eastAsia="仿宋_GB2312" w:cs="仿宋_GB2312"/>
          <w:bCs/>
          <w:color w:val="auto"/>
          <w:kern w:val="1"/>
          <w:sz w:val="30"/>
          <w:szCs w:val="30"/>
          <w:lang w:val="en-US" w:eastAsia="zh-CN"/>
        </w:rPr>
      </w:pPr>
      <w:r>
        <w:rPr>
          <w:rFonts w:hint="eastAsia" w:ascii="仿宋_GB2312" w:hAnsi="仿宋_GB2312" w:eastAsia="仿宋_GB2312" w:cs="仿宋_GB2312"/>
          <w:bCs/>
          <w:color w:val="auto"/>
          <w:kern w:val="1"/>
          <w:sz w:val="30"/>
          <w:szCs w:val="30"/>
          <w:lang w:val="en-US" w:eastAsia="zh-CN"/>
        </w:rPr>
        <w:drawing>
          <wp:inline distT="0" distB="0" distL="114300" distR="114300">
            <wp:extent cx="4914900" cy="4448175"/>
            <wp:effectExtent l="0" t="0" r="0" b="9525"/>
            <wp:docPr id="2" name="图片 1" descr="乙醇分析指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乙醇分析指标"/>
                    <pic:cNvPicPr>
                      <a:picLocks noChangeAspect="1"/>
                    </pic:cNvPicPr>
                  </pic:nvPicPr>
                  <pic:blipFill>
                    <a:blip r:embed="rId4"/>
                    <a:stretch>
                      <a:fillRect/>
                    </a:stretch>
                  </pic:blipFill>
                  <pic:spPr>
                    <a:xfrm>
                      <a:off x="0" y="0"/>
                      <a:ext cx="4914900" cy="4448175"/>
                    </a:xfrm>
                    <a:prstGeom prst="rect">
                      <a:avLst/>
                    </a:prstGeom>
                    <a:noFill/>
                    <a:ln>
                      <a:noFill/>
                    </a:ln>
                  </pic:spPr>
                </pic:pic>
              </a:graphicData>
            </a:graphic>
          </wp:inline>
        </w:drawing>
      </w:r>
    </w:p>
    <w:p w14:paraId="47719EB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716EECC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4527F43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54121F8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535E4E3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4DD8F44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430E3EF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27FBA12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689F39A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7C818C6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04DC27B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4E01D44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47E0228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2BAC76B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78ED695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4DD85F1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04D7234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783CF3D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5625E1F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5C0EE4B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67D98DD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cs="Times New Roman"/>
          <w:lang w:val="en-US" w:eastAsia="zh-CN"/>
        </w:rPr>
      </w:pPr>
    </w:p>
    <w:p w14:paraId="480907F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cs="Times New Roman"/>
          <w:lang w:val="en-US" w:eastAsia="zh-CN"/>
        </w:rPr>
      </w:pPr>
    </w:p>
    <w:p w14:paraId="2CE1839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cs="Times New Roman"/>
          <w:lang w:val="en-US" w:eastAsia="zh-CN"/>
        </w:rPr>
      </w:pPr>
    </w:p>
    <w:p w14:paraId="4376D71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cs="Times New Roman"/>
          <w:lang w:val="en-US" w:eastAsia="zh-CN"/>
        </w:rPr>
      </w:pPr>
    </w:p>
    <w:p w14:paraId="15E3642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cs="Times New Roman"/>
          <w:lang w:val="en-US" w:eastAsia="zh-CN"/>
        </w:rPr>
      </w:pPr>
    </w:p>
    <w:p w14:paraId="36C962D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r>
        <w:rPr>
          <w:rFonts w:hint="eastAsia" w:cs="Times New Roman"/>
          <w:lang w:val="en-US" w:eastAsia="zh-CN"/>
        </w:rPr>
        <w:t>1.2</w:t>
      </w:r>
      <w:r>
        <w:rPr>
          <w:rFonts w:hint="eastAsia" w:cs="Times New Roman"/>
          <w:b/>
          <w:bCs/>
          <w:lang w:val="en-US" w:eastAsia="zh-CN"/>
        </w:rPr>
        <w:t>煤制乙醇</w:t>
      </w:r>
      <w:r>
        <w:rPr>
          <w:rFonts w:hint="eastAsia"/>
          <w:lang w:val="en-US" w:eastAsia="zh-CN"/>
        </w:rPr>
        <w:t>应符合国家标准 GB/T 678-2023《化学试剂 乙醇（无水乙醇）》及 GB/T 6820-2016《工业用乙醇》，其中正丙醇+异丙醇含量应 ≤250mg/L，气相色谱图中不得出现苯的特征峰，苯、甲苯、乙苯、二甲苯、环己酮等项目均应未检出。每批次货物须附带出厂质检报告。</w:t>
      </w:r>
      <w:r>
        <w:rPr>
          <w:rFonts w:hint="eastAsia" w:ascii="Times New Roman" w:hAnsi="Times New Roman" w:cs="Times New Roman"/>
          <w:lang w:val="en-US" w:eastAsia="zh-CN"/>
        </w:rPr>
        <w:t>具体指标如下：</w:t>
      </w:r>
    </w:p>
    <w:p w14:paraId="4559D47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r>
        <w:drawing>
          <wp:inline distT="0" distB="0" distL="114300" distR="114300">
            <wp:extent cx="4333875" cy="36099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333875" cy="3609975"/>
                    </a:xfrm>
                    <a:prstGeom prst="rect">
                      <a:avLst/>
                    </a:prstGeom>
                    <a:noFill/>
                    <a:ln>
                      <a:noFill/>
                    </a:ln>
                  </pic:spPr>
                </pic:pic>
              </a:graphicData>
            </a:graphic>
          </wp:inline>
        </w:drawing>
      </w:r>
    </w:p>
    <w:p w14:paraId="7B7166D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p>
    <w:p w14:paraId="4B9455E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w:t>
      </w:r>
      <w:r>
        <w:rPr>
          <w:rFonts w:hint="eastAsia" w:cs="Times New Roman"/>
          <w:lang w:val="en-US" w:eastAsia="zh-CN"/>
        </w:rPr>
        <w:t>如</w:t>
      </w:r>
      <w:r>
        <w:rPr>
          <w:rFonts w:hint="eastAsia" w:ascii="Times New Roman" w:hAnsi="Times New Roman" w:cs="Times New Roman"/>
          <w:lang w:val="en-US" w:eastAsia="zh-CN"/>
        </w:rPr>
        <w:t>生物制乙醇</w:t>
      </w:r>
      <w:r>
        <w:rPr>
          <w:rFonts w:hint="eastAsia" w:cs="Times New Roman"/>
          <w:lang w:val="en-US" w:eastAsia="zh-CN"/>
        </w:rPr>
        <w:t>成交时</w:t>
      </w:r>
      <w:r>
        <w:rPr>
          <w:rFonts w:hint="eastAsia" w:ascii="Times New Roman" w:hAnsi="Times New Roman" w:cs="Times New Roman"/>
          <w:lang w:val="en-US" w:eastAsia="zh-CN"/>
        </w:rPr>
        <w:t>，如发现供货中掺杂煤制乙醇导致分析数据异常，将对供应商处以合同总价3倍罚款，参与报价即视为已完全理解并接受本条款的所有内容。</w:t>
      </w:r>
    </w:p>
    <w:p w14:paraId="38BCB35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2.1成交人采用汽运方式送货时，应做好运输车辆跟踪监控工作，请务必将每车清洗置换干净。每车必检，当出现不合格要求退换货处理且不得因供货影响采购人正常生产；当出现多次不合格时，采购人将根据公司规定进行处理，并且视情况有权无条件解除合同，期间所产生的一切费用由成交人全部承担。</w:t>
      </w:r>
    </w:p>
    <w:p w14:paraId="40AEA0D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2.2如采用汽运方式供货时，建议送货车辆在车辆下部安装取样口（充分置换）便于取样，同时必须符合并遵守中华人民共和国相关法律法规要求，送货途中应注意安全、杜绝违章，发生异常情况由成交人全权负责。</w:t>
      </w:r>
      <w:r>
        <w:rPr>
          <w:rFonts w:hint="eastAsia" w:ascii="Times New Roman" w:hAnsi="Times New Roman" w:cs="Times New Roman"/>
          <w:b/>
          <w:bCs/>
          <w:lang w:val="en-US" w:eastAsia="zh-CN"/>
        </w:rPr>
        <w:t>进入厂区送货车辆要求达到“国五”及以上排放标准，严禁超限超载（行驶证核定总质量）。不接受以燃气为动力的车辆送货</w:t>
      </w:r>
      <w:r>
        <w:rPr>
          <w:rFonts w:hint="eastAsia" w:ascii="Times New Roman" w:hAnsi="Times New Roman" w:cs="Times New Roman"/>
          <w:lang w:val="en-US" w:eastAsia="zh-CN"/>
        </w:rPr>
        <w:t>。如遇夏季高温季节，将采取规避高温的卸货方案，请严格执行实时的卸货规定。</w:t>
      </w:r>
    </w:p>
    <w:p w14:paraId="4E99D6E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b/>
          <w:bCs/>
          <w:lang w:val="en-US" w:eastAsia="zh-CN"/>
        </w:rPr>
      </w:pPr>
      <w:r>
        <w:rPr>
          <w:rFonts w:hint="eastAsia" w:cs="Times New Roman"/>
          <w:lang w:val="en-US" w:eastAsia="zh-CN"/>
        </w:rPr>
        <w:t>2.3</w:t>
      </w:r>
      <w:r>
        <w:rPr>
          <w:rFonts w:hint="eastAsia" w:cs="Times New Roman"/>
          <w:b/>
          <w:bCs/>
          <w:lang w:val="en-US" w:eastAsia="zh-CN"/>
        </w:rPr>
        <w:t>汽运</w:t>
      </w:r>
      <w:r>
        <w:rPr>
          <w:rFonts w:hint="eastAsia"/>
          <w:b/>
          <w:bCs/>
          <w:lang w:val="en-US" w:eastAsia="zh-CN"/>
        </w:rPr>
        <w:t>取样时，现场排放的废液须根据采购人现场管理要求，在指定地点废液收集（由司乘人员自行带走），要求送货人员自备铁桶收集，禁止停车场内使用塑料桶。</w:t>
      </w:r>
    </w:p>
    <w:p w14:paraId="4DFC18A0">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left"/>
        <w:textAlignment w:val="auto"/>
        <w:rPr>
          <w:rFonts w:hint="default"/>
          <w:b/>
          <w:bCs/>
          <w:u w:val="single"/>
          <w:lang w:val="en-US" w:eastAsia="zh-CN"/>
        </w:rPr>
      </w:pPr>
      <w:r>
        <w:rPr>
          <w:rFonts w:hint="eastAsia"/>
          <w:b/>
          <w:bCs/>
          <w:u w:val="single"/>
          <w:lang w:val="en-US" w:eastAsia="zh-CN"/>
        </w:rPr>
        <w:t>2.4采购人检验如发现“苯指标”（表格中最后一项）不合格，将按照每车1000元罚款处罚并作退货处理；其他指标不合格，按照每车500元罚款处罚，并依采购人要求处置。</w:t>
      </w:r>
    </w:p>
    <w:p w14:paraId="571E13D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jc w:val="left"/>
        <w:textAlignment w:val="auto"/>
        <w:rPr>
          <w:rFonts w:hint="eastAsia" w:ascii="Times New Roman" w:hAnsi="Times New Roman" w:cs="Times New Roman"/>
          <w:lang w:val="en-US" w:eastAsia="zh-CN"/>
        </w:rPr>
      </w:pPr>
      <w:r>
        <w:rPr>
          <w:rFonts w:hint="eastAsia" w:cs="Times New Roman"/>
          <w:lang w:val="en-US" w:eastAsia="zh-CN"/>
        </w:rPr>
        <w:t>3</w:t>
      </w:r>
      <w:r>
        <w:rPr>
          <w:rFonts w:hint="eastAsia" w:ascii="Times New Roman" w:hAnsi="Times New Roman" w:cs="Times New Roman"/>
          <w:lang w:val="en-US" w:eastAsia="zh-CN"/>
        </w:rPr>
        <w:t>.其他资质要求：《生产许可证》、危化品经营、授权代理证书、工业产品生产许可证或危险化学品经营许可证、危化品安全技术说明书（MSDS）、危化品安全标签、安全标准化认证证书等，并要求资质文件在有效期内等。</w:t>
      </w:r>
    </w:p>
    <w:p w14:paraId="3A3E234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20" w:firstLineChars="200"/>
        <w:jc w:val="left"/>
        <w:textAlignment w:val="auto"/>
        <w:rPr>
          <w:rFonts w:hint="eastAsia" w:ascii="Times New Roman" w:hAnsi="Times New Roman" w:cs="Times New Roman"/>
          <w:lang w:val="en-US" w:eastAsia="zh-CN"/>
        </w:rPr>
      </w:pPr>
      <w:r>
        <w:rPr>
          <w:rFonts w:hint="eastAsia" w:cs="Times New Roman"/>
          <w:lang w:val="en-US" w:eastAsia="zh-CN"/>
        </w:rPr>
        <w:t>4</w:t>
      </w:r>
      <w:r>
        <w:rPr>
          <w:rFonts w:hint="eastAsia" w:ascii="Times New Roman" w:hAnsi="Times New Roman" w:cs="Times New Roman"/>
          <w:lang w:val="en-US" w:eastAsia="zh-CN"/>
        </w:rPr>
        <w:t>.有合作意向的新供应商请提供相关资质文件、产品小样及同类行业使用业绩，审核通过符合要求后，方可参与报价，否则报价无效。</w:t>
      </w:r>
    </w:p>
    <w:p w14:paraId="7DBAF1E6">
      <w:pPr>
        <w:keepNext w:val="0"/>
        <w:keepLines w:val="0"/>
        <w:pageBreakBefore w:val="0"/>
        <w:widowControl w:val="0"/>
        <w:numPr>
          <w:ilvl w:val="0"/>
          <w:numId w:val="0"/>
        </w:numPr>
        <w:kinsoku/>
        <w:wordWrap/>
        <w:overflowPunct/>
        <w:topLinePunct w:val="0"/>
        <w:autoSpaceDE/>
        <w:autoSpaceDN/>
        <w:bidi w:val="0"/>
        <w:spacing w:before="0" w:beforeAutospacing="0" w:after="0" w:afterAutospacing="0"/>
        <w:ind w:left="360" w:leftChars="0"/>
        <w:textAlignment w:val="auto"/>
      </w:pPr>
      <w:r>
        <w:rPr>
          <w:rFonts w:hint="eastAsia"/>
          <w:b/>
          <w:lang w:val="en-US" w:eastAsia="zh-CN"/>
        </w:rPr>
        <w:t>5.</w:t>
      </w:r>
      <w:r>
        <w:rPr>
          <w:b/>
        </w:rPr>
        <w:t>资质文件</w:t>
      </w:r>
      <w:r>
        <w:t>：</w:t>
      </w:r>
      <w:r>
        <w:rPr>
          <w:rFonts w:hint="eastAsia"/>
          <w:lang w:val="en-US" w:eastAsia="zh-CN"/>
        </w:rPr>
        <w:t>须提供营业执照、生产许可证或危化品经营许可证、授权代理证书（如有）等</w:t>
      </w:r>
      <w:r>
        <w:t>。</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w:t>
      </w:r>
      <w:r>
        <w:rPr>
          <w:rFonts w:hint="eastAsia"/>
          <w:lang w:val="en-US" w:eastAsia="zh-CN"/>
        </w:rPr>
        <w:t>6</w:t>
      </w:r>
      <w:r>
        <w:t>0日内</w:t>
      </w:r>
      <w:r>
        <w:rPr>
          <w:rFonts w:hint="eastAsia"/>
          <w:lang w:val="en-US" w:eastAsia="zh-CN"/>
        </w:rPr>
        <w:t>承兑</w:t>
      </w:r>
      <w:r>
        <w:t>支付货款（</w:t>
      </w:r>
      <w:r>
        <w:rPr>
          <w:rFonts w:hint="eastAsia"/>
          <w:lang w:val="en-US" w:eastAsia="zh-CN"/>
        </w:rPr>
        <w:t>6个月内承兑汇票</w:t>
      </w:r>
      <w:r>
        <w:t>）。</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0" w:firstLineChars="0"/>
        <w:textAlignment w:val="auto"/>
      </w:pPr>
      <w:r>
        <w:rPr>
          <w:rFonts w:hint="eastAsia"/>
          <w:b/>
          <w:lang w:val="en-US" w:eastAsia="zh-CN"/>
        </w:rPr>
        <w:t>1.</w:t>
      </w:r>
      <w:r>
        <w:rPr>
          <w:b/>
        </w:rPr>
        <w:t>线上报价</w:t>
      </w:r>
      <w:r>
        <w:t>：通过大企汇工作台（www.daqihui.com）按格式填写，上传加盖报价章的报价单及资质材料。</w:t>
      </w:r>
    </w:p>
    <w:p w14:paraId="12F2DE9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0" w:firstLineChars="0"/>
        <w:textAlignment w:val="auto"/>
        <w:rPr>
          <w:rFonts w:ascii="Times New Roman" w:hAnsi="Times New Roman" w:cs="Times New Roman"/>
        </w:rPr>
      </w:pPr>
      <w:r>
        <w:rPr>
          <w:rFonts w:hint="eastAsia"/>
          <w:b/>
          <w:lang w:val="en-US" w:eastAsia="zh-CN"/>
        </w:rPr>
        <w:t>2.</w:t>
      </w: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w:t>
      </w:r>
      <w:r>
        <w:rPr>
          <w:rFonts w:hint="eastAsia" w:ascii="Times New Roman" w:hAnsi="Times New Roman" w:cs="Times New Roman"/>
          <w:lang w:val="en-US" w:eastAsia="zh-CN"/>
        </w:rPr>
        <w:t>号，逾期无效</w:t>
      </w:r>
      <w:r>
        <w:rPr>
          <w:rFonts w:ascii="Times New Roman" w:hAnsi="Times New Roman" w:cs="Times New Roman"/>
        </w:rPr>
        <w:t>。</w:t>
      </w:r>
    </w:p>
    <w:p w14:paraId="2BA248E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lang w:val="en-US" w:eastAsia="zh-CN"/>
        </w:rPr>
      </w:pPr>
      <w:r>
        <w:rPr>
          <w:rFonts w:hint="eastAsia"/>
          <w:lang w:val="en-US" w:eastAsia="zh-CN"/>
        </w:rPr>
        <w:t>3.</w:t>
      </w:r>
      <w:r>
        <w:rPr>
          <w:rFonts w:hint="eastAsia"/>
        </w:rPr>
        <w:fldChar w:fldCharType="begin"/>
      </w:r>
      <w:r>
        <w:rPr>
          <w:rFonts w:hint="eastAsia"/>
        </w:rPr>
        <w:instrText xml:space="preserve"> HYPERLINK "mailto:招标时竞标单位如有需要通过邮箱报价的，请统一将文件发至以下邮箱sopozhaotoubiao@163.com。" </w:instrText>
      </w:r>
      <w:r>
        <w:rPr>
          <w:rFonts w:hint="eastAsia"/>
        </w:rPr>
        <w:fldChar w:fldCharType="separate"/>
      </w:r>
      <w:r>
        <w:rPr>
          <w:rFonts w:hint="eastAsia"/>
          <w:lang w:val="en-US" w:eastAsia="zh-CN"/>
        </w:rPr>
        <w:t>报价</w:t>
      </w:r>
      <w:r>
        <w:rPr>
          <w:rFonts w:hint="eastAsia"/>
          <w:lang w:eastAsia="zh-CN"/>
        </w:rPr>
        <w:t>人</w:t>
      </w:r>
      <w:r>
        <w:rPr>
          <w:rFonts w:hint="eastAsia"/>
        </w:rPr>
        <w:t>如有</w:t>
      </w:r>
      <w:r>
        <w:rPr>
          <w:rFonts w:hint="eastAsia"/>
          <w:lang w:eastAsia="zh-CN"/>
        </w:rPr>
        <w:t>特殊情况</w:t>
      </w:r>
      <w:r>
        <w:rPr>
          <w:rFonts w:hint="eastAsia"/>
        </w:rPr>
        <w:t>需要通过邮箱报价的，请统一将文件发至以下邮箱</w:t>
      </w:r>
      <w:r>
        <w:rPr>
          <w:rFonts w:hint="eastAsia"/>
          <w:lang w:val="en-US" w:eastAsia="zh-CN"/>
        </w:rPr>
        <w:t xml:space="preserve"> </w:t>
      </w:r>
      <w:r>
        <w:rPr>
          <w:rFonts w:hint="eastAsia"/>
        </w:rPr>
        <w:t>sopozhaotoubiao@163.com</w:t>
      </w:r>
      <w:r>
        <w:rPr>
          <w:rFonts w:hint="eastAsia"/>
          <w:lang w:val="en-US" w:eastAsia="zh-CN"/>
        </w:rPr>
        <w:t>。</w:t>
      </w:r>
      <w:r>
        <w:rPr>
          <w:rFonts w:hint="eastAsia"/>
        </w:rPr>
        <w:fldChar w:fldCharType="end"/>
      </w:r>
      <w:r>
        <w:rPr>
          <w:rFonts w:hint="eastAsia"/>
          <w:lang w:eastAsia="zh-CN"/>
        </w:rPr>
        <w:t>邮箱报价要求：</w:t>
      </w:r>
      <w:r>
        <w:rPr>
          <w:rFonts w:hint="eastAsia"/>
        </w:rPr>
        <w:t>文件名统一为“</w:t>
      </w:r>
      <w:r>
        <w:rPr>
          <w:rFonts w:hint="eastAsia"/>
          <w:lang w:val="en-US" w:eastAsia="zh-CN"/>
        </w:rPr>
        <w:t>报价</w:t>
      </w:r>
      <w:r>
        <w:rPr>
          <w:rFonts w:hint="eastAsia"/>
          <w:lang w:eastAsia="zh-CN"/>
        </w:rPr>
        <w:t>人</w:t>
      </w:r>
      <w:r>
        <w:rPr>
          <w:rFonts w:hint="eastAsia"/>
        </w:rPr>
        <w:t>单位名称（简称）+项目名称”</w:t>
      </w:r>
      <w:r>
        <w:rPr>
          <w:rFonts w:hint="eastAsia"/>
          <w:lang w:eastAsia="zh-CN"/>
        </w:rPr>
        <w:t>，否则被误</w:t>
      </w:r>
      <w:r>
        <w:rPr>
          <w:rFonts w:hint="eastAsia"/>
          <w:lang w:val="en-US" w:eastAsia="zh-CN"/>
        </w:rPr>
        <w:t>拆</w:t>
      </w:r>
      <w:r>
        <w:rPr>
          <w:rFonts w:hint="eastAsia"/>
          <w:lang w:eastAsia="zh-CN"/>
        </w:rPr>
        <w:t>，</w:t>
      </w:r>
      <w:r>
        <w:rPr>
          <w:rFonts w:hint="eastAsia"/>
          <w:lang w:val="en-US" w:eastAsia="zh-CN"/>
        </w:rPr>
        <w:t>采购</w:t>
      </w:r>
      <w:r>
        <w:rPr>
          <w:rFonts w:hint="eastAsia"/>
          <w:lang w:eastAsia="zh-CN"/>
        </w:rPr>
        <w:t>人概不负责！邮箱报价时，</w:t>
      </w:r>
      <w:r>
        <w:rPr>
          <w:rFonts w:hint="eastAsia"/>
          <w:lang w:val="en-US" w:eastAsia="zh-CN"/>
        </w:rPr>
        <w:t>须对报价文件进行加密，在邮件中应提供报价人联系方式，以方便采购人在评审现场公开电话联系索要文件解压密码解密。注：由于邮箱安全性问题导致报价信息的泄露，采购人概不负责，请谨慎选择！</w:t>
      </w:r>
    </w:p>
    <w:p w14:paraId="272C70F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eastAsia" w:ascii="Times New Roman" w:hAnsi="Times New Roman" w:cs="Times New Roman"/>
          <w:lang w:val="en-US" w:eastAsia="zh-CN"/>
        </w:rPr>
      </w:pPr>
      <w:r>
        <w:rPr>
          <w:rFonts w:hint="eastAsia" w:cs="Times New Roman"/>
          <w:lang w:val="en-US" w:eastAsia="zh-CN"/>
        </w:rPr>
        <w:t>4</w:t>
      </w:r>
      <w:r>
        <w:rPr>
          <w:rFonts w:hint="eastAsia" w:ascii="Times New Roman" w:hAnsi="Times New Roman" w:cs="Times New Roman"/>
          <w:lang w:val="en-US" w:eastAsia="zh-CN"/>
        </w:rPr>
        <w:t>.报价要求报价方具备船运、汽运送到条件。</w:t>
      </w:r>
    </w:p>
    <w:p w14:paraId="45AB3F6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eastAsia" w:ascii="Times New Roman" w:hAnsi="Times New Roman" w:cs="Times New Roman"/>
          <w:lang w:val="en-US" w:eastAsia="zh-CN"/>
        </w:rPr>
      </w:pPr>
      <w:r>
        <w:rPr>
          <w:rFonts w:hint="eastAsia" w:cs="Times New Roman"/>
          <w:lang w:val="en-US" w:eastAsia="zh-CN"/>
        </w:rPr>
        <w:t>4</w:t>
      </w:r>
      <w:r>
        <w:rPr>
          <w:rFonts w:hint="eastAsia" w:ascii="Times New Roman" w:hAnsi="Times New Roman" w:cs="Times New Roman"/>
          <w:lang w:val="en-US" w:eastAsia="zh-CN"/>
        </w:rPr>
        <w:t>.1报价要求报价方具备船运、汽运送到条件</w:t>
      </w:r>
      <w:r>
        <w:rPr>
          <w:rFonts w:hint="eastAsia" w:cs="Times New Roman"/>
          <w:lang w:val="en-US" w:eastAsia="zh-CN"/>
        </w:rPr>
        <w:t>，</w:t>
      </w:r>
      <w:r>
        <w:rPr>
          <w:rFonts w:hint="eastAsia"/>
          <w:b/>
          <w:bCs/>
          <w:lang w:val="en-US" w:eastAsia="zh-CN"/>
        </w:rPr>
        <w:t>请注明生物乙醇或煤制乙醇！</w:t>
      </w:r>
    </w:p>
    <w:tbl>
      <w:tblPr>
        <w:tblStyle w:val="7"/>
        <w:tblpPr w:leftFromText="180" w:rightFromText="180" w:vertAnchor="text" w:horzAnchor="page" w:tblpX="1725" w:tblpY="45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7"/>
        <w:gridCol w:w="2113"/>
        <w:gridCol w:w="2352"/>
        <w:gridCol w:w="1908"/>
      </w:tblGrid>
      <w:tr w14:paraId="1BF7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147" w:type="dxa"/>
            <w:noWrap w:val="0"/>
            <w:vAlign w:val="center"/>
          </w:tcPr>
          <w:p w14:paraId="0DF3BF7D">
            <w:pPr>
              <w:numPr>
                <w:ilvl w:val="0"/>
                <w:numId w:val="0"/>
              </w:numPr>
              <w:spacing w:before="0" w:beforeAutospacing="1" w:after="0" w:afterAutospacing="1"/>
              <w:ind w:left="360" w:leftChars="0"/>
              <w:rPr>
                <w:rFonts w:hint="eastAsia" w:ascii="Times New Roman" w:hAnsi="Times New Roman" w:cs="Times New Roman"/>
              </w:rPr>
            </w:pPr>
            <w:r>
              <w:rPr>
                <w:rFonts w:hint="eastAsia" w:ascii="Times New Roman" w:hAnsi="Times New Roman" w:cs="Times New Roman"/>
              </w:rPr>
              <w:t>送到价（元/吨）</w:t>
            </w:r>
          </w:p>
        </w:tc>
        <w:tc>
          <w:tcPr>
            <w:tcW w:w="2113" w:type="dxa"/>
            <w:noWrap w:val="0"/>
            <w:vAlign w:val="center"/>
          </w:tcPr>
          <w:p w14:paraId="6B4AA7E6">
            <w:pPr>
              <w:numPr>
                <w:ilvl w:val="0"/>
                <w:numId w:val="0"/>
              </w:numPr>
              <w:spacing w:before="0" w:beforeAutospacing="1" w:after="0" w:afterAutospacing="1"/>
              <w:ind w:left="360" w:leftChars="0"/>
              <w:rPr>
                <w:rFonts w:hint="eastAsia" w:ascii="Times New Roman" w:hAnsi="Times New Roman" w:cs="Times New Roman"/>
                <w:lang w:eastAsia="zh-CN"/>
              </w:rPr>
            </w:pPr>
            <w:r>
              <w:rPr>
                <w:rFonts w:hint="eastAsia" w:ascii="Times New Roman" w:hAnsi="Times New Roman" w:cs="Times New Roman"/>
              </w:rPr>
              <w:t>供</w:t>
            </w:r>
            <w:r>
              <w:rPr>
                <w:rFonts w:hint="eastAsia" w:ascii="Times New Roman" w:hAnsi="Times New Roman" w:cs="Times New Roman"/>
                <w:lang w:eastAsia="zh-CN"/>
              </w:rPr>
              <w:t>货</w:t>
            </w:r>
            <w:r>
              <w:rPr>
                <w:rFonts w:hint="eastAsia" w:ascii="Times New Roman" w:hAnsi="Times New Roman" w:cs="Times New Roman"/>
              </w:rPr>
              <w:t>数量（吨）</w:t>
            </w:r>
          </w:p>
        </w:tc>
        <w:tc>
          <w:tcPr>
            <w:tcW w:w="2352" w:type="dxa"/>
            <w:noWrap w:val="0"/>
            <w:vAlign w:val="center"/>
          </w:tcPr>
          <w:p w14:paraId="728C0706">
            <w:pPr>
              <w:numPr>
                <w:ilvl w:val="0"/>
                <w:numId w:val="0"/>
              </w:numPr>
              <w:spacing w:before="0" w:beforeAutospacing="1" w:after="0" w:afterAutospacing="1"/>
              <w:ind w:left="360" w:leftChars="0"/>
              <w:rPr>
                <w:rFonts w:hint="eastAsia" w:ascii="Times New Roman" w:hAnsi="Times New Roman" w:cs="Times New Roman"/>
                <w:lang w:val="en-US"/>
              </w:rPr>
            </w:pPr>
            <w:r>
              <w:rPr>
                <w:rFonts w:hint="eastAsia" w:ascii="Times New Roman" w:hAnsi="Times New Roman" w:cs="Times New Roman"/>
                <w:lang w:eastAsia="zh-CN"/>
              </w:rPr>
              <w:t>运输方式</w:t>
            </w:r>
          </w:p>
        </w:tc>
        <w:tc>
          <w:tcPr>
            <w:tcW w:w="1908" w:type="dxa"/>
            <w:noWrap w:val="0"/>
            <w:vAlign w:val="center"/>
          </w:tcPr>
          <w:p w14:paraId="3669CD60">
            <w:pPr>
              <w:numPr>
                <w:ilvl w:val="0"/>
                <w:numId w:val="0"/>
              </w:numPr>
              <w:spacing w:before="0" w:beforeAutospacing="1" w:after="0" w:afterAutospacing="1"/>
              <w:ind w:left="360" w:leftChars="0"/>
              <w:rPr>
                <w:rFonts w:hint="eastAsia" w:ascii="Times New Roman" w:hAnsi="Times New Roman" w:cs="Times New Roman"/>
                <w:lang w:eastAsia="zh-CN"/>
              </w:rPr>
            </w:pPr>
            <w:r>
              <w:rPr>
                <w:rFonts w:hint="eastAsia" w:ascii="Times New Roman" w:hAnsi="Times New Roman" w:cs="Times New Roman"/>
                <w:lang w:eastAsia="zh-CN"/>
              </w:rPr>
              <w:t>到货时间</w:t>
            </w:r>
          </w:p>
        </w:tc>
      </w:tr>
      <w:tr w14:paraId="3352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2147" w:type="dxa"/>
            <w:noWrap w:val="0"/>
            <w:vAlign w:val="center"/>
          </w:tcPr>
          <w:p w14:paraId="46E608F7">
            <w:pPr>
              <w:numPr>
                <w:ilvl w:val="0"/>
                <w:numId w:val="0"/>
              </w:numPr>
              <w:spacing w:before="0" w:beforeAutospacing="1" w:after="0" w:afterAutospacing="1"/>
              <w:rPr>
                <w:rFonts w:hint="eastAsia" w:ascii="Times New Roman" w:hAnsi="Times New Roman" w:cs="Times New Roman"/>
              </w:rPr>
            </w:pPr>
          </w:p>
        </w:tc>
        <w:tc>
          <w:tcPr>
            <w:tcW w:w="2113" w:type="dxa"/>
            <w:noWrap w:val="0"/>
            <w:vAlign w:val="center"/>
          </w:tcPr>
          <w:p w14:paraId="3FA69371">
            <w:pPr>
              <w:numPr>
                <w:ilvl w:val="0"/>
                <w:numId w:val="0"/>
              </w:numPr>
              <w:spacing w:before="0" w:beforeAutospacing="1" w:after="0" w:afterAutospacing="1"/>
              <w:rPr>
                <w:rFonts w:hint="eastAsia" w:ascii="Times New Roman" w:hAnsi="Times New Roman" w:cs="Times New Roman"/>
              </w:rPr>
            </w:pPr>
          </w:p>
        </w:tc>
        <w:tc>
          <w:tcPr>
            <w:tcW w:w="2352" w:type="dxa"/>
            <w:noWrap w:val="0"/>
            <w:vAlign w:val="center"/>
          </w:tcPr>
          <w:p w14:paraId="4CDBC019">
            <w:pPr>
              <w:numPr>
                <w:ilvl w:val="0"/>
                <w:numId w:val="0"/>
              </w:numPr>
              <w:spacing w:before="0" w:beforeAutospacing="1" w:after="0" w:afterAutospacing="1"/>
              <w:jc w:val="center"/>
              <w:rPr>
                <w:rFonts w:hint="eastAsia" w:ascii="Times New Roman" w:hAnsi="Times New Roman" w:cs="Times New Roman"/>
                <w:lang w:val="en-US" w:eastAsia="zh-CN"/>
              </w:rPr>
            </w:pPr>
            <w:r>
              <w:rPr>
                <w:rFonts w:hint="eastAsia" w:ascii="Times New Roman" w:hAnsi="Times New Roman" w:cs="Times New Roman"/>
                <w:lang w:val="en-US" w:eastAsia="zh-CN"/>
              </w:rPr>
              <w:t>船运、汽运</w:t>
            </w:r>
            <w:r>
              <w:rPr>
                <w:rFonts w:hint="eastAsia" w:cs="Times New Roman"/>
                <w:lang w:val="en-US" w:eastAsia="zh-CN"/>
              </w:rPr>
              <w:t xml:space="preserve">         （需要明确送货方式）</w:t>
            </w:r>
          </w:p>
        </w:tc>
        <w:tc>
          <w:tcPr>
            <w:tcW w:w="1908" w:type="dxa"/>
            <w:noWrap w:val="0"/>
            <w:vAlign w:val="center"/>
          </w:tcPr>
          <w:p w14:paraId="31931DE9">
            <w:pPr>
              <w:numPr>
                <w:ilvl w:val="0"/>
                <w:numId w:val="0"/>
              </w:numPr>
              <w:spacing w:before="0" w:beforeAutospacing="1" w:after="0" w:afterAutospacing="1"/>
              <w:ind w:left="360" w:leftChars="0"/>
              <w:rPr>
                <w:rFonts w:hint="default" w:ascii="Times New Roman" w:hAnsi="Times New Roman" w:eastAsia="宋体" w:cs="Times New Roman"/>
                <w:lang w:val="en-US" w:eastAsia="zh-CN"/>
              </w:rPr>
            </w:pPr>
          </w:p>
        </w:tc>
      </w:tr>
    </w:tbl>
    <w:p w14:paraId="7C743C17">
      <w:pPr>
        <w:pStyle w:val="4"/>
      </w:pPr>
      <w:r>
        <w:t>（四）送达地址及联系方式</w:t>
      </w:r>
    </w:p>
    <w:p w14:paraId="6AC27BF7">
      <w:pPr>
        <w:numPr>
          <w:ilvl w:val="0"/>
          <w:numId w:val="4"/>
        </w:numPr>
        <w:spacing w:before="0" w:beforeAutospacing="1" w:after="0" w:afterAutospacing="1"/>
        <w:ind w:left="720" w:hanging="360"/>
      </w:pPr>
      <w:r>
        <w:rPr>
          <w:b/>
        </w:rPr>
        <w:t>收件单位</w:t>
      </w:r>
      <w:r>
        <w:t>：江苏索普化工股份有限公司供应保障部</w:t>
      </w:r>
    </w:p>
    <w:p w14:paraId="09A9996A">
      <w:pPr>
        <w:numPr>
          <w:ilvl w:val="0"/>
          <w:numId w:val="4"/>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4"/>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金坚</w:t>
      </w:r>
      <w:r>
        <w:t>，电话：139</w:t>
      </w:r>
      <w:r>
        <w:rPr>
          <w:rFonts w:hint="eastAsia"/>
          <w:lang w:val="en-US" w:eastAsia="zh-CN"/>
        </w:rPr>
        <w:t>51400185</w:t>
      </w:r>
    </w:p>
    <w:p w14:paraId="46E1F8B6">
      <w:pPr>
        <w:pStyle w:val="4"/>
      </w:pPr>
      <w:r>
        <w:t>（五）疑问咨询</w:t>
      </w:r>
    </w:p>
    <w:p w14:paraId="20BA2C34">
      <w:pPr>
        <w:numPr>
          <w:ilvl w:val="0"/>
          <w:numId w:val="5"/>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金坚</w:t>
      </w:r>
      <w:r>
        <w:t>139</w:t>
      </w:r>
      <w:r>
        <w:rPr>
          <w:rFonts w:hint="eastAsia"/>
          <w:lang w:val="en-US" w:eastAsia="zh-CN"/>
        </w:rPr>
        <w:t>51400185</w:t>
      </w:r>
      <w:r>
        <w:rPr>
          <w:rFonts w:hint="eastAsia"/>
          <w:lang w:eastAsia="zh-CN"/>
        </w:rPr>
        <w:t>（</w:t>
      </w:r>
      <w:r>
        <w:rPr>
          <w:rFonts w:hint="eastAsia"/>
          <w:lang w:val="en-US" w:eastAsia="zh-CN"/>
        </w:rPr>
        <w:t>详情咨询</w:t>
      </w:r>
      <w:r>
        <w:rPr>
          <w:rFonts w:hint="eastAsia"/>
          <w:lang w:eastAsia="zh-CN"/>
        </w:rPr>
        <w:t>）</w:t>
      </w:r>
    </w:p>
    <w:p w14:paraId="7A111C8A">
      <w:pPr>
        <w:numPr>
          <w:ilvl w:val="0"/>
          <w:numId w:val="5"/>
        </w:numPr>
        <w:spacing w:before="0" w:beforeAutospacing="1" w:after="0" w:afterAutospacing="1"/>
        <w:ind w:left="720" w:hanging="360"/>
      </w:pPr>
      <w:r>
        <w:rPr>
          <w:rFonts w:hint="eastAsia"/>
          <w:b/>
          <w:lang w:val="en-US" w:eastAsia="zh-CN"/>
        </w:rPr>
        <w:t>部门负责人</w:t>
      </w:r>
      <w:r>
        <w:t>：解云13913442555</w:t>
      </w:r>
    </w:p>
    <w:p w14:paraId="5278A02B">
      <w:pPr>
        <w:pStyle w:val="3"/>
      </w:pPr>
      <w:r>
        <w:rPr>
          <w:rFonts w:hint="eastAsia"/>
          <w:lang w:val="en-US" w:eastAsia="zh-CN"/>
        </w:rPr>
        <w:t>四</w:t>
      </w:r>
      <w:r>
        <w:t>、其他要求</w:t>
      </w:r>
    </w:p>
    <w:p w14:paraId="26F2A39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422" w:firstLineChars="200"/>
        <w:textAlignment w:val="auto"/>
      </w:pPr>
      <w:r>
        <w:rPr>
          <w:rFonts w:hint="eastAsia"/>
          <w:b/>
          <w:lang w:val="en-US" w:eastAsia="zh-CN"/>
        </w:rPr>
        <w:t>1.</w:t>
      </w:r>
      <w:r>
        <w:rPr>
          <w:b/>
        </w:rPr>
        <w:t>供应商资格</w:t>
      </w:r>
      <w:r>
        <w:t>：不接受失信被执行人、重大违法案件当事人。</w:t>
      </w:r>
    </w:p>
    <w:p w14:paraId="548B90C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422" w:firstLineChars="200"/>
        <w:textAlignment w:val="auto"/>
      </w:pPr>
      <w:r>
        <w:rPr>
          <w:rFonts w:hint="eastAsia"/>
          <w:b/>
          <w:lang w:val="en-US" w:eastAsia="zh-CN"/>
        </w:rPr>
        <w:t>2.</w:t>
      </w:r>
      <w:r>
        <w:rPr>
          <w:b/>
        </w:rPr>
        <w:t>售后服务</w:t>
      </w:r>
      <w:r>
        <w:t>：电话响应≤8小时，明确解决方案。</w:t>
      </w:r>
    </w:p>
    <w:p w14:paraId="0059EF8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422" w:firstLineChars="200"/>
        <w:textAlignment w:val="auto"/>
      </w:pPr>
      <w:r>
        <w:rPr>
          <w:rFonts w:hint="eastAsia"/>
          <w:b/>
          <w:lang w:val="en-US" w:eastAsia="zh-CN"/>
        </w:rPr>
        <w:t>3.</w:t>
      </w:r>
      <w:r>
        <w:rPr>
          <w:b/>
        </w:rPr>
        <w:t>知识产权</w:t>
      </w:r>
      <w:r>
        <w:t>：供应商承担所有知识产权纠纷责任。</w:t>
      </w:r>
    </w:p>
    <w:p w14:paraId="14247EF0">
      <w:pPr>
        <w:pStyle w:val="3"/>
      </w:pPr>
      <w:r>
        <w:rPr>
          <w:rFonts w:hint="eastAsia"/>
          <w:lang w:val="en-US" w:eastAsia="zh-CN"/>
        </w:rPr>
        <w:t>五</w:t>
      </w:r>
      <w:r>
        <w:t>、评审流程</w:t>
      </w:r>
    </w:p>
    <w:p w14:paraId="31F18230">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ind w:left="-360" w:leftChars="0" w:firstLine="632" w:firstLineChars="300"/>
        <w:textAlignment w:val="auto"/>
      </w:pPr>
      <w:r>
        <w:rPr>
          <w:rFonts w:hint="eastAsia"/>
          <w:b/>
          <w:lang w:val="en-US" w:eastAsia="zh-CN"/>
        </w:rPr>
        <w:t>1.</w:t>
      </w:r>
      <w:r>
        <w:rPr>
          <w:b/>
        </w:rPr>
        <w:t>评审</w:t>
      </w:r>
      <w:r>
        <w:t>：采购人组织评审小组，</w:t>
      </w:r>
      <w:r>
        <w:rPr>
          <w:rFonts w:hint="eastAsia"/>
          <w:lang w:val="en-US" w:eastAsia="zh-CN"/>
        </w:rPr>
        <w:t>评审</w:t>
      </w:r>
      <w:r>
        <w:t>供应商报价，供应商需保持通讯畅通。</w:t>
      </w:r>
    </w:p>
    <w:p w14:paraId="48A65E6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241" w:firstLineChars="100"/>
        <w:textAlignment w:val="auto"/>
      </w:pPr>
      <w:r>
        <w:rPr>
          <w:rFonts w:hint="eastAsia"/>
          <w:b/>
          <w:lang w:val="en-US" w:eastAsia="zh-CN"/>
        </w:rPr>
        <w:t>2.</w:t>
      </w:r>
      <w:r>
        <w:rPr>
          <w:b/>
        </w:rPr>
        <w:t>评定标准</w:t>
      </w:r>
      <w:r>
        <w:t>：</w:t>
      </w:r>
    </w:p>
    <w:p w14:paraId="7C2B579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420" w:firstLineChars="200"/>
        <w:textAlignment w:val="auto"/>
        <w:rPr>
          <w:rFonts w:hint="eastAsia"/>
          <w:lang w:val="en-US" w:eastAsia="zh-CN"/>
        </w:rPr>
      </w:pPr>
      <w:r>
        <w:rPr>
          <w:rFonts w:hint="eastAsia"/>
          <w:lang w:val="en-US" w:eastAsia="zh-CN"/>
        </w:rPr>
        <w:t>为确保采购评审公平公正，采购人将对各供应商所报价格统一折算为最终到货价进行综合评审比较。</w:t>
      </w:r>
    </w:p>
    <w:p w14:paraId="23DDBD6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firstLine="420" w:firstLineChars="200"/>
        <w:textAlignment w:val="auto"/>
        <w:rPr>
          <w:rFonts w:hint="eastAsia"/>
          <w:lang w:val="en-US" w:eastAsia="zh-CN"/>
        </w:rPr>
      </w:pPr>
      <w:r>
        <w:rPr>
          <w:rFonts w:hint="eastAsia"/>
          <w:lang w:val="en-US" w:eastAsia="zh-CN"/>
        </w:rPr>
        <w:t>2.1价格折算规则如下：</w:t>
      </w:r>
    </w:p>
    <w:p w14:paraId="7E589A7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firstLine="420" w:firstLineChars="200"/>
        <w:textAlignment w:val="auto"/>
        <w:rPr>
          <w:rFonts w:hint="eastAsia"/>
          <w:lang w:val="en-US" w:eastAsia="zh-CN"/>
        </w:rPr>
      </w:pPr>
      <w:r>
        <w:rPr>
          <w:rFonts w:hint="eastAsia"/>
          <w:lang w:val="en-US" w:eastAsia="zh-CN"/>
        </w:rPr>
        <w:t>船运送到价：直接作为最终到货价参与评审；</w:t>
      </w:r>
    </w:p>
    <w:p w14:paraId="7132799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420" w:firstLineChars="200"/>
        <w:textAlignment w:val="auto"/>
        <w:rPr>
          <w:rFonts w:hint="eastAsia"/>
          <w:lang w:val="en-US" w:eastAsia="zh-CN"/>
        </w:rPr>
      </w:pPr>
      <w:r>
        <w:rPr>
          <w:rFonts w:hint="eastAsia"/>
          <w:lang w:val="en-US" w:eastAsia="zh-CN"/>
        </w:rPr>
        <w:t>船运自提价：</w:t>
      </w:r>
      <w:r>
        <w:rPr>
          <w:rFonts w:hint="eastAsia"/>
          <w:b/>
          <w:bCs/>
          <w:lang w:val="en-US" w:eastAsia="zh-CN"/>
        </w:rPr>
        <w:t>须满足 4000 吨货源要求，在此基础上增加 212 元 / 吨海运费</w:t>
      </w:r>
      <w:r>
        <w:rPr>
          <w:rFonts w:hint="eastAsia"/>
          <w:lang w:val="en-US" w:eastAsia="zh-CN"/>
        </w:rPr>
        <w:t>，折算为最终到货价；</w:t>
      </w:r>
    </w:p>
    <w:p w14:paraId="20F2E14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420" w:firstLineChars="200"/>
        <w:textAlignment w:val="auto"/>
        <w:rPr>
          <w:rFonts w:hint="eastAsia"/>
          <w:lang w:val="en-US" w:eastAsia="zh-CN"/>
        </w:rPr>
      </w:pPr>
      <w:r>
        <w:rPr>
          <w:rFonts w:hint="eastAsia"/>
          <w:lang w:val="en-US" w:eastAsia="zh-CN"/>
        </w:rPr>
        <w:t>汽运送到价</w:t>
      </w:r>
      <w:r>
        <w:rPr>
          <w:rFonts w:hint="eastAsia"/>
          <w:b/>
          <w:bCs/>
          <w:lang w:val="en-US" w:eastAsia="zh-CN"/>
        </w:rPr>
        <w:t>：增加5元/吨卸车费</w:t>
      </w:r>
      <w:r>
        <w:rPr>
          <w:rFonts w:hint="eastAsia"/>
          <w:lang w:val="en-US" w:eastAsia="zh-CN"/>
        </w:rPr>
        <w:t>，折算为最终到货价。</w:t>
      </w:r>
    </w:p>
    <w:p w14:paraId="5089F40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420" w:firstLineChars="200"/>
        <w:textAlignment w:val="auto"/>
        <w:rPr>
          <w:rFonts w:hint="eastAsia"/>
          <w:lang w:val="en-US" w:eastAsia="zh-CN"/>
        </w:rPr>
      </w:pPr>
      <w:r>
        <w:rPr>
          <w:rFonts w:hint="eastAsia"/>
          <w:lang w:val="en-US" w:eastAsia="zh-CN"/>
        </w:rPr>
        <w:t>2.2上述第2.1款中船运自提价所涉海运费、汽运送到价所涉卸车费，仅作为最终到货价与船运送到价进行比价评审之用，实际由采购人承担支付。</w:t>
      </w:r>
    </w:p>
    <w:p w14:paraId="481664D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420" w:firstLineChars="200"/>
        <w:textAlignment w:val="auto"/>
        <w:rPr>
          <w:rFonts w:hint="eastAsia"/>
          <w:lang w:val="en-US" w:eastAsia="zh-CN"/>
        </w:rPr>
      </w:pPr>
      <w:r>
        <w:rPr>
          <w:rFonts w:hint="eastAsia"/>
          <w:lang w:val="en-US" w:eastAsia="zh-CN"/>
        </w:rPr>
        <w:t>2.3成交授予规则：采购人有权根据本公司生产计划、销售需求、库存状况，结合各供应商报价水平、运输方式等综合因素，自主调整采购数量并评定最优成交人。</w:t>
      </w:r>
    </w:p>
    <w:p w14:paraId="771E70F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firstLine="420" w:firstLineChars="200"/>
        <w:textAlignment w:val="auto"/>
        <w:rPr>
          <w:rFonts w:hint="eastAsia"/>
          <w:lang w:val="en-US" w:eastAsia="zh-CN"/>
        </w:rPr>
      </w:pPr>
      <w:r>
        <w:rPr>
          <w:rFonts w:hint="eastAsia"/>
          <w:lang w:val="en-US" w:eastAsia="zh-CN"/>
        </w:rPr>
        <w:t>2.4本次采购成交人可为单一成交人或多个成交人，具体以采购人最终评定结果为准。</w:t>
      </w:r>
    </w:p>
    <w:p w14:paraId="3F9E105C">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ind w:left="-360" w:leftChars="0" w:firstLine="632" w:firstLineChars="300"/>
        <w:textAlignment w:val="auto"/>
      </w:pPr>
      <w:r>
        <w:rPr>
          <w:rFonts w:hint="eastAsia"/>
          <w:b/>
          <w:lang w:val="en-US" w:eastAsia="zh-CN"/>
        </w:rPr>
        <w:t>3.</w:t>
      </w:r>
      <w:r>
        <w:rPr>
          <w:b/>
        </w:rPr>
        <w:t>询价废止</w:t>
      </w:r>
      <w:r>
        <w:t>：存在串通报价等违规行为的，作废并列入供应商负面清单。</w:t>
      </w:r>
    </w:p>
    <w:p w14:paraId="7C9B8AF9">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ind w:left="-360" w:leftChars="0" w:firstLine="632" w:firstLineChars="300"/>
        <w:textAlignment w:val="auto"/>
      </w:pPr>
      <w:r>
        <w:rPr>
          <w:rFonts w:hint="eastAsia"/>
          <w:b/>
          <w:lang w:val="en-US" w:eastAsia="zh-CN"/>
        </w:rPr>
        <w:t>4.</w:t>
      </w: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6"/>
        </w:numPr>
        <w:spacing w:before="0" w:beforeAutospacing="1" w:after="0" w:afterAutospacing="1"/>
        <w:ind w:left="720" w:hanging="360"/>
      </w:pPr>
      <w:r>
        <w:rPr>
          <w:b/>
        </w:rPr>
        <w:t>逾期交货</w:t>
      </w:r>
      <w:r>
        <w:t>：每日按合同总额</w:t>
      </w:r>
      <w:r>
        <w:rPr>
          <w:rFonts w:hint="eastAsia"/>
          <w:lang w:val="en-US" w:eastAsia="zh-CN"/>
        </w:rPr>
        <w:t>0.5</w:t>
      </w:r>
      <w:r>
        <w:t>%支付违约金；超20日，采购人有权解除合同，要求返还货款并按总额</w:t>
      </w:r>
      <w:r>
        <w:rPr>
          <w:rFonts w:hint="eastAsia"/>
          <w:lang w:val="en-US" w:eastAsia="zh-CN"/>
        </w:rPr>
        <w:t>1</w:t>
      </w:r>
      <w:r>
        <w:t>0%赔偿。</w:t>
      </w:r>
    </w:p>
    <w:p w14:paraId="7CD62B7E">
      <w:pPr>
        <w:numPr>
          <w:ilvl w:val="0"/>
          <w:numId w:val="6"/>
        </w:numPr>
        <w:spacing w:before="0" w:beforeAutospacing="1" w:after="0" w:afterAutospacing="1"/>
        <w:ind w:left="720" w:hanging="360"/>
      </w:pPr>
      <w:r>
        <w:rPr>
          <w:b/>
        </w:rPr>
        <w:t>质量不合格</w:t>
      </w:r>
      <w:r>
        <w:t>：</w:t>
      </w:r>
    </w:p>
    <w:p w14:paraId="6C6D2CED">
      <w:pPr>
        <w:numPr>
          <w:ilvl w:val="1"/>
          <w:numId w:val="6"/>
        </w:numPr>
        <w:spacing w:before="0" w:beforeAutospacing="1" w:after="0" w:afterAutospacing="1"/>
        <w:ind w:left="1440" w:hanging="360"/>
      </w:pPr>
      <w:r>
        <w:t>换货：费用由供应商承担，</w:t>
      </w:r>
      <w:r>
        <w:rPr>
          <w:rFonts w:hint="eastAsia"/>
          <w:lang w:val="en-US" w:eastAsia="zh-CN"/>
        </w:rPr>
        <w:t>20</w:t>
      </w:r>
      <w:r>
        <w:t>日内重新供货，逾期按逾期条款处理；两次不合格则解除合同，返还货款并赔偿</w:t>
      </w:r>
      <w:r>
        <w:rPr>
          <w:rFonts w:hint="eastAsia"/>
          <w:lang w:val="en-US" w:eastAsia="zh-CN"/>
        </w:rPr>
        <w:t>1</w:t>
      </w:r>
      <w:r>
        <w:t>0%违约金。</w:t>
      </w:r>
    </w:p>
    <w:p w14:paraId="35B2520F">
      <w:pPr>
        <w:numPr>
          <w:ilvl w:val="1"/>
          <w:numId w:val="6"/>
        </w:numPr>
        <w:spacing w:before="0" w:beforeAutospacing="1" w:after="0" w:afterAutospacing="1"/>
        <w:ind w:left="1440" w:hanging="360"/>
      </w:pPr>
      <w:r>
        <w:t>解除合同：退货费用由供应商承担，返还货款并赔偿</w:t>
      </w:r>
      <w:r>
        <w:rPr>
          <w:rFonts w:hint="eastAsia"/>
          <w:lang w:val="en-US" w:eastAsia="zh-CN"/>
        </w:rPr>
        <w:t>1</w:t>
      </w:r>
      <w:r>
        <w:t>0%违约金（质押货物期间仓储费由供应商承担）。</w:t>
      </w:r>
    </w:p>
    <w:p w14:paraId="52632EBA">
      <w:pPr>
        <w:numPr>
          <w:ilvl w:val="0"/>
          <w:numId w:val="6"/>
        </w:numPr>
        <w:spacing w:before="0" w:beforeAutospacing="1" w:after="0" w:afterAutospacing="1"/>
        <w:ind w:left="720" w:hanging="360"/>
      </w:pPr>
      <w:r>
        <w:rPr>
          <w:b/>
        </w:rPr>
        <w:t>损失赔偿</w:t>
      </w:r>
      <w:r>
        <w:t>：因质量或逾期造成的直接/间接损失，违约金不超过合同总价</w:t>
      </w:r>
      <w:r>
        <w:rPr>
          <w:rFonts w:hint="eastAsia"/>
          <w:lang w:val="en-US" w:eastAsia="zh-CN"/>
        </w:rPr>
        <w:t>1</w:t>
      </w:r>
      <w:r>
        <w:t>0%。</w:t>
      </w:r>
    </w:p>
    <w:p w14:paraId="1A94C3D1">
      <w:pPr>
        <w:pStyle w:val="3"/>
        <w:rPr>
          <w:rFonts w:ascii="Times New Roman" w:hAnsi="Times New Roman" w:eastAsia="宋体" w:cs="Times New Roman"/>
          <w:b w:val="0"/>
          <w:bCs w:val="0"/>
          <w:color w:val="000000"/>
          <w:sz w:val="24"/>
          <w:szCs w:val="24"/>
          <w:lang w:val="en-US" w:eastAsia="zh-CN" w:bidi="ar-SA"/>
        </w:rPr>
      </w:pPr>
      <w:r>
        <w:rPr>
          <w:rFonts w:hint="eastAsia"/>
          <w:lang w:val="en-US" w:eastAsia="zh-CN"/>
        </w:rPr>
        <w:t>七</w:t>
      </w:r>
      <w:r>
        <w:t>、其他事项</w:t>
      </w:r>
    </w:p>
    <w:p w14:paraId="0554DE3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239" w:leftChars="114" w:right="0" w:rightChars="0" w:firstLine="0" w:firstLineChars="0"/>
        <w:textAlignment w:val="auto"/>
        <w:rPr>
          <w:rFonts w:hint="eastAsia"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1.成交人须按询价书签订合同，违约将面临中止合作风险。供应商参与报价即视为无条件接受本询价书全部条款。</w:t>
      </w:r>
    </w:p>
    <w:p w14:paraId="228D9EB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239" w:leftChars="114" w:right="0" w:rightChars="0" w:firstLine="0" w:firstLineChars="0"/>
        <w:textAlignment w:val="auto"/>
        <w:rPr>
          <w:rFonts w:hint="eastAsia"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2.产品需经采购人检验合格，长期合约三次不合格者终止合同。</w:t>
      </w:r>
    </w:p>
    <w:p w14:paraId="2E46BB6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239" w:leftChars="114" w:right="0" w:rightChars="0" w:firstLine="0" w:firstLineChars="0"/>
        <w:textAlignment w:val="auto"/>
        <w:rPr>
          <w:rFonts w:hint="eastAsia"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3.争议协商解决，仲裁按《产品质量仲裁检验和产品质量鉴定管理办法》执行。</w:t>
      </w:r>
    </w:p>
    <w:p w14:paraId="1E0C3DA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239" w:leftChars="114" w:right="0" w:rightChars="0" w:firstLine="0" w:firstLineChars="0"/>
        <w:textAlignment w:val="auto"/>
        <w:rPr>
          <w:rFonts w:hint="eastAsia" w:ascii="Times New Roman" w:hAnsi="Times New Roman" w:eastAsia="宋体" w:cs="Times New Roman"/>
          <w:color w:val="000000"/>
          <w:sz w:val="21"/>
          <w:szCs w:val="24"/>
          <w:lang w:val="en-US" w:eastAsia="zh-CN" w:bidi="ar-SA"/>
        </w:rPr>
      </w:pPr>
      <w:r>
        <w:rPr>
          <w:rFonts w:hint="eastAsia" w:ascii="Times New Roman" w:hAnsi="Times New Roman" w:eastAsia="宋体" w:cs="Times New Roman"/>
          <w:color w:val="000000"/>
          <w:sz w:val="21"/>
          <w:szCs w:val="24"/>
          <w:lang w:val="en-US" w:eastAsia="zh-CN" w:bidi="ar-SA"/>
        </w:rPr>
        <w:t>4.违规供应商将列入负面清单，解释权归江苏索普化工股份有限公司供应保障部。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lang w:val="en-US" w:eastAsia="zh-CN"/>
        </w:rPr>
        <w:t>2026</w:t>
      </w:r>
      <w:r>
        <w:t>年</w:t>
      </w:r>
      <w:r>
        <w:rPr>
          <w:rFonts w:hint="eastAsia"/>
          <w:lang w:val="en-US" w:eastAsia="zh-CN"/>
        </w:rPr>
        <w:t>6</w:t>
      </w:r>
      <w:r>
        <w:t>月</w:t>
      </w:r>
      <w:r>
        <w:rPr>
          <w:rFonts w:hint="eastAsia"/>
          <w:lang w:val="en-US" w:eastAsia="zh-CN"/>
        </w:rPr>
        <w:t>11</w:t>
      </w:r>
      <w:bookmarkStart w:id="0" w:name="_GoBack"/>
      <w:bookmarkEnd w:id="0"/>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w:t>
      </w:r>
      <w:r>
        <w:rPr>
          <w:rFonts w:hint="eastAsia"/>
          <w:b/>
          <w:bCs/>
          <w:lang w:val="en-US" w:eastAsia="zh-CN"/>
        </w:rPr>
        <w:t>乙醇</w:t>
      </w:r>
      <w:r>
        <w:t>公开询比价活动，报价如下：</w:t>
      </w:r>
    </w:p>
    <w:p w14:paraId="5AB6199D">
      <w:pPr>
        <w:rPr>
          <w:rFonts w:ascii="Times New Roman" w:hAnsi="Times New Roman" w:cs="Times New Roman"/>
        </w:rPr>
      </w:pPr>
      <w:r>
        <w:rPr>
          <w:rFonts w:hint="eastAsia" w:ascii="Times New Roman" w:hAnsi="Times New Roman" w:cs="Times New Roman"/>
          <w:lang w:val="en-US" w:eastAsia="zh-CN"/>
        </w:rPr>
        <w:t>1.报价要求报价方具备船运或汽运送到条件</w:t>
      </w:r>
      <w:r>
        <w:rPr>
          <w:rFonts w:ascii="Times New Roman" w:hAnsi="Times New Roman" w:cs="Times New Roman"/>
        </w:rPr>
        <w:t>。</w:t>
      </w:r>
    </w:p>
    <w:p w14:paraId="09D24A8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要求具备船运、汽运送到条件</w:t>
      </w:r>
      <w:r>
        <w:rPr>
          <w:rFonts w:hint="eastAsia" w:cs="Times New Roman"/>
          <w:lang w:val="en-US" w:eastAsia="zh-CN"/>
        </w:rPr>
        <w:t>，</w:t>
      </w:r>
      <w:r>
        <w:rPr>
          <w:rFonts w:hint="eastAsia"/>
          <w:b/>
          <w:bCs/>
          <w:lang w:val="en-US" w:eastAsia="zh-CN"/>
        </w:rPr>
        <w:t>请注明生物乙醇或煤制乙醇！</w:t>
      </w:r>
    </w:p>
    <w:tbl>
      <w:tblPr>
        <w:tblStyle w:val="7"/>
        <w:tblpPr w:leftFromText="180" w:rightFromText="180" w:vertAnchor="text" w:horzAnchor="page" w:tblpX="1725" w:tblpY="45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7"/>
        <w:gridCol w:w="2113"/>
        <w:gridCol w:w="2519"/>
        <w:gridCol w:w="1741"/>
      </w:tblGrid>
      <w:tr w14:paraId="6E243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147" w:type="dxa"/>
            <w:noWrap w:val="0"/>
            <w:vAlign w:val="center"/>
          </w:tcPr>
          <w:p w14:paraId="46AE64A0">
            <w:pPr>
              <w:numPr>
                <w:ilvl w:val="0"/>
                <w:numId w:val="0"/>
              </w:numPr>
              <w:spacing w:before="0" w:beforeAutospacing="1" w:after="0" w:afterAutospacing="1"/>
              <w:ind w:left="360" w:leftChars="0"/>
              <w:rPr>
                <w:rFonts w:hint="eastAsia" w:ascii="Times New Roman" w:hAnsi="Times New Roman" w:cs="Times New Roman"/>
              </w:rPr>
            </w:pPr>
            <w:r>
              <w:rPr>
                <w:rFonts w:hint="eastAsia" w:ascii="Times New Roman" w:hAnsi="Times New Roman" w:cs="Times New Roman"/>
              </w:rPr>
              <w:t>送到价（元/吨）</w:t>
            </w:r>
          </w:p>
        </w:tc>
        <w:tc>
          <w:tcPr>
            <w:tcW w:w="2113" w:type="dxa"/>
            <w:noWrap w:val="0"/>
            <w:vAlign w:val="center"/>
          </w:tcPr>
          <w:p w14:paraId="7511126B">
            <w:pPr>
              <w:numPr>
                <w:ilvl w:val="0"/>
                <w:numId w:val="0"/>
              </w:numPr>
              <w:spacing w:before="0" w:beforeAutospacing="1" w:after="0" w:afterAutospacing="1"/>
              <w:ind w:left="360" w:leftChars="0"/>
              <w:rPr>
                <w:rFonts w:hint="eastAsia" w:ascii="Times New Roman" w:hAnsi="Times New Roman" w:cs="Times New Roman"/>
                <w:lang w:eastAsia="zh-CN"/>
              </w:rPr>
            </w:pPr>
            <w:r>
              <w:rPr>
                <w:rFonts w:hint="eastAsia" w:ascii="Times New Roman" w:hAnsi="Times New Roman" w:cs="Times New Roman"/>
              </w:rPr>
              <w:t>供</w:t>
            </w:r>
            <w:r>
              <w:rPr>
                <w:rFonts w:hint="eastAsia" w:ascii="Times New Roman" w:hAnsi="Times New Roman" w:cs="Times New Roman"/>
                <w:lang w:eastAsia="zh-CN"/>
              </w:rPr>
              <w:t>货</w:t>
            </w:r>
            <w:r>
              <w:rPr>
                <w:rFonts w:hint="eastAsia" w:ascii="Times New Roman" w:hAnsi="Times New Roman" w:cs="Times New Roman"/>
              </w:rPr>
              <w:t>数量（吨）</w:t>
            </w:r>
          </w:p>
        </w:tc>
        <w:tc>
          <w:tcPr>
            <w:tcW w:w="2519" w:type="dxa"/>
            <w:noWrap w:val="0"/>
            <w:vAlign w:val="center"/>
          </w:tcPr>
          <w:p w14:paraId="6F0798E4">
            <w:pPr>
              <w:numPr>
                <w:ilvl w:val="0"/>
                <w:numId w:val="0"/>
              </w:numPr>
              <w:spacing w:before="0" w:beforeAutospacing="1" w:after="0" w:afterAutospacing="1"/>
              <w:ind w:left="360" w:leftChars="0" w:firstLine="420" w:firstLineChars="200"/>
              <w:rPr>
                <w:rFonts w:hint="eastAsia" w:ascii="Times New Roman" w:hAnsi="Times New Roman" w:cs="Times New Roman"/>
                <w:lang w:val="en-US"/>
              </w:rPr>
            </w:pPr>
            <w:r>
              <w:rPr>
                <w:rFonts w:hint="eastAsia" w:ascii="Times New Roman" w:hAnsi="Times New Roman" w:cs="Times New Roman"/>
                <w:lang w:eastAsia="zh-CN"/>
              </w:rPr>
              <w:t>运输方式</w:t>
            </w:r>
          </w:p>
        </w:tc>
        <w:tc>
          <w:tcPr>
            <w:tcW w:w="1741" w:type="dxa"/>
            <w:noWrap w:val="0"/>
            <w:vAlign w:val="center"/>
          </w:tcPr>
          <w:p w14:paraId="4255C39B">
            <w:pPr>
              <w:numPr>
                <w:ilvl w:val="0"/>
                <w:numId w:val="0"/>
              </w:numPr>
              <w:spacing w:before="0" w:beforeAutospacing="1" w:after="0" w:afterAutospacing="1"/>
              <w:ind w:left="360" w:leftChars="0"/>
              <w:rPr>
                <w:rFonts w:hint="eastAsia" w:ascii="Times New Roman" w:hAnsi="Times New Roman" w:cs="Times New Roman"/>
                <w:lang w:eastAsia="zh-CN"/>
              </w:rPr>
            </w:pPr>
            <w:r>
              <w:rPr>
                <w:rFonts w:hint="eastAsia" w:ascii="Times New Roman" w:hAnsi="Times New Roman" w:cs="Times New Roman"/>
                <w:lang w:eastAsia="zh-CN"/>
              </w:rPr>
              <w:t>到货时间</w:t>
            </w:r>
          </w:p>
        </w:tc>
      </w:tr>
      <w:tr w14:paraId="0B82F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2147" w:type="dxa"/>
            <w:noWrap w:val="0"/>
            <w:vAlign w:val="center"/>
          </w:tcPr>
          <w:p w14:paraId="250CECE4">
            <w:pPr>
              <w:numPr>
                <w:ilvl w:val="0"/>
                <w:numId w:val="0"/>
              </w:numPr>
              <w:spacing w:before="0" w:beforeAutospacing="1" w:after="0" w:afterAutospacing="1"/>
              <w:rPr>
                <w:rFonts w:hint="eastAsia" w:ascii="Times New Roman" w:hAnsi="Times New Roman" w:cs="Times New Roman"/>
              </w:rPr>
            </w:pPr>
          </w:p>
        </w:tc>
        <w:tc>
          <w:tcPr>
            <w:tcW w:w="2113" w:type="dxa"/>
            <w:noWrap w:val="0"/>
            <w:vAlign w:val="center"/>
          </w:tcPr>
          <w:p w14:paraId="01AC5BA4">
            <w:pPr>
              <w:numPr>
                <w:ilvl w:val="0"/>
                <w:numId w:val="0"/>
              </w:numPr>
              <w:spacing w:before="0" w:beforeAutospacing="1" w:after="0" w:afterAutospacing="1"/>
              <w:rPr>
                <w:rFonts w:hint="eastAsia" w:ascii="Times New Roman" w:hAnsi="Times New Roman" w:cs="Times New Roman"/>
              </w:rPr>
            </w:pPr>
          </w:p>
        </w:tc>
        <w:tc>
          <w:tcPr>
            <w:tcW w:w="2519" w:type="dxa"/>
            <w:noWrap w:val="0"/>
            <w:vAlign w:val="center"/>
          </w:tcPr>
          <w:p w14:paraId="77C32920">
            <w:pPr>
              <w:numPr>
                <w:ilvl w:val="0"/>
                <w:numId w:val="0"/>
              </w:numPr>
              <w:spacing w:before="0" w:beforeAutospacing="1" w:after="0" w:afterAutospacing="1"/>
              <w:jc w:val="center"/>
              <w:rPr>
                <w:rFonts w:hint="eastAsia" w:ascii="Times New Roman" w:hAnsi="Times New Roman" w:cs="Times New Roman"/>
                <w:lang w:val="en-US" w:eastAsia="zh-CN"/>
              </w:rPr>
            </w:pPr>
            <w:r>
              <w:rPr>
                <w:rFonts w:hint="eastAsia" w:ascii="Times New Roman" w:hAnsi="Times New Roman" w:cs="Times New Roman"/>
                <w:lang w:val="en-US" w:eastAsia="zh-CN"/>
              </w:rPr>
              <w:t>船运、汽运</w:t>
            </w:r>
            <w:r>
              <w:rPr>
                <w:rFonts w:hint="eastAsia" w:cs="Times New Roman"/>
                <w:lang w:val="en-US" w:eastAsia="zh-CN"/>
              </w:rPr>
              <w:t xml:space="preserve">          （需要明确送货方式）</w:t>
            </w:r>
          </w:p>
        </w:tc>
        <w:tc>
          <w:tcPr>
            <w:tcW w:w="1741" w:type="dxa"/>
            <w:noWrap w:val="0"/>
            <w:vAlign w:val="center"/>
          </w:tcPr>
          <w:p w14:paraId="1BDBD857">
            <w:pPr>
              <w:numPr>
                <w:ilvl w:val="0"/>
                <w:numId w:val="0"/>
              </w:numPr>
              <w:spacing w:before="0" w:beforeAutospacing="1" w:after="0" w:afterAutospacing="1"/>
              <w:ind w:left="360" w:leftChars="0"/>
              <w:rPr>
                <w:rFonts w:hint="default" w:ascii="Times New Roman" w:hAnsi="Times New Roman" w:eastAsia="宋体" w:cs="Times New Roman"/>
                <w:lang w:val="en-US" w:eastAsia="zh-CN"/>
              </w:rPr>
            </w:pPr>
          </w:p>
        </w:tc>
      </w:tr>
    </w:tbl>
    <w:p w14:paraId="594E352B">
      <w:pPr>
        <w:widowControl w:val="0"/>
        <w:numPr>
          <w:ilvl w:val="0"/>
          <w:numId w:val="0"/>
        </w:numPr>
        <w:spacing w:before="0" w:beforeAutospacing="0" w:after="0" w:afterAutospacing="0"/>
        <w:jc w:val="both"/>
      </w:pPr>
    </w:p>
    <w:p w14:paraId="162244D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textAlignment w:val="auto"/>
        <w:rPr>
          <w:rFonts w:hint="eastAsia"/>
          <w:b/>
          <w:lang w:val="en-US" w:eastAsia="zh-CN"/>
        </w:rPr>
      </w:pPr>
    </w:p>
    <w:p w14:paraId="167DA17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textAlignment w:val="auto"/>
      </w:pPr>
      <w:r>
        <w:rPr>
          <w:rFonts w:hint="eastAsia"/>
          <w:b/>
          <w:lang w:val="en-US" w:eastAsia="zh-CN"/>
        </w:rPr>
        <w:t>2.</w:t>
      </w:r>
      <w:r>
        <w:rPr>
          <w:b/>
        </w:rPr>
        <w:t>交货时间</w:t>
      </w:r>
      <w:r>
        <w:t>：________________________。</w:t>
      </w:r>
    </w:p>
    <w:p w14:paraId="7E6B970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textAlignment w:val="auto"/>
      </w:pPr>
      <w:r>
        <w:rPr>
          <w:rFonts w:hint="eastAsia"/>
          <w:lang w:val="en-US" w:eastAsia="zh-CN"/>
        </w:rPr>
        <w:t>3.</w:t>
      </w:r>
      <w:r>
        <w:t>我方已审查全部询价书及补充文件，完全接受所有条款，放弃对条款不明或误解的权利；若条款冲突，同意按贵方解释处理。</w:t>
      </w:r>
    </w:p>
    <w:p w14:paraId="7CAEF8E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textAlignment w:val="auto"/>
      </w:pPr>
      <w:r>
        <w:rPr>
          <w:rFonts w:hint="eastAsia"/>
          <w:lang w:val="en-US" w:eastAsia="zh-CN"/>
        </w:rPr>
        <w:t>4.</w:t>
      </w:r>
      <w:r>
        <w:t>愿意提供与报价相关的所有数据、资料，理解贵方无义务接受最低价或任何报价。</w:t>
      </w:r>
    </w:p>
    <w:p w14:paraId="6B11732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0" w:leftChars="0"/>
        <w:textAlignment w:val="auto"/>
      </w:pPr>
      <w:r>
        <w:rPr>
          <w:rFonts w:hint="eastAsia"/>
          <w:b/>
          <w:lang w:val="en-US" w:eastAsia="zh-CN"/>
        </w:rPr>
        <w:t>5.</w:t>
      </w:r>
      <w:r>
        <w:rPr>
          <w:b/>
        </w:rPr>
        <w:t>不接受项</w:t>
      </w:r>
      <w:r>
        <w:t>：________________________。</w:t>
      </w:r>
    </w:p>
    <w:p w14:paraId="1D8C735C">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pPr>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7D14D4FB">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pPr>
    </w:p>
    <w:p w14:paraId="0F5911FA">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pPr>
      <w:r>
        <w:t>全权代表（签字）：________ 联系电话：________</w:t>
      </w:r>
    </w:p>
    <w:p w14:paraId="46656357">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pPr>
    </w:p>
    <w:p w14:paraId="00829DAD">
      <w:pPr>
        <w:keepNext w:val="0"/>
        <w:keepLines w:val="0"/>
        <w:pageBreakBefore w:val="0"/>
        <w:widowControl w:val="0"/>
        <w:kinsoku/>
        <w:wordWrap/>
        <w:overflowPunct/>
        <w:topLinePunct w:val="0"/>
        <w:autoSpaceDE/>
        <w:autoSpaceDN/>
        <w:bidi w:val="0"/>
        <w:adjustRightInd/>
        <w:snapToGrid/>
        <w:spacing w:beforeAutospacing="0" w:afterAutospacing="0"/>
        <w:ind w:left="0"/>
        <w:textAlignment w:val="auto"/>
      </w:pPr>
      <w:r>
        <w:t>报价单位（盖章）：________ 日期：____年__月__日</w:t>
      </w:r>
    </w:p>
    <w:p w14:paraId="56B27BFA">
      <w:r>
        <w:br w:type="page"/>
      </w:r>
    </w:p>
    <w:p w14:paraId="705360FE">
      <w:pPr>
        <w:spacing w:line="600" w:lineRule="exact"/>
        <w:jc w:val="left"/>
        <w:rPr>
          <w:rFonts w:hint="eastAsia" w:ascii="仿宋_GB2312" w:hAnsi="仿宋_GB2312" w:eastAsia="仿宋_GB2312" w:cs="仿宋_GB2312"/>
          <w:color w:val="auto"/>
          <w:sz w:val="44"/>
          <w:szCs w:val="44"/>
        </w:rPr>
      </w:pPr>
      <w:r>
        <w:rPr>
          <w:rFonts w:hint="eastAsia" w:ascii="宋体" w:hAnsi="宋体" w:eastAsia="宋体" w:cs="宋体"/>
          <w:b/>
          <w:bCs/>
          <w:sz w:val="28"/>
          <w:szCs w:val="28"/>
          <w:lang w:val="en-US" w:eastAsia="zh-CN"/>
        </w:rPr>
        <w:t>附件</w:t>
      </w:r>
      <w:r>
        <w:rPr>
          <w:rFonts w:hint="eastAsia" w:ascii="宋体" w:hAnsi="宋体" w:cs="宋体"/>
          <w:b/>
          <w:bCs/>
          <w:sz w:val="28"/>
          <w:szCs w:val="28"/>
          <w:lang w:val="en-US" w:eastAsia="zh-CN"/>
        </w:rPr>
        <w:t xml:space="preserve">2：         </w:t>
      </w:r>
      <w:r>
        <w:rPr>
          <w:rFonts w:hint="eastAsia" w:ascii="仿宋_GB2312" w:hAnsi="仿宋_GB2312" w:eastAsia="仿宋_GB2312" w:cs="仿宋_GB2312"/>
          <w:b/>
          <w:color w:val="auto"/>
          <w:sz w:val="28"/>
          <w:szCs w:val="28"/>
        </w:rPr>
        <w:t>索普股份外来装卸货人员安全告知书</w:t>
      </w:r>
    </w:p>
    <w:p w14:paraId="77227A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尊敬的客户：</w:t>
      </w:r>
    </w:p>
    <w:p w14:paraId="495BE5AE">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报价</w:t>
      </w:r>
      <w:r>
        <w:rPr>
          <w:rFonts w:hint="eastAsia" w:ascii="宋体" w:hAnsi="宋体" w:eastAsia="宋体" w:cs="宋体"/>
          <w:color w:val="auto"/>
          <w:sz w:val="18"/>
          <w:szCs w:val="18"/>
        </w:rPr>
        <w:t>前请认真阅读学习和理解此告知书，</w:t>
      </w:r>
      <w:r>
        <w:rPr>
          <w:rFonts w:hint="eastAsia" w:ascii="宋体" w:hAnsi="宋体" w:eastAsia="宋体" w:cs="宋体"/>
          <w:color w:val="auto"/>
          <w:sz w:val="18"/>
          <w:szCs w:val="18"/>
          <w:lang w:val="en-US" w:eastAsia="zh-CN"/>
        </w:rPr>
        <w:t>成交</w:t>
      </w:r>
      <w:r>
        <w:rPr>
          <w:rFonts w:hint="eastAsia" w:ascii="宋体" w:hAnsi="宋体" w:eastAsia="宋体" w:cs="宋体"/>
          <w:color w:val="auto"/>
          <w:sz w:val="18"/>
          <w:szCs w:val="18"/>
        </w:rPr>
        <w:t>后请转发给您的承运方，进入我公司厂区请严格按告知书要求执行。</w:t>
      </w:r>
    </w:p>
    <w:p w14:paraId="20CD8FD0">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一、危化品危险危害因素：</w:t>
      </w:r>
    </w:p>
    <w:p w14:paraId="4AEF5877">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我公司厂区生产过程中具有高温高压、易燃易爆、有毒有害和腐蚀等危险危害特性，主要危险化学品包括醋酸、甲醇、醋酸乙酯、乙醇、一氧化碳等，进入厂区，请严格遵守工厂安全规定，确保装卸作业安全。</w:t>
      </w:r>
    </w:p>
    <w:p w14:paraId="637ED11E">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二、应当遵守的安全规定：</w:t>
      </w:r>
    </w:p>
    <w:p w14:paraId="4281748B">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1、进入厂区，严禁烟火，严禁携带火种。</w:t>
      </w:r>
    </w:p>
    <w:p w14:paraId="565D799B">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2、危险化学品车辆必须配备GPS定位系统。</w:t>
      </w:r>
    </w:p>
    <w:p w14:paraId="1ACB5C50">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3、车辆必须配备阻火器，确保车况完好，随车配有相应的消防器材。危化品运输车辆须持“危险品运输证”等相关证件，并悬挂“危险品”标志，进入厂区内严禁超速等（厂区最高行驶速度30KM/H），必须遵守厂内交通安全管理制度。</w:t>
      </w:r>
    </w:p>
    <w:p w14:paraId="49382D13">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4、车辆进入公司前，须在门口办理进门登记手续，领取车辆和人员定位卡。并按指定线路行驶。</w:t>
      </w:r>
    </w:p>
    <w:p w14:paraId="57E36AAD">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5、车辆进入厂区，应在指定区域等待，服从岗位人员管理，定点停放，车辆有防溜车措施。</w:t>
      </w:r>
    </w:p>
    <w:p w14:paraId="73CF7146">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6、驾驶人员和押运人员进入生产装置区域的，必须随车配好安全帽，下车即必须按规定带好安全帽，方可进入生产区域。</w:t>
      </w:r>
    </w:p>
    <w:p w14:paraId="6E7B87D3">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7、进入生产区域严禁擅自动用岗位任何设施和用品。</w:t>
      </w:r>
    </w:p>
    <w:p w14:paraId="45A885E8">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8、生产区域内，需要叉车配合作业的，随车人员严禁擅自作业，应服从岗位人员的指挥和管理，以确保装卸作业的安全，如需要装卸操作的，必须按规定穿戴好劳动防护用品方可操作。</w:t>
      </w:r>
    </w:p>
    <w:p w14:paraId="7768FBD7">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9、生产区域，必须注意各种安全标识，禁止穿化纤服装，禁止穿钉鞋，禁止在易燃易爆区域内使用手机等通讯工具。</w:t>
      </w:r>
    </w:p>
    <w:p w14:paraId="7540D17E">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10、夏季醋酸乙酯灌装应避开高温时间段。</w:t>
      </w:r>
    </w:p>
    <w:p w14:paraId="48506744">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11、提货人员在进行装卸货作业准备工作前，必须进行人体静电释放，放下车辆的接地带，对车辆进行检查确认完好后至岗位交出车钥匙，做好装卸货的准备工作。</w:t>
      </w:r>
    </w:p>
    <w:p w14:paraId="661476CF">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12、装卸危化品的车辆必须按装卸作业检查票的规定进行装卸作业，同时要配合好岗位人员做好装卸前安全检查、装卸过程安全检查以及装卸作业结束后的安全确认。</w:t>
      </w:r>
    </w:p>
    <w:p w14:paraId="4F946610">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13、车辆入厂前须自行检查车辆的人孔、阀门、接缘等静密封点有无泄漏，快速接头、胶管等配件是否完好，接头密封圈、脚垫是否老化。装卸前须与岗位人员一起再次检查装卸作业接口连接可靠性。</w:t>
      </w:r>
    </w:p>
    <w:p w14:paraId="5297F5BE">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14、车辆在进行装卸货过程中严禁物料“跑、冒、滴、漏”，严禁启动车辆，易燃易爆区域严禁使用非防爆灯具。</w:t>
      </w:r>
    </w:p>
    <w:p w14:paraId="7C8BCBF7">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15、在装卸货过程中，若出现异常，应立即停止装卸货作业，并采取相应的措施。</w:t>
      </w:r>
    </w:p>
    <w:p w14:paraId="7CC6AC9C">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sz w:val="18"/>
          <w:szCs w:val="18"/>
          <w:lang w:val="en-US" w:eastAsia="zh-CN"/>
        </w:rPr>
      </w:pPr>
      <w:r>
        <w:rPr>
          <w:rFonts w:hint="eastAsia" w:ascii="宋体" w:hAnsi="宋体" w:eastAsia="宋体" w:cs="宋体"/>
          <w:color w:val="auto"/>
          <w:sz w:val="18"/>
          <w:szCs w:val="18"/>
        </w:rPr>
        <w:t>16、当发生紧急危险情况时，应在岗位人员的指挥下，迅速绕过泄漏点，向上风向安全地点撤离和疏散。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1">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2">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3">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4">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5">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4FFB"/>
    <w:rsid w:val="006E05BE"/>
    <w:rsid w:val="016509E0"/>
    <w:rsid w:val="01D54D98"/>
    <w:rsid w:val="01F62F61"/>
    <w:rsid w:val="020F4DE8"/>
    <w:rsid w:val="032F04D8"/>
    <w:rsid w:val="03661A20"/>
    <w:rsid w:val="04233DB6"/>
    <w:rsid w:val="04D800C7"/>
    <w:rsid w:val="055C3A53"/>
    <w:rsid w:val="058C7E64"/>
    <w:rsid w:val="064047AA"/>
    <w:rsid w:val="06A765D7"/>
    <w:rsid w:val="06D240C1"/>
    <w:rsid w:val="06DF0467"/>
    <w:rsid w:val="07577FFE"/>
    <w:rsid w:val="08A925D2"/>
    <w:rsid w:val="08AC6127"/>
    <w:rsid w:val="08FD1DEA"/>
    <w:rsid w:val="09652EA6"/>
    <w:rsid w:val="0A7575D4"/>
    <w:rsid w:val="0A9A35B5"/>
    <w:rsid w:val="0B1408EB"/>
    <w:rsid w:val="0C3E71D6"/>
    <w:rsid w:val="0C497853"/>
    <w:rsid w:val="0C825B1D"/>
    <w:rsid w:val="0E5434E9"/>
    <w:rsid w:val="0EC21D79"/>
    <w:rsid w:val="10B767FB"/>
    <w:rsid w:val="10F36FE9"/>
    <w:rsid w:val="11B06C88"/>
    <w:rsid w:val="12016269"/>
    <w:rsid w:val="127777A6"/>
    <w:rsid w:val="12922C84"/>
    <w:rsid w:val="134678C7"/>
    <w:rsid w:val="13A46379"/>
    <w:rsid w:val="13A91615"/>
    <w:rsid w:val="147931F1"/>
    <w:rsid w:val="14D05D11"/>
    <w:rsid w:val="15386004"/>
    <w:rsid w:val="15D31197"/>
    <w:rsid w:val="15F1304B"/>
    <w:rsid w:val="17920BDE"/>
    <w:rsid w:val="18CC6F65"/>
    <w:rsid w:val="193C7053"/>
    <w:rsid w:val="194D1260"/>
    <w:rsid w:val="1AEF1208"/>
    <w:rsid w:val="1AF87BE6"/>
    <w:rsid w:val="1B9751BF"/>
    <w:rsid w:val="1B9C027D"/>
    <w:rsid w:val="1BB5551B"/>
    <w:rsid w:val="1C0D408C"/>
    <w:rsid w:val="1C626DD1"/>
    <w:rsid w:val="1C980A44"/>
    <w:rsid w:val="1C9E47F6"/>
    <w:rsid w:val="1D7C655F"/>
    <w:rsid w:val="1E52146D"/>
    <w:rsid w:val="1F0E3240"/>
    <w:rsid w:val="1FC52CF9"/>
    <w:rsid w:val="206C6329"/>
    <w:rsid w:val="208F4DF7"/>
    <w:rsid w:val="209634ED"/>
    <w:rsid w:val="215C682E"/>
    <w:rsid w:val="228D7161"/>
    <w:rsid w:val="23490170"/>
    <w:rsid w:val="247C629F"/>
    <w:rsid w:val="24960418"/>
    <w:rsid w:val="24E05525"/>
    <w:rsid w:val="255F5C12"/>
    <w:rsid w:val="256C688F"/>
    <w:rsid w:val="25950217"/>
    <w:rsid w:val="26760048"/>
    <w:rsid w:val="27CD4BEF"/>
    <w:rsid w:val="27EC67A3"/>
    <w:rsid w:val="28BC1F5F"/>
    <w:rsid w:val="294066EC"/>
    <w:rsid w:val="296E14AB"/>
    <w:rsid w:val="29B4338F"/>
    <w:rsid w:val="29D3585C"/>
    <w:rsid w:val="2A68414C"/>
    <w:rsid w:val="2A783262"/>
    <w:rsid w:val="2B0F281A"/>
    <w:rsid w:val="2B4324C3"/>
    <w:rsid w:val="2B5E554F"/>
    <w:rsid w:val="2B6C37C8"/>
    <w:rsid w:val="2B8C00D9"/>
    <w:rsid w:val="2C1B0FD2"/>
    <w:rsid w:val="2C9D0974"/>
    <w:rsid w:val="2D2F71A3"/>
    <w:rsid w:val="2D6D29C6"/>
    <w:rsid w:val="2E220AB6"/>
    <w:rsid w:val="2E334A71"/>
    <w:rsid w:val="2E5D389C"/>
    <w:rsid w:val="2E730AF8"/>
    <w:rsid w:val="2EEE0779"/>
    <w:rsid w:val="2F340AA1"/>
    <w:rsid w:val="308B0B94"/>
    <w:rsid w:val="30DA11D4"/>
    <w:rsid w:val="31227400"/>
    <w:rsid w:val="33BC1065"/>
    <w:rsid w:val="344F3C87"/>
    <w:rsid w:val="35FC6A17"/>
    <w:rsid w:val="3757355A"/>
    <w:rsid w:val="38342E0E"/>
    <w:rsid w:val="384D2BD3"/>
    <w:rsid w:val="387364AE"/>
    <w:rsid w:val="39A6259B"/>
    <w:rsid w:val="3CA27DBE"/>
    <w:rsid w:val="3CAE41B3"/>
    <w:rsid w:val="3E491747"/>
    <w:rsid w:val="3EBF1A09"/>
    <w:rsid w:val="3EC9243F"/>
    <w:rsid w:val="3F347E3C"/>
    <w:rsid w:val="3F6251B6"/>
    <w:rsid w:val="3FA6475E"/>
    <w:rsid w:val="40AA4DAE"/>
    <w:rsid w:val="41391F47"/>
    <w:rsid w:val="41566D3D"/>
    <w:rsid w:val="42791D7B"/>
    <w:rsid w:val="436B2165"/>
    <w:rsid w:val="447B63D2"/>
    <w:rsid w:val="448C3B1C"/>
    <w:rsid w:val="44A26055"/>
    <w:rsid w:val="47233E4B"/>
    <w:rsid w:val="480C5CBF"/>
    <w:rsid w:val="48CC7DB3"/>
    <w:rsid w:val="496658A3"/>
    <w:rsid w:val="49B43394"/>
    <w:rsid w:val="4A361F60"/>
    <w:rsid w:val="4A6A3171"/>
    <w:rsid w:val="4AC251FD"/>
    <w:rsid w:val="4ADB406F"/>
    <w:rsid w:val="4AE1260F"/>
    <w:rsid w:val="4B251947"/>
    <w:rsid w:val="4BD96800"/>
    <w:rsid w:val="4C1C66ED"/>
    <w:rsid w:val="4D4C611D"/>
    <w:rsid w:val="4D994499"/>
    <w:rsid w:val="4E2A3343"/>
    <w:rsid w:val="4E4D0DDF"/>
    <w:rsid w:val="4E65437B"/>
    <w:rsid w:val="4E9E788D"/>
    <w:rsid w:val="4F3E7FC5"/>
    <w:rsid w:val="4FAB1C62"/>
    <w:rsid w:val="503C55AF"/>
    <w:rsid w:val="506D39BB"/>
    <w:rsid w:val="509B3DBD"/>
    <w:rsid w:val="51213703"/>
    <w:rsid w:val="513A2283"/>
    <w:rsid w:val="524B1ADA"/>
    <w:rsid w:val="530F2B07"/>
    <w:rsid w:val="547B133D"/>
    <w:rsid w:val="551340F2"/>
    <w:rsid w:val="55323458"/>
    <w:rsid w:val="558C6CBB"/>
    <w:rsid w:val="55E464CD"/>
    <w:rsid w:val="56114DE8"/>
    <w:rsid w:val="56794E67"/>
    <w:rsid w:val="57427E88"/>
    <w:rsid w:val="57914C19"/>
    <w:rsid w:val="57E21FD1"/>
    <w:rsid w:val="57F4175C"/>
    <w:rsid w:val="58113834"/>
    <w:rsid w:val="582924E0"/>
    <w:rsid w:val="583C58E5"/>
    <w:rsid w:val="584D395F"/>
    <w:rsid w:val="58C96E51"/>
    <w:rsid w:val="599C2C1B"/>
    <w:rsid w:val="5A234C76"/>
    <w:rsid w:val="5A4C58E3"/>
    <w:rsid w:val="5A702373"/>
    <w:rsid w:val="5A752CD8"/>
    <w:rsid w:val="5CAC586B"/>
    <w:rsid w:val="5CF12CB1"/>
    <w:rsid w:val="5E3E3760"/>
    <w:rsid w:val="5FED582A"/>
    <w:rsid w:val="603718EF"/>
    <w:rsid w:val="604007A4"/>
    <w:rsid w:val="605C6362"/>
    <w:rsid w:val="60681AA9"/>
    <w:rsid w:val="60A47149"/>
    <w:rsid w:val="6171498D"/>
    <w:rsid w:val="626F711E"/>
    <w:rsid w:val="6326564D"/>
    <w:rsid w:val="634F492C"/>
    <w:rsid w:val="63A62985"/>
    <w:rsid w:val="63F87D96"/>
    <w:rsid w:val="64243F39"/>
    <w:rsid w:val="64B90B25"/>
    <w:rsid w:val="64E5191A"/>
    <w:rsid w:val="65984BDE"/>
    <w:rsid w:val="65B8702E"/>
    <w:rsid w:val="65EB7404"/>
    <w:rsid w:val="65FC7BE0"/>
    <w:rsid w:val="6676305F"/>
    <w:rsid w:val="672F50CE"/>
    <w:rsid w:val="67312ABA"/>
    <w:rsid w:val="685C7FAA"/>
    <w:rsid w:val="694037F5"/>
    <w:rsid w:val="6A2904FB"/>
    <w:rsid w:val="6AEF704E"/>
    <w:rsid w:val="6B317667"/>
    <w:rsid w:val="6B7230A5"/>
    <w:rsid w:val="6B760DC9"/>
    <w:rsid w:val="6B7E2906"/>
    <w:rsid w:val="6D342975"/>
    <w:rsid w:val="6D4A37B2"/>
    <w:rsid w:val="6DD76B71"/>
    <w:rsid w:val="6DE704B1"/>
    <w:rsid w:val="6E1A2A52"/>
    <w:rsid w:val="6E1D0376"/>
    <w:rsid w:val="6EA14B04"/>
    <w:rsid w:val="6EDF6835"/>
    <w:rsid w:val="6F001E64"/>
    <w:rsid w:val="6F584A8E"/>
    <w:rsid w:val="70F33611"/>
    <w:rsid w:val="71AC3094"/>
    <w:rsid w:val="71E566E8"/>
    <w:rsid w:val="72270EA5"/>
    <w:rsid w:val="7258197D"/>
    <w:rsid w:val="72C0271F"/>
    <w:rsid w:val="74B54E81"/>
    <w:rsid w:val="75EF43A6"/>
    <w:rsid w:val="75F06371"/>
    <w:rsid w:val="760342F6"/>
    <w:rsid w:val="762E313E"/>
    <w:rsid w:val="764E1EE6"/>
    <w:rsid w:val="76911902"/>
    <w:rsid w:val="776C7C79"/>
    <w:rsid w:val="77AA4DD8"/>
    <w:rsid w:val="782A5B6A"/>
    <w:rsid w:val="7A5A50FB"/>
    <w:rsid w:val="7A83328D"/>
    <w:rsid w:val="7A995229"/>
    <w:rsid w:val="7AA37E55"/>
    <w:rsid w:val="7B106F4E"/>
    <w:rsid w:val="7D4476CE"/>
    <w:rsid w:val="7D537911"/>
    <w:rsid w:val="7E61605D"/>
    <w:rsid w:val="7EC0633F"/>
    <w:rsid w:val="7ED06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font91"/>
    <w:basedOn w:val="9"/>
    <w:qFormat/>
    <w:uiPriority w:val="0"/>
    <w:rPr>
      <w:rFonts w:hint="eastAsia" w:ascii="宋体" w:hAnsi="宋体" w:eastAsia="宋体" w:cs="宋体"/>
      <w:color w:val="000000"/>
      <w:sz w:val="16"/>
      <w:szCs w:val="16"/>
      <w:u w:val="none"/>
    </w:rPr>
  </w:style>
  <w:style w:type="character" w:customStyle="1" w:styleId="12">
    <w:name w:val="font101"/>
    <w:basedOn w:val="9"/>
    <w:qFormat/>
    <w:uiPriority w:val="0"/>
    <w:rPr>
      <w:rFonts w:hint="default" w:ascii="Times New Roman" w:hAnsi="Times New Roman" w:cs="Times New Roman"/>
      <w:color w:val="000000"/>
      <w:sz w:val="16"/>
      <w:szCs w:val="16"/>
      <w:u w:val="none"/>
    </w:rPr>
  </w:style>
  <w:style w:type="character" w:customStyle="1" w:styleId="13">
    <w:name w:val="font41"/>
    <w:basedOn w:val="9"/>
    <w:qFormat/>
    <w:uiPriority w:val="0"/>
    <w:rPr>
      <w:rFonts w:hint="eastAsia" w:ascii="宋体" w:hAnsi="宋体" w:eastAsia="宋体" w:cs="宋体"/>
      <w:color w:val="000000"/>
      <w:sz w:val="18"/>
      <w:szCs w:val="18"/>
      <w:u w:val="none"/>
    </w:rPr>
  </w:style>
  <w:style w:type="character" w:customStyle="1" w:styleId="14">
    <w:name w:val="font112"/>
    <w:basedOn w:val="9"/>
    <w:qFormat/>
    <w:uiPriority w:val="0"/>
    <w:rPr>
      <w:rFonts w:hint="eastAsia" w:ascii="宋体" w:hAnsi="宋体" w:eastAsia="宋体" w:cs="宋体"/>
      <w:color w:val="000000"/>
      <w:sz w:val="14"/>
      <w:szCs w:val="14"/>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31"/>
    <w:basedOn w:val="9"/>
    <w:qFormat/>
    <w:uiPriority w:val="0"/>
    <w:rPr>
      <w:rFonts w:hint="default" w:ascii="Times New Roman" w:hAnsi="Times New Roman" w:cs="Times New Roman"/>
      <w:color w:val="000000"/>
      <w:sz w:val="18"/>
      <w:szCs w:val="18"/>
      <w:u w:val="none"/>
    </w:rPr>
  </w:style>
  <w:style w:type="character" w:customStyle="1" w:styleId="17">
    <w:name w:val="font11"/>
    <w:basedOn w:val="9"/>
    <w:qFormat/>
    <w:uiPriority w:val="0"/>
    <w:rPr>
      <w:rFonts w:hint="default" w:ascii="Times New Roman" w:hAnsi="Times New Roman" w:cs="Times New Roman"/>
      <w:color w:val="000000"/>
      <w:sz w:val="18"/>
      <w:szCs w:val="18"/>
      <w:u w:val="none"/>
    </w:rPr>
  </w:style>
  <w:style w:type="character" w:customStyle="1" w:styleId="18">
    <w:name w:val="font81"/>
    <w:basedOn w:val="9"/>
    <w:qFormat/>
    <w:uiPriority w:val="0"/>
    <w:rPr>
      <w:rFonts w:hint="eastAsia" w:ascii="宋体" w:hAnsi="宋体" w:eastAsia="宋体" w:cs="宋体"/>
      <w:color w:val="000000"/>
      <w:sz w:val="18"/>
      <w:szCs w:val="18"/>
      <w:u w:val="none"/>
    </w:rPr>
  </w:style>
  <w:style w:type="character" w:customStyle="1" w:styleId="19">
    <w:name w:val="font71"/>
    <w:basedOn w:val="9"/>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4281</Words>
  <Characters>4654</Characters>
  <Lines>0</Lines>
  <Paragraphs>0</Paragraphs>
  <TotalTime>11</TotalTime>
  <ScaleCrop>false</ScaleCrop>
  <LinksUpToDate>false</LinksUpToDate>
  <CharactersWithSpaces>4709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金坚</cp:lastModifiedBy>
  <cp:lastPrinted>2026-01-13T08:37:00Z</cp:lastPrinted>
  <dcterms:modified xsi:type="dcterms:W3CDTF">2026-06-11T03:06:13Z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eyJoZGlkIjoiM2I4Y2U2ZGEzNmM0OWQyNTgwNjg0ODZjZWZmYzZlMjgiLCJ1c2VySWQiOiIxNzk5ODgxNTE0In0=</vt:lpwstr>
  </property>
  <property fmtid="{D5CDD505-2E9C-101B-9397-08002B2CF9AE}" pid="4" name="ICV">
    <vt:lpwstr>AC08B15DEC824E5996F0D7D741009FFB_12</vt:lpwstr>
  </property>
</Properties>
</file>