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5603">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6C538F27">
      <w:pPr>
        <w:adjustRightInd w:val="0"/>
        <w:snapToGrid w:val="0"/>
        <w:jc w:val="center"/>
        <w:rPr>
          <w:rFonts w:hint="eastAsia" w:ascii="仿宋" w:hAnsi="仿宋" w:eastAsia="仿宋" w:cs="仿宋"/>
          <w:bCs/>
          <w:sz w:val="32"/>
          <w:szCs w:val="32"/>
          <w:lang w:val="zh-CN"/>
        </w:rPr>
      </w:pPr>
    </w:p>
    <w:p w14:paraId="53EC5950">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719D01D8">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我公司现需采购</w:t>
      </w:r>
      <w:r>
        <w:rPr>
          <w:rFonts w:hint="eastAsia" w:ascii="仿宋" w:hAnsi="仿宋" w:eastAsia="仿宋" w:cs="仿宋"/>
          <w:bCs/>
          <w:sz w:val="30"/>
          <w:szCs w:val="30"/>
          <w:u w:val="single"/>
        </w:rPr>
        <w:t xml:space="preserve"> 射线探伤机维修服务（长约）</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2B5F53D8">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一、采购采购概况：</w:t>
      </w:r>
    </w:p>
    <w:p w14:paraId="68BF2296">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射线探伤机维修服务（长约）</w:t>
      </w:r>
      <w:r>
        <w:rPr>
          <w:rFonts w:hint="eastAsia" w:ascii="仿宋" w:hAnsi="仿宋" w:eastAsia="仿宋" w:cs="仿宋"/>
          <w:bCs/>
          <w:sz w:val="30"/>
          <w:szCs w:val="30"/>
        </w:rPr>
        <w:t>；</w:t>
      </w:r>
    </w:p>
    <w:p w14:paraId="2F0FBFA5">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履约期限：</w:t>
      </w:r>
      <w:r>
        <w:rPr>
          <w:rFonts w:hint="eastAsia" w:ascii="仿宋" w:hAnsi="仿宋" w:eastAsia="仿宋" w:cs="仿宋"/>
          <w:bCs/>
          <w:color w:val="auto"/>
          <w:sz w:val="30"/>
          <w:szCs w:val="30"/>
          <w:u w:val="single"/>
        </w:rPr>
        <w:t xml:space="preserve"> 2026年7月15日-2027年7月14日</w:t>
      </w:r>
      <w:r>
        <w:rPr>
          <w:rFonts w:hint="eastAsia" w:ascii="仿宋" w:hAnsi="仿宋" w:eastAsia="仿宋" w:cs="仿宋"/>
          <w:bCs/>
          <w:color w:val="auto"/>
          <w:sz w:val="30"/>
          <w:szCs w:val="30"/>
        </w:rPr>
        <w:t>；</w:t>
      </w:r>
    </w:p>
    <w:p w14:paraId="5D10ADE9">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江苏索普赛瑞装备制造有限公司厂区内</w:t>
      </w:r>
      <w:r>
        <w:rPr>
          <w:rFonts w:hint="eastAsia" w:ascii="仿宋" w:hAnsi="仿宋" w:eastAsia="仿宋" w:cs="仿宋"/>
          <w:bCs/>
          <w:color w:val="auto"/>
          <w:sz w:val="30"/>
          <w:szCs w:val="30"/>
        </w:rPr>
        <w:t>；</w:t>
      </w:r>
    </w:p>
    <w:p w14:paraId="0D3F1A70">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6</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6</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 xml:space="preserve"> 23</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61DA8E1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50E0D55C">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5F4F25C3">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7A4F90E2">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rPr>
        <w:t>需维修服务的射线探伤机维修服务数量共计</w:t>
      </w:r>
      <w:r>
        <w:rPr>
          <w:rFonts w:hint="eastAsia" w:ascii="仿宋" w:hAnsi="仿宋" w:eastAsia="仿宋" w:cs="仿宋"/>
          <w:bCs/>
          <w:color w:val="auto"/>
          <w:kern w:val="1"/>
          <w:sz w:val="30"/>
          <w:szCs w:val="30"/>
          <w:u w:val="single"/>
          <w:lang w:val="en-US" w:eastAsia="zh-CN"/>
        </w:rPr>
        <w:t>8</w:t>
      </w:r>
      <w:r>
        <w:rPr>
          <w:rFonts w:hint="eastAsia" w:ascii="仿宋" w:hAnsi="仿宋" w:eastAsia="仿宋" w:cs="仿宋"/>
          <w:bCs/>
          <w:color w:val="auto"/>
          <w:kern w:val="1"/>
          <w:sz w:val="30"/>
          <w:szCs w:val="30"/>
          <w:u w:val="single"/>
        </w:rPr>
        <w:t>台，规格型号详见附件1《索普赛瑞射线探伤机维修服务维修统计表》，各报价单位请按附件2《分项报价单》格式进行报价</w:t>
      </w:r>
      <w:r>
        <w:rPr>
          <w:rFonts w:hint="eastAsia" w:ascii="仿宋" w:hAnsi="仿宋" w:eastAsia="仿宋" w:cs="仿宋"/>
          <w:bCs/>
          <w:color w:val="auto"/>
          <w:kern w:val="1"/>
          <w:sz w:val="30"/>
          <w:szCs w:val="30"/>
          <w:u w:val="single"/>
          <w:lang w:eastAsia="zh-CN"/>
        </w:rPr>
        <w:t>。</w:t>
      </w:r>
    </w:p>
    <w:p w14:paraId="310C616B">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51D81209">
      <w:pPr>
        <w:adjustRightInd w:val="0"/>
        <w:snapToGrid w:val="0"/>
        <w:spacing w:line="600" w:lineRule="exact"/>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rPr>
        <w:t>设备维修：对采购方提出的射线探伤机故障做出维修处理，保证设备在采购方要求的时间内完成修理工作；在维修中如需更换配件的需使用原厂配件进行更换，所更换的配件质保1年。签订合同前需根据维修保养的实际情况，结合采购文件中技术文件中的要求，制定实际维修方案，经双方确认后实施。报价中包含维修过程中的人工费、配件费、机械费、相关辅材等及增值税所有费用，报价人需按报价格式逐项填报，实际按部门出具书面说明为结算依据。</w:t>
      </w:r>
    </w:p>
    <w:p w14:paraId="0899D681">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r>
        <w:rPr>
          <w:rFonts w:hint="eastAsia" w:ascii="仿宋" w:hAnsi="仿宋" w:eastAsia="仿宋" w:cs="仿宋"/>
          <w:b/>
          <w:color w:val="auto"/>
          <w:sz w:val="30"/>
          <w:szCs w:val="30"/>
          <w:lang w:eastAsia="zh-CN"/>
        </w:rPr>
        <w:t>（</w:t>
      </w:r>
      <w:r>
        <w:rPr>
          <w:rFonts w:hint="eastAsia" w:ascii="仿宋" w:hAnsi="仿宋" w:eastAsia="仿宋" w:cs="仿宋"/>
          <w:b/>
          <w:color w:val="FF0000"/>
          <w:sz w:val="30"/>
          <w:szCs w:val="30"/>
          <w:lang w:val="en-US" w:eastAsia="zh-CN"/>
        </w:rPr>
        <w:t>不可偏离</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w:t>
      </w:r>
    </w:p>
    <w:p w14:paraId="09723693">
      <w:pPr>
        <w:pStyle w:val="5"/>
        <w:adjustRightInd w:val="0"/>
        <w:snapToGrid w:val="0"/>
        <w:spacing w:after="0" w:line="600" w:lineRule="exac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 xml:space="preserve">    </w:t>
      </w:r>
      <w:r>
        <w:rPr>
          <w:rFonts w:hint="eastAsia" w:ascii="仿宋" w:hAnsi="仿宋" w:eastAsia="仿宋" w:cs="仿宋"/>
          <w:bCs/>
          <w:color w:val="auto"/>
          <w:sz w:val="30"/>
          <w:szCs w:val="30"/>
          <w:lang w:val="en-US" w:eastAsia="zh-CN" w:bidi="ar-SA"/>
        </w:rPr>
        <w:t>（一）报价人必须具备中华人民共和国境内生产或经营应具备的合法资质，须具有制造相关材料的设备与资质证书。</w:t>
      </w:r>
    </w:p>
    <w:p w14:paraId="50D543F3">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不接受被列入失信被执行人、重大违法案件当事人报价；</w:t>
      </w:r>
    </w:p>
    <w:p w14:paraId="38F8E9A9">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其他资质要求：射线探伤机服务维修资质或授权单位；</w:t>
      </w:r>
    </w:p>
    <w:p w14:paraId="0A9635D1">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（四）报价人应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14:paraId="2069FF67">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（五） 报价人所供产品引起的知识产权方面的纠纷，由报价人承担一切后果，采购人不承担任何责任；</w:t>
      </w:r>
    </w:p>
    <w:p w14:paraId="6F072FEE">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（六）不接受被列入索普集团供应商负面清单中的单位报价；</w:t>
      </w:r>
    </w:p>
    <w:p w14:paraId="1ED3ED39">
      <w:pPr>
        <w:adjustRightInd w:val="0"/>
        <w:snapToGrid w:val="0"/>
        <w:spacing w:line="600" w:lineRule="exact"/>
        <w:ind w:firstLine="480"/>
        <w:rPr>
          <w:rFonts w:hint="eastAsia" w:ascii="仿宋" w:hAnsi="仿宋" w:eastAsia="仿宋" w:cs="仿宋"/>
          <w:b/>
          <w:color w:val="auto"/>
          <w:kern w:val="2"/>
          <w:sz w:val="30"/>
          <w:szCs w:val="30"/>
        </w:rPr>
      </w:pPr>
      <w:bookmarkStart w:id="0" w:name="_GoBack"/>
      <w:bookmarkEnd w:id="0"/>
      <w:r>
        <w:rPr>
          <w:rFonts w:hint="eastAsia" w:ascii="仿宋" w:hAnsi="仿宋" w:eastAsia="仿宋" w:cs="仿宋"/>
          <w:b/>
          <w:color w:val="auto"/>
          <w:kern w:val="2"/>
          <w:sz w:val="30"/>
          <w:szCs w:val="30"/>
        </w:rPr>
        <w:t>四、报价：</w:t>
      </w:r>
    </w:p>
    <w:p w14:paraId="3E7A307A">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在满足采购人使用要求前提下，报价人根据附件2《分项报价单》分别报出人工费用和设备维修配件的单价和总价，如国家税率调整，按合同含税价格/（1+合同约定税率）*（1+国家规定的新税率）调整合同价格开具发票；</w:t>
      </w:r>
    </w:p>
    <w:p w14:paraId="2FA2718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（二）付款方式：货到质保书到增值税专用发票到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30天</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如报价人不接受采购人提出的付款方式，可在线下报价书中明确能够接受的付款方式及付款时间，评审时作为参考。报价为含税价，如有不同请注明</w:t>
      </w:r>
      <w:r>
        <w:rPr>
          <w:rFonts w:hint="eastAsia" w:ascii="仿宋" w:hAnsi="仿宋" w:eastAsia="仿宋" w:cs="仿宋"/>
          <w:bCs/>
          <w:color w:val="auto"/>
          <w:kern w:val="1"/>
          <w:sz w:val="30"/>
          <w:szCs w:val="30"/>
        </w:rPr>
        <w:t>。</w:t>
      </w:r>
    </w:p>
    <w:p w14:paraId="2F2AB271">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（三）本项目报价可通过线下方式进行：</w:t>
      </w:r>
    </w:p>
    <w:p w14:paraId="5F1E0015">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、采用线下报价有两种方式：（1）密封报价。应</w:t>
      </w:r>
      <w:r>
        <w:rPr>
          <w:rFonts w:hint="eastAsia" w:ascii="仿宋" w:hAnsi="仿宋" w:eastAsia="仿宋" w:cs="仿宋"/>
          <w:bCs/>
          <w:sz w:val="30"/>
          <w:szCs w:val="30"/>
        </w:rPr>
        <w:t>将报价书及相关资料以密封袋形式送达，密封袋外包装必须用“封条”密封，封条“格式自定”，另需加盖公章、法人章，填写密封日期；在密封袋封面上需注明“报价项目名称，报价方名称、地址、联系人、联系电话”等；</w:t>
      </w: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通过采购邮箱报价。应将报价报价盖章扫描发至公司报价邮箱，邮件主题上应注明报价单位的名称+货物的名称，以便于在评审时区分采购名称，防止误点误开，未注明清楚的报价由报价单位自行负责，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此外通过邮箱报价的附件应进行文件加密，在评审时采购人会电话联系报价联系人，报价人将密码告知采购人进行解密，未对文件进行加密的报价文件导致的信息泄露采购方概不负责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233A280B">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7A97AA49">
      <w:pPr>
        <w:pStyle w:val="31"/>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公司：</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r>
        <w:rPr>
          <w:rFonts w:hint="eastAsia" w:ascii="仿宋" w:hAnsi="仿宋" w:eastAsia="仿宋" w:cs="仿宋"/>
          <w:bCs/>
          <w:color w:val="000000" w:themeColor="text1"/>
          <w:kern w:val="1"/>
          <w:sz w:val="30"/>
          <w:szCs w:val="30"/>
          <w:lang w:val="en-US" w:eastAsia="zh-CN"/>
          <w14:textFill>
            <w14:solidFill>
              <w14:schemeClr w14:val="tx1"/>
            </w14:solidFill>
          </w14:textFill>
        </w:rPr>
        <w:t>设备保障部</w:t>
      </w:r>
    </w:p>
    <w:p w14:paraId="499C621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3E0E9B8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75B6462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韦先富</w:t>
      </w:r>
    </w:p>
    <w:p w14:paraId="4072EB9D">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15951279125</w:t>
      </w:r>
    </w:p>
    <w:p w14:paraId="008FDE08">
      <w:pPr>
        <w:pStyle w:val="5"/>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（五）与本报价有关的收件邮箱有关信息：</w:t>
      </w:r>
    </w:p>
    <w:p w14:paraId="6E7C4A2D">
      <w:pPr>
        <w:pStyle w:val="6"/>
        <w:rPr>
          <w:rFonts w:hint="eastAsia" w:ascii="仿宋" w:hAnsi="仿宋" w:eastAsia="仿宋" w:cs="仿宋"/>
          <w:bCs/>
          <w:kern w:val="1"/>
          <w:sz w:val="30"/>
          <w:szCs w:val="30"/>
        </w:rPr>
      </w:pPr>
      <w:r>
        <w:rPr>
          <w:rFonts w:hint="eastAsia" w:ascii="仿宋" w:hAnsi="仿宋" w:eastAsia="仿宋" w:cs="仿宋"/>
          <w:bCs/>
          <w:kern w:val="1"/>
          <w:sz w:val="30"/>
          <w:szCs w:val="30"/>
        </w:rPr>
        <w:t>收件地址：</w:t>
      </w:r>
      <w:r>
        <w:rPr>
          <w:rFonts w:ascii="仿宋" w:hAnsi="仿宋" w:eastAsia="仿宋" w:cs="仿宋"/>
          <w:bCs/>
          <w:kern w:val="1"/>
          <w:sz w:val="30"/>
          <w:szCs w:val="30"/>
        </w:rPr>
        <w:fldChar w:fldCharType="begin"/>
      </w:r>
      <w:r>
        <w:rPr>
          <w:rFonts w:ascii="仿宋" w:hAnsi="仿宋" w:eastAsia="仿宋" w:cs="仿宋"/>
          <w:bCs/>
          <w:kern w:val="1"/>
          <w:sz w:val="30"/>
          <w:szCs w:val="30"/>
        </w:rPr>
        <w:instrText xml:space="preserve"> </w:instrText>
      </w:r>
      <w:r>
        <w:rPr>
          <w:rFonts w:hint="eastAsia" w:ascii="仿宋" w:hAnsi="仿宋" w:eastAsia="仿宋" w:cs="仿宋"/>
          <w:bCs/>
          <w:kern w:val="1"/>
          <w:sz w:val="30"/>
          <w:szCs w:val="30"/>
        </w:rPr>
        <w:instrText xml:space="preserve">HYPERLINK "mailto:c</w:instrText>
      </w:r>
      <w:r>
        <w:rPr>
          <w:rFonts w:ascii="仿宋" w:hAnsi="仿宋" w:eastAsia="仿宋" w:cs="仿宋"/>
          <w:bCs/>
          <w:kern w:val="1"/>
          <w:sz w:val="30"/>
          <w:szCs w:val="30"/>
        </w:rPr>
        <w:instrText xml:space="preserve">gzb@sopocere.com</w:instrText>
      </w:r>
      <w:r>
        <w:rPr>
          <w:rFonts w:hint="eastAsia" w:ascii="仿宋" w:hAnsi="仿宋" w:eastAsia="仿宋" w:cs="仿宋"/>
          <w:bCs/>
          <w:kern w:val="1"/>
          <w:sz w:val="30"/>
          <w:szCs w:val="30"/>
        </w:rPr>
        <w:instrText xml:space="preserve">"</w:instrText>
      </w:r>
      <w:r>
        <w:rPr>
          <w:rFonts w:ascii="仿宋" w:hAnsi="仿宋" w:eastAsia="仿宋" w:cs="仿宋"/>
          <w:bCs/>
          <w:kern w:val="1"/>
          <w:sz w:val="30"/>
          <w:szCs w:val="30"/>
        </w:rPr>
        <w:instrText xml:space="preserve"> </w:instrText>
      </w:r>
      <w:r>
        <w:rPr>
          <w:rFonts w:ascii="仿宋" w:hAnsi="仿宋" w:eastAsia="仿宋" w:cs="仿宋"/>
          <w:bCs/>
          <w:kern w:val="1"/>
          <w:sz w:val="30"/>
          <w:szCs w:val="30"/>
        </w:rPr>
        <w:fldChar w:fldCharType="separate"/>
      </w:r>
      <w:r>
        <w:rPr>
          <w:rFonts w:hint="eastAsia" w:ascii="仿宋" w:hAnsi="仿宋" w:eastAsia="仿宋" w:cs="仿宋"/>
          <w:bCs/>
          <w:kern w:val="1"/>
          <w:sz w:val="30"/>
          <w:szCs w:val="30"/>
        </w:rPr>
        <w:t>c</w:t>
      </w:r>
      <w:r>
        <w:rPr>
          <w:rFonts w:ascii="仿宋" w:hAnsi="仿宋" w:eastAsia="仿宋" w:cs="仿宋"/>
          <w:bCs/>
          <w:kern w:val="1"/>
          <w:sz w:val="30"/>
          <w:szCs w:val="30"/>
        </w:rPr>
        <w:t>gzb@sopocere.com</w:t>
      </w:r>
      <w:r>
        <w:rPr>
          <w:rFonts w:ascii="仿宋" w:hAnsi="仿宋" w:eastAsia="仿宋" w:cs="仿宋"/>
          <w:bCs/>
          <w:kern w:val="1"/>
          <w:sz w:val="30"/>
          <w:szCs w:val="30"/>
        </w:rPr>
        <w:fldChar w:fldCharType="end"/>
      </w:r>
      <w:r>
        <w:rPr>
          <w:rFonts w:hint="eastAsia" w:ascii="仿宋" w:hAnsi="仿宋" w:eastAsia="仿宋" w:cs="仿宋"/>
          <w:bCs/>
          <w:color w:val="auto"/>
          <w:kern w:val="1"/>
          <w:sz w:val="30"/>
          <w:szCs w:val="30"/>
        </w:rPr>
        <w:t>（邮件主题上应注明报价单位的名称+货物的名称，以便于在解密邮件时区分采购名称，防止误点误开，未注明清楚的报价由报价单位自行负责）</w:t>
      </w:r>
    </w:p>
    <w:p w14:paraId="535FCC78">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（六）凡对采购文件条款有疑义的，请在报价截止时间前按以下方式联系：</w:t>
      </w:r>
    </w:p>
    <w:p w14:paraId="40ACA057">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r>
        <w:rPr>
          <w:rFonts w:hint="eastAsia" w:ascii="仿宋" w:hAnsi="仿宋" w:eastAsia="仿宋" w:cs="仿宋"/>
          <w:bCs/>
          <w:color w:val="000000" w:themeColor="text1"/>
          <w:kern w:val="1"/>
          <w:sz w:val="30"/>
          <w:szCs w:val="30"/>
          <w:lang w:val="en-US" w:eastAsia="zh-CN"/>
          <w14:textFill>
            <w14:solidFill>
              <w14:schemeClr w14:val="tx1"/>
            </w14:solidFill>
          </w14:textFill>
        </w:rPr>
        <w:t>设备保障部</w:t>
      </w:r>
    </w:p>
    <w:p w14:paraId="59515221">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14:paraId="31C008A2">
      <w:pPr>
        <w:adjustRightInd w:val="0"/>
        <w:snapToGrid w:val="0"/>
        <w:spacing w:line="360" w:lineRule="auto"/>
        <w:ind w:firstLine="585"/>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采购业务联系人：</w:t>
      </w:r>
      <w:r>
        <w:rPr>
          <w:rFonts w:hint="eastAsia" w:ascii="仿宋" w:hAnsi="仿宋" w:eastAsia="仿宋" w:cs="仿宋"/>
          <w:bCs/>
          <w:color w:val="000000" w:themeColor="text1"/>
          <w:kern w:val="1"/>
          <w:sz w:val="30"/>
          <w:szCs w:val="30"/>
          <w:lang w:val="en-US" w:eastAsia="zh-CN"/>
          <w14:textFill>
            <w14:solidFill>
              <w14:schemeClr w14:val="tx1"/>
            </w14:solidFill>
          </w14:textFill>
        </w:rPr>
        <w:t>韦先富</w:t>
      </w:r>
      <w:r>
        <w:rPr>
          <w:rFonts w:hint="eastAsia" w:ascii="仿宋" w:hAnsi="仿宋" w:eastAsia="仿宋" w:cs="仿宋"/>
          <w:bCs/>
          <w:color w:val="000000" w:themeColor="text1"/>
          <w:kern w:val="1"/>
          <w:sz w:val="30"/>
          <w:szCs w:val="30"/>
          <w14:textFill>
            <w14:solidFill>
              <w14:schemeClr w14:val="tx1"/>
            </w14:solidFill>
          </w14:textFill>
        </w:rPr>
        <w:t xml:space="preserve">     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15951279125</w:t>
      </w:r>
    </w:p>
    <w:p w14:paraId="19D97437">
      <w:pPr>
        <w:adjustRightInd w:val="0"/>
        <w:snapToGrid w:val="0"/>
        <w:spacing w:line="360" w:lineRule="auto"/>
        <w:ind w:firstLine="600" w:firstLineChars="200"/>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采购部门负责人：</w:t>
      </w:r>
      <w:r>
        <w:rPr>
          <w:rFonts w:hint="eastAsia" w:ascii="仿宋" w:hAnsi="仿宋" w:eastAsia="仿宋" w:cs="仿宋"/>
          <w:bCs/>
          <w:color w:val="000000" w:themeColor="text1"/>
          <w:kern w:val="1"/>
          <w:sz w:val="30"/>
          <w:szCs w:val="30"/>
          <w:lang w:val="en-US" w:eastAsia="zh-CN"/>
          <w14:textFill>
            <w14:solidFill>
              <w14:schemeClr w14:val="tx1"/>
            </w14:solidFill>
          </w14:textFill>
        </w:rPr>
        <w:t>周淑刚</w:t>
      </w:r>
      <w:r>
        <w:rPr>
          <w:rFonts w:hint="eastAsia" w:ascii="仿宋" w:hAnsi="仿宋" w:eastAsia="仿宋" w:cs="仿宋"/>
          <w:bCs/>
          <w:color w:val="000000" w:themeColor="text1"/>
          <w:kern w:val="1"/>
          <w:sz w:val="30"/>
          <w:szCs w:val="30"/>
          <w14:textFill>
            <w14:solidFill>
              <w14:schemeClr w14:val="tx1"/>
            </w14:solidFill>
          </w14:textFill>
        </w:rPr>
        <w:t xml:space="preserve">   </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kern w:val="1"/>
          <w:sz w:val="30"/>
          <w:szCs w:val="30"/>
          <w14:textFill>
            <w14:solidFill>
              <w14:schemeClr w14:val="tx1"/>
            </w14:solidFill>
          </w14:textFill>
        </w:rPr>
        <w:t>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17768779637</w:t>
      </w:r>
    </w:p>
    <w:p w14:paraId="158D177F">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2908BD6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757DE81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0A898B1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6F7B8B2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FF0000"/>
          <w:kern w:val="1"/>
          <w:sz w:val="30"/>
          <w:szCs w:val="30"/>
        </w:rPr>
        <w:t>在能够满足采购人</w:t>
      </w:r>
      <w:r>
        <w:rPr>
          <w:rFonts w:hint="eastAsia" w:ascii="仿宋_GB2312" w:hAnsi="宋体" w:eastAsia="仿宋_GB2312" w:cs="‹ÎSå"/>
          <w:color w:val="FF0000"/>
          <w:kern w:val="1"/>
          <w:sz w:val="30"/>
          <w:szCs w:val="30"/>
          <w:lang w:val="en-US" w:eastAsia="zh-CN"/>
        </w:rPr>
        <w:t>各项</w:t>
      </w:r>
      <w:r>
        <w:rPr>
          <w:rFonts w:hint="eastAsia" w:ascii="仿宋_GB2312" w:hAnsi="宋体" w:eastAsia="仿宋_GB2312" w:cs="‹ÎSå"/>
          <w:color w:val="FF0000"/>
          <w:kern w:val="1"/>
          <w:sz w:val="30"/>
          <w:szCs w:val="30"/>
        </w:rPr>
        <w:t>要求的报价人中选择总价最低的一家报价人作为</w:t>
      </w:r>
      <w:r>
        <w:rPr>
          <w:rFonts w:hint="eastAsia" w:ascii="仿宋_GB2312" w:hAnsi="宋体" w:eastAsia="仿宋_GB2312" w:cs="‹ÎSå"/>
          <w:color w:val="FF0000"/>
          <w:kern w:val="1"/>
          <w:sz w:val="30"/>
          <w:szCs w:val="30"/>
          <w:lang w:val="en-US" w:eastAsia="zh-CN"/>
        </w:rPr>
        <w:t>第一</w:t>
      </w:r>
      <w:r>
        <w:rPr>
          <w:rFonts w:hint="eastAsia" w:ascii="仿宋_GB2312" w:hAnsi="宋体" w:eastAsia="仿宋_GB2312" w:cs="‹ÎSå"/>
          <w:color w:val="FF0000"/>
          <w:kern w:val="1"/>
          <w:sz w:val="30"/>
          <w:szCs w:val="30"/>
        </w:rPr>
        <w:t>候选人</w:t>
      </w:r>
      <w:r>
        <w:rPr>
          <w:rFonts w:hint="eastAsia" w:ascii="仿宋_GB2312" w:hAnsi="宋体" w:eastAsia="仿宋_GB2312" w:cs="‹ÎSå"/>
          <w:color w:val="FF0000"/>
          <w:kern w:val="1"/>
          <w:sz w:val="30"/>
          <w:szCs w:val="30"/>
          <w:lang w:eastAsia="zh-CN"/>
        </w:rPr>
        <w:t>，</w:t>
      </w:r>
      <w:r>
        <w:rPr>
          <w:rFonts w:hint="eastAsia" w:ascii="仿宋_GB2312" w:hAnsi="宋体" w:eastAsia="仿宋_GB2312" w:cs="‹ÎSå"/>
          <w:color w:val="FF0000"/>
          <w:kern w:val="1"/>
          <w:sz w:val="30"/>
          <w:szCs w:val="30"/>
        </w:rPr>
        <w:t>满足采购人</w:t>
      </w:r>
      <w:r>
        <w:rPr>
          <w:rFonts w:hint="eastAsia" w:ascii="仿宋_GB2312" w:hAnsi="宋体" w:eastAsia="仿宋_GB2312" w:cs="‹ÎSå"/>
          <w:color w:val="FF0000"/>
          <w:kern w:val="1"/>
          <w:sz w:val="30"/>
          <w:szCs w:val="30"/>
          <w:lang w:val="en-US" w:eastAsia="zh-CN"/>
        </w:rPr>
        <w:t>各项</w:t>
      </w:r>
      <w:r>
        <w:rPr>
          <w:rFonts w:hint="eastAsia" w:ascii="仿宋_GB2312" w:hAnsi="宋体" w:eastAsia="仿宋_GB2312" w:cs="‹ÎSå"/>
          <w:color w:val="FF0000"/>
          <w:kern w:val="1"/>
          <w:sz w:val="30"/>
          <w:szCs w:val="30"/>
        </w:rPr>
        <w:t>要求的报价人中选择总价</w:t>
      </w:r>
      <w:r>
        <w:rPr>
          <w:rFonts w:hint="eastAsia" w:ascii="仿宋_GB2312" w:hAnsi="宋体" w:eastAsia="仿宋_GB2312" w:cs="‹ÎSå"/>
          <w:color w:val="FF0000"/>
          <w:kern w:val="1"/>
          <w:sz w:val="30"/>
          <w:szCs w:val="30"/>
          <w:lang w:val="en-US" w:eastAsia="zh-CN"/>
        </w:rPr>
        <w:t>第二</w:t>
      </w:r>
      <w:r>
        <w:rPr>
          <w:rFonts w:hint="eastAsia" w:ascii="仿宋_GB2312" w:hAnsi="宋体" w:eastAsia="仿宋_GB2312" w:cs="‹ÎSå"/>
          <w:color w:val="FF0000"/>
          <w:kern w:val="1"/>
          <w:sz w:val="30"/>
          <w:szCs w:val="30"/>
        </w:rPr>
        <w:t>低的一家报价人作为</w:t>
      </w:r>
      <w:r>
        <w:rPr>
          <w:rFonts w:hint="eastAsia" w:ascii="仿宋_GB2312" w:hAnsi="宋体" w:eastAsia="仿宋_GB2312" w:cs="‹ÎSå"/>
          <w:color w:val="FF0000"/>
          <w:kern w:val="1"/>
          <w:sz w:val="30"/>
          <w:szCs w:val="30"/>
          <w:lang w:val="en-US" w:eastAsia="zh-CN"/>
        </w:rPr>
        <w:t>第二</w:t>
      </w:r>
      <w:r>
        <w:rPr>
          <w:rFonts w:hint="eastAsia" w:ascii="仿宋_GB2312" w:hAnsi="宋体" w:eastAsia="仿宋_GB2312" w:cs="‹ÎSå"/>
          <w:color w:val="FF0000"/>
          <w:kern w:val="1"/>
          <w:sz w:val="30"/>
          <w:szCs w:val="30"/>
        </w:rPr>
        <w:t>候选人</w:t>
      </w:r>
      <w:r>
        <w:rPr>
          <w:rFonts w:hint="eastAsia" w:ascii="仿宋_GB2312" w:hAnsi="宋体" w:eastAsia="仿宋_GB2312" w:cs="‹ÎSå"/>
          <w:color w:val="FF0000"/>
          <w:kern w:val="1"/>
          <w:sz w:val="30"/>
          <w:szCs w:val="30"/>
          <w:lang w:eastAsia="zh-CN"/>
        </w:rPr>
        <w:t>，</w:t>
      </w:r>
      <w:r>
        <w:rPr>
          <w:rFonts w:hint="eastAsia" w:ascii="仿宋_GB2312" w:hAnsi="宋体" w:eastAsia="仿宋_GB2312" w:cs="‹ÎSå"/>
          <w:color w:val="FF0000"/>
          <w:kern w:val="1"/>
          <w:sz w:val="30"/>
          <w:szCs w:val="30"/>
          <w:lang w:val="en-US" w:eastAsia="zh-CN"/>
        </w:rPr>
        <w:t>以此类推</w:t>
      </w:r>
      <w:r>
        <w:rPr>
          <w:rFonts w:hint="eastAsia" w:ascii="仿宋_GB2312" w:hAnsi="宋体" w:eastAsia="仿宋_GB2312" w:cs="‹ÎSå"/>
          <w:color w:val="auto"/>
          <w:kern w:val="1"/>
          <w:sz w:val="30"/>
          <w:szCs w:val="30"/>
        </w:rPr>
        <w:t>。</w:t>
      </w:r>
    </w:p>
    <w:p w14:paraId="348AFE0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021564B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49DA5A5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4EA6BEC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采购人如发现采购过程中有串通报价、陪同报价等扰乱采购人经营秩序的恶劣情况，经采购人评审小组评定可作无效报价处理，并可将相关报价方列入供应商负面清单，一年内不再接受参与报价工作。</w:t>
      </w:r>
    </w:p>
    <w:p w14:paraId="734A04A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33E3387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212B8977">
      <w:pPr>
        <w:adjustRightInd w:val="0"/>
        <w:snapToGrid w:val="0"/>
        <w:spacing w:line="600" w:lineRule="exact"/>
        <w:jc w:val="left"/>
        <w:rPr>
          <w:rFonts w:hint="eastAsia" w:ascii="仿宋" w:hAnsi="仿宋" w:eastAsia="仿宋" w:cs="仿宋"/>
          <w:bCs/>
          <w:color w:val="FF0000"/>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69E2443E">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1E1EFC3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4F0FAA4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FF0000"/>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2E0BFF7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524C677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0637F3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7363264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20F5A45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6636F49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A91B244">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w:t>
      </w:r>
      <w:r>
        <w:rPr>
          <w:rFonts w:hint="eastAsia" w:ascii="仿宋" w:hAnsi="仿宋" w:eastAsia="仿宋" w:cs="仿宋"/>
          <w:bCs/>
          <w:color w:val="auto"/>
          <w:kern w:val="1"/>
          <w:sz w:val="30"/>
          <w:szCs w:val="30"/>
          <w:lang w:val="en-US" w:eastAsia="zh-CN"/>
        </w:rPr>
        <w:t>5</w:t>
      </w:r>
      <w:r>
        <w:rPr>
          <w:rFonts w:hint="eastAsia" w:ascii="仿宋" w:hAnsi="仿宋" w:eastAsia="仿宋" w:cs="仿宋"/>
          <w:bCs/>
          <w:color w:val="auto"/>
          <w:kern w:val="1"/>
          <w:sz w:val="30"/>
          <w:szCs w:val="30"/>
        </w:rPr>
        <w:t>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4523CA3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7E502D20">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00292925">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5AC75FBC">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570A5991">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4"/>
          <w:rFonts w:ascii="仿宋" w:hAnsi="仿宋" w:eastAsia="仿宋" w:cs="仿宋"/>
          <w:bCs/>
          <w:color w:val="auto"/>
          <w:kern w:val="1"/>
          <w:sz w:val="30"/>
          <w:szCs w:val="30"/>
          <w:u w:val="none"/>
        </w:rPr>
        <w:t>http://www.sopo.com.cn/list/91-93.html</w:t>
      </w:r>
      <w:r>
        <w:rPr>
          <w:rStyle w:val="14"/>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577B6F1A">
      <w:pPr>
        <w:widowControl/>
        <w:jc w:val="left"/>
        <w:rPr>
          <w:rFonts w:hint="eastAsia" w:ascii="黑体" w:hAnsi="黑体" w:eastAsia="黑体" w:cs="黑体"/>
          <w:b w:val="0"/>
          <w:bCs/>
          <w:color w:val="auto"/>
          <w:kern w:val="0"/>
          <w:sz w:val="34"/>
          <w:szCs w:val="34"/>
          <w:u w:val="none"/>
          <w:lang w:eastAsia="zh-CN"/>
        </w:rPr>
      </w:pPr>
      <w:r>
        <w:rPr>
          <w:rFonts w:ascii="黑体" w:hAnsi="黑体" w:eastAsia="黑体" w:cs="黑体"/>
          <w:bCs/>
          <w:color w:val="auto"/>
          <w:sz w:val="34"/>
          <w:szCs w:val="34"/>
        </w:rPr>
        <w:br w:type="page"/>
      </w:r>
      <w:r>
        <w:rPr>
          <w:rFonts w:hint="eastAsia" w:ascii="黑体" w:hAnsi="黑体" w:eastAsia="黑体" w:cs="黑体"/>
          <w:b w:val="0"/>
          <w:bCs/>
          <w:color w:val="auto"/>
          <w:kern w:val="0"/>
          <w:sz w:val="34"/>
          <w:szCs w:val="34"/>
          <w:u w:val="none"/>
        </w:rPr>
        <w:t>附件</w:t>
      </w:r>
      <w:r>
        <w:rPr>
          <w:rFonts w:hint="eastAsia" w:ascii="黑体" w:hAnsi="黑体" w:eastAsia="黑体" w:cs="黑体"/>
          <w:b w:val="0"/>
          <w:bCs/>
          <w:color w:val="auto"/>
          <w:kern w:val="0"/>
          <w:sz w:val="34"/>
          <w:szCs w:val="34"/>
          <w:u w:val="none"/>
          <w:lang w:val="en-US" w:eastAsia="zh-CN"/>
        </w:rPr>
        <w:t>1</w:t>
      </w:r>
    </w:p>
    <w:p w14:paraId="0EB80F2A">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p>
    <w:p w14:paraId="6565599C">
      <w:pPr>
        <w:tabs>
          <w:tab w:val="left" w:pos="2565"/>
        </w:tabs>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索普赛瑞供应商负面清单管理规定</w:t>
      </w:r>
    </w:p>
    <w:p w14:paraId="340ABCEF">
      <w:pPr>
        <w:keepNext w:val="0"/>
        <w:keepLines w:val="0"/>
        <w:pageBreakBefore w:val="0"/>
        <w:widowControl/>
        <w:kinsoku/>
        <w:wordWrap/>
        <w:overflowPunct/>
        <w:topLinePunct w:val="0"/>
        <w:autoSpaceDE/>
        <w:autoSpaceDN/>
        <w:bidi w:val="0"/>
        <w:adjustRightInd/>
        <w:snapToGrid w:val="0"/>
        <w:spacing w:after="160" w:line="560" w:lineRule="exact"/>
        <w:jc w:val="center"/>
        <w:textAlignment w:val="auto"/>
        <w:rPr>
          <w:rFonts w:hint="eastAsia" w:ascii="楷体" w:hAnsi="楷体" w:eastAsia="楷体" w:cs="楷体"/>
          <w:kern w:val="0"/>
          <w:sz w:val="34"/>
          <w:szCs w:val="34"/>
        </w:rPr>
      </w:pPr>
      <w:r>
        <w:rPr>
          <w:rFonts w:hint="eastAsia" w:ascii="楷体" w:hAnsi="楷体" w:eastAsia="楷体" w:cs="楷体"/>
          <w:kern w:val="0"/>
          <w:sz w:val="34"/>
          <w:szCs w:val="34"/>
        </w:rPr>
        <w:t>（2025年修订版）</w:t>
      </w:r>
    </w:p>
    <w:p w14:paraId="159F5E7C">
      <w:pPr>
        <w:tabs>
          <w:tab w:val="left" w:pos="2565"/>
        </w:tabs>
        <w:adjustRightInd w:val="0"/>
        <w:snapToGrid w:val="0"/>
        <w:spacing w:line="600" w:lineRule="exact"/>
        <w:rPr>
          <w:rFonts w:hint="eastAsia" w:ascii="黑体" w:hAnsi="黑体" w:eastAsia="黑体"/>
          <w:bCs/>
          <w:sz w:val="34"/>
          <w:szCs w:val="34"/>
        </w:rPr>
      </w:pPr>
    </w:p>
    <w:p w14:paraId="4A75B80E">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第一章 总则</w:t>
      </w:r>
    </w:p>
    <w:p w14:paraId="2EA4F70B">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第一条</w:t>
      </w:r>
      <w:r>
        <w:rPr>
          <w:rFonts w:hint="eastAsia" w:ascii="仿宋_GB2312" w:hAnsi="楷体" w:eastAsia="仿宋_GB2312"/>
          <w:bCs/>
          <w:sz w:val="34"/>
          <w:szCs w:val="34"/>
        </w:rPr>
        <w:t xml:space="preserve"> 凡按国家标准及相关准则或规定组织生产销售的产品供应商及承包商，证照齐全且资质满足公司采购要求的</w:t>
      </w:r>
      <w:r>
        <w:rPr>
          <w:rFonts w:hint="eastAsia" w:ascii="仿宋_GB2312" w:hAnsi="仿宋_GB2312" w:eastAsia="仿宋_GB2312" w:cs="仿宋_GB2312"/>
          <w:sz w:val="34"/>
          <w:szCs w:val="34"/>
        </w:rPr>
        <w:t>（采购和外协加工受压元件的材料，需要经公司相关部门考察认定）</w:t>
      </w:r>
      <w:r>
        <w:rPr>
          <w:rFonts w:hint="eastAsia" w:ascii="仿宋_GB2312" w:hAnsi="楷体" w:eastAsia="仿宋_GB2312"/>
          <w:bCs/>
          <w:sz w:val="34"/>
          <w:szCs w:val="34"/>
        </w:rPr>
        <w:t>，均可参与公司组织的公开采购商务活动。</w:t>
      </w:r>
    </w:p>
    <w:p w14:paraId="6FB693A8">
      <w:pPr>
        <w:tabs>
          <w:tab w:val="left" w:pos="2565"/>
        </w:tabs>
        <w:adjustRightInd w:val="0"/>
        <w:snapToGrid w:val="0"/>
        <w:spacing w:line="600" w:lineRule="exact"/>
        <w:ind w:firstLine="683" w:firstLineChars="200"/>
        <w:jc w:val="left"/>
        <w:rPr>
          <w:rFonts w:hint="eastAsia" w:ascii="黑体" w:hAnsi="黑体" w:eastAsia="黑体"/>
          <w:bCs/>
          <w:sz w:val="34"/>
          <w:szCs w:val="34"/>
        </w:rPr>
      </w:pPr>
      <w:r>
        <w:rPr>
          <w:rFonts w:hint="eastAsia" w:ascii="仿宋_GB2312" w:hAnsi="楷体" w:eastAsia="仿宋_GB2312"/>
          <w:b/>
          <w:sz w:val="34"/>
          <w:szCs w:val="34"/>
        </w:rPr>
        <w:t>第二条</w:t>
      </w:r>
      <w:r>
        <w:rPr>
          <w:rFonts w:hint="eastAsia" w:ascii="仿宋_GB2312" w:hAnsi="楷体" w:eastAsia="仿宋_GB2312"/>
          <w:bCs/>
          <w:sz w:val="34"/>
          <w:szCs w:val="34"/>
        </w:rPr>
        <w:t xml:space="preserve"> </w:t>
      </w:r>
      <w:r>
        <w:rPr>
          <w:rFonts w:hint="eastAsia" w:eastAsia="仿宋_GB2312"/>
          <w:bCs/>
          <w:sz w:val="34"/>
          <w:szCs w:val="34"/>
        </w:rPr>
        <w:t>本制度适用于索普赛瑞各部门。</w:t>
      </w:r>
      <w:r>
        <w:rPr>
          <w:rFonts w:hint="eastAsia" w:ascii="黑体" w:hAnsi="黑体" w:eastAsia="黑体"/>
          <w:bCs/>
          <w:sz w:val="34"/>
          <w:szCs w:val="34"/>
        </w:rPr>
        <w:t xml:space="preserve"> </w:t>
      </w:r>
    </w:p>
    <w:p w14:paraId="3644440B">
      <w:pPr>
        <w:tabs>
          <w:tab w:val="left" w:pos="2565"/>
        </w:tabs>
        <w:adjustRightInd w:val="0"/>
        <w:snapToGrid w:val="0"/>
        <w:spacing w:line="600" w:lineRule="exact"/>
        <w:ind w:firstLine="683" w:firstLineChars="200"/>
        <w:rPr>
          <w:rFonts w:ascii="Segoe UI" w:hAnsi="Segoe UI" w:eastAsia="Segoe UI" w:cs="Segoe UI"/>
          <w:sz w:val="22"/>
          <w:szCs w:val="22"/>
          <w:shd w:val="clear" w:color="auto" w:fill="FDFDFE"/>
        </w:rPr>
      </w:pPr>
      <w:r>
        <w:rPr>
          <w:rFonts w:hint="eastAsia" w:ascii="仿宋_GB2312" w:hAnsi="楷体" w:eastAsia="仿宋_GB2312"/>
          <w:b/>
          <w:sz w:val="34"/>
          <w:szCs w:val="34"/>
        </w:rPr>
        <w:t xml:space="preserve">第三条 </w:t>
      </w:r>
      <w:r>
        <w:rPr>
          <w:rFonts w:hint="eastAsia" w:ascii="仿宋_GB2312" w:hAnsi="仿宋" w:eastAsia="仿宋_GB2312"/>
          <w:bCs/>
          <w:sz w:val="34"/>
          <w:szCs w:val="34"/>
        </w:rPr>
        <w:t>集团供应商负面清单管理采取共享机制，由全集团共同参与构建并统一使用，确保全集团采购活动中负面清单供应商范围一致。</w:t>
      </w:r>
    </w:p>
    <w:p w14:paraId="538CCF6A">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第二章 管理职责</w:t>
      </w:r>
    </w:p>
    <w:p w14:paraId="3C13ED18">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第四条</w:t>
      </w:r>
      <w:r>
        <w:rPr>
          <w:rFonts w:hint="eastAsia" w:ascii="仿宋_GB2312" w:hAnsi="仿宋" w:eastAsia="仿宋_GB2312"/>
          <w:bCs/>
          <w:sz w:val="34"/>
          <w:szCs w:val="34"/>
        </w:rPr>
        <w:t xml:space="preserve"> 各采购发起部门拥有对负面清单供应商进行考核评价及解除的权限，负面清单供应商的增减变动须报集团商务合作部公示后生效执行。</w:t>
      </w:r>
    </w:p>
    <w:p w14:paraId="2C50471D">
      <w:pPr>
        <w:tabs>
          <w:tab w:val="left" w:pos="2565"/>
        </w:tabs>
        <w:adjustRightInd w:val="0"/>
        <w:snapToGrid w:val="0"/>
        <w:spacing w:line="600" w:lineRule="exact"/>
        <w:ind w:firstLine="683" w:firstLineChars="200"/>
        <w:rPr>
          <w:rFonts w:ascii="仿宋" w:hAnsi="仿宋" w:eastAsia="仿宋"/>
          <w:bCs/>
          <w:sz w:val="34"/>
          <w:szCs w:val="34"/>
        </w:rPr>
      </w:pPr>
      <w:r>
        <w:rPr>
          <w:rFonts w:hint="eastAsia" w:ascii="仿宋_GB2312" w:hAnsi="楷体" w:eastAsia="仿宋_GB2312"/>
          <w:b/>
          <w:sz w:val="34"/>
          <w:szCs w:val="34"/>
        </w:rPr>
        <w:t xml:space="preserve">第五条 </w:t>
      </w:r>
      <w:r>
        <w:rPr>
          <w:rFonts w:hint="eastAsia" w:ascii="仿宋_GB2312" w:hAnsi="仿宋" w:eastAsia="仿宋_GB2312"/>
          <w:bCs/>
          <w:sz w:val="34"/>
          <w:szCs w:val="34"/>
        </w:rPr>
        <w:t>负面清单管理工作由商务合作部负责，各部门在采购、合同履约、物资使用等环节中产生的供应商考核意见，须报给商务合作部汇总，并实时报送集团商务合作部汇总管理，确保清单动态更新与信息共享。</w:t>
      </w:r>
    </w:p>
    <w:p w14:paraId="0B7ADF3C">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第三章　供应商分级管理</w:t>
      </w:r>
    </w:p>
    <w:p w14:paraId="67A27966">
      <w:pPr>
        <w:tabs>
          <w:tab w:val="left" w:pos="2565"/>
        </w:tabs>
        <w:adjustRightInd w:val="0"/>
        <w:snapToGrid w:val="0"/>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第六条 </w:t>
      </w:r>
      <w:r>
        <w:rPr>
          <w:rFonts w:hint="eastAsia" w:ascii="仿宋_GB2312" w:hAnsi="楷体" w:eastAsia="仿宋_GB2312"/>
          <w:bCs/>
          <w:sz w:val="34"/>
          <w:szCs w:val="34"/>
        </w:rPr>
        <w:t>根据考核扣分及违规严重性，将供应商分为以下三类管理：</w:t>
      </w:r>
    </w:p>
    <w:p w14:paraId="2386C839">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（一）合格供应商</w:t>
      </w:r>
    </w:p>
    <w:p w14:paraId="706BE829">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1.考核标准：滚动周期扣分（一年内）＜10分。</w:t>
      </w:r>
    </w:p>
    <w:p w14:paraId="6E511C4C">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2.管理措施：可正常参与公司公开采购及合作，扣分自首次扣除满一年自动清零。</w:t>
      </w:r>
    </w:p>
    <w:p w14:paraId="27286A7D">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（二）暂停合作供应商</w:t>
      </w:r>
    </w:p>
    <w:p w14:paraId="1AE7538F">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1.考核标准：同一</w:t>
      </w:r>
      <w:r>
        <w:rPr>
          <w:rFonts w:hint="eastAsia" w:ascii="仿宋_GB2312" w:hAnsi="仿宋" w:eastAsia="仿宋_GB2312"/>
          <w:bCs/>
          <w:sz w:val="34"/>
          <w:szCs w:val="34"/>
        </w:rPr>
        <w:t>单位对同一供应商一年内的考核扣分累计</w:t>
      </w:r>
      <w:r>
        <w:rPr>
          <w:rFonts w:hint="eastAsia" w:ascii="仿宋_GB2312" w:hAnsi="楷体" w:eastAsia="仿宋_GB2312"/>
          <w:bCs/>
          <w:sz w:val="34"/>
          <w:szCs w:val="34"/>
        </w:rPr>
        <w:t>≥10分；</w:t>
      </w:r>
      <w:r>
        <w:rPr>
          <w:rFonts w:hint="eastAsia" w:ascii="仿宋_GB2312" w:hAnsi="仿宋" w:eastAsia="仿宋_GB2312"/>
          <w:bCs/>
          <w:sz w:val="34"/>
          <w:szCs w:val="34"/>
        </w:rPr>
        <w:t>不同单位对同一供应商一年内的考核扣分累计</w:t>
      </w:r>
      <w:r>
        <w:rPr>
          <w:rFonts w:hint="eastAsia" w:ascii="仿宋_GB2312" w:hAnsi="楷体" w:eastAsia="仿宋_GB2312"/>
          <w:bCs/>
          <w:sz w:val="34"/>
          <w:szCs w:val="34"/>
        </w:rPr>
        <w:t>≥15分。</w:t>
      </w:r>
    </w:p>
    <w:p w14:paraId="6D62B021">
      <w:pPr>
        <w:tabs>
          <w:tab w:val="left" w:pos="2565"/>
        </w:tabs>
        <w:adjustRightInd w:val="0"/>
        <w:snapToGrid w:val="0"/>
        <w:spacing w:line="600" w:lineRule="exact"/>
        <w:ind w:firstLine="680" w:firstLineChars="200"/>
      </w:pPr>
      <w:r>
        <w:rPr>
          <w:rFonts w:hint="eastAsia" w:ascii="仿宋_GB2312" w:hAnsi="楷体" w:eastAsia="仿宋_GB2312"/>
          <w:bCs/>
          <w:sz w:val="34"/>
          <w:szCs w:val="34"/>
        </w:rPr>
        <w:t>2.管理措施：一年内停止与其产生新的合作。建立到期提示机制，到期前一个月内考核部门应主动告知相应供应商，并同步开放整改材料提交通道。</w:t>
      </w:r>
    </w:p>
    <w:p w14:paraId="1628CB17">
      <w:pPr>
        <w:tabs>
          <w:tab w:val="left" w:pos="2565"/>
        </w:tabs>
        <w:adjustRightInd w:val="0"/>
        <w:snapToGrid w:val="0"/>
        <w:spacing w:line="600" w:lineRule="exact"/>
        <w:ind w:firstLine="680" w:firstLineChars="200"/>
        <w:rPr>
          <w:rFonts w:ascii="仿宋_GB2312" w:hAnsi="楷体" w:eastAsia="仿宋_GB2312"/>
          <w:bCs/>
          <w:sz w:val="34"/>
          <w:szCs w:val="34"/>
        </w:rPr>
      </w:pPr>
      <w:r>
        <w:rPr>
          <w:rFonts w:hint="eastAsia" w:ascii="仿宋_GB2312" w:hAnsi="楷体" w:eastAsia="仿宋_GB2312"/>
          <w:bCs/>
          <w:sz w:val="34"/>
          <w:szCs w:val="34"/>
        </w:rPr>
        <w:t>3.评审优先级：在采购评审过程中，同等情况下应优先选择未曾被列入暂停合作供应商清单的供应商。</w:t>
      </w:r>
    </w:p>
    <w:p w14:paraId="2FFD6C26">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（三）禁止合作供应商</w:t>
      </w:r>
    </w:p>
    <w:p w14:paraId="2590C02F">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1.考核标准：供应商发生以下恶意行为的，将直接列入禁止合作供应商清单：</w:t>
      </w:r>
    </w:p>
    <w:p w14:paraId="7F2944E2">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（1）主观恶意且对公司生产经营活动造成重大损害的；</w:t>
      </w:r>
    </w:p>
    <w:p w14:paraId="7BD253C7">
      <w:pPr>
        <w:tabs>
          <w:tab w:val="left" w:pos="2565"/>
        </w:tabs>
        <w:adjustRightInd w:val="0"/>
        <w:snapToGrid w:val="0"/>
        <w:spacing w:line="600" w:lineRule="exact"/>
        <w:ind w:firstLine="680" w:firstLineChars="200"/>
        <w:rPr>
          <w:rFonts w:hint="eastAsia" w:ascii="仿宋_GB2312" w:hAnsi="仿宋" w:eastAsia="仿宋_GB2312"/>
          <w:bCs/>
          <w:sz w:val="34"/>
          <w:szCs w:val="34"/>
        </w:rPr>
      </w:pPr>
      <w:r>
        <w:rPr>
          <w:rFonts w:hint="eastAsia" w:ascii="仿宋_GB2312" w:hAnsi="楷体" w:eastAsia="仿宋_GB2312"/>
          <w:bCs/>
          <w:sz w:val="34"/>
          <w:szCs w:val="34"/>
        </w:rPr>
        <w:t>（2）</w:t>
      </w:r>
      <w:r>
        <w:rPr>
          <w:rFonts w:hint="eastAsia" w:ascii="仿宋_GB2312" w:hAnsi="仿宋" w:eastAsia="仿宋_GB2312"/>
          <w:bCs/>
          <w:sz w:val="34"/>
          <w:szCs w:val="34"/>
        </w:rPr>
        <w:t>恶意法律诉讼起诉我公司最终被法院裁定为败诉的；</w:t>
      </w:r>
    </w:p>
    <w:p w14:paraId="2E7473D9">
      <w:pPr>
        <w:adjustRightInd w:val="0"/>
        <w:snapToGrid w:val="0"/>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w:t>
      </w:r>
      <w:r>
        <w:rPr>
          <w:rFonts w:hint="eastAsia" w:ascii="仿宋_GB2312" w:hAnsi="楷体" w:eastAsia="仿宋_GB2312"/>
          <w:bCs/>
          <w:sz w:val="34"/>
          <w:szCs w:val="34"/>
        </w:rPr>
        <w:t>两次列入暂停合作供应商的；</w:t>
      </w:r>
    </w:p>
    <w:p w14:paraId="225FEAAE">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（4）</w:t>
      </w:r>
      <w:r>
        <w:rPr>
          <w:rFonts w:hint="eastAsia" w:ascii="仿宋_GB2312" w:hAnsi="仿宋" w:eastAsia="仿宋_GB2312"/>
          <w:bCs/>
          <w:sz w:val="34"/>
          <w:szCs w:val="34"/>
        </w:rPr>
        <w:t>违反廉政协议，滋生腐败现象的；</w:t>
      </w:r>
    </w:p>
    <w:p w14:paraId="7F9AFFF1">
      <w:pPr>
        <w:pStyle w:val="3"/>
        <w:adjustRightInd w:val="0"/>
        <w:snapToGrid w:val="0"/>
        <w:spacing w:beforeAutospacing="0" w:afterAutospacing="0" w:line="600" w:lineRule="exact"/>
        <w:ind w:firstLine="680" w:firstLineChars="200"/>
        <w:rPr>
          <w:rFonts w:hint="default"/>
        </w:rPr>
      </w:pPr>
      <w:r>
        <w:rPr>
          <w:rFonts w:ascii="仿宋_GB2312" w:hAnsi="楷体" w:eastAsia="仿宋_GB2312"/>
          <w:b w:val="0"/>
          <w:bCs/>
          <w:sz w:val="34"/>
          <w:szCs w:val="34"/>
        </w:rPr>
        <w:t>（5）存在其他严重侵害公司利益行为的。</w:t>
      </w:r>
    </w:p>
    <w:p w14:paraId="2D0D66E3">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2.管理措施：原则上永久禁止合作。</w:t>
      </w:r>
    </w:p>
    <w:p w14:paraId="2AF4962A">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第四章 积分考核细则</w:t>
      </w:r>
    </w:p>
    <w:p w14:paraId="4481FC32">
      <w:pPr>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第七条 </w:t>
      </w:r>
      <w:r>
        <w:rPr>
          <w:rFonts w:hint="eastAsia" w:ascii="仿宋_GB2312" w:hAnsi="楷体" w:eastAsia="仿宋_GB2312"/>
          <w:bCs/>
          <w:sz w:val="34"/>
          <w:szCs w:val="34"/>
        </w:rPr>
        <w:t>供应商的积分考核主要包括供货质量、交货周期、售后服务、资质信誉等方面，每项各10分，各相关部门均可提出书面考核意见。商务合作部负责对各相关部门提出的考核意见进行收集汇总，并及时公示。</w:t>
      </w:r>
    </w:p>
    <w:p w14:paraId="1584E51E">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（一）质量方面</w:t>
      </w:r>
    </w:p>
    <w:p w14:paraId="321A82CC">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1.所供产品出现质量问题，未对公司造成影响，单次扣1-3分。</w:t>
      </w:r>
    </w:p>
    <w:p w14:paraId="6E08FB95">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2.所供产品出现质量问题，对公司造成了一定影响，单次扣3-5分。</w:t>
      </w:r>
    </w:p>
    <w:p w14:paraId="7DE1C8F6">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3.所供产品出现质量问题，对公司造成了严重影响，单次扣5-10分。</w:t>
      </w:r>
    </w:p>
    <w:p w14:paraId="6542BA69">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4.所供产品故意隐瞒质量缺陷或以次充好，单次扣10分。</w:t>
      </w:r>
    </w:p>
    <w:p w14:paraId="537F4CE2">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（二）交货方面</w:t>
      </w:r>
    </w:p>
    <w:p w14:paraId="5176F036">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1.交货时无质检报告或合格证等必要资料的，单次扣1-3分。</w:t>
      </w:r>
    </w:p>
    <w:p w14:paraId="285DE39C">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2.交货时未按规定包装的，单次扣1-3分。</w:t>
      </w:r>
    </w:p>
    <w:p w14:paraId="155AF5F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3.延期交货，但未对公司造成影响，单次扣1-3分；造成一定影响，单次扣3-5分；造成严重影响，单次扣5-10分。</w:t>
      </w:r>
    </w:p>
    <w:p w14:paraId="4C632687">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（三）售后方面</w:t>
      </w:r>
    </w:p>
    <w:p w14:paraId="547AD7A4">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1.对我公司的售后服务要求不能及时响应，单次扣1-3分；已造成一定影响，单次扣3-5分；造成严重影响，单次扣5-10分。</w:t>
      </w:r>
    </w:p>
    <w:p w14:paraId="122CBF45">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2.售后人员不能及时解决问题，单次扣1-3分。</w:t>
      </w:r>
    </w:p>
    <w:p w14:paraId="231E13BC">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3.在质保期之内，拒绝按合同提供售后服务，单次扣5-10分。</w:t>
      </w:r>
    </w:p>
    <w:p w14:paraId="418300F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（四）资信方面</w:t>
      </w:r>
    </w:p>
    <w:p w14:paraId="7B7779F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1.未提供询价书要求的资质文件、不满足询价书资质要求、报价与技术要求不符等，单次扣1～3 分。   </w:t>
      </w:r>
    </w:p>
    <w:p w14:paraId="021ED192">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2.中选之后因报价、参数错误等原因，报价人放弃成交，单次扣3-5分。</w:t>
      </w:r>
    </w:p>
    <w:p w14:paraId="728FED0B">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3.中选之后拒绝签订合同或拒绝履行合同，单次扣5-10分。</w:t>
      </w:r>
    </w:p>
    <w:p w14:paraId="22DBCD92">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4.无正当理由未及时开具发票给我方或未按合同约定价格开票，单次扣1-3分。</w:t>
      </w:r>
    </w:p>
    <w:p w14:paraId="0464EFD7">
      <w:pPr>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5.未按照《江苏索普(集团)有限公司工程造价审计管理制度》要求提供工程结算资料，或未按规定进行工程结算确认的，单次扣1-3分。</w:t>
      </w:r>
    </w:p>
    <w:p w14:paraId="2F97FEBB">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6.报价人经核实资质造假或因知识产权引起纠纷，单次扣6-10分。</w:t>
      </w:r>
    </w:p>
    <w:p w14:paraId="755B35D6">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7.报价低于成本价且无合理说明扰乱公开采购秩序,单次扣10 分。</w:t>
      </w:r>
    </w:p>
    <w:p w14:paraId="5787B574">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 xml:space="preserve">第八条 </w:t>
      </w:r>
      <w:r>
        <w:rPr>
          <w:rFonts w:hint="eastAsia" w:ascii="仿宋_GB2312" w:hAnsi="仿宋" w:eastAsia="仿宋_GB2312"/>
          <w:bCs/>
          <w:sz w:val="34"/>
          <w:szCs w:val="34"/>
        </w:rPr>
        <w:t>关于无效投诉的处理办法</w:t>
      </w:r>
    </w:p>
    <w:p w14:paraId="2AB51BBD">
      <w:pPr>
        <w:spacing w:line="600" w:lineRule="exact"/>
        <w:ind w:firstLine="641"/>
        <w:rPr>
          <w:rFonts w:hint="eastAsia" w:ascii="仿宋_GB2312" w:hAnsi="仿宋" w:eastAsia="仿宋_GB2312"/>
          <w:bCs/>
          <w:sz w:val="34"/>
          <w:szCs w:val="34"/>
        </w:rPr>
      </w:pPr>
      <w:r>
        <w:rPr>
          <w:rFonts w:hint="eastAsia" w:ascii="仿宋_GB2312" w:hAnsi="仿宋" w:eastAsia="仿宋_GB2312"/>
          <w:bCs/>
          <w:sz w:val="34"/>
          <w:szCs w:val="34"/>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4DDFCAA7">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第五章  重要事项</w:t>
      </w:r>
    </w:p>
    <w:p w14:paraId="27D78B10">
      <w:pPr>
        <w:pStyle w:val="3"/>
        <w:adjustRightInd w:val="0"/>
        <w:snapToGrid w:val="0"/>
        <w:spacing w:beforeAutospacing="0" w:afterAutospacing="0" w:line="600" w:lineRule="exact"/>
        <w:ind w:firstLine="683" w:firstLineChars="200"/>
        <w:rPr>
          <w:rFonts w:ascii="仿宋_GB2312" w:hAnsi="仿宋" w:eastAsia="仿宋_GB2312"/>
          <w:b w:val="0"/>
          <w:bCs/>
          <w:kern w:val="2"/>
          <w:sz w:val="34"/>
          <w:szCs w:val="34"/>
        </w:rPr>
      </w:pPr>
      <w:r>
        <w:rPr>
          <w:rFonts w:ascii="仿宋_GB2312" w:hAnsi="仿宋" w:eastAsia="仿宋_GB2312"/>
          <w:kern w:val="2"/>
          <w:sz w:val="34"/>
          <w:szCs w:val="34"/>
        </w:rPr>
        <w:t>第九条</w:t>
      </w:r>
      <w:r>
        <w:rPr>
          <w:rFonts w:ascii="仿宋_GB2312" w:hAnsi="仿宋" w:eastAsia="仿宋_GB2312"/>
          <w:b w:val="0"/>
          <w:bCs/>
          <w:kern w:val="2"/>
          <w:sz w:val="34"/>
          <w:szCs w:val="34"/>
        </w:rPr>
        <w:t xml:space="preserve"> 为确保集团内部供应商管理的一致性和高效性，各部门应统一按照集团公司制定的供应商管理要求严格执行。</w:t>
      </w:r>
    </w:p>
    <w:p w14:paraId="0B4DD2F0">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第十条</w:t>
      </w:r>
      <w:r>
        <w:rPr>
          <w:rFonts w:hint="eastAsia" w:ascii="仿宋_GB2312" w:hAnsi="仿宋" w:eastAsia="仿宋_GB2312"/>
          <w:bCs/>
          <w:sz w:val="34"/>
          <w:szCs w:val="34"/>
        </w:rPr>
        <w:t xml:space="preserve"> 各部门将供应商纳入负面清单时应秉持审慎原则，需建立在事实调查与证据收集基础之上，确保决定的合理性与公正性。</w:t>
      </w:r>
    </w:p>
    <w:p w14:paraId="712B4915">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第十一条</w:t>
      </w:r>
      <w:r>
        <w:rPr>
          <w:rFonts w:hint="eastAsia" w:ascii="仿宋_GB2312" w:hAnsi="仿宋" w:eastAsia="仿宋_GB2312"/>
          <w:bCs/>
          <w:sz w:val="34"/>
          <w:szCs w:val="34"/>
        </w:rPr>
        <w:t xml:space="preserve"> 原则上不得与禁止合作的供应商恢复合作关系。如确因生产需要恢复合作的，须经相关审批流程后方可实施。</w:t>
      </w:r>
    </w:p>
    <w:p w14:paraId="26E6F0AC">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第十二条</w:t>
      </w:r>
      <w:r>
        <w:rPr>
          <w:rFonts w:hint="eastAsia" w:ascii="仿宋_GB2312" w:hAnsi="仿宋" w:eastAsia="仿宋_GB2312"/>
          <w:bCs/>
          <w:sz w:val="34"/>
          <w:szCs w:val="34"/>
        </w:rPr>
        <w:t xml:space="preserve"> 暂停合作供应商考核满一年后，如主动申请经公司审议符合移出暂停合作清单条件的，各部门无正当理由不得拒绝或拖延将其移出负面清单。</w:t>
      </w:r>
    </w:p>
    <w:p w14:paraId="54CA625A">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第十三条</w:t>
      </w:r>
      <w:r>
        <w:rPr>
          <w:rFonts w:hint="eastAsia" w:ascii="仿宋_GB2312" w:hAnsi="仿宋" w:eastAsia="仿宋_GB2312"/>
          <w:bCs/>
          <w:sz w:val="34"/>
          <w:szCs w:val="34"/>
        </w:rPr>
        <w:t xml:space="preserve"> 如果被暂停合作供应商未能提供有效整改材料或一年内不能完成整改的，相关单位可将其列入禁止合作供应商清单，不再与其开展合作。</w:t>
      </w:r>
    </w:p>
    <w:p w14:paraId="26B8E661">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 xml:space="preserve">第十四条 </w:t>
      </w:r>
      <w:r>
        <w:rPr>
          <w:rFonts w:hint="eastAsia" w:ascii="仿宋_GB2312" w:hAnsi="仿宋" w:eastAsia="仿宋_GB2312"/>
          <w:bCs/>
          <w:sz w:val="34"/>
          <w:szCs w:val="34"/>
        </w:rPr>
        <w:t>各单位、各部门需真实、准确地记录供应商的考核结果，并按照要求及时报送供应商考核信息至集团商务合作部，确保信息及时、透明。</w:t>
      </w:r>
    </w:p>
    <w:p w14:paraId="5CEE3F4F">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第十五条</w:t>
      </w:r>
      <w:r>
        <w:rPr>
          <w:rFonts w:hint="eastAsia" w:ascii="仿宋_GB2312" w:hAnsi="仿宋" w:eastAsia="仿宋_GB2312"/>
          <w:bCs/>
          <w:sz w:val="34"/>
          <w:szCs w:val="34"/>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4EB31A7A">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第六章  附则</w:t>
      </w:r>
    </w:p>
    <w:p w14:paraId="339EA14F">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第十六条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各部门、各单位应努力按照公开、公平、公正的原则，做好供应商负面清单的考核和管理工作。</w:t>
      </w:r>
    </w:p>
    <w:p w14:paraId="093E2803">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第十七条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不同单位对同一供应商12个月内的考核扣分累计达到15分及以上的，由集团商务合作部将其列为暂停合作供应商。</w:t>
      </w:r>
    </w:p>
    <w:p w14:paraId="7301EF82">
      <w:pPr>
        <w:spacing w:line="600" w:lineRule="exact"/>
        <w:ind w:firstLine="683" w:firstLineChars="200"/>
        <w:jc w:val="left"/>
        <w:rPr>
          <w:rFonts w:hint="eastAsia" w:ascii="仿宋_GB2312" w:hAnsi="楷体" w:eastAsia="仿宋_GB2312"/>
          <w:bCs/>
          <w:sz w:val="34"/>
          <w:szCs w:val="34"/>
        </w:rPr>
      </w:pPr>
      <w:r>
        <w:rPr>
          <w:rFonts w:hint="eastAsia" w:ascii="仿宋_GB2312" w:hAnsi="楷体" w:eastAsia="仿宋_GB2312"/>
          <w:b/>
          <w:sz w:val="34"/>
          <w:szCs w:val="34"/>
        </w:rPr>
        <w:t>第十八条</w:t>
      </w:r>
      <w:r>
        <w:rPr>
          <w:rFonts w:hint="eastAsia" w:ascii="仿宋_GB2312" w:hAnsi="楷体" w:eastAsia="仿宋_GB2312"/>
          <w:bCs/>
          <w:sz w:val="34"/>
          <w:szCs w:val="34"/>
        </w:rPr>
        <w:t xml:space="preserve"> 自然人、废旧物资处置单位参照本制度进行管理。</w:t>
      </w:r>
    </w:p>
    <w:p w14:paraId="17955A46">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第十九条</w:t>
      </w:r>
      <w:r>
        <w:rPr>
          <w:rFonts w:hint="eastAsia" w:ascii="仿宋_GB2312" w:hAnsi="楷体" w:eastAsia="仿宋_GB2312"/>
          <w:bCs/>
          <w:sz w:val="34"/>
          <w:szCs w:val="34"/>
        </w:rPr>
        <w:t xml:space="preserve"> 如某一实际控制人所控制的公司被列入负面清单，该实控人直接或间接控制的所有相关公司也视同列入负面清单。</w:t>
      </w:r>
    </w:p>
    <w:p w14:paraId="0C0F4BE2">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第二十条</w:t>
      </w:r>
      <w:r>
        <w:rPr>
          <w:rFonts w:hint="eastAsia" w:ascii="仿宋_GB2312" w:hAnsi="楷体" w:eastAsia="仿宋_GB2312"/>
          <w:bCs/>
          <w:sz w:val="34"/>
          <w:szCs w:val="34"/>
        </w:rPr>
        <w:t xml:space="preserve"> 集团公司开发供应商管理信息系统，实现扣分、清单更新、公示全流程线上化，并与采购系统联动拦截违规供应商。</w:t>
      </w:r>
    </w:p>
    <w:p w14:paraId="32C31890">
      <w:pPr>
        <w:keepNext w:val="0"/>
        <w:keepLines w:val="0"/>
        <w:pageBreakBefore w:val="0"/>
        <w:widowControl/>
        <w:kinsoku/>
        <w:wordWrap/>
        <w:overflowPunct/>
        <w:topLinePunct w:val="0"/>
        <w:autoSpaceDE/>
        <w:autoSpaceDN/>
        <w:bidi w:val="0"/>
        <w:adjustRightInd/>
        <w:spacing w:line="560" w:lineRule="exact"/>
        <w:ind w:firstLine="683" w:firstLineChars="200"/>
        <w:jc w:val="left"/>
        <w:textAlignment w:val="auto"/>
        <w:rPr>
          <w:rFonts w:hint="eastAsia" w:ascii="方正小标宋简体" w:hAnsi="宋体" w:eastAsia="方正小标宋简体" w:cs="宋体"/>
          <w:sz w:val="34"/>
          <w:szCs w:val="34"/>
        </w:rPr>
      </w:pPr>
      <w:r>
        <w:rPr>
          <w:rFonts w:hint="eastAsia" w:ascii="仿宋_GB2312" w:hAnsi="楷体" w:eastAsia="仿宋_GB2312"/>
          <w:b/>
          <w:sz w:val="34"/>
          <w:szCs w:val="34"/>
        </w:rPr>
        <w:t>第二十</w:t>
      </w:r>
      <w:r>
        <w:rPr>
          <w:rFonts w:hint="eastAsia" w:ascii="仿宋_GB2312" w:hAnsi="楷体" w:eastAsia="仿宋_GB2312"/>
          <w:b/>
          <w:sz w:val="34"/>
          <w:szCs w:val="34"/>
          <w:lang w:val="en-US" w:eastAsia="zh-CN"/>
        </w:rPr>
        <w:t>一</w:t>
      </w:r>
      <w:r>
        <w:rPr>
          <w:rFonts w:hint="eastAsia" w:ascii="仿宋_GB2312" w:hAnsi="楷体" w:eastAsia="仿宋_GB2312"/>
          <w:b/>
          <w:sz w:val="34"/>
          <w:szCs w:val="34"/>
        </w:rPr>
        <w:t>条</w:t>
      </w:r>
      <w:r>
        <w:rPr>
          <w:rFonts w:hint="eastAsia" w:ascii="仿宋_GB2312" w:hAnsi="楷体" w:eastAsia="仿宋_GB2312"/>
          <w:b/>
          <w:sz w:val="34"/>
          <w:szCs w:val="34"/>
          <w:lang w:val="en-US" w:eastAsia="zh-CN"/>
        </w:rPr>
        <w:t xml:space="preserve"> </w:t>
      </w:r>
      <w:r>
        <w:rPr>
          <w:rFonts w:hint="eastAsia" w:ascii="仿宋_GB2312" w:hAnsi="仿宋_GB2312" w:eastAsia="仿宋_GB2312" w:cs="仿宋_GB2312"/>
          <w:kern w:val="2"/>
          <w:sz w:val="34"/>
          <w:szCs w:val="34"/>
        </w:rPr>
        <w:t>本</w:t>
      </w:r>
      <w:r>
        <w:rPr>
          <w:rFonts w:hint="eastAsia" w:ascii="仿宋_GB2312" w:hAnsi="仿宋_GB2312" w:eastAsia="仿宋_GB2312" w:cs="仿宋_GB2312"/>
          <w:kern w:val="2"/>
          <w:sz w:val="34"/>
          <w:szCs w:val="34"/>
          <w:lang w:val="en-US" w:eastAsia="zh-CN"/>
        </w:rPr>
        <w:t>规定</w:t>
      </w:r>
      <w:r>
        <w:rPr>
          <w:rFonts w:hint="eastAsia" w:ascii="仿宋_GB2312" w:hAnsi="仿宋_GB2312" w:eastAsia="仿宋_GB2312" w:cs="仿宋_GB2312"/>
          <w:kern w:val="2"/>
          <w:sz w:val="34"/>
          <w:szCs w:val="34"/>
        </w:rPr>
        <w:t>经公司董事会</w:t>
      </w:r>
      <w:r>
        <w:rPr>
          <w:rFonts w:hint="eastAsia" w:ascii="仿宋_GB2312" w:hAnsi="仿宋_GB2312" w:eastAsia="仿宋_GB2312" w:cs="仿宋_GB2312"/>
          <w:kern w:val="2"/>
          <w:sz w:val="34"/>
          <w:szCs w:val="34"/>
          <w:lang w:val="en-US" w:eastAsia="zh-CN"/>
        </w:rPr>
        <w:t>讨论</w:t>
      </w:r>
      <w:r>
        <w:rPr>
          <w:rFonts w:hint="eastAsia" w:ascii="仿宋_GB2312" w:hAnsi="仿宋_GB2312" w:eastAsia="仿宋_GB2312" w:cs="仿宋_GB2312"/>
          <w:kern w:val="2"/>
          <w:sz w:val="34"/>
          <w:szCs w:val="34"/>
        </w:rPr>
        <w:t>通过，自下发之日起实施，</w:t>
      </w:r>
      <w:r>
        <w:rPr>
          <w:rFonts w:hint="eastAsia" w:ascii="仿宋_GB2312" w:hAnsi="仿宋_GB2312" w:eastAsia="仿宋_GB2312" w:cs="仿宋_GB2312"/>
          <w:kern w:val="2"/>
          <w:sz w:val="34"/>
          <w:szCs w:val="34"/>
          <w:lang w:val="en-US" w:eastAsia="zh-CN"/>
        </w:rPr>
        <w:t>解释权归商务合作部所有</w:t>
      </w:r>
      <w:r>
        <w:rPr>
          <w:rFonts w:hint="eastAsia" w:ascii="仿宋_GB2312" w:hAnsi="仿宋_GB2312" w:eastAsia="仿宋_GB2312" w:cs="仿宋_GB2312"/>
          <w:sz w:val="34"/>
          <w:szCs w:val="34"/>
        </w:rPr>
        <w:t>。</w:t>
      </w:r>
      <w:r>
        <w:rPr>
          <w:rFonts w:hint="eastAsia" w:ascii="仿宋_GB2312" w:hAnsi="宋体" w:eastAsia="仿宋_GB2312" w:cs="宋体"/>
          <w:sz w:val="34"/>
          <w:szCs w:val="34"/>
        </w:rPr>
        <w:t>原苏索瑞企字〔2023〕28号索普赛瑞供应商负面清单管理规定（2023年修订版）废止。</w:t>
      </w:r>
    </w:p>
    <w:p w14:paraId="6DACC1F5">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67C5FEA1">
      <w:pPr>
        <w:pageBreakBefore w:val="0"/>
        <w:numPr>
          <w:ilvl w:val="0"/>
          <w:numId w:val="0"/>
        </w:numPr>
        <w:kinsoku/>
        <w:wordWrap/>
        <w:overflowPunct/>
        <w:topLinePunct w:val="0"/>
        <w:autoSpaceDE/>
        <w:autoSpaceDN/>
        <w:bidi w:val="0"/>
        <w:adjustRightInd w:val="0"/>
        <w:snapToGrid w:val="0"/>
        <w:spacing w:line="58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附件1.供应商考核表</w:t>
      </w:r>
    </w:p>
    <w:p w14:paraId="40C6DC9F">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60EB36F9">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505DC642">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1FE0D73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right"/>
        <w:textAlignment w:val="auto"/>
        <w:rPr>
          <w:rFonts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江苏索普赛瑞装备制造有限公司</w:t>
      </w:r>
    </w:p>
    <w:p w14:paraId="7A8E2CAD">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2</w:t>
      </w:r>
      <w:r>
        <w:rPr>
          <w:rFonts w:ascii="仿宋_GB2312" w:hAnsi="仿宋_GB2312" w:eastAsia="仿宋_GB2312" w:cs="Times New Roman"/>
          <w:color w:val="000000"/>
          <w:sz w:val="34"/>
          <w:szCs w:val="34"/>
        </w:rPr>
        <w:t>02</w:t>
      </w:r>
      <w:r>
        <w:rPr>
          <w:rFonts w:hint="eastAsia" w:ascii="仿宋_GB2312" w:hAnsi="仿宋_GB2312" w:eastAsia="仿宋_GB2312" w:cs="Times New Roman"/>
          <w:color w:val="000000"/>
          <w:sz w:val="34"/>
          <w:szCs w:val="34"/>
          <w:lang w:val="en-US" w:eastAsia="zh-CN"/>
        </w:rPr>
        <w:t>5</w:t>
      </w:r>
      <w:r>
        <w:rPr>
          <w:rFonts w:hint="eastAsia" w:ascii="仿宋_GB2312" w:hAnsi="仿宋_GB2312" w:eastAsia="仿宋_GB2312" w:cs="Times New Roman"/>
          <w:color w:val="000000"/>
          <w:sz w:val="34"/>
          <w:szCs w:val="34"/>
        </w:rPr>
        <w:t>年</w:t>
      </w:r>
      <w:r>
        <w:rPr>
          <w:rFonts w:hint="eastAsia" w:ascii="仿宋_GB2312" w:hAnsi="仿宋_GB2312" w:eastAsia="仿宋_GB2312" w:cs="Times New Roman"/>
          <w:color w:val="000000"/>
          <w:sz w:val="34"/>
          <w:szCs w:val="34"/>
          <w:lang w:val="en-US" w:eastAsia="zh-CN"/>
        </w:rPr>
        <w:t>6</w:t>
      </w:r>
      <w:r>
        <w:rPr>
          <w:rFonts w:hint="eastAsia" w:ascii="仿宋_GB2312" w:hAnsi="仿宋_GB2312" w:eastAsia="仿宋_GB2312" w:cs="Times New Roman"/>
          <w:color w:val="000000"/>
          <w:sz w:val="34"/>
          <w:szCs w:val="34"/>
        </w:rPr>
        <w:t>月</w:t>
      </w:r>
      <w:r>
        <w:rPr>
          <w:rFonts w:hint="eastAsia" w:ascii="仿宋_GB2312" w:hAnsi="仿宋_GB2312" w:eastAsia="仿宋_GB2312" w:cs="Times New Roman"/>
          <w:color w:val="000000"/>
          <w:sz w:val="34"/>
          <w:szCs w:val="34"/>
          <w:lang w:val="en-US" w:eastAsia="zh-CN"/>
        </w:rPr>
        <w:t>4</w:t>
      </w:r>
      <w:r>
        <w:rPr>
          <w:rFonts w:hint="eastAsia" w:ascii="仿宋_GB2312" w:hAnsi="仿宋_GB2312" w:eastAsia="仿宋_GB2312" w:cs="Times New Roman"/>
          <w:color w:val="000000"/>
          <w:sz w:val="34"/>
          <w:szCs w:val="34"/>
        </w:rPr>
        <w:t>日</w:t>
      </w:r>
    </w:p>
    <w:p w14:paraId="698E7A09">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79F41116">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28004EE0">
      <w:pPr>
        <w:widowControl/>
        <w:wordWrap/>
        <w:snapToGrid/>
        <w:spacing w:line="600" w:lineRule="exact"/>
        <w:ind w:firstLine="210" w:firstLineChars="100"/>
        <w:jc w:val="left"/>
        <w:textAlignment w:val="auto"/>
        <w:rPr>
          <w:rFonts w:hint="eastAsia" w:ascii="仿宋_GB2312" w:hAnsi="仿宋_GB2312" w:eastAsia="仿宋_GB2312" w:cs="仿宋_GB2312"/>
          <w:w w:val="75"/>
          <w:sz w:val="34"/>
          <w:szCs w:val="34"/>
          <w:highlight w:val="none"/>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415925</wp:posOffset>
                </wp:positionV>
                <wp:extent cx="5579745" cy="127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2.75pt;height:0.1pt;width:439.35pt;z-index:251659264;mso-width-relative:page;mso-height-relative:page;" filled="f" stroked="t" coordsize="21600,21600" o:gfxdata="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96Gh1wAAAAgBAAAPAAAAAAAAAAEAIAAAACIAAABkcnMvZG93bnJl&#10;di54bWxQSwECFAAUAAAACACHTuJAwn6zzf4BAAD3AwAADgAAAAAAAAABACAAAAAmAQAAZHJzL2Uy&#10;b0RvYy54bWxQSwUGAAAAAAYABgBZAQAAlgUAAAAA&#10;">
                <v:fill on="f" focussize="0,0"/>
                <v:stroke color="#000000" joinstyle="round"/>
                <v:imagedata o:title=""/>
                <o:lock v:ext="edit" aspectratio="f"/>
              </v:lin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79375</wp:posOffset>
                </wp:positionV>
                <wp:extent cx="557974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6.25pt;height:0.1pt;width:439.35pt;z-index:251660288;mso-width-relative:page;mso-height-relative:page;" filled="f" stroked="t" coordsize="21600,21600" o:gfxdata="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ZM0xNMAAAAHAQAADwAAAAAAAAABACAAAAAiAAAAZHJzL2Rvd25yZXYueG1s&#10;UEsBAhQAFAAAAAgAh07iQM8E3Mn9AQAA9w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仿宋" w:eastAsia="仿宋_GB2312"/>
          <w:sz w:val="34"/>
          <w:szCs w:val="34"/>
        </w:rPr>
        <w:t>江苏索普</w:t>
      </w:r>
      <w:r>
        <w:rPr>
          <w:rFonts w:hint="eastAsia" w:ascii="仿宋_GB2312" w:hAnsi="仿宋" w:eastAsia="仿宋_GB2312"/>
          <w:sz w:val="34"/>
          <w:szCs w:val="34"/>
          <w:lang w:eastAsia="zh-CN"/>
        </w:rPr>
        <w:t>赛瑞装备制造</w:t>
      </w:r>
      <w:r>
        <w:rPr>
          <w:rFonts w:hint="eastAsia" w:ascii="仿宋_GB2312" w:hAnsi="仿宋" w:eastAsia="仿宋_GB2312"/>
          <w:sz w:val="34"/>
          <w:szCs w:val="34"/>
        </w:rPr>
        <w:t>有限公司</w:t>
      </w:r>
      <w:r>
        <w:rPr>
          <w:rFonts w:hint="eastAsia" w:ascii="仿宋_GB2312" w:hAnsi="仿宋_GB2312" w:eastAsia="仿宋_GB2312" w:cs="仿宋_GB2312"/>
          <w:w w:val="75"/>
          <w:sz w:val="34"/>
          <w:szCs w:val="34"/>
          <w:lang w:val="en-US" w:eastAsia="zh-CN"/>
        </w:rPr>
        <w:t xml:space="preserve">           </w:t>
      </w:r>
      <w:r>
        <w:rPr>
          <w:rFonts w:hint="eastAsia" w:ascii="仿宋_GB2312" w:hAnsi="仿宋_GB2312" w:eastAsia="仿宋_GB2312" w:cs="仿宋_GB2312"/>
          <w:w w:val="75"/>
          <w:sz w:val="34"/>
          <w:szCs w:val="34"/>
          <w:highlight w:val="none"/>
        </w:rPr>
        <w:t>20</w:t>
      </w:r>
      <w:r>
        <w:rPr>
          <w:rFonts w:hint="eastAsia" w:ascii="仿宋_GB2312" w:hAnsi="仿宋_GB2312" w:eastAsia="仿宋_GB2312" w:cs="仿宋_GB2312"/>
          <w:w w:val="75"/>
          <w:sz w:val="34"/>
          <w:szCs w:val="34"/>
          <w:highlight w:val="none"/>
          <w:lang w:val="en-US" w:eastAsia="zh-CN"/>
        </w:rPr>
        <w:t>25年6</w:t>
      </w:r>
      <w:r>
        <w:rPr>
          <w:rFonts w:hint="eastAsia" w:ascii="仿宋_GB2312" w:hAnsi="仿宋_GB2312" w:eastAsia="仿宋_GB2312" w:cs="仿宋_GB2312"/>
          <w:w w:val="75"/>
          <w:sz w:val="34"/>
          <w:szCs w:val="34"/>
          <w:highlight w:val="none"/>
        </w:rPr>
        <w:t>月</w:t>
      </w:r>
      <w:r>
        <w:rPr>
          <w:rFonts w:hint="eastAsia" w:ascii="仿宋_GB2312" w:hAnsi="仿宋_GB2312" w:eastAsia="仿宋_GB2312" w:cs="仿宋_GB2312"/>
          <w:w w:val="75"/>
          <w:sz w:val="34"/>
          <w:szCs w:val="34"/>
          <w:highlight w:val="none"/>
          <w:lang w:val="en-US" w:eastAsia="zh-CN"/>
        </w:rPr>
        <w:t>4</w:t>
      </w:r>
      <w:r>
        <w:rPr>
          <w:rFonts w:hint="eastAsia" w:ascii="仿宋_GB2312" w:hAnsi="仿宋_GB2312" w:eastAsia="仿宋_GB2312" w:cs="仿宋_GB2312"/>
          <w:w w:val="75"/>
          <w:sz w:val="34"/>
          <w:szCs w:val="34"/>
          <w:highlight w:val="none"/>
        </w:rPr>
        <w:t>日发</w:t>
      </w:r>
    </w:p>
    <w:p w14:paraId="4FE73607">
      <w:pPr>
        <w:jc w:val="left"/>
        <w:rPr>
          <w:rFonts w:hint="eastAsia" w:ascii="黑体" w:hAnsi="黑体" w:eastAsia="黑体" w:cs="黑体"/>
          <w:bCs/>
          <w:kern w:val="0"/>
          <w:sz w:val="34"/>
          <w:szCs w:val="34"/>
        </w:rPr>
        <w:sectPr>
          <w:headerReference r:id="rId3" w:type="default"/>
          <w:footerReference r:id="rId4" w:type="default"/>
          <w:pgSz w:w="11906" w:h="16838"/>
          <w:pgMar w:top="1757" w:right="1417" w:bottom="1757" w:left="1417" w:header="851" w:footer="992" w:gutter="0"/>
          <w:cols w:space="720" w:num="1"/>
          <w:docGrid w:type="lines" w:linePitch="312" w:charSpace="0"/>
        </w:sectPr>
      </w:pPr>
    </w:p>
    <w:p w14:paraId="30882BD6">
      <w:pPr>
        <w:jc w:val="left"/>
        <w:rPr>
          <w:rFonts w:hint="eastAsia" w:ascii="黑体" w:hAnsi="黑体" w:eastAsia="黑体" w:cs="黑体"/>
          <w:bCs/>
          <w:kern w:val="0"/>
          <w:sz w:val="34"/>
          <w:szCs w:val="34"/>
          <w:lang w:eastAsia="zh-CN"/>
        </w:rPr>
      </w:pPr>
      <w:r>
        <w:rPr>
          <w:rFonts w:hint="eastAsia" w:ascii="黑体" w:hAnsi="黑体" w:eastAsia="黑体" w:cs="黑体"/>
          <w:bCs/>
          <w:kern w:val="0"/>
          <w:sz w:val="34"/>
          <w:szCs w:val="34"/>
        </w:rPr>
        <w:t>附件</w:t>
      </w:r>
      <w:r>
        <w:rPr>
          <w:rFonts w:hint="eastAsia" w:ascii="黑体" w:hAnsi="黑体" w:eastAsia="黑体" w:cs="黑体"/>
          <w:bCs/>
          <w:kern w:val="0"/>
          <w:sz w:val="34"/>
          <w:szCs w:val="34"/>
          <w:lang w:val="en-US" w:eastAsia="zh-CN"/>
        </w:rPr>
        <w:t>1</w:t>
      </w:r>
    </w:p>
    <w:tbl>
      <w:tblPr>
        <w:tblStyle w:val="10"/>
        <w:tblW w:w="14225"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55"/>
        <w:gridCol w:w="1200"/>
        <w:gridCol w:w="1250"/>
        <w:gridCol w:w="109"/>
        <w:gridCol w:w="487"/>
        <w:gridCol w:w="799"/>
      </w:tblGrid>
      <w:tr w14:paraId="6603EA36">
        <w:tblPrEx>
          <w:tblCellMar>
            <w:top w:w="0" w:type="dxa"/>
            <w:left w:w="108" w:type="dxa"/>
            <w:bottom w:w="0" w:type="dxa"/>
            <w:right w:w="108" w:type="dxa"/>
          </w:tblCellMar>
        </w:tblPrEx>
        <w:trPr>
          <w:trHeight w:val="375" w:hRule="atLeast"/>
        </w:trPr>
        <w:tc>
          <w:tcPr>
            <w:tcW w:w="11580" w:type="dxa"/>
            <w:gridSpan w:val="12"/>
            <w:tcBorders>
              <w:top w:val="nil"/>
              <w:left w:val="nil"/>
              <w:bottom w:val="nil"/>
              <w:right w:val="nil"/>
            </w:tcBorders>
            <w:noWrap w:val="0"/>
            <w:vAlign w:val="center"/>
          </w:tcPr>
          <w:p w14:paraId="099EC63C">
            <w:pPr>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359" w:type="dxa"/>
            <w:gridSpan w:val="2"/>
            <w:tcBorders>
              <w:top w:val="nil"/>
              <w:left w:val="nil"/>
              <w:bottom w:val="nil"/>
              <w:right w:val="nil"/>
            </w:tcBorders>
            <w:noWrap w:val="0"/>
            <w:vAlign w:val="center"/>
          </w:tcPr>
          <w:p w14:paraId="0C5B5F4D">
            <w:pPr>
              <w:jc w:val="center"/>
              <w:rPr>
                <w:rFonts w:hint="eastAsia" w:ascii="方正小标宋简体" w:hAnsi="宋体" w:eastAsia="方正小标宋简体" w:cs="宋体"/>
                <w:bCs/>
                <w:kern w:val="0"/>
                <w:sz w:val="44"/>
                <w:szCs w:val="44"/>
              </w:rPr>
            </w:pPr>
          </w:p>
        </w:tc>
        <w:tc>
          <w:tcPr>
            <w:tcW w:w="1286" w:type="dxa"/>
            <w:gridSpan w:val="2"/>
            <w:tcBorders>
              <w:top w:val="nil"/>
              <w:left w:val="nil"/>
              <w:bottom w:val="nil"/>
              <w:right w:val="nil"/>
            </w:tcBorders>
            <w:noWrap w:val="0"/>
            <w:vAlign w:val="center"/>
          </w:tcPr>
          <w:p w14:paraId="70696530">
            <w:pPr>
              <w:jc w:val="center"/>
              <w:rPr>
                <w:rFonts w:hint="eastAsia" w:ascii="方正小标宋简体" w:hAnsi="宋体" w:eastAsia="方正小标宋简体" w:cs="宋体"/>
                <w:bCs/>
                <w:kern w:val="0"/>
                <w:sz w:val="44"/>
                <w:szCs w:val="44"/>
              </w:rPr>
            </w:pPr>
          </w:p>
        </w:tc>
      </w:tr>
      <w:tr w14:paraId="0CE202F1">
        <w:tblPrEx>
          <w:tblCellMar>
            <w:top w:w="0" w:type="dxa"/>
            <w:left w:w="108" w:type="dxa"/>
            <w:bottom w:w="0" w:type="dxa"/>
            <w:right w:w="108" w:type="dxa"/>
          </w:tblCellMar>
        </w:tblPrEx>
        <w:trPr>
          <w:trHeight w:val="285" w:hRule="atLeast"/>
        </w:trPr>
        <w:tc>
          <w:tcPr>
            <w:tcW w:w="11580" w:type="dxa"/>
            <w:gridSpan w:val="12"/>
            <w:tcBorders>
              <w:top w:val="nil"/>
              <w:left w:val="nil"/>
              <w:bottom w:val="nil"/>
              <w:right w:val="nil"/>
            </w:tcBorders>
            <w:noWrap w:val="0"/>
            <w:vAlign w:val="center"/>
          </w:tcPr>
          <w:p w14:paraId="5A0405B2">
            <w:pPr>
              <w:jc w:val="left"/>
              <w:rPr>
                <w:rFonts w:hint="eastAsia" w:ascii="宋体" w:hAnsi="宋体" w:cs="宋体"/>
                <w:bCs/>
                <w:kern w:val="0"/>
                <w:sz w:val="24"/>
                <w:szCs w:val="24"/>
              </w:rPr>
            </w:pPr>
            <w:r>
              <w:rPr>
                <w:rFonts w:hint="eastAsia" w:ascii="宋体" w:hAnsi="宋体" w:cs="宋体"/>
                <w:bCs/>
                <w:kern w:val="0"/>
                <w:sz w:val="24"/>
                <w:szCs w:val="24"/>
              </w:rPr>
              <w:t xml:space="preserve">                                                                      　 时间：    年   月   日                                                           </w:t>
            </w:r>
          </w:p>
        </w:tc>
        <w:tc>
          <w:tcPr>
            <w:tcW w:w="1359" w:type="dxa"/>
            <w:gridSpan w:val="2"/>
            <w:tcBorders>
              <w:top w:val="nil"/>
              <w:left w:val="nil"/>
              <w:bottom w:val="nil"/>
              <w:right w:val="nil"/>
            </w:tcBorders>
            <w:noWrap w:val="0"/>
            <w:vAlign w:val="center"/>
          </w:tcPr>
          <w:p w14:paraId="412D6814">
            <w:pPr>
              <w:jc w:val="left"/>
              <w:rPr>
                <w:rFonts w:hint="eastAsia" w:ascii="宋体" w:hAnsi="宋体" w:cs="宋体"/>
                <w:bCs/>
                <w:kern w:val="0"/>
                <w:sz w:val="24"/>
                <w:szCs w:val="24"/>
              </w:rPr>
            </w:pPr>
          </w:p>
        </w:tc>
        <w:tc>
          <w:tcPr>
            <w:tcW w:w="1286" w:type="dxa"/>
            <w:gridSpan w:val="2"/>
            <w:tcBorders>
              <w:top w:val="nil"/>
              <w:left w:val="nil"/>
              <w:bottom w:val="nil"/>
              <w:right w:val="nil"/>
            </w:tcBorders>
            <w:noWrap w:val="0"/>
            <w:vAlign w:val="center"/>
          </w:tcPr>
          <w:p w14:paraId="0A29BA14">
            <w:pPr>
              <w:jc w:val="left"/>
              <w:rPr>
                <w:rFonts w:hint="eastAsia" w:ascii="宋体" w:hAnsi="宋体" w:cs="宋体"/>
                <w:bCs/>
                <w:kern w:val="0"/>
                <w:sz w:val="24"/>
                <w:szCs w:val="24"/>
              </w:rPr>
            </w:pPr>
          </w:p>
        </w:tc>
      </w:tr>
      <w:tr w14:paraId="435235FF">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56C5EA82">
            <w:pPr>
              <w:jc w:val="center"/>
              <w:rPr>
                <w:rFonts w:ascii="宋体" w:hAnsi="宋体" w:cs="宋体"/>
                <w:bCs/>
                <w:kern w:val="0"/>
                <w:sz w:val="24"/>
                <w:szCs w:val="24"/>
              </w:rPr>
            </w:pPr>
            <w:r>
              <w:rPr>
                <w:rFonts w:hint="eastAsia" w:ascii="宋体" w:hAnsi="宋体" w:cs="宋体"/>
                <w:bCs/>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281AC234">
            <w:pPr>
              <w:jc w:val="center"/>
              <w:rPr>
                <w:rFonts w:ascii="宋体" w:hAnsi="宋体" w:cs="宋体"/>
                <w:bCs/>
                <w:kern w:val="0"/>
                <w:sz w:val="24"/>
                <w:szCs w:val="24"/>
              </w:rPr>
            </w:pPr>
            <w:r>
              <w:rPr>
                <w:rFonts w:hint="eastAsia" w:ascii="宋体" w:hAnsi="宋体" w:cs="宋体"/>
                <w:bCs/>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2BD5A20D">
            <w:pPr>
              <w:jc w:val="center"/>
              <w:rPr>
                <w:rFonts w:ascii="宋体" w:hAnsi="宋体" w:cs="宋体"/>
                <w:bCs/>
                <w:kern w:val="0"/>
                <w:sz w:val="24"/>
                <w:szCs w:val="24"/>
              </w:rPr>
            </w:pPr>
            <w:r>
              <w:rPr>
                <w:rFonts w:hint="eastAsia" w:ascii="宋体" w:hAnsi="宋体" w:cs="宋体"/>
                <w:bCs/>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69E38BAF">
            <w:pPr>
              <w:jc w:val="center"/>
              <w:rPr>
                <w:rFonts w:ascii="宋体" w:hAnsi="宋体" w:cs="宋体"/>
                <w:bCs/>
                <w:kern w:val="0"/>
                <w:sz w:val="24"/>
                <w:szCs w:val="24"/>
              </w:rPr>
            </w:pPr>
            <w:r>
              <w:rPr>
                <w:rFonts w:hint="eastAsia" w:ascii="宋体" w:hAnsi="宋体" w:cs="宋体"/>
                <w:bCs/>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642D8C9">
            <w:pPr>
              <w:jc w:val="center"/>
              <w:rPr>
                <w:rFonts w:hint="eastAsia" w:ascii="宋体" w:hAnsi="宋体" w:cs="宋体"/>
                <w:bCs/>
                <w:kern w:val="0"/>
                <w:sz w:val="24"/>
                <w:szCs w:val="24"/>
              </w:rPr>
            </w:pPr>
            <w:r>
              <w:rPr>
                <w:rFonts w:hint="eastAsia" w:ascii="宋体" w:hAnsi="宋体" w:cs="宋体"/>
                <w:bCs/>
                <w:kern w:val="0"/>
                <w:sz w:val="24"/>
                <w:szCs w:val="24"/>
              </w:rPr>
              <w:t>扣分时间</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213A7684">
            <w:pPr>
              <w:jc w:val="center"/>
              <w:rPr>
                <w:rFonts w:hint="eastAsia" w:ascii="宋体" w:hAnsi="宋体" w:cs="宋体"/>
                <w:bCs/>
                <w:kern w:val="0"/>
                <w:sz w:val="24"/>
                <w:szCs w:val="24"/>
              </w:rPr>
            </w:pPr>
            <w:r>
              <w:rPr>
                <w:rFonts w:hint="eastAsia" w:ascii="宋体" w:hAnsi="宋体" w:cs="宋体"/>
                <w:bCs/>
                <w:kern w:val="0"/>
                <w:sz w:val="24"/>
                <w:szCs w:val="24"/>
              </w:rPr>
              <w:t>总体评估</w:t>
            </w:r>
          </w:p>
        </w:tc>
        <w:tc>
          <w:tcPr>
            <w:tcW w:w="596" w:type="dxa"/>
            <w:gridSpan w:val="2"/>
            <w:vMerge w:val="restart"/>
            <w:tcBorders>
              <w:top w:val="single" w:color="auto" w:sz="4" w:space="0"/>
              <w:left w:val="single" w:color="auto" w:sz="4" w:space="0"/>
              <w:right w:val="single" w:color="auto" w:sz="4" w:space="0"/>
            </w:tcBorders>
            <w:noWrap w:val="0"/>
            <w:vAlign w:val="center"/>
          </w:tcPr>
          <w:p w14:paraId="36433EE5">
            <w:pPr>
              <w:jc w:val="center"/>
              <w:rPr>
                <w:rFonts w:hint="eastAsia" w:ascii="宋体" w:hAnsi="宋体" w:cs="宋体"/>
                <w:bCs/>
                <w:kern w:val="0"/>
                <w:sz w:val="24"/>
                <w:szCs w:val="24"/>
              </w:rPr>
            </w:pPr>
            <w:r>
              <w:rPr>
                <w:rFonts w:hint="eastAsia" w:ascii="宋体" w:hAnsi="宋体" w:cs="宋体"/>
                <w:bCs/>
                <w:kern w:val="0"/>
                <w:sz w:val="24"/>
                <w:szCs w:val="24"/>
              </w:rPr>
              <w:t>备注</w:t>
            </w:r>
          </w:p>
        </w:tc>
      </w:tr>
      <w:tr w14:paraId="1E695A66">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5A05D47C">
            <w:pPr>
              <w:jc w:val="center"/>
              <w:rPr>
                <w:rFonts w:ascii="宋体" w:hAnsi="宋体" w:cs="宋体"/>
                <w:bCs/>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14:paraId="5731E646">
            <w:pPr>
              <w:jc w:val="center"/>
              <w:rPr>
                <w:rFonts w:ascii="宋体" w:hAnsi="宋体" w:cs="宋体"/>
                <w:bCs/>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14:paraId="241BDDC0">
            <w:pPr>
              <w:jc w:val="center"/>
              <w:rPr>
                <w:rFonts w:ascii="宋体" w:hAnsi="宋体" w:cs="宋体"/>
                <w:bCs/>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14:paraId="7CC168EB">
            <w:pPr>
              <w:jc w:val="center"/>
              <w:rPr>
                <w:rFonts w:ascii="宋体" w:hAnsi="宋体" w:cs="宋体"/>
                <w:bCs/>
                <w:kern w:val="0"/>
                <w:sz w:val="24"/>
                <w:szCs w:val="24"/>
              </w:rPr>
            </w:pPr>
            <w:r>
              <w:rPr>
                <w:rFonts w:hint="eastAsia" w:ascii="宋体" w:hAnsi="宋体" w:cs="宋体"/>
                <w:bCs/>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14:paraId="3B0981FA">
            <w:pPr>
              <w:jc w:val="center"/>
              <w:rPr>
                <w:rFonts w:ascii="宋体" w:hAnsi="宋体" w:cs="宋体"/>
                <w:bCs/>
                <w:kern w:val="0"/>
                <w:sz w:val="24"/>
                <w:szCs w:val="24"/>
              </w:rPr>
            </w:pPr>
            <w:r>
              <w:rPr>
                <w:rFonts w:hint="eastAsia" w:ascii="宋体" w:hAnsi="宋体" w:cs="宋体"/>
                <w:bCs/>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14:paraId="450FED18">
            <w:pPr>
              <w:jc w:val="center"/>
              <w:rPr>
                <w:rFonts w:ascii="宋体" w:hAnsi="宋体" w:cs="宋体"/>
                <w:bCs/>
                <w:kern w:val="0"/>
                <w:sz w:val="24"/>
                <w:szCs w:val="24"/>
              </w:rPr>
            </w:pPr>
            <w:r>
              <w:rPr>
                <w:rFonts w:hint="eastAsia" w:ascii="宋体" w:hAnsi="宋体" w:cs="宋体"/>
                <w:bCs/>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14:paraId="758A5535">
            <w:pPr>
              <w:jc w:val="center"/>
              <w:rPr>
                <w:rFonts w:ascii="宋体" w:hAnsi="宋体" w:cs="宋体"/>
                <w:bCs/>
                <w:kern w:val="0"/>
                <w:sz w:val="24"/>
                <w:szCs w:val="24"/>
              </w:rPr>
            </w:pPr>
            <w:r>
              <w:rPr>
                <w:rFonts w:hint="eastAsia" w:ascii="宋体" w:hAnsi="宋体" w:cs="宋体"/>
                <w:bCs/>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14:paraId="26ECDF2D">
            <w:pPr>
              <w:jc w:val="center"/>
              <w:rPr>
                <w:rFonts w:hint="eastAsia" w:ascii="宋体" w:hAnsi="宋体" w:cs="宋体"/>
                <w:bCs/>
                <w:kern w:val="0"/>
                <w:sz w:val="24"/>
                <w:szCs w:val="24"/>
              </w:rPr>
            </w:pPr>
            <w:r>
              <w:rPr>
                <w:rFonts w:hint="eastAsia" w:ascii="宋体" w:hAnsi="宋体" w:cs="宋体"/>
                <w:bCs/>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14:paraId="05203F4E">
            <w:pPr>
              <w:jc w:val="center"/>
              <w:rPr>
                <w:rFonts w:ascii="宋体" w:hAnsi="宋体" w:cs="宋体"/>
                <w:bCs/>
                <w:kern w:val="0"/>
                <w:sz w:val="24"/>
                <w:szCs w:val="24"/>
              </w:rPr>
            </w:pPr>
            <w:r>
              <w:rPr>
                <w:rFonts w:hint="eastAsia" w:ascii="宋体" w:hAnsi="宋体" w:cs="宋体"/>
                <w:bCs/>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7B227A3E">
            <w:pPr>
              <w:jc w:val="center"/>
              <w:rPr>
                <w:rFonts w:ascii="宋体" w:hAnsi="宋体" w:cs="宋体"/>
                <w:bCs/>
                <w:kern w:val="0"/>
                <w:sz w:val="24"/>
                <w:szCs w:val="24"/>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D90FCA1">
            <w:pPr>
              <w:jc w:val="center"/>
              <w:rPr>
                <w:rFonts w:hint="eastAsia" w:ascii="宋体" w:hAnsi="宋体" w:cs="宋体"/>
                <w:bCs/>
                <w:kern w:val="0"/>
                <w:sz w:val="24"/>
                <w:szCs w:val="24"/>
              </w:rPr>
            </w:pPr>
            <w:r>
              <w:rPr>
                <w:rFonts w:hint="eastAsia" w:ascii="宋体" w:hAnsi="宋体" w:cs="宋体"/>
                <w:bCs/>
                <w:kern w:val="0"/>
                <w:sz w:val="24"/>
                <w:szCs w:val="24"/>
              </w:rPr>
              <w:t>合格供应商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7F532A">
            <w:pPr>
              <w:jc w:val="center"/>
              <w:rPr>
                <w:rFonts w:ascii="宋体" w:hAnsi="宋体" w:cs="宋体"/>
                <w:bCs/>
                <w:kern w:val="0"/>
                <w:sz w:val="24"/>
                <w:szCs w:val="24"/>
              </w:rPr>
            </w:pPr>
            <w:r>
              <w:rPr>
                <w:rFonts w:hint="eastAsia" w:ascii="宋体" w:hAnsi="宋体" w:cs="宋体"/>
                <w:bCs/>
                <w:kern w:val="0"/>
                <w:sz w:val="24"/>
                <w:szCs w:val="24"/>
              </w:rPr>
              <w:t>暂停合作供应商</w:t>
            </w:r>
          </w:p>
        </w:tc>
        <w:tc>
          <w:tcPr>
            <w:tcW w:w="1250" w:type="dxa"/>
            <w:tcBorders>
              <w:top w:val="single" w:color="auto" w:sz="4" w:space="0"/>
              <w:left w:val="nil"/>
              <w:bottom w:val="single" w:color="auto" w:sz="4" w:space="0"/>
              <w:right w:val="single" w:color="auto" w:sz="4" w:space="0"/>
            </w:tcBorders>
            <w:noWrap w:val="0"/>
            <w:vAlign w:val="center"/>
          </w:tcPr>
          <w:p w14:paraId="455BD3E3">
            <w:pPr>
              <w:jc w:val="center"/>
              <w:rPr>
                <w:rFonts w:hint="eastAsia" w:ascii="宋体" w:hAnsi="宋体" w:cs="宋体"/>
                <w:bCs/>
                <w:kern w:val="0"/>
                <w:sz w:val="24"/>
                <w:szCs w:val="24"/>
              </w:rPr>
            </w:pPr>
            <w:r>
              <w:rPr>
                <w:rFonts w:hint="eastAsia" w:ascii="宋体" w:hAnsi="宋体" w:cs="宋体"/>
                <w:bCs/>
                <w:kern w:val="0"/>
                <w:sz w:val="24"/>
                <w:szCs w:val="24"/>
              </w:rPr>
              <w:t>禁止合作供应商</w:t>
            </w:r>
          </w:p>
        </w:tc>
        <w:tc>
          <w:tcPr>
            <w:tcW w:w="596" w:type="dxa"/>
            <w:gridSpan w:val="2"/>
            <w:vMerge w:val="continue"/>
            <w:tcBorders>
              <w:left w:val="single" w:color="auto" w:sz="4" w:space="0"/>
              <w:bottom w:val="single" w:color="auto" w:sz="4" w:space="0"/>
              <w:right w:val="single" w:color="auto" w:sz="4" w:space="0"/>
            </w:tcBorders>
            <w:noWrap w:val="0"/>
            <w:vAlign w:val="center"/>
          </w:tcPr>
          <w:p w14:paraId="7AEFC9FD">
            <w:pPr>
              <w:jc w:val="center"/>
              <w:rPr>
                <w:rFonts w:hint="eastAsia" w:ascii="宋体" w:hAnsi="宋体" w:cs="宋体"/>
                <w:bCs/>
                <w:kern w:val="0"/>
                <w:sz w:val="24"/>
                <w:szCs w:val="24"/>
              </w:rPr>
            </w:pPr>
          </w:p>
        </w:tc>
      </w:tr>
      <w:tr w14:paraId="2C1684D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61C99D3">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28B29009">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5E14057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22FC9C0B">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582AB12">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3A2B01C1">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4293BF3E">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B156711">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E8ADC8">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E8CD0EF">
            <w:pPr>
              <w:jc w:val="center"/>
              <w:rPr>
                <w:rFonts w:hint="eastAsia" w:ascii="宋体" w:hAnsi="宋体" w:cs="宋体"/>
                <w:bCs/>
                <w:kern w:val="0"/>
                <w:sz w:val="24"/>
                <w:szCs w:val="24"/>
              </w:rPr>
            </w:pPr>
          </w:p>
        </w:tc>
        <w:tc>
          <w:tcPr>
            <w:tcW w:w="955" w:type="dxa"/>
            <w:tcBorders>
              <w:top w:val="single" w:color="auto" w:sz="4" w:space="0"/>
              <w:left w:val="nil"/>
              <w:bottom w:val="single" w:color="auto" w:sz="4" w:space="0"/>
              <w:right w:val="single" w:color="auto" w:sz="4" w:space="0"/>
            </w:tcBorders>
            <w:noWrap w:val="0"/>
            <w:vAlign w:val="center"/>
          </w:tcPr>
          <w:p w14:paraId="3A28DB02">
            <w:pPr>
              <w:jc w:val="center"/>
              <w:rPr>
                <w:rFonts w:ascii="Calibri" w:hAnsi="Calibri" w:cs="宋体"/>
                <w:bCs/>
                <w:kern w:val="0"/>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2D8DE760">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3352CE47">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12B01BB4">
            <w:pPr>
              <w:jc w:val="center"/>
              <w:rPr>
                <w:rFonts w:ascii="Calibri" w:hAnsi="Calibri" w:cs="宋体"/>
                <w:bCs/>
                <w:kern w:val="0"/>
                <w:sz w:val="24"/>
                <w:szCs w:val="24"/>
              </w:rPr>
            </w:pPr>
          </w:p>
        </w:tc>
      </w:tr>
      <w:tr w14:paraId="6DB2B693">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6726B0DF">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65D3A8F9">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564DA506">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79708B18">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32FB636E">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43BA5501">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688B670F">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05382BE">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D51FCE7">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8803658">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75D4E043">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082CB061">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0A8439C3">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101619C8">
            <w:pPr>
              <w:jc w:val="center"/>
              <w:rPr>
                <w:rFonts w:ascii="Calibri" w:hAnsi="Calibri" w:cs="宋体"/>
                <w:bCs/>
                <w:kern w:val="0"/>
                <w:sz w:val="24"/>
                <w:szCs w:val="24"/>
              </w:rPr>
            </w:pPr>
          </w:p>
        </w:tc>
      </w:tr>
      <w:tr w14:paraId="2B03F02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8E41F42">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40095507">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483B1130">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2D54B11F">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39EC9A12">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2D0BF48C">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2EB31058">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31154E3">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70C6183">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6F24DFC">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66E6E33C">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55081419">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6EC772E">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1740313F">
            <w:pPr>
              <w:jc w:val="center"/>
              <w:rPr>
                <w:rFonts w:ascii="Calibri" w:hAnsi="Calibri" w:cs="宋体"/>
                <w:bCs/>
                <w:kern w:val="0"/>
                <w:sz w:val="24"/>
                <w:szCs w:val="24"/>
              </w:rPr>
            </w:pPr>
          </w:p>
        </w:tc>
      </w:tr>
      <w:tr w14:paraId="146A26B0">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C1D1BE1">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D7CDF90">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0140A6FA">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1104601A">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7DDA8C6">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1892E1C">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1C757533">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52F28C4">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E312498">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C7EF113">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143CD102">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7C068BD9">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3D903B3B">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1CC7D616">
            <w:pPr>
              <w:jc w:val="center"/>
              <w:rPr>
                <w:rFonts w:ascii="Calibri" w:hAnsi="Calibri" w:cs="宋体"/>
                <w:bCs/>
                <w:kern w:val="0"/>
                <w:sz w:val="24"/>
                <w:szCs w:val="24"/>
              </w:rPr>
            </w:pPr>
          </w:p>
        </w:tc>
      </w:tr>
      <w:tr w14:paraId="5694B47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B68F4D4">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12307E07">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2B08CBE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3A8A595D">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32F0B99E">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D6D1008">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1996A11D">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867769C">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8792EE">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D417726">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18F85BAC">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5AB36263">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659163C6">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03DEC026">
            <w:pPr>
              <w:jc w:val="center"/>
              <w:rPr>
                <w:rFonts w:ascii="Calibri" w:hAnsi="Calibri" w:cs="宋体"/>
                <w:bCs/>
                <w:kern w:val="0"/>
                <w:sz w:val="24"/>
                <w:szCs w:val="24"/>
              </w:rPr>
            </w:pPr>
          </w:p>
        </w:tc>
      </w:tr>
      <w:tr w14:paraId="34DEB073">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59D458F">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747F9DF">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67E9C663">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00669AAA">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766F4A7C">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2B160CC9">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0305EF4B">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26B100C">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8A0941D">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C1F361D">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487ACEB8">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7F13B21C">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995F9E5">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28112307">
            <w:pPr>
              <w:jc w:val="center"/>
              <w:rPr>
                <w:rFonts w:ascii="Calibri" w:hAnsi="Calibri" w:cs="宋体"/>
                <w:bCs/>
                <w:kern w:val="0"/>
                <w:sz w:val="24"/>
                <w:szCs w:val="24"/>
              </w:rPr>
            </w:pPr>
          </w:p>
        </w:tc>
      </w:tr>
      <w:tr w14:paraId="12FB567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33231D">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FAA7FF4">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67861AF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6B96157B">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080D9453">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16A6D09A">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1ACE8FEE">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FD6BE1B">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0E7DCB7">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1819B2B">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10B811CA">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16655A17">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20AC029">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61957AE">
            <w:pPr>
              <w:jc w:val="center"/>
              <w:rPr>
                <w:rFonts w:ascii="Calibri" w:hAnsi="Calibri" w:cs="宋体"/>
                <w:bCs/>
                <w:kern w:val="0"/>
                <w:sz w:val="24"/>
                <w:szCs w:val="24"/>
              </w:rPr>
            </w:pPr>
          </w:p>
        </w:tc>
      </w:tr>
      <w:tr w14:paraId="7C1FEFF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0973504">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734DC56B">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345A0DA5">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54529F33">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3F359648">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04954F20">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25603A40">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BBDD4FB">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A8606FE">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BA41285">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57693545">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234FC24F">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5AE4688F">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F9EB9A7">
            <w:pPr>
              <w:jc w:val="center"/>
              <w:rPr>
                <w:rFonts w:ascii="Calibri" w:hAnsi="Calibri" w:cs="宋体"/>
                <w:bCs/>
                <w:kern w:val="0"/>
                <w:sz w:val="24"/>
                <w:szCs w:val="24"/>
              </w:rPr>
            </w:pPr>
          </w:p>
        </w:tc>
      </w:tr>
      <w:tr w14:paraId="1B176EF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59BF524">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21CD3DEE">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29F8FFD8">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32CB09F3">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45996058">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21B77D86">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4DFF4E13">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D68F5D5">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CFBAC84">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91E65EA">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0C0E7DC1">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4FA8C1A6">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66130B3D">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E700674">
            <w:pPr>
              <w:jc w:val="center"/>
              <w:rPr>
                <w:rFonts w:ascii="Calibri" w:hAnsi="Calibri" w:cs="宋体"/>
                <w:bCs/>
                <w:kern w:val="0"/>
                <w:sz w:val="24"/>
                <w:szCs w:val="24"/>
              </w:rPr>
            </w:pPr>
          </w:p>
        </w:tc>
      </w:tr>
      <w:tr w14:paraId="48E7881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92E3F02">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681B8051">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75212907">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48249BB0">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6F3E0AF0">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629E64E3">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2C0CED01">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54CA67D">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67586F8">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B2AED80">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3450FDCF">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1ABAE9E4">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7CE924E6">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4069A7B8">
            <w:pPr>
              <w:jc w:val="center"/>
              <w:rPr>
                <w:rFonts w:ascii="Calibri" w:hAnsi="Calibri" w:cs="宋体"/>
                <w:bCs/>
                <w:kern w:val="0"/>
                <w:sz w:val="24"/>
                <w:szCs w:val="24"/>
              </w:rPr>
            </w:pPr>
          </w:p>
        </w:tc>
      </w:tr>
      <w:tr w14:paraId="4F39E89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740A097">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62D26B0A">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2D0E3C2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78C9ACD0">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2F095542">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D7FC705">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A30088A">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50761EF">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AEDB4C">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BF09E53">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026205D6">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32D4D0B7">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D6E48F0">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5FE55CCA">
            <w:pPr>
              <w:jc w:val="center"/>
              <w:rPr>
                <w:rFonts w:ascii="Calibri" w:hAnsi="Calibri" w:cs="宋体"/>
                <w:bCs/>
                <w:kern w:val="0"/>
                <w:sz w:val="24"/>
                <w:szCs w:val="24"/>
              </w:rPr>
            </w:pPr>
          </w:p>
        </w:tc>
      </w:tr>
      <w:tr w14:paraId="1339AED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A988AA1">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0C340CEC">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60A049F9">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24FA9FD9">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53D552D6">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1EE3FC53">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34D0A54">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839EA89">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4D4B823">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05156BD">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7D18AF20">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13DDF217">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355F72E1">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27E765A5">
            <w:pPr>
              <w:jc w:val="center"/>
              <w:rPr>
                <w:rFonts w:ascii="Calibri" w:hAnsi="Calibri" w:cs="宋体"/>
                <w:bCs/>
                <w:kern w:val="0"/>
                <w:sz w:val="24"/>
                <w:szCs w:val="24"/>
              </w:rPr>
            </w:pPr>
          </w:p>
        </w:tc>
      </w:tr>
      <w:tr w14:paraId="787E1EE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034BCC9">
            <w:pPr>
              <w:jc w:val="center"/>
              <w:rPr>
                <w:rFonts w:ascii="Arial" w:hAnsi="Arial" w:cs="Arial"/>
                <w:bCs/>
                <w:kern w:val="0"/>
                <w:sz w:val="24"/>
                <w:szCs w:val="24"/>
              </w:rPr>
            </w:pPr>
          </w:p>
        </w:tc>
        <w:tc>
          <w:tcPr>
            <w:tcW w:w="1685" w:type="dxa"/>
            <w:tcBorders>
              <w:top w:val="nil"/>
              <w:left w:val="nil"/>
              <w:bottom w:val="single" w:color="auto" w:sz="4" w:space="0"/>
              <w:right w:val="single" w:color="auto" w:sz="4" w:space="0"/>
            </w:tcBorders>
            <w:noWrap w:val="0"/>
            <w:vAlign w:val="center"/>
          </w:tcPr>
          <w:p w14:paraId="5E18C1CB">
            <w:pPr>
              <w:jc w:val="center"/>
              <w:rPr>
                <w:rFonts w:ascii="Arial" w:hAnsi="Arial" w:cs="Arial"/>
                <w:bCs/>
                <w:kern w:val="0"/>
                <w:sz w:val="24"/>
                <w:szCs w:val="24"/>
              </w:rPr>
            </w:pPr>
          </w:p>
        </w:tc>
        <w:tc>
          <w:tcPr>
            <w:tcW w:w="1328" w:type="dxa"/>
            <w:tcBorders>
              <w:top w:val="nil"/>
              <w:left w:val="nil"/>
              <w:bottom w:val="single" w:color="auto" w:sz="4" w:space="0"/>
              <w:right w:val="single" w:color="auto" w:sz="4" w:space="0"/>
            </w:tcBorders>
            <w:noWrap w:val="0"/>
            <w:vAlign w:val="center"/>
          </w:tcPr>
          <w:p w14:paraId="7907366E">
            <w:pPr>
              <w:jc w:val="center"/>
              <w:rPr>
                <w:rFonts w:ascii="Calibri" w:hAnsi="Calibri" w:cs="宋体"/>
                <w:bCs/>
                <w:kern w:val="0"/>
                <w:sz w:val="24"/>
                <w:szCs w:val="24"/>
              </w:rPr>
            </w:pPr>
          </w:p>
        </w:tc>
        <w:tc>
          <w:tcPr>
            <w:tcW w:w="908" w:type="dxa"/>
            <w:tcBorders>
              <w:top w:val="nil"/>
              <w:left w:val="nil"/>
              <w:bottom w:val="single" w:color="auto" w:sz="4" w:space="0"/>
              <w:right w:val="single" w:color="auto" w:sz="4" w:space="0"/>
            </w:tcBorders>
            <w:noWrap w:val="0"/>
            <w:vAlign w:val="center"/>
          </w:tcPr>
          <w:p w14:paraId="5710F028">
            <w:pPr>
              <w:jc w:val="center"/>
              <w:rPr>
                <w:rFonts w:ascii="Calibri" w:hAnsi="Calibri" w:cs="宋体"/>
                <w:bCs/>
                <w:kern w:val="0"/>
                <w:sz w:val="24"/>
                <w:szCs w:val="24"/>
              </w:rPr>
            </w:pPr>
          </w:p>
        </w:tc>
        <w:tc>
          <w:tcPr>
            <w:tcW w:w="788" w:type="dxa"/>
            <w:tcBorders>
              <w:top w:val="nil"/>
              <w:left w:val="nil"/>
              <w:bottom w:val="single" w:color="auto" w:sz="4" w:space="0"/>
              <w:right w:val="single" w:color="auto" w:sz="4" w:space="0"/>
            </w:tcBorders>
            <w:noWrap w:val="0"/>
            <w:vAlign w:val="center"/>
          </w:tcPr>
          <w:p w14:paraId="2C0DA3A0">
            <w:pPr>
              <w:jc w:val="center"/>
              <w:rPr>
                <w:rFonts w:ascii="Calibri" w:hAnsi="Calibri" w:cs="宋体"/>
                <w:bCs/>
                <w:kern w:val="0"/>
                <w:sz w:val="24"/>
                <w:szCs w:val="24"/>
              </w:rPr>
            </w:pPr>
          </w:p>
        </w:tc>
        <w:tc>
          <w:tcPr>
            <w:tcW w:w="824" w:type="dxa"/>
            <w:tcBorders>
              <w:top w:val="nil"/>
              <w:left w:val="nil"/>
              <w:bottom w:val="single" w:color="auto" w:sz="4" w:space="0"/>
              <w:right w:val="single" w:color="auto" w:sz="4" w:space="0"/>
            </w:tcBorders>
            <w:noWrap w:val="0"/>
            <w:vAlign w:val="center"/>
          </w:tcPr>
          <w:p w14:paraId="7C9578D2">
            <w:pPr>
              <w:jc w:val="center"/>
              <w:rPr>
                <w:rFonts w:ascii="Calibri" w:hAnsi="Calibri" w:cs="宋体"/>
                <w:bCs/>
                <w:kern w:val="0"/>
                <w:sz w:val="24"/>
                <w:szCs w:val="24"/>
              </w:rPr>
            </w:pPr>
          </w:p>
        </w:tc>
        <w:tc>
          <w:tcPr>
            <w:tcW w:w="703" w:type="dxa"/>
            <w:tcBorders>
              <w:top w:val="nil"/>
              <w:left w:val="nil"/>
              <w:bottom w:val="single" w:color="auto" w:sz="4" w:space="0"/>
              <w:right w:val="single" w:color="auto" w:sz="4" w:space="0"/>
            </w:tcBorders>
            <w:noWrap w:val="0"/>
            <w:vAlign w:val="center"/>
          </w:tcPr>
          <w:p w14:paraId="5DFA128E">
            <w:pPr>
              <w:jc w:val="center"/>
              <w:rPr>
                <w:rFonts w:ascii="Calibri" w:hAnsi="Calibri" w:cs="宋体"/>
                <w:bCs/>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892F6D7">
            <w:pPr>
              <w:jc w:val="center"/>
              <w:rPr>
                <w:rFonts w:ascii="Calibri" w:hAnsi="Calibri" w:cs="宋体"/>
                <w:bCs/>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8B10F61">
            <w:pPr>
              <w:jc w:val="center"/>
              <w:rPr>
                <w:rFonts w:ascii="Calibri" w:hAnsi="Calibri" w:cs="宋体"/>
                <w:bCs/>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DDE3EE">
            <w:pPr>
              <w:jc w:val="center"/>
              <w:rPr>
                <w:rFonts w:hint="eastAsia" w:ascii="宋体" w:hAnsi="宋体" w:cs="宋体"/>
                <w:bCs/>
                <w:kern w:val="0"/>
                <w:sz w:val="24"/>
                <w:szCs w:val="24"/>
              </w:rPr>
            </w:pPr>
          </w:p>
        </w:tc>
        <w:tc>
          <w:tcPr>
            <w:tcW w:w="955" w:type="dxa"/>
            <w:tcBorders>
              <w:top w:val="nil"/>
              <w:left w:val="nil"/>
              <w:bottom w:val="single" w:color="auto" w:sz="4" w:space="0"/>
              <w:right w:val="single" w:color="auto" w:sz="4" w:space="0"/>
            </w:tcBorders>
            <w:noWrap w:val="0"/>
            <w:vAlign w:val="center"/>
          </w:tcPr>
          <w:p w14:paraId="4BF548CF">
            <w:pPr>
              <w:jc w:val="center"/>
              <w:rPr>
                <w:rFonts w:ascii="Calibri" w:hAnsi="Calibri" w:cs="宋体"/>
                <w:bCs/>
                <w:kern w:val="0"/>
                <w:sz w:val="24"/>
                <w:szCs w:val="24"/>
              </w:rPr>
            </w:pPr>
          </w:p>
        </w:tc>
        <w:tc>
          <w:tcPr>
            <w:tcW w:w="1200" w:type="dxa"/>
            <w:tcBorders>
              <w:top w:val="nil"/>
              <w:left w:val="nil"/>
              <w:bottom w:val="single" w:color="auto" w:sz="4" w:space="0"/>
              <w:right w:val="single" w:color="auto" w:sz="4" w:space="0"/>
            </w:tcBorders>
            <w:noWrap w:val="0"/>
            <w:vAlign w:val="center"/>
          </w:tcPr>
          <w:p w14:paraId="6C89F988">
            <w:pPr>
              <w:jc w:val="center"/>
              <w:rPr>
                <w:rFonts w:ascii="Calibri" w:hAnsi="Calibri" w:cs="宋体"/>
                <w:bCs/>
                <w:kern w:val="0"/>
                <w:sz w:val="24"/>
                <w:szCs w:val="24"/>
              </w:rPr>
            </w:pPr>
          </w:p>
        </w:tc>
        <w:tc>
          <w:tcPr>
            <w:tcW w:w="1250" w:type="dxa"/>
            <w:tcBorders>
              <w:top w:val="nil"/>
              <w:left w:val="nil"/>
              <w:bottom w:val="single" w:color="auto" w:sz="4" w:space="0"/>
              <w:right w:val="single" w:color="auto" w:sz="4" w:space="0"/>
            </w:tcBorders>
            <w:noWrap w:val="0"/>
            <w:vAlign w:val="center"/>
          </w:tcPr>
          <w:p w14:paraId="4C3481D0">
            <w:pPr>
              <w:jc w:val="center"/>
              <w:rPr>
                <w:rFonts w:ascii="Calibri" w:hAnsi="Calibri" w:cs="宋体"/>
                <w:bCs/>
                <w:kern w:val="0"/>
                <w:sz w:val="24"/>
                <w:szCs w:val="24"/>
              </w:rPr>
            </w:pPr>
          </w:p>
        </w:tc>
        <w:tc>
          <w:tcPr>
            <w:tcW w:w="596" w:type="dxa"/>
            <w:gridSpan w:val="2"/>
            <w:tcBorders>
              <w:top w:val="nil"/>
              <w:left w:val="nil"/>
              <w:bottom w:val="single" w:color="auto" w:sz="4" w:space="0"/>
              <w:right w:val="single" w:color="auto" w:sz="4" w:space="0"/>
            </w:tcBorders>
            <w:noWrap w:val="0"/>
            <w:vAlign w:val="center"/>
          </w:tcPr>
          <w:p w14:paraId="7DC82A6A">
            <w:pPr>
              <w:jc w:val="center"/>
              <w:rPr>
                <w:rFonts w:ascii="Calibri" w:hAnsi="Calibri" w:cs="宋体"/>
                <w:bCs/>
                <w:kern w:val="0"/>
                <w:sz w:val="24"/>
                <w:szCs w:val="24"/>
              </w:rPr>
            </w:pPr>
          </w:p>
        </w:tc>
      </w:tr>
    </w:tbl>
    <w:p w14:paraId="2B9A72B6">
      <w:pPr>
        <w:widowControl/>
        <w:wordWrap/>
        <w:snapToGrid/>
        <w:spacing w:line="600" w:lineRule="exact"/>
        <w:jc w:val="left"/>
        <w:textAlignment w:val="auto"/>
        <w:rPr>
          <w:rFonts w:hint="eastAsia" w:ascii="仿宋_GB2312" w:hAnsi="仿宋_GB2312" w:eastAsia="仿宋_GB2312" w:cs="仿宋_GB2312"/>
          <w:w w:val="75"/>
          <w:sz w:val="34"/>
          <w:szCs w:val="34"/>
          <w:highlight w:val="none"/>
          <w:lang w:val="en-US" w:eastAsia="zh-CN"/>
        </w:rPr>
      </w:pPr>
    </w:p>
    <w:p w14:paraId="1214FDCC">
      <w:pPr>
        <w:tabs>
          <w:tab w:val="left" w:pos="2565"/>
        </w:tabs>
        <w:spacing w:line="600" w:lineRule="exact"/>
        <w:rPr>
          <w:rFonts w:hint="eastAsia" w:ascii="仿宋_GB2312" w:eastAsia="仿宋_GB2312" w:cs="‹ÎSå"/>
          <w:bCs/>
          <w:kern w:val="1"/>
          <w:sz w:val="24"/>
        </w:rPr>
      </w:pPr>
    </w:p>
    <w:sectPr>
      <w:headerReference r:id="rId5" w:type="default"/>
      <w:footerReference r:id="rId6" w:type="default"/>
      <w:footerReference r:id="rId7"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A319">
    <w:pPr>
      <w:pStyle w:val="8"/>
      <w:jc w:val="center"/>
    </w:pPr>
    <w:r>
      <w:fldChar w:fldCharType="begin"/>
    </w:r>
    <w:r>
      <w:instrText xml:space="preserve">PAGE   \* MERGEFORMAT</w:instrText>
    </w:r>
    <w:r>
      <w:fldChar w:fldCharType="separate"/>
    </w:r>
    <w:r>
      <w:rPr>
        <w:lang w:val="zh-CN"/>
      </w:rPr>
      <w:t>8</w:t>
    </w:r>
    <w:r>
      <w:fldChar w:fldCharType="end"/>
    </w:r>
  </w:p>
  <w:p w14:paraId="6AF756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82D3">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D808">
    <w:pPr>
      <w:pStyle w:val="8"/>
      <w:framePr w:wrap="around" w:vAnchor="text" w:hAnchor="margin" w:xAlign="right" w:y="1"/>
      <w:rPr>
        <w:rStyle w:val="13"/>
      </w:rPr>
    </w:pPr>
    <w:r>
      <w:fldChar w:fldCharType="begin"/>
    </w:r>
    <w:r>
      <w:rPr>
        <w:rStyle w:val="13"/>
      </w:rPr>
      <w:instrText xml:space="preserve">PAGE  </w:instrText>
    </w:r>
    <w:r>
      <w:fldChar w:fldCharType="end"/>
    </w:r>
  </w:p>
  <w:p w14:paraId="11FB640C">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7C47">
    <w:pPr>
      <w:ind w:right="359" w:rightChars="171"/>
      <w:jc w:val="left"/>
      <w:rPr>
        <w:rFonts w:hint="default"/>
        <w:sz w:val="36"/>
        <w:szCs w:val="3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6517">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zM3ZmNhN2U2NTc4MjQ2YThiNzI3ODZjZGM1NjM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B7DF8"/>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5C21"/>
    <w:rsid w:val="00156ED5"/>
    <w:rsid w:val="00157FF3"/>
    <w:rsid w:val="0018747D"/>
    <w:rsid w:val="00192AC4"/>
    <w:rsid w:val="001A5E95"/>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76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2EA"/>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17447"/>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32B"/>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5279F"/>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902F7"/>
    <w:rsid w:val="00BA5669"/>
    <w:rsid w:val="00BB03B3"/>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29F9"/>
    <w:rsid w:val="00C6413D"/>
    <w:rsid w:val="00C70266"/>
    <w:rsid w:val="00C7603E"/>
    <w:rsid w:val="00C92221"/>
    <w:rsid w:val="00C93932"/>
    <w:rsid w:val="00C94853"/>
    <w:rsid w:val="00CA1C12"/>
    <w:rsid w:val="00CA220D"/>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60DA"/>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4560"/>
    <w:rsid w:val="00F96D9A"/>
    <w:rsid w:val="00FA1DD2"/>
    <w:rsid w:val="00FB207B"/>
    <w:rsid w:val="00FC0A41"/>
    <w:rsid w:val="00FC322E"/>
    <w:rsid w:val="00FC7B8A"/>
    <w:rsid w:val="00FD0626"/>
    <w:rsid w:val="00FD1361"/>
    <w:rsid w:val="00FD564F"/>
    <w:rsid w:val="00FE1300"/>
    <w:rsid w:val="00FE147E"/>
    <w:rsid w:val="00FF7B6B"/>
    <w:rsid w:val="010349DF"/>
    <w:rsid w:val="0112282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353EC5"/>
    <w:rsid w:val="064448F4"/>
    <w:rsid w:val="06447998"/>
    <w:rsid w:val="06614333"/>
    <w:rsid w:val="068E120E"/>
    <w:rsid w:val="06B6547B"/>
    <w:rsid w:val="06ED14B9"/>
    <w:rsid w:val="070829BA"/>
    <w:rsid w:val="074E1E7A"/>
    <w:rsid w:val="07FC56FF"/>
    <w:rsid w:val="08004EB1"/>
    <w:rsid w:val="080619CA"/>
    <w:rsid w:val="081C3B52"/>
    <w:rsid w:val="08796D38"/>
    <w:rsid w:val="087C1626"/>
    <w:rsid w:val="08917DB2"/>
    <w:rsid w:val="08934B1B"/>
    <w:rsid w:val="08B1198F"/>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D108E"/>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A94426"/>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6F3869"/>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756FA"/>
    <w:rsid w:val="20AF00A4"/>
    <w:rsid w:val="20CB3162"/>
    <w:rsid w:val="20F142BF"/>
    <w:rsid w:val="210C618E"/>
    <w:rsid w:val="21132784"/>
    <w:rsid w:val="2122788E"/>
    <w:rsid w:val="21351C56"/>
    <w:rsid w:val="21DF490D"/>
    <w:rsid w:val="21FB4CBE"/>
    <w:rsid w:val="2218088A"/>
    <w:rsid w:val="224A19EC"/>
    <w:rsid w:val="22A04D6A"/>
    <w:rsid w:val="22EF5136"/>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4F1CEE"/>
    <w:rsid w:val="27B35276"/>
    <w:rsid w:val="27EF429E"/>
    <w:rsid w:val="281E1E69"/>
    <w:rsid w:val="28556425"/>
    <w:rsid w:val="285B7282"/>
    <w:rsid w:val="28640A4B"/>
    <w:rsid w:val="28B14E43"/>
    <w:rsid w:val="28D472A8"/>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5073D1"/>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813907"/>
    <w:rsid w:val="33CB02DA"/>
    <w:rsid w:val="341621CB"/>
    <w:rsid w:val="345C52FA"/>
    <w:rsid w:val="347137EE"/>
    <w:rsid w:val="348C28B5"/>
    <w:rsid w:val="34A843EE"/>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403AA"/>
    <w:rsid w:val="37380378"/>
    <w:rsid w:val="37570E79"/>
    <w:rsid w:val="376F689E"/>
    <w:rsid w:val="3775316E"/>
    <w:rsid w:val="377E671C"/>
    <w:rsid w:val="37B2586C"/>
    <w:rsid w:val="37DA19C9"/>
    <w:rsid w:val="38111487"/>
    <w:rsid w:val="38190834"/>
    <w:rsid w:val="386F7FEE"/>
    <w:rsid w:val="38A77071"/>
    <w:rsid w:val="38C6092B"/>
    <w:rsid w:val="39431D2B"/>
    <w:rsid w:val="39446ABE"/>
    <w:rsid w:val="397E2D4B"/>
    <w:rsid w:val="39917372"/>
    <w:rsid w:val="39A06C31"/>
    <w:rsid w:val="39F76CC0"/>
    <w:rsid w:val="3A0D0F54"/>
    <w:rsid w:val="3A1C1785"/>
    <w:rsid w:val="3A465194"/>
    <w:rsid w:val="3A8D4EA1"/>
    <w:rsid w:val="3AFD3BF0"/>
    <w:rsid w:val="3B323E56"/>
    <w:rsid w:val="3B38343F"/>
    <w:rsid w:val="3B472A28"/>
    <w:rsid w:val="3B5D7034"/>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670B79"/>
    <w:rsid w:val="44AF57C2"/>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8E56510"/>
    <w:rsid w:val="49086B40"/>
    <w:rsid w:val="497B03A6"/>
    <w:rsid w:val="49C278F0"/>
    <w:rsid w:val="49C31961"/>
    <w:rsid w:val="49E451F0"/>
    <w:rsid w:val="4A4803E9"/>
    <w:rsid w:val="4A672695"/>
    <w:rsid w:val="4ACE4B27"/>
    <w:rsid w:val="4B023413"/>
    <w:rsid w:val="4B357B58"/>
    <w:rsid w:val="4B4C0A4C"/>
    <w:rsid w:val="4B6678AA"/>
    <w:rsid w:val="4B7D5858"/>
    <w:rsid w:val="4BCA6B4F"/>
    <w:rsid w:val="4C004433"/>
    <w:rsid w:val="4C342A4B"/>
    <w:rsid w:val="4CAE763A"/>
    <w:rsid w:val="4CB66AAB"/>
    <w:rsid w:val="4CB82DDD"/>
    <w:rsid w:val="4D464F38"/>
    <w:rsid w:val="4D5F65A9"/>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97CBF"/>
    <w:rsid w:val="51080A80"/>
    <w:rsid w:val="5165256A"/>
    <w:rsid w:val="51AB2BEE"/>
    <w:rsid w:val="51D35482"/>
    <w:rsid w:val="51F33BC4"/>
    <w:rsid w:val="51F64BDB"/>
    <w:rsid w:val="52700ACF"/>
    <w:rsid w:val="52736134"/>
    <w:rsid w:val="527B1904"/>
    <w:rsid w:val="52B73CB1"/>
    <w:rsid w:val="530D6723"/>
    <w:rsid w:val="531A65BE"/>
    <w:rsid w:val="532367C2"/>
    <w:rsid w:val="53635ADA"/>
    <w:rsid w:val="537B0D2D"/>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B41744"/>
    <w:rsid w:val="56457CB7"/>
    <w:rsid w:val="565E7162"/>
    <w:rsid w:val="56C0771E"/>
    <w:rsid w:val="56E5744D"/>
    <w:rsid w:val="572F7AC2"/>
    <w:rsid w:val="574234AB"/>
    <w:rsid w:val="574E0E36"/>
    <w:rsid w:val="57A77E45"/>
    <w:rsid w:val="58011E3C"/>
    <w:rsid w:val="581F44F3"/>
    <w:rsid w:val="583402FA"/>
    <w:rsid w:val="584E270A"/>
    <w:rsid w:val="584F1C4F"/>
    <w:rsid w:val="591B7ABE"/>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5FFE77EC"/>
    <w:rsid w:val="601F645B"/>
    <w:rsid w:val="603F4081"/>
    <w:rsid w:val="6044513C"/>
    <w:rsid w:val="604E254F"/>
    <w:rsid w:val="607E5533"/>
    <w:rsid w:val="609C08BE"/>
    <w:rsid w:val="60E71594"/>
    <w:rsid w:val="61243443"/>
    <w:rsid w:val="613A4296"/>
    <w:rsid w:val="614856D8"/>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6FC54DD"/>
    <w:rsid w:val="67276747"/>
    <w:rsid w:val="673E6FBB"/>
    <w:rsid w:val="68267A2F"/>
    <w:rsid w:val="684E4434"/>
    <w:rsid w:val="68C031E1"/>
    <w:rsid w:val="68E44E04"/>
    <w:rsid w:val="695A5409"/>
    <w:rsid w:val="69683ABC"/>
    <w:rsid w:val="6979066C"/>
    <w:rsid w:val="69B3729C"/>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C03FBA"/>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AF7CC3"/>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6"/>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alloon Text"/>
    <w:basedOn w:val="1"/>
    <w:link w:val="17"/>
    <w:unhideWhenUsed/>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标题 1 字符"/>
    <w:link w:val="2"/>
    <w:qFormat/>
    <w:uiPriority w:val="9"/>
    <w:rPr>
      <w:b/>
      <w:bCs/>
      <w:color w:val="000000"/>
      <w:kern w:val="44"/>
      <w:sz w:val="44"/>
      <w:szCs w:val="44"/>
    </w:rPr>
  </w:style>
  <w:style w:type="character" w:customStyle="1" w:styleId="16">
    <w:name w:val="标题 3 字符"/>
    <w:link w:val="4"/>
    <w:qFormat/>
    <w:uiPriority w:val="0"/>
    <w:rPr>
      <w:rFonts w:ascii="Times New Roman" w:hAnsi="Times New Roman" w:eastAsia="‹ÎSå" w:cs="Times New Roman"/>
      <w:b/>
      <w:color w:val="000000"/>
      <w:kern w:val="0"/>
      <w:sz w:val="32"/>
      <w:szCs w:val="32"/>
      <w:lang w:val="zh-CN"/>
    </w:rPr>
  </w:style>
  <w:style w:type="character" w:customStyle="1" w:styleId="17">
    <w:name w:val="批注框文本 字符"/>
    <w:link w:val="7"/>
    <w:semiHidden/>
    <w:qFormat/>
    <w:uiPriority w:val="99"/>
    <w:rPr>
      <w:rFonts w:ascii="Times New Roman" w:hAnsi="Times New Roman"/>
      <w:color w:val="000000"/>
      <w:sz w:val="18"/>
      <w:szCs w:val="18"/>
    </w:rPr>
  </w:style>
  <w:style w:type="character" w:customStyle="1" w:styleId="18">
    <w:name w:val="页脚 字符"/>
    <w:link w:val="8"/>
    <w:qFormat/>
    <w:uiPriority w:val="0"/>
    <w:rPr>
      <w:sz w:val="18"/>
      <w:szCs w:val="18"/>
    </w:rPr>
  </w:style>
  <w:style w:type="character" w:customStyle="1" w:styleId="19">
    <w:name w:val="页眉 字符"/>
    <w:link w:val="9"/>
    <w:semiHidden/>
    <w:qFormat/>
    <w:uiPriority w:val="99"/>
    <w:rPr>
      <w:sz w:val="18"/>
      <w:szCs w:val="18"/>
    </w:rPr>
  </w:style>
  <w:style w:type="character" w:customStyle="1" w:styleId="20">
    <w:name w:val="font51"/>
    <w:qFormat/>
    <w:uiPriority w:val="0"/>
    <w:rPr>
      <w:rFonts w:hint="eastAsia" w:ascii="宋体" w:hAnsi="宋体" w:eastAsia="宋体" w:cs="宋体"/>
      <w:color w:val="000000"/>
      <w:sz w:val="18"/>
      <w:szCs w:val="18"/>
      <w:u w:val="none"/>
    </w:rPr>
  </w:style>
  <w:style w:type="character" w:customStyle="1" w:styleId="21">
    <w:name w:val="font11"/>
    <w:uiPriority w:val="0"/>
    <w:rPr>
      <w:rFonts w:hint="eastAsia" w:ascii="宋体" w:hAnsi="宋体" w:eastAsia="宋体" w:cs="宋体"/>
      <w:color w:val="000000"/>
      <w:sz w:val="18"/>
      <w:szCs w:val="18"/>
      <w:u w:val="none"/>
    </w:rPr>
  </w:style>
  <w:style w:type="character" w:customStyle="1" w:styleId="22">
    <w:name w:val="font91"/>
    <w:uiPriority w:val="0"/>
    <w:rPr>
      <w:rFonts w:hint="default" w:ascii="Times New Roman" w:hAnsi="Times New Roman" w:cs="Times New Roman"/>
      <w:color w:val="000000"/>
      <w:sz w:val="18"/>
      <w:szCs w:val="18"/>
      <w:u w:val="none"/>
    </w:rPr>
  </w:style>
  <w:style w:type="character" w:customStyle="1" w:styleId="23">
    <w:name w:val="font41"/>
    <w:qFormat/>
    <w:uiPriority w:val="0"/>
    <w:rPr>
      <w:rFonts w:hint="default" w:ascii="Times New Roman" w:hAnsi="Times New Roman" w:cs="Times New Roman"/>
      <w:color w:val="000000"/>
      <w:sz w:val="18"/>
      <w:szCs w:val="18"/>
      <w:u w:val="none"/>
    </w:rPr>
  </w:style>
  <w:style w:type="character" w:customStyle="1" w:styleId="24">
    <w:name w:val="font01"/>
    <w:qFormat/>
    <w:uiPriority w:val="0"/>
    <w:rPr>
      <w:rFonts w:hint="eastAsia" w:ascii="宋体" w:hAnsi="宋体" w:eastAsia="宋体" w:cs="宋体"/>
      <w:color w:val="FF0000"/>
      <w:sz w:val="20"/>
      <w:szCs w:val="20"/>
      <w:u w:val="none"/>
    </w:rPr>
  </w:style>
  <w:style w:type="character" w:customStyle="1" w:styleId="25">
    <w:name w:val="font31"/>
    <w:qFormat/>
    <w:uiPriority w:val="0"/>
    <w:rPr>
      <w:rFonts w:hint="eastAsia" w:ascii="宋体" w:hAnsi="宋体" w:eastAsia="宋体" w:cs="宋体"/>
      <w:color w:val="000000"/>
      <w:sz w:val="18"/>
      <w:szCs w:val="18"/>
      <w:u w:val="none"/>
    </w:rPr>
  </w:style>
  <w:style w:type="character" w:customStyle="1" w:styleId="26">
    <w:name w:val="font21"/>
    <w:uiPriority w:val="0"/>
    <w:rPr>
      <w:rFonts w:hint="eastAsia" w:ascii="宋体" w:hAnsi="宋体" w:eastAsia="宋体" w:cs="宋体"/>
      <w:color w:val="000000"/>
      <w:sz w:val="20"/>
      <w:szCs w:val="20"/>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61"/>
    <w:uiPriority w:val="0"/>
    <w:rPr>
      <w:rFonts w:hint="eastAsia" w:ascii="宋体" w:hAnsi="宋体" w:eastAsia="宋体" w:cs="宋体"/>
      <w:color w:val="000000"/>
      <w:sz w:val="12"/>
      <w:szCs w:val="12"/>
      <w:u w:val="none"/>
    </w:rPr>
  </w:style>
  <w:style w:type="character" w:customStyle="1" w:styleId="29">
    <w:name w:val="font121"/>
    <w:qFormat/>
    <w:uiPriority w:val="0"/>
    <w:rPr>
      <w:rFonts w:hint="eastAsia" w:ascii="宋体" w:hAnsi="宋体" w:eastAsia="宋体" w:cs="宋体"/>
      <w:color w:val="000000"/>
      <w:sz w:val="18"/>
      <w:szCs w:val="18"/>
      <w:u w:val="none"/>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1">
    <w:name w:val="列出段落1"/>
    <w:basedOn w:val="1"/>
    <w:qFormat/>
    <w:uiPriority w:val="34"/>
    <w:pPr>
      <w:ind w:firstLine="420" w:firstLineChars="200"/>
    </w:pPr>
  </w:style>
  <w:style w:type="character" w:customStyle="1" w:styleId="32">
    <w:name w:val="_Style 31"/>
    <w:unhideWhenUsed/>
    <w:uiPriority w:val="99"/>
    <w:rPr>
      <w:color w:val="605E5C"/>
      <w:shd w:val="clear" w:color="auto" w:fill="E1DFDD"/>
    </w:rPr>
  </w:style>
  <w:style w:type="paragraph" w:customStyle="1" w:styleId="33">
    <w:name w:val="_Style 32"/>
    <w:unhideWhenUsed/>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5861</Words>
  <Characters>6098</Characters>
  <Lines>46</Lines>
  <Paragraphs>13</Paragraphs>
  <TotalTime>2</TotalTime>
  <ScaleCrop>false</ScaleCrop>
  <LinksUpToDate>false</LinksUpToDate>
  <CharactersWithSpaces>6479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2023-09-19T03:25:00Z</cp:lastPrinted>
  <dcterms:modified xsi:type="dcterms:W3CDTF">2026-06-11T01:27:35Z</dcterms:modified>
  <dc:title>江苏索普（集团）有限公司</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C0F594C68A3D45A3A5873C770676DDE9_13</vt:lpwstr>
  </property>
  <property fmtid="{D5CDD505-2E9C-101B-9397-08002B2CF9AE}" pid="4" name="KSOTemplateDocerSaveRecord">
    <vt:lpwstr>eyJoZGlkIjoiZWEwN2I3YzE4NWQ1MTcyNjMwNmQ0ZWJiZGViMjFmNTgiLCJ1c2VySWQiOiIyNjc4MTEzMDQifQ==</vt:lpwstr>
  </property>
</Properties>
</file>