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sz w:val="24"/>
          <w:szCs w:val="24"/>
        </w:rPr>
      </w:pPr>
      <w:r>
        <w:rPr>
          <w:sz w:val="24"/>
          <w:szCs w:val="24"/>
        </w:rP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项目名称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手提式锂电池灭火</w:t>
      </w:r>
      <w:r>
        <w:rPr>
          <w:rFonts w:hint="eastAsia"/>
          <w:sz w:val="24"/>
          <w:szCs w:val="24"/>
          <w:lang w:val="en-US" w:eastAsia="zh-CN"/>
        </w:rPr>
        <w:t>器</w:t>
      </w:r>
      <w:r>
        <w:rPr>
          <w:rFonts w:hint="eastAsia"/>
          <w:sz w:val="24"/>
          <w:szCs w:val="24"/>
          <w:lang w:eastAsia="zh-CN"/>
        </w:rPr>
        <w:t>、电动车棚拖拽绝缘钩、救生抛绳包</w:t>
      </w:r>
      <w:r>
        <w:rPr>
          <w:rFonts w:hint="eastAsia"/>
          <w:sz w:val="24"/>
          <w:szCs w:val="24"/>
          <w:lang w:val="en-US" w:eastAsia="zh-CN"/>
        </w:rPr>
        <w:t>共3项</w:t>
      </w:r>
      <w:r>
        <w:rPr>
          <w:rFonts w:hint="eastAsia"/>
          <w:sz w:val="24"/>
          <w:szCs w:val="24"/>
          <w:lang w:eastAsia="zh-CN"/>
        </w:rPr>
        <w:t>采</w:t>
      </w:r>
      <w:r>
        <w:rPr>
          <w:sz w:val="24"/>
          <w:szCs w:val="24"/>
        </w:rPr>
        <w:t>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采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购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人</w:t>
      </w:r>
      <w:r>
        <w:rPr>
          <w:sz w:val="24"/>
          <w:szCs w:val="24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报价截止与评审时间</w:t>
      </w:r>
      <w:r>
        <w:rPr>
          <w:rFonts w:hint="eastAsia"/>
          <w:sz w:val="24"/>
          <w:szCs w:val="24"/>
          <w:lang w:val="en-US" w:eastAsia="zh-CN"/>
        </w:rPr>
        <w:t>：2026年6月23日9：00（北京时间）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评审地点</w:t>
      </w:r>
      <w:r>
        <w:rPr>
          <w:rFonts w:hint="eastAsia"/>
          <w:sz w:val="24"/>
          <w:szCs w:val="24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交货时间：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合同生效后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交货地址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sz w:val="24"/>
          <w:szCs w:val="24"/>
        </w:rPr>
        <w:t>江苏索普化工股份有限公司</w:t>
      </w:r>
      <w:r>
        <w:rPr>
          <w:rFonts w:hint="eastAsia"/>
          <w:sz w:val="24"/>
          <w:szCs w:val="24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公示</w:t>
      </w:r>
      <w:r>
        <w:rPr>
          <w:b/>
          <w:sz w:val="24"/>
          <w:szCs w:val="24"/>
        </w:rPr>
        <w:t>查询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ww</w:t>
      </w:r>
      <w:r>
        <w:rPr>
          <w:sz w:val="24"/>
          <w:szCs w:val="24"/>
        </w:rPr>
        <w:t>w.sopo.com.cn</w:t>
      </w:r>
    </w:p>
    <w:p w14:paraId="76821092">
      <w:pPr>
        <w:pStyle w:val="3"/>
        <w:rPr>
          <w:sz w:val="24"/>
          <w:szCs w:val="24"/>
        </w:rPr>
      </w:pPr>
      <w:r>
        <w:rPr>
          <w:sz w:val="24"/>
          <w:szCs w:val="24"/>
        </w:rPr>
        <w:t>二、采购内容及要求</w:t>
      </w:r>
    </w:p>
    <w:p w14:paraId="52B753BB">
      <w:pPr>
        <w:pStyle w:val="4"/>
        <w:rPr>
          <w:sz w:val="24"/>
          <w:szCs w:val="24"/>
        </w:rPr>
      </w:pPr>
      <w:r>
        <w:rPr>
          <w:sz w:val="24"/>
          <w:szCs w:val="24"/>
        </w:rPr>
        <w:t>（一）采购清单</w:t>
      </w:r>
    </w:p>
    <w:tbl>
      <w:tblPr>
        <w:tblStyle w:val="6"/>
        <w:tblW w:w="8625" w:type="dxa"/>
        <w:tblInd w:w="4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942"/>
        <w:gridCol w:w="2154"/>
        <w:gridCol w:w="1020"/>
        <w:gridCol w:w="1200"/>
      </w:tblGrid>
      <w:tr w14:paraId="2ABD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708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物料编码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物料名称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型号规格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D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数量</w:t>
            </w:r>
          </w:p>
        </w:tc>
      </w:tr>
      <w:tr w14:paraId="6056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922B">
            <w:pPr>
              <w:keepNext w:val="0"/>
              <w:keepLines w:val="0"/>
              <w:pageBreakBefore w:val="0"/>
              <w:tabs>
                <w:tab w:val="left" w:pos="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02049900001457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电动车棚拖拽绝缘钩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材质:绝缘杆长度:3-3.2米，钩可拆卸。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见图片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A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E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</w:tr>
      <w:tr w14:paraId="1BD9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3FF1">
            <w:pPr>
              <w:keepNext w:val="0"/>
              <w:keepLines w:val="0"/>
              <w:pageBreakBefore w:val="0"/>
              <w:tabs>
                <w:tab w:val="left" w:pos="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05990000000441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1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手提式锂电池灭火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器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A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3LB，方形磷酸铁锂电芯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280AH水系灭火剂S-100-AB-NT，水压试验压力:2.1Mpa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见图片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E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</w:tr>
      <w:tr w14:paraId="669D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C644">
            <w:pPr>
              <w:keepNext w:val="0"/>
              <w:keepLines w:val="0"/>
              <w:pageBreakBefore w:val="0"/>
              <w:tabs>
                <w:tab w:val="left" w:pos="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05010800000231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A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救生抛绳包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9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绳径：8mm，绳长：21m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见图片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5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</w:tr>
    </w:tbl>
    <w:p w14:paraId="3C06393A">
      <w:pPr>
        <w:pStyle w:val="4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sz w:val="24"/>
          <w:szCs w:val="24"/>
        </w:rPr>
        <w:t>（二）技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术及资质要求</w:t>
      </w:r>
    </w:p>
    <w:p w14:paraId="4ECB1A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36" w:leftChars="43" w:right="0" w:rightChars="0" w:hanging="1446" w:hangingChars="6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1.技术标准：手提式锂电池灭火器：必须符合国标GB4351-2023产品型号需体</w:t>
      </w: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现适用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火灾类别。</w:t>
      </w:r>
    </w:p>
    <w:p w14:paraId="3EB18D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30" w:leftChars="43" w:right="0" w:rightChars="0" w:hanging="1440" w:hangingChars="6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0F10F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0" w:beforeAutospacing="0" w:after="240" w:afterAutospacing="0"/>
        <w:ind w:left="482" w:right="0" w:hanging="482" w:hangingChars="200"/>
        <w:textAlignment w:val="baseline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手提式锂电池灭火器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技术参数要求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灭火级别需≥2A或能力证明，建议喷射时间≥15秒，喷射距离≥3米。对于1-6升规格，工作压力(20°C时)参考≥1.2MPa15秒内扑灭明火+停止喷射后120分钟内绝不复燃33安全性:针对锂电池，瓶体通常需承受≥2.1MPa的水压试验5。涉及电气需通过电绝缘测试(如漏电&lt;0.5mA)33。</w:t>
      </w:r>
    </w:p>
    <w:p w14:paraId="77B45A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0" w:beforeAutospacing="0" w:after="240" w:afterAutospacing="0"/>
        <w:ind w:left="481" w:leftChars="229" w:right="0" w:firstLine="0" w:firstLineChars="0"/>
        <w:textAlignment w:val="baseline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供货方必须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提供针对锂电池火灾效能的权威型式第三方的检验报告（明确验证对锂电池火灾有效的内容），报告出具单位需要有CNAS/CMA的实验室资质。</w:t>
      </w:r>
      <w:bookmarkStart w:id="0" w:name="_GoBack"/>
      <w:bookmarkEnd w:id="0"/>
    </w:p>
    <w:p w14:paraId="1D4829F5">
      <w:pPr>
        <w:ind w:left="482" w:hanging="482" w:hanging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电动车棚拖拽绝缘钩：必须符合DL408-91《带电作业类硬质绝缘工具技术标准》。</w:t>
      </w:r>
    </w:p>
    <w:p w14:paraId="49006393">
      <w:pPr>
        <w:ind w:left="479" w:leftChars="228" w:firstLine="0" w:firstLineChars="0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技术参数：杆体材质：环氧树脂绝缘玻璃钢(绝缘阻燃），钩体材质：45#碳钢，淬火处理，表面全封闭绝缘涂层，操作杆长度3米，钩体开口：&gt;450mm承重力&gt;80kg适用电压10kV/35kV(按场景选)，绝缘性能工频耐压100kV/1min(或提供检测报告）连接方式：分体式配铝合金卡扣。供货方必须提供检验报告及产品合格证。</w:t>
      </w:r>
    </w:p>
    <w:p w14:paraId="6FEEE6BA">
      <w:pPr>
        <w:keepNext w:val="0"/>
        <w:keepLines w:val="0"/>
        <w:widowControl/>
        <w:suppressLineNumbers w:val="0"/>
        <w:ind w:left="241" w:hanging="241" w:hangingChars="10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1.3救生抛绳包：必须符合GB/T 27906-2026《救生抛投器》及GB 44018-2024《船用抛绳器》，适配海事船舶使用场景。</w:t>
      </w:r>
    </w:p>
    <w:p w14:paraId="24836905">
      <w:pPr>
        <w:keepNext w:val="0"/>
        <w:keepLines w:val="0"/>
        <w:widowControl/>
        <w:suppressLineNumbers w:val="0"/>
        <w:ind w:firstLine="241" w:firstLineChars="10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救援绳索参数：水用救援绳最小破断强度≥6kN，标配绳长≥20m绳索直径</w:t>
      </w:r>
    </w:p>
    <w:p w14:paraId="166466F8">
      <w:pPr>
        <w:keepNext w:val="0"/>
        <w:keepLines w:val="0"/>
        <w:widowControl/>
        <w:suppressLineNumbers w:val="0"/>
        <w:ind w:left="239" w:leftChars="114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12±1mm，漂浮性能漂浮≥1h，浸水12h不变形、不下沉，外观编织紧密，无断丝、起毛。</w:t>
      </w:r>
    </w:p>
    <w:p w14:paraId="2ACCD0E6">
      <w:pPr>
        <w:keepNext w:val="0"/>
        <w:keepLines w:val="0"/>
        <w:widowControl/>
        <w:suppressLineNumbers w:val="0"/>
        <w:ind w:left="239" w:leftChars="114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抛绳包包体参数：采用高强度耐磨牛津布+网眼布，面料抗撕裂、防老化，断裂强力≥4.2kN；整体轻量化设计，自重≤1.5kg，单人可轻松抛投；双层防水透水结构，速干防腐蚀；收纳顺畅不缠绕，体积小巧，便于存放携带。</w:t>
      </w:r>
    </w:p>
    <w:p w14:paraId="7E5B2EE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</w:p>
    <w:p w14:paraId="1A8F6590">
      <w:pPr>
        <w:keepNext w:val="0"/>
        <w:keepLines w:val="0"/>
        <w:widowControl/>
        <w:suppressLineNumbers w:val="0"/>
        <w:ind w:left="239" w:leftChars="114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产品需提供权威机构检测报告，全部参数符合国标要求；每批次配备合格证、出厂检测记录及产品信息标识；到货后可随机抽样核查强度、漂浮、耐腐蚀等核心性能，达标方可验收。</w:t>
      </w:r>
    </w:p>
    <w:p w14:paraId="71C03E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0" w:beforeAutospacing="0" w:after="240" w:afterAutospacing="0"/>
        <w:ind w:right="0"/>
        <w:textAlignment w:val="baseline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2.报价要求：需完整填写品牌及型号。</w:t>
      </w:r>
    </w:p>
    <w:p w14:paraId="5ABDD2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资质文件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供应商必须提供合法资质的《企业法人营业执照》且营业执照中登记的“经营范围”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包含该产品。</w:t>
      </w:r>
    </w:p>
    <w:p w14:paraId="7E91D100">
      <w:pPr>
        <w:pStyle w:val="3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三、报价要求</w:t>
      </w:r>
    </w:p>
    <w:p w14:paraId="74662129">
      <w:pPr>
        <w:pStyle w:val="4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含税送到价（含增值税）。税率调整时，按公式“合同含税价格/(1+合同约定税率)×(1+新税率)”调整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报价函格式。</w:t>
      </w:r>
    </w:p>
    <w:p w14:paraId="6E64C763">
      <w:pPr>
        <w:pStyle w:val="4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（二）付款方式</w:t>
      </w:r>
    </w:p>
    <w:p w14:paraId="0006B4E9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货到、增值税专用发票</w:t>
      </w:r>
      <w:r>
        <w:rPr>
          <w:rFonts w:hint="eastAsia"/>
          <w:sz w:val="24"/>
          <w:szCs w:val="24"/>
          <w:highlight w:val="none"/>
          <w:lang w:val="en-US" w:eastAsia="zh-CN"/>
        </w:rPr>
        <w:t>入账</w:t>
      </w:r>
      <w:r>
        <w:rPr>
          <w:sz w:val="24"/>
          <w:szCs w:val="24"/>
          <w:highlight w:val="none"/>
        </w:rPr>
        <w:t>后</w:t>
      </w:r>
      <w:r>
        <w:rPr>
          <w:rFonts w:hint="eastAsia"/>
          <w:sz w:val="24"/>
          <w:szCs w:val="24"/>
          <w:highlight w:val="none"/>
          <w:lang w:val="en-US" w:eastAsia="zh-CN"/>
        </w:rPr>
        <w:t>60天付款。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含税报价≥10万元以银行承兑支付，&lt;10万元以现汇支付。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（三）报价提交方式</w:t>
      </w:r>
    </w:p>
    <w:p w14:paraId="71D4B65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线上报价</w:t>
      </w:r>
      <w:r>
        <w:rPr>
          <w:sz w:val="24"/>
          <w:szCs w:val="24"/>
          <w:highlight w:val="none"/>
        </w:rP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线下报价</w:t>
      </w:r>
      <w:r>
        <w:rPr>
          <w:sz w:val="24"/>
          <w:szCs w:val="24"/>
          <w:highlight w:val="none"/>
        </w:rPr>
        <w:t>：密封送达</w:t>
      </w:r>
      <w:r>
        <w:rPr>
          <w:rFonts w:hint="eastAsia"/>
          <w:sz w:val="24"/>
          <w:szCs w:val="24"/>
          <w:highlight w:val="none"/>
          <w:lang w:val="en-US" w:eastAsia="zh-CN"/>
        </w:rPr>
        <w:t>或邮寄送达</w:t>
      </w:r>
      <w:r>
        <w:rPr>
          <w:sz w:val="24"/>
          <w:szCs w:val="24"/>
          <w:highlight w:val="none"/>
        </w:rPr>
        <w:t>（封条需加盖公章、法人章并注明密封日期；封面注明项目名称、供应商信息、联系方式），</w:t>
      </w:r>
      <w:r>
        <w:rPr>
          <w:rFonts w:hint="eastAsia"/>
          <w:sz w:val="24"/>
          <w:szCs w:val="24"/>
          <w:highlight w:val="none"/>
          <w:lang w:val="en-US" w:eastAsia="zh-CN"/>
        </w:rPr>
        <w:t>邮寄送达需电联报价联系人告知快递单号，逾期无效</w:t>
      </w:r>
      <w:r>
        <w:rPr>
          <w:sz w:val="24"/>
          <w:szCs w:val="24"/>
          <w:highlight w:val="none"/>
        </w:rPr>
        <w:t>。</w:t>
      </w:r>
    </w:p>
    <w:p w14:paraId="7C743C17">
      <w:pPr>
        <w:pStyle w:val="4"/>
        <w:rPr>
          <w:sz w:val="24"/>
          <w:szCs w:val="24"/>
        </w:rPr>
      </w:pPr>
      <w:r>
        <w:rPr>
          <w:sz w:val="24"/>
          <w:szCs w:val="24"/>
        </w:rP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收件单位</w:t>
      </w:r>
      <w:r>
        <w:rPr>
          <w:sz w:val="24"/>
          <w:szCs w:val="24"/>
        </w:rP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地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址</w:t>
      </w:r>
      <w:r>
        <w:rPr>
          <w:sz w:val="24"/>
          <w:szCs w:val="24"/>
        </w:rP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联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系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b/>
          <w:sz w:val="24"/>
          <w:szCs w:val="24"/>
        </w:rPr>
        <w:t>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沈杰</w:t>
      </w:r>
      <w:r>
        <w:rPr>
          <w:sz w:val="24"/>
          <w:szCs w:val="24"/>
        </w:rPr>
        <w:t>，电话：</w:t>
      </w:r>
      <w:r>
        <w:rPr>
          <w:rFonts w:hint="eastAsia"/>
          <w:sz w:val="24"/>
          <w:szCs w:val="24"/>
          <w:lang w:val="en-US" w:eastAsia="zh-CN"/>
        </w:rPr>
        <w:t>13505281175</w:t>
      </w:r>
    </w:p>
    <w:p w14:paraId="46E1F8B6">
      <w:pPr>
        <w:pStyle w:val="4"/>
        <w:rPr>
          <w:sz w:val="24"/>
          <w:szCs w:val="24"/>
        </w:rPr>
      </w:pPr>
      <w:r>
        <w:rPr>
          <w:sz w:val="24"/>
          <w:szCs w:val="24"/>
        </w:rP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报价</w:t>
      </w:r>
      <w:r>
        <w:rPr>
          <w:b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沈</w:t>
      </w:r>
      <w:r>
        <w:rPr>
          <w:rFonts w:hint="eastAsia"/>
          <w:sz w:val="24"/>
          <w:szCs w:val="24"/>
          <w:lang w:val="en-US" w:eastAsia="zh-CN"/>
        </w:rPr>
        <w:t>杰13505281175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详情咨询</w:t>
      </w:r>
      <w:r>
        <w:rPr>
          <w:rFonts w:hint="eastAsia"/>
          <w:sz w:val="24"/>
          <w:szCs w:val="24"/>
          <w:lang w:eastAsia="zh-CN"/>
        </w:rPr>
        <w:t>）</w:t>
      </w:r>
    </w:p>
    <w:p w14:paraId="42C1A109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技术咨询联系人：</w:t>
      </w:r>
      <w:r>
        <w:rPr>
          <w:rFonts w:hint="eastAsia"/>
          <w:sz w:val="24"/>
          <w:szCs w:val="24"/>
          <w:lang w:val="en-US" w:eastAsia="zh-CN"/>
        </w:rPr>
        <w:t>赵雪峰</w:t>
      </w:r>
      <w:r>
        <w:rPr>
          <w:rFonts w:hint="eastAsia"/>
          <w:b/>
          <w:sz w:val="24"/>
          <w:szCs w:val="24"/>
          <w:lang w:val="en-US" w:eastAsia="zh-CN"/>
        </w:rPr>
        <w:t>13906102082</w:t>
      </w:r>
      <w:r>
        <w:rPr>
          <w:rFonts w:hint="eastAsia"/>
          <w:sz w:val="24"/>
          <w:szCs w:val="24"/>
          <w:lang w:val="en-US" w:eastAsia="zh-CN"/>
        </w:rPr>
        <w:t>（现场咨询）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部门负责人</w:t>
      </w:r>
      <w:r>
        <w:rPr>
          <w:sz w:val="24"/>
          <w:szCs w:val="24"/>
        </w:rPr>
        <w:t>：解云13913442555</w:t>
      </w:r>
    </w:p>
    <w:p w14:paraId="21BF4B68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</w:t>
      </w:r>
      <w:r>
        <w:rPr>
          <w:sz w:val="24"/>
          <w:szCs w:val="24"/>
        </w:rPr>
        <w:t>、其他要求</w:t>
      </w:r>
    </w:p>
    <w:p w14:paraId="0856F2A3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进场服务材料</w:t>
      </w:r>
      <w:r>
        <w:rPr>
          <w:sz w:val="24"/>
          <w:szCs w:val="24"/>
        </w:rPr>
        <w:t>（如需）：</w:t>
      </w:r>
    </w:p>
    <w:p w14:paraId="5278A02B">
      <w:pPr>
        <w:numPr>
          <w:ilvl w:val="1"/>
          <w:numId w:val="6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施工人员年龄18-60周岁，（重大疾病或职业禁忌者不得作业）。</w:t>
      </w:r>
    </w:p>
    <w:p w14:paraId="26F2A39A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供应商资格</w:t>
      </w:r>
      <w:r>
        <w:rPr>
          <w:sz w:val="24"/>
          <w:szCs w:val="24"/>
        </w:rPr>
        <w:t>：不接受失信被执行人、重大违法案件当事人。</w:t>
      </w:r>
    </w:p>
    <w:p w14:paraId="548B90C1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售后服务</w:t>
      </w:r>
      <w:r>
        <w:rPr>
          <w:sz w:val="24"/>
          <w:szCs w:val="24"/>
        </w:rPr>
        <w:t>：电话响应≤8小时，明确解决方案。</w:t>
      </w:r>
    </w:p>
    <w:p w14:paraId="0059EF89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知识产权</w:t>
      </w:r>
      <w:r>
        <w:rPr>
          <w:sz w:val="24"/>
          <w:szCs w:val="24"/>
        </w:rPr>
        <w:t>：供应商承担所有知识产权纠纷责任。</w:t>
      </w:r>
    </w:p>
    <w:p w14:paraId="14247EF0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</w:t>
      </w:r>
      <w:r>
        <w:rPr>
          <w:sz w:val="24"/>
          <w:szCs w:val="24"/>
        </w:rPr>
        <w:t>、评审流程</w:t>
      </w:r>
    </w:p>
    <w:p w14:paraId="31F18230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b/>
          <w:sz w:val="24"/>
          <w:szCs w:val="24"/>
        </w:rPr>
        <w:t>审</w:t>
      </w:r>
      <w:r>
        <w:rPr>
          <w:sz w:val="24"/>
          <w:szCs w:val="24"/>
        </w:rPr>
        <w:t>：采购人组织评审小组，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sz w:val="24"/>
          <w:szCs w:val="24"/>
        </w:rPr>
        <w:t>供应商报价，供应商需保持通讯畅通。</w:t>
      </w:r>
    </w:p>
    <w:p w14:paraId="0F994B82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评定标准</w:t>
      </w:r>
      <w:r>
        <w:rPr>
          <w:sz w:val="24"/>
          <w:szCs w:val="24"/>
        </w:rPr>
        <w:t>：满足技术及供货期要求的供应商中，总价最低者为成交候选人。</w:t>
      </w:r>
    </w:p>
    <w:p w14:paraId="3F9E105C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询价废止</w:t>
      </w:r>
      <w:r>
        <w:rPr>
          <w:sz w:val="24"/>
          <w:szCs w:val="24"/>
        </w:rPr>
        <w:t>：存在串通报价等违规行为的，作废并列入供应商负面清单。</w:t>
      </w:r>
    </w:p>
    <w:p w14:paraId="7C9B8AF9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无效报价</w:t>
      </w:r>
      <w:r>
        <w:rPr>
          <w:sz w:val="24"/>
          <w:szCs w:val="24"/>
        </w:rPr>
        <w:t>：资质不全、报价空项、不符合技术要求、价格明显偏离市场的，作无效处理。</w:t>
      </w:r>
    </w:p>
    <w:p w14:paraId="797A2A8A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sz w:val="24"/>
          <w:szCs w:val="24"/>
        </w:rPr>
        <w:t>、违约责任</w:t>
      </w:r>
    </w:p>
    <w:p w14:paraId="7CF2FB56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逾期交货</w:t>
      </w:r>
      <w:r>
        <w:rPr>
          <w:sz w:val="24"/>
          <w:szCs w:val="24"/>
        </w:rP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质量不合格</w:t>
      </w:r>
      <w:r>
        <w:rPr>
          <w:sz w:val="24"/>
          <w:szCs w:val="24"/>
        </w:rPr>
        <w:t>：</w:t>
      </w:r>
    </w:p>
    <w:p w14:paraId="6C6D2CED">
      <w:pPr>
        <w:numPr>
          <w:ilvl w:val="1"/>
          <w:numId w:val="8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8"/>
        </w:numP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sz w:val="24"/>
          <w:szCs w:val="24"/>
        </w:rP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损失赔偿</w:t>
      </w:r>
      <w:r>
        <w:rPr>
          <w:sz w:val="24"/>
          <w:szCs w:val="24"/>
        </w:rPr>
        <w:t>：因质量或逾期造成的直接/间接损失，违约金不超过合同总价20%。</w:t>
      </w:r>
    </w:p>
    <w:p w14:paraId="1A94C3D1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sz w:val="24"/>
          <w:szCs w:val="24"/>
        </w:rPr>
        <w:t>、其他事项</w:t>
      </w:r>
    </w:p>
    <w:p w14:paraId="3E4BA113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成交人须按询价书签订合同，违约将面临中止合作风险。</w:t>
      </w:r>
    </w:p>
    <w:p w14:paraId="228D9EB6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产品需经采购人检验合格，长期合约三次不合格者终止合同。</w:t>
      </w:r>
    </w:p>
    <w:p w14:paraId="2E46BB60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争议协商解决，仲裁按《产品质量仲裁检验和产品质量鉴定管理办法》执行。</w:t>
      </w:r>
    </w:p>
    <w:p w14:paraId="1E0C3DA3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违规供应商将列入负面清单，解释权归江苏索普化工股份有限公司供应保障部。</w:t>
      </w:r>
    </w:p>
    <w:p w14:paraId="61B8DBE6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7F5142DD">
      <w:pPr>
        <w:jc w:val="right"/>
        <w:rPr>
          <w:sz w:val="24"/>
          <w:szCs w:val="24"/>
        </w:rPr>
      </w:pPr>
      <w:r>
        <w:rPr>
          <w:sz w:val="24"/>
          <w:szCs w:val="24"/>
        </w:rPr>
        <w:t>江苏索普化工股份有限公司供应保障部</w:t>
      </w:r>
    </w:p>
    <w:p w14:paraId="26E9FD79">
      <w:pPr>
        <w:jc w:val="right"/>
        <w:rPr>
          <w:sz w:val="24"/>
          <w:szCs w:val="24"/>
        </w:rPr>
      </w:pPr>
      <w:r>
        <w:rPr>
          <w:sz w:val="24"/>
          <w:szCs w:val="24"/>
        </w:rPr>
        <w:t>日期：____年__月__日</w:t>
      </w:r>
    </w:p>
    <w:p w14:paraId="1301A76A">
      <w:pPr>
        <w:jc w:val="right"/>
        <w:rPr>
          <w:sz w:val="24"/>
          <w:szCs w:val="24"/>
        </w:rPr>
      </w:pPr>
    </w:p>
    <w:p w14:paraId="3A71C47B">
      <w:pPr>
        <w:jc w:val="right"/>
        <w:rPr>
          <w:sz w:val="24"/>
          <w:szCs w:val="24"/>
        </w:rPr>
      </w:pPr>
    </w:p>
    <w:p w14:paraId="3E75DD12">
      <w:pPr>
        <w:jc w:val="both"/>
        <w:rPr>
          <w:rFonts w:hint="eastAsia"/>
          <w:sz w:val="24"/>
          <w:szCs w:val="24"/>
          <w:lang w:val="en-US" w:eastAsia="zh-CN"/>
        </w:rPr>
      </w:pPr>
    </w:p>
    <w:p w14:paraId="687061E9">
      <w:pPr>
        <w:jc w:val="both"/>
        <w:rPr>
          <w:rFonts w:hint="eastAsia"/>
          <w:sz w:val="24"/>
          <w:szCs w:val="24"/>
          <w:lang w:val="en-US" w:eastAsia="zh-CN"/>
        </w:rPr>
      </w:pPr>
    </w:p>
    <w:p w14:paraId="2A886B58">
      <w:pPr>
        <w:jc w:val="both"/>
        <w:rPr>
          <w:rFonts w:hint="eastAsia"/>
          <w:sz w:val="24"/>
          <w:szCs w:val="24"/>
          <w:lang w:val="en-US" w:eastAsia="zh-CN"/>
        </w:rPr>
      </w:pPr>
    </w:p>
    <w:p w14:paraId="6F7F7EC2">
      <w:pPr>
        <w:jc w:val="both"/>
        <w:rPr>
          <w:rFonts w:hint="eastAsia"/>
          <w:sz w:val="24"/>
          <w:szCs w:val="24"/>
          <w:lang w:val="en-US" w:eastAsia="zh-CN"/>
        </w:rPr>
      </w:pPr>
    </w:p>
    <w:p w14:paraId="370D7102">
      <w:pPr>
        <w:jc w:val="both"/>
        <w:rPr>
          <w:rFonts w:hint="eastAsia"/>
          <w:sz w:val="24"/>
          <w:szCs w:val="24"/>
          <w:lang w:val="en-US" w:eastAsia="zh-CN"/>
        </w:rPr>
      </w:pPr>
    </w:p>
    <w:p w14:paraId="457025F9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914B981"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参考图片1                          参考图片2</w:t>
      </w:r>
    </w:p>
    <w:p w14:paraId="49650F30">
      <w:pPr>
        <w:jc w:val="both"/>
        <w:rPr>
          <w:rFonts w:hint="default"/>
          <w:sz w:val="24"/>
          <w:szCs w:val="24"/>
          <w:lang w:val="en-US" w:eastAsia="zh-CN"/>
        </w:rPr>
      </w:pPr>
    </w:p>
    <w:p w14:paraId="53D60514">
      <w:pPr>
        <w:jc w:val="both"/>
      </w:pPr>
      <w:r>
        <w:rPr>
          <w:rFonts w:hint="eastAsia"/>
          <w:sz w:val="24"/>
          <w:szCs w:val="24"/>
          <w:lang w:val="en-US" w:eastAsia="zh-CN"/>
        </w:rPr>
        <w:t>.</w:t>
      </w:r>
      <w:r>
        <w:drawing>
          <wp:inline distT="0" distB="0" distL="114300" distR="114300">
            <wp:extent cx="2281555" cy="30797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415540" cy="3098800"/>
            <wp:effectExtent l="0" t="0" r="38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2DFA2">
      <w:pPr>
        <w:jc w:val="both"/>
        <w:rPr>
          <w:rFonts w:hint="eastAsia"/>
          <w:sz w:val="24"/>
          <w:szCs w:val="24"/>
          <w:lang w:val="en-US" w:eastAsia="zh-CN"/>
        </w:rPr>
      </w:pPr>
    </w:p>
    <w:p w14:paraId="3E2E0267">
      <w:pPr>
        <w:jc w:val="both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参考图片3</w:t>
      </w:r>
    </w:p>
    <w:p w14:paraId="2B59197B">
      <w:pPr>
        <w:jc w:val="both"/>
        <w:rPr>
          <w:rFonts w:hint="default" w:eastAsia="宋体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1997075" cy="3481705"/>
            <wp:effectExtent l="0" t="0" r="317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76DC">
      <w:pPr>
        <w:jc w:val="both"/>
        <w:rPr>
          <w:rFonts w:hint="eastAsia"/>
          <w:sz w:val="24"/>
          <w:szCs w:val="24"/>
          <w:lang w:val="en-US" w:eastAsia="zh-CN"/>
        </w:rPr>
      </w:pPr>
    </w:p>
    <w:p w14:paraId="3A4F3A57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629C24">
      <w:pPr>
        <w:pStyle w:val="3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756083B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报价函</w:t>
      </w:r>
    </w:p>
    <w:p w14:paraId="58D07B85">
      <w:pPr>
        <w:rPr>
          <w:sz w:val="24"/>
          <w:szCs w:val="24"/>
        </w:rPr>
      </w:pPr>
      <w:r>
        <w:rPr>
          <w:b/>
          <w:sz w:val="24"/>
          <w:szCs w:val="24"/>
        </w:rPr>
        <w:t>江苏索普化工股份有限公司</w:t>
      </w:r>
      <w:r>
        <w:rPr>
          <w:sz w:val="24"/>
          <w:szCs w:val="24"/>
        </w:rPr>
        <w:t>：</w:t>
      </w:r>
    </w:p>
    <w:p w14:paraId="03DF583E">
      <w:pPr>
        <w:rPr>
          <w:sz w:val="24"/>
          <w:szCs w:val="24"/>
        </w:rPr>
      </w:pPr>
      <w:r>
        <w:rPr>
          <w:sz w:val="24"/>
          <w:szCs w:val="24"/>
        </w:rP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项目总价（含税）</w:t>
      </w:r>
      <w:r>
        <w:rPr>
          <w:sz w:val="24"/>
          <w:szCs w:val="24"/>
        </w:rPr>
        <w:t>：（大写）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sz w:val="24"/>
          <w:szCs w:val="24"/>
          <w:u w:val="none"/>
        </w:rPr>
        <w:t>元人民币；税率</w:t>
      </w:r>
      <w:r>
        <w:rPr>
          <w:rFonts w:hint="eastAsia"/>
          <w:sz w:val="24"/>
          <w:szCs w:val="24"/>
          <w:u w:val="none"/>
          <w:lang w:val="en-US" w:eastAsia="zh-CN"/>
        </w:rPr>
        <w:t>13</w:t>
      </w:r>
      <w:r>
        <w:rPr>
          <w:sz w:val="24"/>
          <w:szCs w:val="24"/>
          <w:u w:val="none"/>
        </w:rPr>
        <w:t>%</w:t>
      </w:r>
      <w:r>
        <w:rPr>
          <w:sz w:val="24"/>
          <w:szCs w:val="24"/>
        </w:rPr>
        <w:t>。</w:t>
      </w:r>
    </w:p>
    <w:p w14:paraId="167DA178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交货时间</w:t>
      </w:r>
      <w:r>
        <w:rPr>
          <w:sz w:val="24"/>
          <w:szCs w:val="24"/>
        </w:rPr>
        <w:t>：________________________。</w:t>
      </w:r>
    </w:p>
    <w:p w14:paraId="7E6B970D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sz w:val="24"/>
          <w:szCs w:val="24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>不接受项</w:t>
      </w:r>
      <w:r>
        <w:rPr>
          <w:sz w:val="24"/>
          <w:szCs w:val="24"/>
        </w:rPr>
        <w:t>：________________________。</w:t>
      </w:r>
    </w:p>
    <w:p w14:paraId="1D8C735C">
      <w:pPr>
        <w:rPr>
          <w:sz w:val="24"/>
          <w:szCs w:val="24"/>
        </w:rPr>
      </w:pPr>
      <w:r>
        <w:rPr>
          <w:b/>
          <w:sz w:val="24"/>
          <w:szCs w:val="24"/>
        </w:rPr>
        <w:t>承诺</w:t>
      </w:r>
      <w:r>
        <w:rPr>
          <w:sz w:val="24"/>
          <w:szCs w:val="24"/>
        </w:rPr>
        <w:t>：遵守询价书规定，及时签订合同并履行责任；</w:t>
      </w:r>
      <w:r>
        <w:rPr>
          <w:rFonts w:hint="eastAsia"/>
          <w:sz w:val="24"/>
          <w:szCs w:val="24"/>
          <w:lang w:val="en-US" w:eastAsia="zh-CN"/>
        </w:rPr>
        <w:t>不串通报价</w:t>
      </w:r>
      <w:r>
        <w:rPr>
          <w:sz w:val="24"/>
          <w:szCs w:val="24"/>
        </w:rPr>
        <w:t>，信息真实有效；接受贵方核查与审计。如违反，承担法律责任及相关处理。</w:t>
      </w:r>
    </w:p>
    <w:p w14:paraId="0F5911FA">
      <w:pPr>
        <w:rPr>
          <w:sz w:val="24"/>
          <w:szCs w:val="24"/>
        </w:rPr>
      </w:pPr>
      <w:r>
        <w:rPr>
          <w:sz w:val="24"/>
          <w:szCs w:val="24"/>
        </w:rPr>
        <w:t>全权代表（签字）：________ 联系电话：________</w:t>
      </w:r>
    </w:p>
    <w:p w14:paraId="00829DAD">
      <w:pPr>
        <w:rPr>
          <w:sz w:val="24"/>
          <w:szCs w:val="24"/>
        </w:rPr>
      </w:pPr>
      <w:r>
        <w:rPr>
          <w:sz w:val="24"/>
          <w:szCs w:val="24"/>
        </w:rP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013"/>
    <w:rsid w:val="03074A71"/>
    <w:rsid w:val="03661A20"/>
    <w:rsid w:val="03824AAC"/>
    <w:rsid w:val="04D76E64"/>
    <w:rsid w:val="06142419"/>
    <w:rsid w:val="06F64FE7"/>
    <w:rsid w:val="08E44C73"/>
    <w:rsid w:val="09BD5632"/>
    <w:rsid w:val="09C83435"/>
    <w:rsid w:val="0B1408EB"/>
    <w:rsid w:val="0D5C67E2"/>
    <w:rsid w:val="10797237"/>
    <w:rsid w:val="11594962"/>
    <w:rsid w:val="122F3AA5"/>
    <w:rsid w:val="12922C84"/>
    <w:rsid w:val="12A0681E"/>
    <w:rsid w:val="12E34708"/>
    <w:rsid w:val="134678C7"/>
    <w:rsid w:val="14477630"/>
    <w:rsid w:val="147931F1"/>
    <w:rsid w:val="14D05D11"/>
    <w:rsid w:val="15386004"/>
    <w:rsid w:val="15F1304B"/>
    <w:rsid w:val="16734728"/>
    <w:rsid w:val="16E70B61"/>
    <w:rsid w:val="17920BDE"/>
    <w:rsid w:val="17BD258A"/>
    <w:rsid w:val="18C07DF1"/>
    <w:rsid w:val="18EA2DBC"/>
    <w:rsid w:val="19F07BEE"/>
    <w:rsid w:val="1A9D437B"/>
    <w:rsid w:val="1C0D408C"/>
    <w:rsid w:val="1C0E52F2"/>
    <w:rsid w:val="1C4B2B22"/>
    <w:rsid w:val="1D7C655F"/>
    <w:rsid w:val="1E88705F"/>
    <w:rsid w:val="1F0E1492"/>
    <w:rsid w:val="206A6B9C"/>
    <w:rsid w:val="228D7161"/>
    <w:rsid w:val="247C629F"/>
    <w:rsid w:val="24960418"/>
    <w:rsid w:val="24E05525"/>
    <w:rsid w:val="251F5A1E"/>
    <w:rsid w:val="251F61A7"/>
    <w:rsid w:val="28D457C6"/>
    <w:rsid w:val="28D81E18"/>
    <w:rsid w:val="2B8C00D9"/>
    <w:rsid w:val="2C2718A6"/>
    <w:rsid w:val="2C4934E1"/>
    <w:rsid w:val="2D6D29C6"/>
    <w:rsid w:val="2D7C7196"/>
    <w:rsid w:val="2E730AF8"/>
    <w:rsid w:val="2E735BC5"/>
    <w:rsid w:val="2EEA1AFE"/>
    <w:rsid w:val="2EEE0779"/>
    <w:rsid w:val="2F650C5A"/>
    <w:rsid w:val="2F9904EA"/>
    <w:rsid w:val="30DA11D4"/>
    <w:rsid w:val="342E25A5"/>
    <w:rsid w:val="34476B80"/>
    <w:rsid w:val="34C556EC"/>
    <w:rsid w:val="356E45E1"/>
    <w:rsid w:val="3CAF1C2C"/>
    <w:rsid w:val="3CE67488"/>
    <w:rsid w:val="3DE503C5"/>
    <w:rsid w:val="3F6853D5"/>
    <w:rsid w:val="3FD12D46"/>
    <w:rsid w:val="42235AE4"/>
    <w:rsid w:val="423F533B"/>
    <w:rsid w:val="45B54290"/>
    <w:rsid w:val="487F4798"/>
    <w:rsid w:val="49B922B8"/>
    <w:rsid w:val="4A1C7A9E"/>
    <w:rsid w:val="4A3E1929"/>
    <w:rsid w:val="4AC251FD"/>
    <w:rsid w:val="4AE1260F"/>
    <w:rsid w:val="4BD96800"/>
    <w:rsid w:val="513A2283"/>
    <w:rsid w:val="51937451"/>
    <w:rsid w:val="5266047B"/>
    <w:rsid w:val="53AE528F"/>
    <w:rsid w:val="546C5363"/>
    <w:rsid w:val="58113834"/>
    <w:rsid w:val="5A702373"/>
    <w:rsid w:val="5AFA7489"/>
    <w:rsid w:val="5D35760E"/>
    <w:rsid w:val="5E8166A0"/>
    <w:rsid w:val="5F6706E3"/>
    <w:rsid w:val="5FED582A"/>
    <w:rsid w:val="60330171"/>
    <w:rsid w:val="60681AA9"/>
    <w:rsid w:val="625978FB"/>
    <w:rsid w:val="626F711E"/>
    <w:rsid w:val="6326564D"/>
    <w:rsid w:val="63367C3C"/>
    <w:rsid w:val="63D74F7B"/>
    <w:rsid w:val="63F87D96"/>
    <w:rsid w:val="64B90B25"/>
    <w:rsid w:val="653073CE"/>
    <w:rsid w:val="65820E39"/>
    <w:rsid w:val="6593322E"/>
    <w:rsid w:val="66471299"/>
    <w:rsid w:val="6662357E"/>
    <w:rsid w:val="66BF367F"/>
    <w:rsid w:val="694037F5"/>
    <w:rsid w:val="69444DF9"/>
    <w:rsid w:val="6A7950E7"/>
    <w:rsid w:val="6DD76B71"/>
    <w:rsid w:val="6EB45666"/>
    <w:rsid w:val="71C225C6"/>
    <w:rsid w:val="71EB595A"/>
    <w:rsid w:val="739A17A4"/>
    <w:rsid w:val="742064CB"/>
    <w:rsid w:val="748B4929"/>
    <w:rsid w:val="74D63C29"/>
    <w:rsid w:val="790E38C5"/>
    <w:rsid w:val="7A4773F3"/>
    <w:rsid w:val="7A995229"/>
    <w:rsid w:val="7B106F4E"/>
    <w:rsid w:val="7C594C70"/>
    <w:rsid w:val="7CB82837"/>
    <w:rsid w:val="7DC36C1D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2433</Words>
  <Characters>2865</Characters>
  <Lines>0</Lines>
  <Paragraphs>0</Paragraphs>
  <TotalTime>58</TotalTime>
  <ScaleCrop>false</ScaleCrop>
  <LinksUpToDate>false</LinksUpToDate>
  <CharactersWithSpaces>2930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2026-06-12T01:52:45Z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32A12554D14A40E399F3AEE98B498DAF_13</vt:lpwstr>
  </property>
</Properties>
</file>