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81211">
      <w:pPr>
        <w:rPr>
          <w:b/>
          <w:kern w:val="1"/>
          <w:sz w:val="32"/>
          <w:szCs w:val="32"/>
        </w:rPr>
      </w:pPr>
      <w:r>
        <w:t xml:space="preserve">   </w:t>
      </w:r>
    </w:p>
    <w:p w14:paraId="426DBE99">
      <w:pPr>
        <w:numPr>
          <w:ilvl w:val="0"/>
          <w:numId w:val="1"/>
        </w:numPr>
        <w:spacing w:line="360" w:lineRule="auto"/>
        <w:rPr>
          <w:b/>
          <w:caps/>
          <w:sz w:val="24"/>
        </w:rPr>
      </w:pPr>
      <w:r>
        <w:rPr>
          <w:rFonts w:hint="eastAsia"/>
          <w:b/>
          <w:caps/>
          <w:sz w:val="24"/>
        </w:rPr>
        <w:t>总则</w:t>
      </w:r>
      <w:r>
        <w:rPr>
          <w:b/>
          <w:caps/>
          <w:sz w:val="24"/>
        </w:rPr>
        <w:t xml:space="preserve"> </w:t>
      </w:r>
    </w:p>
    <w:p w14:paraId="1E2B7840">
      <w:pPr>
        <w:numPr>
          <w:ilvl w:val="0"/>
          <w:numId w:val="0"/>
        </w:numPr>
        <w:spacing w:line="360" w:lineRule="auto"/>
        <w:ind w:firstLine="210" w:firstLineChars="100"/>
        <w:rPr>
          <w:rFonts w:hint="eastAsia"/>
        </w:rPr>
      </w:pPr>
      <w:r>
        <w:rPr>
          <w:rFonts w:hint="eastAsia"/>
        </w:rPr>
        <w:t>1.1概述</w:t>
      </w:r>
    </w:p>
    <w:p w14:paraId="4227B738">
      <w:pPr>
        <w:numPr>
          <w:ilvl w:val="0"/>
          <w:numId w:val="0"/>
        </w:num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本安全仪表系统（Safty Instrumented System，简称SIS）</w:t>
      </w:r>
      <w:r>
        <w:rPr>
          <w:rFonts w:hint="eastAsia" w:ascii="宋体" w:hAnsi="宋体"/>
          <w:b w:val="0"/>
          <w:sz w:val="24"/>
          <w:szCs w:val="24"/>
          <w:lang w:val="en-US" w:eastAsia="zh-CN"/>
        </w:rPr>
        <w:t>采购技术说明</w:t>
      </w:r>
      <w:r>
        <w:rPr>
          <w:rFonts w:hint="eastAsia" w:ascii="宋体" w:hAnsi="宋体" w:eastAsia="宋体"/>
          <w:b w:val="0"/>
          <w:sz w:val="24"/>
          <w:szCs w:val="24"/>
        </w:rPr>
        <w:t>是为江苏</w:t>
      </w:r>
      <w:r>
        <w:rPr>
          <w:rFonts w:hint="eastAsia" w:ascii="宋体" w:hAnsi="宋体" w:eastAsia="宋体"/>
          <w:b w:val="0"/>
          <w:sz w:val="24"/>
          <w:szCs w:val="24"/>
          <w:lang w:val="en-US" w:eastAsia="zh-CN"/>
        </w:rPr>
        <w:t>索</w:t>
      </w:r>
      <w:r>
        <w:rPr>
          <w:rFonts w:hint="eastAsia" w:ascii="宋体" w:hAnsi="宋体" w:eastAsia="宋体"/>
          <w:b w:val="0"/>
          <w:sz w:val="24"/>
          <w:szCs w:val="24"/>
        </w:rPr>
        <w:t>普新材料科技有限公司醋酸乙烯及EVA一体化项目(一期工程)</w:t>
      </w:r>
      <w:bookmarkStart w:id="0" w:name="OLE_LINK1"/>
      <w:r>
        <w:rPr>
          <w:rFonts w:hint="eastAsia" w:ascii="宋体" w:hAnsi="宋体" w:eastAsia="宋体"/>
          <w:b w:val="0"/>
          <w:sz w:val="24"/>
          <w:szCs w:val="24"/>
        </w:rPr>
        <w:t>硫酸装置和空分装置</w:t>
      </w:r>
      <w:bookmarkEnd w:id="0"/>
      <w:r>
        <w:rPr>
          <w:rFonts w:hint="eastAsia" w:ascii="宋体" w:hAnsi="宋体" w:eastAsia="宋体"/>
          <w:b w:val="0"/>
          <w:sz w:val="24"/>
          <w:szCs w:val="24"/>
        </w:rPr>
        <w:t>SIS系统编制的。</w:t>
      </w:r>
    </w:p>
    <w:p w14:paraId="54C4A4FB">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本</w:t>
      </w:r>
      <w:r>
        <w:rPr>
          <w:rFonts w:hint="eastAsia" w:ascii="宋体" w:hAnsi="宋体"/>
          <w:b w:val="0"/>
          <w:sz w:val="24"/>
          <w:szCs w:val="24"/>
          <w:lang w:eastAsia="zh-CN"/>
        </w:rPr>
        <w:t>技术说明文件</w:t>
      </w:r>
      <w:r>
        <w:rPr>
          <w:rFonts w:hint="eastAsia" w:ascii="宋体" w:hAnsi="宋体" w:eastAsia="宋体"/>
          <w:b w:val="0"/>
          <w:sz w:val="24"/>
          <w:szCs w:val="24"/>
        </w:rPr>
        <w:t>是订货合同的基础文件之一，经双方确认签字后为合同技术附件。</w:t>
      </w:r>
    </w:p>
    <w:p w14:paraId="0DE985D0">
      <w:pPr>
        <w:numPr>
          <w:ilvl w:val="0"/>
          <w:numId w:val="0"/>
        </w:num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本</w:t>
      </w:r>
      <w:r>
        <w:rPr>
          <w:rFonts w:hint="eastAsia" w:ascii="宋体" w:hAnsi="宋体"/>
          <w:b w:val="0"/>
          <w:sz w:val="24"/>
          <w:szCs w:val="24"/>
          <w:lang w:eastAsia="zh-CN"/>
        </w:rPr>
        <w:t>技术说明文件</w:t>
      </w:r>
      <w:r>
        <w:rPr>
          <w:rFonts w:hint="eastAsia" w:ascii="宋体" w:hAnsi="宋体" w:eastAsia="宋体"/>
          <w:b w:val="0"/>
          <w:sz w:val="24"/>
          <w:szCs w:val="24"/>
        </w:rPr>
        <w:t>对“江苏</w:t>
      </w:r>
      <w:r>
        <w:rPr>
          <w:rFonts w:hint="eastAsia" w:ascii="宋体" w:hAnsi="宋体" w:eastAsia="宋体"/>
          <w:b w:val="0"/>
          <w:sz w:val="24"/>
          <w:szCs w:val="24"/>
          <w:lang w:val="en-US" w:eastAsia="zh-CN"/>
        </w:rPr>
        <w:t>索</w:t>
      </w:r>
      <w:r>
        <w:rPr>
          <w:rFonts w:hint="eastAsia" w:ascii="宋体" w:hAnsi="宋体" w:eastAsia="宋体"/>
          <w:b w:val="0"/>
          <w:sz w:val="24"/>
          <w:szCs w:val="24"/>
        </w:rPr>
        <w:t>普新材料科技有限公司醋酸乙烯及EVA一体化项目(一期工</w:t>
      </w:r>
      <w:bookmarkStart w:id="1" w:name="_GoBack"/>
      <w:bookmarkEnd w:id="1"/>
      <w:r>
        <w:rPr>
          <w:rFonts w:hint="eastAsia" w:ascii="宋体" w:hAnsi="宋体" w:eastAsia="宋体"/>
          <w:b w:val="0"/>
          <w:sz w:val="24"/>
          <w:szCs w:val="24"/>
        </w:rPr>
        <w:t>程)</w:t>
      </w:r>
      <w:r>
        <w:rPr>
          <w:rFonts w:hint="eastAsia"/>
        </w:rPr>
        <w:t xml:space="preserve"> </w:t>
      </w:r>
      <w:r>
        <w:rPr>
          <w:rFonts w:hint="eastAsia" w:ascii="宋体" w:hAnsi="宋体" w:eastAsia="宋体"/>
          <w:b w:val="0"/>
          <w:sz w:val="24"/>
          <w:szCs w:val="24"/>
        </w:rPr>
        <w:t>硫酸装置和空分装置”的SIS系统在配置规模、系统功能、技术性能等方面提出的技术要求，对</w:t>
      </w:r>
      <w:r>
        <w:rPr>
          <w:rFonts w:hint="eastAsia" w:ascii="宋体" w:hAnsi="宋体"/>
          <w:b w:val="0"/>
          <w:sz w:val="24"/>
          <w:szCs w:val="24"/>
          <w:lang w:eastAsia="zh-CN"/>
        </w:rPr>
        <w:t>供货方</w:t>
      </w:r>
      <w:r>
        <w:rPr>
          <w:rFonts w:hint="eastAsia" w:ascii="宋体" w:hAnsi="宋体" w:eastAsia="宋体"/>
          <w:b w:val="0"/>
          <w:sz w:val="24"/>
          <w:szCs w:val="24"/>
        </w:rPr>
        <w:t>的供货范围、技术服务、工程项目实施、系统的组态、系统集成等提出要求。</w:t>
      </w:r>
    </w:p>
    <w:p w14:paraId="1452EB1E">
      <w:pPr>
        <w:numPr>
          <w:ilvl w:val="0"/>
          <w:numId w:val="0"/>
        </w:num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对</w:t>
      </w:r>
      <w:r>
        <w:rPr>
          <w:rFonts w:hint="eastAsia" w:ascii="宋体" w:hAnsi="宋体"/>
          <w:b w:val="0"/>
          <w:sz w:val="24"/>
          <w:szCs w:val="24"/>
          <w:lang w:eastAsia="zh-CN"/>
        </w:rPr>
        <w:t>技术说明文件</w:t>
      </w:r>
      <w:r>
        <w:rPr>
          <w:rFonts w:hint="eastAsia" w:ascii="宋体" w:hAnsi="宋体" w:eastAsia="宋体"/>
          <w:b w:val="0"/>
          <w:sz w:val="24"/>
          <w:szCs w:val="24"/>
        </w:rPr>
        <w:t>中未提及的，但为实现系统技术性能和系统完整又是必须的系统配置和有关附件，</w:t>
      </w:r>
      <w:r>
        <w:rPr>
          <w:rFonts w:hint="eastAsia" w:ascii="宋体" w:hAnsi="宋体"/>
          <w:b w:val="0"/>
          <w:sz w:val="24"/>
          <w:szCs w:val="24"/>
          <w:lang w:eastAsia="zh-CN"/>
        </w:rPr>
        <w:t>供货方</w:t>
      </w:r>
      <w:r>
        <w:rPr>
          <w:rFonts w:hint="eastAsia" w:ascii="宋体" w:hAnsi="宋体" w:eastAsia="宋体"/>
          <w:b w:val="0"/>
          <w:sz w:val="24"/>
          <w:szCs w:val="24"/>
        </w:rPr>
        <w:t>有责任向</w:t>
      </w:r>
      <w:r>
        <w:rPr>
          <w:rFonts w:hint="eastAsia" w:ascii="宋体" w:hAnsi="宋体"/>
          <w:b w:val="0"/>
          <w:sz w:val="24"/>
          <w:szCs w:val="24"/>
          <w:lang w:eastAsia="zh-CN"/>
        </w:rPr>
        <w:t>采购方</w:t>
      </w:r>
      <w:r>
        <w:rPr>
          <w:rFonts w:hint="eastAsia" w:ascii="宋体" w:hAnsi="宋体" w:eastAsia="宋体"/>
          <w:b w:val="0"/>
          <w:sz w:val="24"/>
          <w:szCs w:val="24"/>
        </w:rPr>
        <w:t>提出建议，并提供完整的SIS 系统配置。</w:t>
      </w:r>
    </w:p>
    <w:p w14:paraId="7D8BB612">
      <w:pPr>
        <w:numPr>
          <w:ilvl w:val="0"/>
          <w:numId w:val="0"/>
        </w:numPr>
        <w:spacing w:line="360" w:lineRule="auto"/>
        <w:ind w:firstLine="210" w:firstLineChars="100"/>
        <w:rPr>
          <w:rFonts w:hint="eastAsia"/>
        </w:rPr>
      </w:pPr>
      <w:r>
        <w:rPr>
          <w:rFonts w:hint="eastAsia"/>
        </w:rPr>
        <w:t>1.2 设计内容：</w:t>
      </w:r>
    </w:p>
    <w:p w14:paraId="4894AB8E">
      <w:pPr>
        <w:numPr>
          <w:ilvl w:val="0"/>
          <w:numId w:val="0"/>
        </w:num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 xml:space="preserve"> SIS 系统按照故障安全型设计，与DCS 系统采用冗余、实时数据通信方式。SIS 系统设控制柜（根据装置的控制和检测点数配置相应的控制单元及机柜）1 个，安全栅柜1 个（电源都装在控制柜里)。</w:t>
      </w:r>
    </w:p>
    <w:p w14:paraId="002F4DA1">
      <w:pPr>
        <w:numPr>
          <w:ilvl w:val="0"/>
          <w:numId w:val="0"/>
        </w:num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 xml:space="preserve">工程师站兼顺序事件记录站（SER 工作站）1 个；辅助操作台（按钮、报警灯）1个。  </w:t>
      </w:r>
    </w:p>
    <w:p w14:paraId="42D2B434">
      <w:pPr>
        <w:numPr>
          <w:ilvl w:val="0"/>
          <w:numId w:val="0"/>
        </w:numPr>
        <w:spacing w:line="360" w:lineRule="auto"/>
        <w:ind w:firstLine="210" w:firstLineChars="100"/>
        <w:rPr>
          <w:rFonts w:hint="eastAsia" w:ascii="宋体" w:hAnsi="宋体" w:eastAsia="宋体"/>
          <w:b w:val="0"/>
          <w:sz w:val="24"/>
          <w:szCs w:val="24"/>
        </w:rPr>
      </w:pPr>
      <w:r>
        <w:rPr>
          <w:rFonts w:hint="eastAsia"/>
        </w:rPr>
        <w:t>1.3</w:t>
      </w:r>
      <w:r>
        <w:rPr>
          <w:rFonts w:hint="eastAsia"/>
          <w:lang w:val="en-US" w:eastAsia="zh-CN"/>
        </w:rPr>
        <w:t>供货</w:t>
      </w:r>
      <w:r>
        <w:rPr>
          <w:rFonts w:hint="eastAsia"/>
        </w:rPr>
        <w:t>方的责任</w:t>
      </w:r>
      <w:r>
        <w:rPr>
          <w:rFonts w:hint="eastAsia" w:ascii="宋体" w:hAnsi="宋体" w:eastAsia="宋体"/>
          <w:b w:val="0"/>
          <w:sz w:val="24"/>
          <w:szCs w:val="24"/>
        </w:rPr>
        <w:t xml:space="preserve"> </w:t>
      </w:r>
    </w:p>
    <w:p w14:paraId="41B62BCA">
      <w:pPr>
        <w:pStyle w:val="2"/>
        <w:spacing w:line="400" w:lineRule="exact"/>
        <w:ind w:left="141" w:leftChars="67" w:right="535" w:rightChars="255" w:firstLine="480" w:firstLineChars="200"/>
        <w:rPr>
          <w:rFonts w:hint="eastAsia" w:ascii="宋体" w:hAnsi="宋体" w:eastAsia="宋体"/>
          <w:b w:val="0"/>
          <w:sz w:val="24"/>
          <w:szCs w:val="24"/>
        </w:rPr>
      </w:pPr>
      <w:r>
        <w:rPr>
          <w:rFonts w:hint="eastAsia" w:ascii="宋体" w:hAnsi="宋体"/>
          <w:b w:val="0"/>
          <w:sz w:val="24"/>
          <w:szCs w:val="24"/>
          <w:lang w:val="en-US" w:eastAsia="zh-CN"/>
        </w:rPr>
        <w:t>供货</w:t>
      </w:r>
      <w:r>
        <w:rPr>
          <w:rFonts w:hint="eastAsia" w:ascii="宋体" w:hAnsi="宋体" w:eastAsia="宋体"/>
          <w:b w:val="0"/>
          <w:sz w:val="24"/>
          <w:szCs w:val="24"/>
        </w:rPr>
        <w:t>方对所提供的硬件（除SIS 系统外，还包括所集成的其它第三方设备）、软件、技术服务、工程服务、技术培训、软件组态、系统集成、包装运输、开箱检验、安装指导、现场测试、系统验收，直到SIS 整套系统运行等负有完全责任。</w:t>
      </w:r>
    </w:p>
    <w:p w14:paraId="37FA44AC">
      <w:pPr>
        <w:ind w:firstLine="210" w:firstLineChars="100"/>
        <w:rPr>
          <w:rFonts w:hint="eastAsia"/>
        </w:rPr>
      </w:pPr>
    </w:p>
    <w:p w14:paraId="179EEE09">
      <w:pPr>
        <w:ind w:firstLine="210" w:firstLineChars="100"/>
        <w:rPr>
          <w:rFonts w:hint="eastAsia"/>
        </w:rPr>
      </w:pPr>
      <w:r>
        <w:rPr>
          <w:rFonts w:hint="eastAsia"/>
        </w:rPr>
        <w:t>1.4 供货及服务范围</w:t>
      </w:r>
    </w:p>
    <w:p w14:paraId="5699744F">
      <w:pPr>
        <w:pStyle w:val="2"/>
        <w:spacing w:line="400" w:lineRule="exact"/>
        <w:ind w:left="141" w:leftChars="67" w:right="535" w:rightChars="255" w:firstLine="240"/>
        <w:rPr>
          <w:rFonts w:hint="eastAsia" w:ascii="宋体" w:hAnsi="宋体" w:eastAsia="宋体"/>
          <w:b w:val="0"/>
          <w:sz w:val="24"/>
          <w:szCs w:val="24"/>
        </w:rPr>
      </w:pPr>
      <w:r>
        <w:rPr>
          <w:rFonts w:hint="eastAsia"/>
          <w:lang w:val="en-US" w:eastAsia="zh-CN"/>
        </w:rPr>
        <w:t xml:space="preserve"> </w:t>
      </w:r>
      <w:r>
        <w:rPr>
          <w:rFonts w:hint="eastAsia" w:ascii="宋体" w:hAnsi="宋体"/>
          <w:b w:val="0"/>
          <w:sz w:val="24"/>
          <w:szCs w:val="24"/>
          <w:lang w:eastAsia="zh-CN"/>
        </w:rPr>
        <w:t>供货方</w:t>
      </w:r>
      <w:r>
        <w:rPr>
          <w:rFonts w:hint="eastAsia" w:ascii="宋体" w:hAnsi="宋体" w:eastAsia="宋体"/>
          <w:b w:val="0"/>
          <w:sz w:val="24"/>
          <w:szCs w:val="24"/>
        </w:rPr>
        <w:t>的供货及服务范围包括：SIS 的硬件、软件，技术服务、工程服务、技术培训、软件组态、系统集成、包装运输、开箱检验、安装指导、现场调试和测试、系统交付验收等。</w:t>
      </w:r>
    </w:p>
    <w:p w14:paraId="6B7DB061">
      <w:pPr>
        <w:pStyle w:val="2"/>
        <w:spacing w:line="400" w:lineRule="exact"/>
        <w:ind w:left="141" w:leftChars="67"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的供货及服务范围根据实际需要还包括：各种仪表机柜、安全栅、辅助仪表、接线端子、继电器等设备与SIS 系统的工程集成及现场工程服务。</w:t>
      </w:r>
    </w:p>
    <w:p w14:paraId="073BAA19">
      <w:pPr>
        <w:pStyle w:val="3"/>
        <w:ind w:left="0" w:leftChars="0" w:firstLine="210" w:firstLineChars="100"/>
        <w:rPr>
          <w:rFonts w:hint="eastAsia"/>
          <w:sz w:val="21"/>
          <w:szCs w:val="21"/>
        </w:rPr>
      </w:pPr>
    </w:p>
    <w:p w14:paraId="02AD8EF0">
      <w:pPr>
        <w:pStyle w:val="3"/>
        <w:ind w:left="0" w:leftChars="0" w:firstLine="210" w:firstLineChars="100"/>
        <w:rPr>
          <w:rFonts w:hint="eastAsia"/>
          <w:sz w:val="21"/>
          <w:szCs w:val="21"/>
        </w:rPr>
      </w:pPr>
      <w:r>
        <w:rPr>
          <w:rFonts w:hint="eastAsia"/>
          <w:sz w:val="21"/>
          <w:szCs w:val="21"/>
        </w:rPr>
        <w:t>1.5 报价技术文件要求</w:t>
      </w:r>
    </w:p>
    <w:p w14:paraId="58B8686B">
      <w:pPr>
        <w:pStyle w:val="2"/>
        <w:spacing w:line="400" w:lineRule="exact"/>
        <w:ind w:left="141" w:leftChars="67" w:right="535" w:rightChars="255" w:firstLine="240"/>
        <w:rPr>
          <w:rFonts w:hint="eastAsia" w:ascii="宋体" w:hAnsi="宋体" w:eastAsia="宋体"/>
          <w:b w:val="0"/>
          <w:sz w:val="21"/>
          <w:szCs w:val="21"/>
        </w:rPr>
      </w:pPr>
      <w:r>
        <w:rPr>
          <w:rFonts w:hint="eastAsia" w:ascii="宋体" w:hAnsi="宋体" w:eastAsia="宋体"/>
          <w:b w:val="0"/>
          <w:sz w:val="21"/>
          <w:szCs w:val="21"/>
        </w:rPr>
        <w:t>1.5.1 系统配置要求</w:t>
      </w:r>
    </w:p>
    <w:p w14:paraId="6D08FDC1">
      <w:pPr>
        <w:rPr>
          <w:rFonts w:hint="eastAsia" w:ascii="宋体" w:hAnsi="宋体" w:eastAsia="宋体"/>
          <w:b w:val="0"/>
          <w:sz w:val="24"/>
          <w:szCs w:val="24"/>
        </w:rPr>
      </w:pPr>
      <w:r>
        <w:rPr>
          <w:rFonts w:hint="eastAsia" w:ascii="宋体" w:hAnsi="宋体"/>
          <w:b w:val="0"/>
          <w:sz w:val="21"/>
          <w:szCs w:val="21"/>
          <w:lang w:val="en-US" w:eastAsia="zh-CN"/>
        </w:rPr>
        <w:t xml:space="preserve">     </w:t>
      </w:r>
      <w:r>
        <w:rPr>
          <w:rFonts w:hint="eastAsia" w:ascii="宋体" w:hAnsi="宋体" w:eastAsia="宋体"/>
          <w:b w:val="0"/>
          <w:sz w:val="24"/>
          <w:szCs w:val="24"/>
        </w:rPr>
        <w:t>本</w:t>
      </w:r>
      <w:r>
        <w:rPr>
          <w:rFonts w:hint="eastAsia" w:ascii="宋体" w:hAnsi="宋体"/>
          <w:b w:val="0"/>
          <w:sz w:val="24"/>
          <w:szCs w:val="24"/>
          <w:lang w:eastAsia="zh-CN"/>
        </w:rPr>
        <w:t>技术说明文件</w:t>
      </w:r>
      <w:r>
        <w:rPr>
          <w:rFonts w:hint="eastAsia" w:ascii="宋体" w:hAnsi="宋体" w:eastAsia="宋体"/>
          <w:b w:val="0"/>
          <w:sz w:val="24"/>
          <w:szCs w:val="24"/>
        </w:rPr>
        <w:t>规定的系统配置规模、规格指标是基本要求。</w:t>
      </w:r>
      <w:r>
        <w:rPr>
          <w:rFonts w:hint="eastAsia" w:ascii="宋体" w:hAnsi="宋体"/>
          <w:b w:val="0"/>
          <w:sz w:val="24"/>
          <w:szCs w:val="24"/>
          <w:lang w:eastAsia="zh-CN"/>
        </w:rPr>
        <w:t>供货方</w:t>
      </w:r>
      <w:r>
        <w:rPr>
          <w:rFonts w:hint="eastAsia" w:ascii="宋体" w:hAnsi="宋体" w:eastAsia="宋体"/>
          <w:b w:val="0"/>
          <w:sz w:val="24"/>
          <w:szCs w:val="24"/>
        </w:rPr>
        <w:t>应根据这些基本要求配置成熟、新型的主流设备和最新的软件版本，提供良好的项目技术服务，据此作出性能、价格合适的报价。</w:t>
      </w:r>
    </w:p>
    <w:p w14:paraId="43A06F43">
      <w:pPr>
        <w:ind w:firstLine="480"/>
        <w:rPr>
          <w:rFonts w:hint="eastAsia" w:ascii="宋体" w:hAnsi="宋体" w:eastAsia="宋体"/>
          <w:b w:val="0"/>
          <w:sz w:val="24"/>
          <w:szCs w:val="24"/>
        </w:rPr>
      </w:pPr>
      <w:r>
        <w:rPr>
          <w:rFonts w:hint="eastAsia" w:ascii="宋体" w:hAnsi="宋体" w:eastAsia="宋体"/>
          <w:b w:val="0"/>
          <w:sz w:val="24"/>
          <w:szCs w:val="24"/>
        </w:rPr>
        <w:t>报价技术文件必须符合</w:t>
      </w:r>
      <w:r>
        <w:rPr>
          <w:rFonts w:hint="eastAsia" w:ascii="宋体" w:hAnsi="宋体"/>
          <w:b w:val="0"/>
          <w:sz w:val="24"/>
          <w:szCs w:val="24"/>
          <w:lang w:eastAsia="zh-CN"/>
        </w:rPr>
        <w:t>技术说明文件</w:t>
      </w:r>
      <w:r>
        <w:rPr>
          <w:rFonts w:hint="eastAsia" w:ascii="宋体" w:hAnsi="宋体" w:eastAsia="宋体"/>
          <w:b w:val="0"/>
          <w:sz w:val="24"/>
          <w:szCs w:val="24"/>
        </w:rPr>
        <w:t>所列的供货范围、技术规格、技术指标和原则。</w:t>
      </w:r>
    </w:p>
    <w:p w14:paraId="7F74D81D">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在报价技术文件中所提供的SIS 的系统配置，无论是硬件、软件，都必须是完整的、无缺项的。无论何时发现缺项、漏项，</w:t>
      </w:r>
      <w:r>
        <w:rPr>
          <w:rFonts w:hint="eastAsia" w:ascii="宋体" w:hAnsi="宋体"/>
          <w:b w:val="0"/>
          <w:sz w:val="24"/>
          <w:szCs w:val="24"/>
          <w:lang w:eastAsia="zh-CN"/>
        </w:rPr>
        <w:t>供货方</w:t>
      </w:r>
      <w:r>
        <w:rPr>
          <w:rFonts w:hint="eastAsia" w:ascii="宋体" w:hAnsi="宋体" w:eastAsia="宋体"/>
          <w:b w:val="0"/>
          <w:sz w:val="24"/>
          <w:szCs w:val="24"/>
        </w:rPr>
        <w:t>都必须无偿补足。</w:t>
      </w:r>
    </w:p>
    <w:p w14:paraId="3406F57E">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采购方</w:t>
      </w:r>
      <w:r>
        <w:rPr>
          <w:rFonts w:hint="eastAsia" w:ascii="宋体" w:hAnsi="宋体" w:eastAsia="宋体"/>
          <w:b w:val="0"/>
          <w:sz w:val="24"/>
          <w:szCs w:val="24"/>
        </w:rPr>
        <w:t>对技术文件的确认并不能免除或减轻</w:t>
      </w:r>
      <w:r>
        <w:rPr>
          <w:rFonts w:hint="eastAsia" w:ascii="宋体" w:hAnsi="宋体"/>
          <w:b w:val="0"/>
          <w:sz w:val="24"/>
          <w:szCs w:val="24"/>
          <w:lang w:eastAsia="zh-CN"/>
        </w:rPr>
        <w:t>供货方</w:t>
      </w:r>
      <w:r>
        <w:rPr>
          <w:rFonts w:hint="eastAsia" w:ascii="宋体" w:hAnsi="宋体" w:eastAsia="宋体"/>
          <w:b w:val="0"/>
          <w:sz w:val="24"/>
          <w:szCs w:val="24"/>
        </w:rPr>
        <w:t>的责任。</w:t>
      </w:r>
    </w:p>
    <w:p w14:paraId="706DD9DB">
      <w:pPr>
        <w:spacing w:line="360" w:lineRule="auto"/>
        <w:rPr>
          <w:rFonts w:hint="default" w:eastAsia="宋体"/>
          <w:highlight w:val="yellow"/>
          <w:lang w:val="en-US" w:eastAsia="zh-CN"/>
        </w:rPr>
      </w:pPr>
      <w:r>
        <w:rPr>
          <w:rFonts w:hint="eastAsia" w:ascii="宋体" w:hAnsi="宋体"/>
          <w:b w:val="0"/>
          <w:sz w:val="24"/>
          <w:szCs w:val="24"/>
          <w:lang w:val="en-US" w:eastAsia="zh-CN"/>
        </w:rPr>
        <w:t xml:space="preserve">    </w:t>
      </w:r>
      <w:r>
        <w:rPr>
          <w:rFonts w:hint="eastAsia" w:ascii="宋体" w:hAnsi="宋体"/>
          <w:b w:val="0"/>
          <w:sz w:val="24"/>
          <w:szCs w:val="24"/>
          <w:highlight w:val="yellow"/>
          <w:lang w:val="en-US" w:eastAsia="zh-CN"/>
        </w:rPr>
        <w:t>品牌要求：浙江中控技术股份有限公司700系列、杭州和利时自动化有限公司K系列、重庆川仪自动化股份有限公司。</w:t>
      </w:r>
    </w:p>
    <w:p w14:paraId="49D6C2F8">
      <w:pPr>
        <w:pStyle w:val="2"/>
        <w:ind w:firstLine="280"/>
        <w:rPr>
          <w:rFonts w:hint="eastAsia"/>
          <w:b w:val="0"/>
          <w:bCs w:val="0"/>
        </w:rPr>
      </w:pPr>
    </w:p>
    <w:p w14:paraId="06AD7596">
      <w:pPr>
        <w:pStyle w:val="2"/>
        <w:numPr>
          <w:ilvl w:val="0"/>
          <w:numId w:val="1"/>
        </w:numPr>
        <w:ind w:left="0" w:leftChars="0" w:firstLine="0" w:firstLineChars="0"/>
      </w:pPr>
      <w:r>
        <w:rPr>
          <w:rFonts w:hint="eastAsia"/>
          <w:b w:val="0"/>
          <w:bCs w:val="0"/>
        </w:rPr>
        <w:t>系统技术规格</w:t>
      </w:r>
    </w:p>
    <w:p w14:paraId="377ABB17">
      <w:pPr>
        <w:ind w:firstLine="210" w:firstLineChars="100"/>
        <w:rPr>
          <w:rFonts w:hint="eastAsia"/>
        </w:rPr>
      </w:pPr>
      <w:r>
        <w:rPr>
          <w:rFonts w:hint="eastAsia"/>
        </w:rPr>
        <w:t>2.1概述</w:t>
      </w:r>
    </w:p>
    <w:p w14:paraId="4A8370B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为本项目提供的SIS 应采用近几年发展和改进的新技术、新设备的安全仪表系统，并且经过实际应用的系统，便于扩展，能实现石油化工装置大规模生产的人身保护、环境保护、工厂和设备保护的功能 ，</w:t>
      </w:r>
      <w:r>
        <w:rPr>
          <w:rFonts w:hint="eastAsia" w:ascii="宋体" w:hAnsi="宋体"/>
          <w:b w:val="0"/>
          <w:sz w:val="24"/>
          <w:szCs w:val="24"/>
          <w:lang w:eastAsia="zh-CN"/>
        </w:rPr>
        <w:t>供货方</w:t>
      </w:r>
      <w:r>
        <w:rPr>
          <w:rFonts w:hint="eastAsia" w:ascii="宋体" w:hAnsi="宋体" w:eastAsia="宋体"/>
          <w:b w:val="0"/>
          <w:sz w:val="24"/>
          <w:szCs w:val="24"/>
        </w:rPr>
        <w:t>提供的SIS 应充分满足企业对安全的需要。</w:t>
      </w:r>
    </w:p>
    <w:p w14:paraId="2F87C6E4">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为本项目提供的SIS 的设备型号和版本应有在国内外同类或相似规模的项目，使用同样系统，连续、成功运行必须具备二年以上的应用业绩。报价技术文件中应列出用户名单、工程项目名称和基本配置情况。</w:t>
      </w:r>
    </w:p>
    <w:p w14:paraId="06E5EB54">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制造厂应具有ISO9001 质量体系认证。</w:t>
      </w:r>
    </w:p>
    <w:p w14:paraId="60DDB8C8">
      <w:pPr>
        <w:ind w:firstLine="480" w:firstLineChars="200"/>
        <w:rPr>
          <w:rFonts w:hint="eastAsia" w:ascii="宋体" w:hAnsi="宋体" w:eastAsia="宋体"/>
          <w:b w:val="0"/>
          <w:sz w:val="24"/>
          <w:szCs w:val="24"/>
        </w:rPr>
      </w:pPr>
      <w:r>
        <w:rPr>
          <w:rFonts w:hint="eastAsia" w:ascii="宋体" w:hAnsi="宋体" w:eastAsia="宋体"/>
          <w:b w:val="0"/>
          <w:sz w:val="24"/>
          <w:szCs w:val="24"/>
        </w:rPr>
        <w:t>SIS 系统的所有控制器、I/O卡件、安全栅必须通过TUV SIL 3 安全认证。</w:t>
      </w:r>
    </w:p>
    <w:p w14:paraId="175DC5B1">
      <w:pPr>
        <w:pStyle w:val="3"/>
        <w:ind w:left="0" w:leftChars="0" w:firstLine="240" w:firstLineChars="100"/>
        <w:rPr>
          <w:rFonts w:hint="eastAsia"/>
        </w:rPr>
      </w:pPr>
    </w:p>
    <w:p w14:paraId="3228CADA">
      <w:pPr>
        <w:pStyle w:val="3"/>
        <w:ind w:left="0" w:leftChars="0" w:firstLine="240" w:firstLineChars="100"/>
        <w:rPr>
          <w:rFonts w:hint="eastAsia"/>
        </w:rPr>
      </w:pPr>
      <w:r>
        <w:rPr>
          <w:rFonts w:hint="eastAsia"/>
        </w:rPr>
        <w:t>2.2 技术要求</w:t>
      </w:r>
    </w:p>
    <w:p w14:paraId="314BF2D1">
      <w:pPr>
        <w:rPr>
          <w:rFonts w:hint="eastAsia" w:ascii="宋体" w:hAnsi="宋体" w:eastAsia="宋体"/>
          <w:b w:val="0"/>
          <w:sz w:val="24"/>
          <w:szCs w:val="24"/>
        </w:rPr>
      </w:pPr>
      <w:r>
        <w:rPr>
          <w:rFonts w:hint="eastAsia"/>
          <w:lang w:val="en-US" w:eastAsia="zh-CN"/>
        </w:rPr>
        <w:t xml:space="preserve">   </w:t>
      </w:r>
      <w:r>
        <w:rPr>
          <w:rFonts w:hint="eastAsia" w:ascii="宋体" w:hAnsi="宋体" w:eastAsia="宋体"/>
          <w:b w:val="0"/>
          <w:sz w:val="24"/>
          <w:szCs w:val="24"/>
        </w:rPr>
        <w:t>2.2.1 基本要求</w:t>
      </w:r>
    </w:p>
    <w:p w14:paraId="6FFFC724">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2.2.1.1 总则</w:t>
      </w:r>
    </w:p>
    <w:p w14:paraId="4DB6C960">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本</w:t>
      </w:r>
      <w:r>
        <w:rPr>
          <w:rFonts w:hint="eastAsia" w:ascii="宋体" w:hAnsi="宋体"/>
          <w:b w:val="0"/>
          <w:sz w:val="24"/>
          <w:szCs w:val="24"/>
          <w:lang w:eastAsia="zh-CN"/>
        </w:rPr>
        <w:t>技术说明文件</w:t>
      </w:r>
      <w:r>
        <w:rPr>
          <w:rFonts w:hint="eastAsia" w:ascii="宋体" w:hAnsi="宋体" w:eastAsia="宋体"/>
          <w:b w:val="0"/>
          <w:sz w:val="24"/>
          <w:szCs w:val="24"/>
        </w:rPr>
        <w:t>要求SIS 系统能实现人身保护、环境保护、工厂和设备保护的功能。应独立于DCS 系统和其它子系统单独设置。</w:t>
      </w:r>
    </w:p>
    <w:p w14:paraId="04B2291E">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系统遵循原则：</w:t>
      </w:r>
    </w:p>
    <w:p w14:paraId="7BD01C4E">
      <w:pPr>
        <w:spacing w:line="360" w:lineRule="auto"/>
        <w:ind w:firstLine="480"/>
        <w:rPr>
          <w:rFonts w:hint="eastAsia" w:ascii="宋体" w:hAnsi="宋体" w:eastAsia="宋体"/>
          <w:b w:val="0"/>
          <w:sz w:val="24"/>
          <w:szCs w:val="24"/>
        </w:rPr>
      </w:pPr>
      <w:r>
        <w:rPr>
          <w:rFonts w:hint="eastAsia" w:ascii="宋体" w:hAnsi="宋体" w:eastAsia="宋体"/>
          <w:b w:val="0"/>
          <w:sz w:val="24"/>
          <w:szCs w:val="24"/>
        </w:rPr>
        <w:t>制造厂必须提供有TÜV 认证的，安全级别为SIL3（IEC61508）的SIS 系统。</w:t>
      </w:r>
    </w:p>
    <w:p w14:paraId="7D607CAF">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必须采用以微处理机为基础，三重化（TMR）或四重化（QMR）模块的冗余容错技术。</w:t>
      </w:r>
    </w:p>
    <w:p w14:paraId="1216B94D">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应能实现时序控制、计算、脉冲调幅、积算、数据键入、操作、通信等功能。</w:t>
      </w:r>
    </w:p>
    <w:p w14:paraId="62500808">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应能诊断和显示系统的全部部件故障，并通过串行通信接口在DCS 的操作站上显示。</w:t>
      </w:r>
    </w:p>
    <w:p w14:paraId="4873916E">
      <w:pPr>
        <w:spacing w:line="360" w:lineRule="auto"/>
        <w:ind w:firstLine="480"/>
        <w:rPr>
          <w:rFonts w:hint="default" w:ascii="宋体" w:hAnsi="宋体" w:eastAsia="宋体"/>
          <w:b w:val="0"/>
          <w:sz w:val="24"/>
          <w:szCs w:val="24"/>
          <w:lang w:val="en-US" w:eastAsia="zh-CN"/>
        </w:rPr>
      </w:pPr>
      <w:r>
        <w:rPr>
          <w:rFonts w:hint="eastAsia" w:ascii="宋体" w:hAnsi="宋体" w:eastAsia="宋体"/>
          <w:b w:val="0"/>
          <w:sz w:val="24"/>
          <w:szCs w:val="24"/>
        </w:rPr>
        <w:t>应先进可靠，组态方便、灵活，具有开放式的结构。</w:t>
      </w:r>
    </w:p>
    <w:p w14:paraId="10956608">
      <w:pPr>
        <w:spacing w:line="360" w:lineRule="auto"/>
        <w:ind w:firstLine="480" w:firstLineChars="200"/>
        <w:rPr>
          <w:rFonts w:hint="eastAsia"/>
        </w:rPr>
      </w:pPr>
      <w:r>
        <w:rPr>
          <w:rFonts w:hint="eastAsia" w:ascii="宋体" w:hAnsi="宋体" w:eastAsia="宋体"/>
          <w:b w:val="0"/>
          <w:sz w:val="24"/>
          <w:szCs w:val="24"/>
        </w:rPr>
        <w:t>必须设计成故障安全型。</w:t>
      </w:r>
    </w:p>
    <w:p w14:paraId="07A3B043">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各控制器必须为型号一致的主流产品。</w:t>
      </w:r>
    </w:p>
    <w:p w14:paraId="0F1F4368">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与DCS 应预留冗余的通信接口，带自诊断功能，在DCS 的操作站上能显示运行状态。</w:t>
      </w:r>
    </w:p>
    <w:p w14:paraId="17FCE5B3">
      <w:pPr>
        <w:spacing w:line="360" w:lineRule="auto"/>
        <w:ind w:firstLine="480" w:firstLineChars="200"/>
        <w:rPr>
          <w:rFonts w:hint="eastAsia"/>
        </w:rPr>
      </w:pPr>
      <w:r>
        <w:rPr>
          <w:rFonts w:hint="eastAsia" w:ascii="宋体" w:hAnsi="宋体" w:eastAsia="宋体"/>
          <w:b w:val="0"/>
          <w:sz w:val="24"/>
          <w:szCs w:val="24"/>
        </w:rPr>
        <w:t>必须提供全部的应用编程软件和操作系统软件。</w:t>
      </w:r>
    </w:p>
    <w:p w14:paraId="4094E8E2">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控制器、I/O 模件等必须是SIS 厂家的原产地生产。</w:t>
      </w:r>
    </w:p>
    <w:p w14:paraId="690ACA66">
      <w:pPr>
        <w:pStyle w:val="2"/>
        <w:spacing w:line="360" w:lineRule="auto"/>
        <w:ind w:left="0" w:leftChars="0" w:right="535" w:rightChars="255" w:firstLine="480" w:firstLineChars="200"/>
        <w:rPr>
          <w:rFonts w:hint="eastAsia"/>
        </w:rPr>
      </w:pPr>
      <w:r>
        <w:rPr>
          <w:rFonts w:hint="eastAsia" w:ascii="宋体" w:hAnsi="宋体" w:eastAsia="宋体"/>
          <w:b w:val="0"/>
          <w:sz w:val="24"/>
          <w:szCs w:val="24"/>
        </w:rPr>
        <w:t>柜间接线宜采用ELCO 方式,不需在现场接线。</w:t>
      </w:r>
    </w:p>
    <w:p w14:paraId="628A6909">
      <w:pPr>
        <w:spacing w:line="360" w:lineRule="auto"/>
        <w:ind w:firstLine="480" w:firstLineChars="200"/>
        <w:rPr>
          <w:rFonts w:hint="default" w:ascii="宋体" w:hAnsi="宋体" w:eastAsia="宋体"/>
          <w:b w:val="0"/>
          <w:sz w:val="24"/>
          <w:szCs w:val="24"/>
          <w:lang w:val="en-US" w:eastAsia="zh-CN"/>
        </w:rPr>
      </w:pPr>
      <w:r>
        <w:rPr>
          <w:rFonts w:hint="eastAsia" w:ascii="宋体" w:hAnsi="宋体" w:eastAsia="宋体"/>
          <w:b w:val="0"/>
          <w:sz w:val="24"/>
          <w:szCs w:val="24"/>
        </w:rPr>
        <w:t>SIS 集成商必须获得ISO 9000 质量体系认证。</w:t>
      </w:r>
    </w:p>
    <w:p w14:paraId="2DCBEA88">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系统的构成包括过程接口、I/O 模件、控制器、通信系统、辅助操作台、工程师站、SER工作站、操作站及网络结构。SIS 推荐最适合的系统结构，提供系统结构图及说明。</w:t>
      </w:r>
    </w:p>
    <w:p w14:paraId="0A2B0F07">
      <w:p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SIS 应提供标准系统组态软件及全部所需的使用权（Licenses）和全部系统软件清单，必须保证系统软件的完整性。否则，SIS 集成商无条件补齐所缺物资。</w:t>
      </w:r>
    </w:p>
    <w:p w14:paraId="77523EE6">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2.2.1.2 系统结构</w:t>
      </w:r>
    </w:p>
    <w:p w14:paraId="2A57C4BB">
      <w:pPr>
        <w:spacing w:line="360" w:lineRule="auto"/>
        <w:ind w:firstLine="480" w:firstLineChars="200"/>
        <w:rPr>
          <w:rFonts w:hint="eastAsia"/>
        </w:rPr>
      </w:pPr>
      <w:r>
        <w:rPr>
          <w:rFonts w:hint="eastAsia" w:ascii="宋体" w:hAnsi="宋体" w:eastAsia="宋体"/>
          <w:b w:val="0"/>
          <w:sz w:val="24"/>
          <w:szCs w:val="24"/>
        </w:rPr>
        <w:t>SIS 系统必须采用经TÜV 安全认证的可编程控制器系统(PES)及其数据网络连接。SIS 系统的中央逻辑处理器、I/O 模件、电源模件、内部通信模件等硬件设备安装在SIS系统机柜中，独立完成工艺装置的安全保护和紧急停车。</w:t>
      </w:r>
    </w:p>
    <w:p w14:paraId="459F90CC">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系统与DCS 系统通信，在DCS 操作站显示报警。</w:t>
      </w:r>
    </w:p>
    <w:p w14:paraId="1582B489">
      <w:pPr>
        <w:pStyle w:val="2"/>
        <w:spacing w:line="360" w:lineRule="auto"/>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系统有报警事件顺序记录功能(SOE)。</w:t>
      </w:r>
    </w:p>
    <w:p w14:paraId="492D5A5E">
      <w:pPr>
        <w:spacing w:line="360" w:lineRule="auto"/>
        <w:ind w:firstLine="480"/>
        <w:rPr>
          <w:rFonts w:hint="default" w:ascii="宋体" w:hAnsi="宋体" w:eastAsia="宋体"/>
          <w:b w:val="0"/>
          <w:sz w:val="24"/>
          <w:szCs w:val="24"/>
          <w:lang w:val="en-US" w:eastAsia="zh-CN"/>
        </w:rPr>
      </w:pPr>
      <w:r>
        <w:rPr>
          <w:rFonts w:hint="eastAsia" w:ascii="宋体" w:hAnsi="宋体" w:eastAsia="宋体"/>
          <w:b w:val="0"/>
          <w:sz w:val="24"/>
          <w:szCs w:val="24"/>
        </w:rPr>
        <w:t>在控制室设有工程师站和SER 工作站。工程师站用于SIS 系统的组态、下装、调试和日常维护；SER 工作站用于顺序时间事件的记录。工程站/SER 工作站共用。</w:t>
      </w:r>
    </w:p>
    <w:p w14:paraId="1ED9A363"/>
    <w:p w14:paraId="15C10ACA">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2.2.1.3 过程接口</w:t>
      </w:r>
    </w:p>
    <w:p w14:paraId="29C7B7B5">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过程接口包括输入输出卡、事件顺序输入卡、配电器、HART 多路转换器、开关、继电器等关联设备。</w:t>
      </w:r>
    </w:p>
    <w:p w14:paraId="2F27C5A4">
      <w:pPr>
        <w:spacing w:line="360" w:lineRule="auto"/>
        <w:ind w:firstLine="480" w:firstLineChars="200"/>
        <w:rPr>
          <w:rFonts w:hint="default" w:eastAsia="宋体"/>
          <w:lang w:val="en-US" w:eastAsia="zh-CN"/>
        </w:rPr>
      </w:pPr>
      <w:r>
        <w:rPr>
          <w:rFonts w:hint="eastAsia" w:ascii="宋体" w:hAnsi="宋体" w:eastAsia="宋体"/>
          <w:b w:val="0"/>
          <w:sz w:val="24"/>
          <w:szCs w:val="24"/>
        </w:rPr>
        <w:t>输入输出卡应带光电或电磁隔离，通道应隔离，带故障诊断。</w:t>
      </w:r>
    </w:p>
    <w:p w14:paraId="2EEACF84">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若采用三取二过程信号应分别接到三个不同的输入卡。</w:t>
      </w:r>
    </w:p>
    <w:p w14:paraId="0127C01E">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输入输出卡相连接的传感器和最终执行元件应设计成故障安全型。</w:t>
      </w:r>
    </w:p>
    <w:p w14:paraId="027FB911">
      <w:pPr>
        <w:spacing w:line="360" w:lineRule="auto"/>
        <w:ind w:firstLine="480" w:firstLineChars="200"/>
        <w:rPr>
          <w:rFonts w:hint="default" w:ascii="宋体" w:hAnsi="宋体" w:eastAsia="宋体"/>
          <w:b w:val="0"/>
          <w:sz w:val="24"/>
          <w:szCs w:val="24"/>
          <w:lang w:val="en-US" w:eastAsia="zh-CN"/>
        </w:rPr>
      </w:pPr>
      <w:r>
        <w:rPr>
          <w:rFonts w:hint="eastAsia" w:ascii="宋体" w:hAnsi="宋体" w:eastAsia="宋体"/>
          <w:b w:val="0"/>
          <w:sz w:val="24"/>
          <w:szCs w:val="24"/>
        </w:rPr>
        <w:t>SIS 系统的旁路开关分工艺操作和仪表维护两种类型。</w:t>
      </w:r>
    </w:p>
    <w:p w14:paraId="322E8EE9">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2.2.1.</w:t>
      </w:r>
      <w:r>
        <w:rPr>
          <w:rFonts w:hint="eastAsia" w:ascii="宋体" w:hAnsi="宋体"/>
          <w:b w:val="0"/>
          <w:sz w:val="24"/>
          <w:szCs w:val="24"/>
          <w:lang w:val="en-US" w:eastAsia="zh-CN"/>
        </w:rPr>
        <w:t>4</w:t>
      </w:r>
      <w:r>
        <w:rPr>
          <w:rFonts w:hint="eastAsia" w:ascii="宋体" w:hAnsi="宋体" w:eastAsia="宋体"/>
          <w:b w:val="0"/>
          <w:sz w:val="24"/>
          <w:szCs w:val="24"/>
        </w:rPr>
        <w:t xml:space="preserve"> 辅助操作台</w:t>
      </w:r>
    </w:p>
    <w:p w14:paraId="3F2D4E6C">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安装紧急停车按钮、二位式开关（二位式开关带钥匙）、测试及确认按钮、信号报警器等。</w:t>
      </w:r>
    </w:p>
    <w:p w14:paraId="48264D8A">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灯光显示应采用闪光、平光或熄灭表示报警顺序的不同状态。</w:t>
      </w:r>
    </w:p>
    <w:p w14:paraId="00798BD7">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红色灯光表示越限报警或紧急状态；黄色灯光表示预报警；绿色灯光表示运转设备或过程变量正常。</w:t>
      </w:r>
    </w:p>
    <w:p w14:paraId="48C3ED62">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 xml:space="preserve"> 一般信号报警采用DCS 实现,重要报警除操作站上显示外，在辅助操作台上设置信号报警器。</w:t>
      </w:r>
    </w:p>
    <w:p w14:paraId="1CC3C155">
      <w:pPr>
        <w:pStyle w:val="2"/>
        <w:spacing w:line="360" w:lineRule="auto"/>
        <w:ind w:left="141" w:leftChars="67" w:right="535" w:rightChars="255" w:firstLine="240" w:firstLineChars="0"/>
        <w:rPr>
          <w:rFonts w:hint="eastAsia" w:ascii="宋体" w:hAnsi="宋体" w:eastAsia="宋体"/>
          <w:b w:val="0"/>
          <w:sz w:val="24"/>
          <w:szCs w:val="24"/>
        </w:rPr>
      </w:pPr>
      <w:r>
        <w:rPr>
          <w:rFonts w:hint="eastAsia" w:ascii="宋体" w:hAnsi="宋体" w:eastAsia="宋体"/>
          <w:b w:val="0"/>
          <w:sz w:val="24"/>
          <w:szCs w:val="24"/>
        </w:rPr>
        <w:t>按钮、开关、信号报警器等与安全仪表系统硬线连接。紧急停车按钮宜采用红色,带操作保护,旁路开关宜采用黄色,确认按钮宜采用黑色,试验按钮宜采用白色。</w:t>
      </w:r>
    </w:p>
    <w:p w14:paraId="3F658A56">
      <w:pPr>
        <w:pStyle w:val="2"/>
        <w:spacing w:line="360" w:lineRule="auto"/>
        <w:ind w:left="141" w:leftChars="67" w:right="535" w:rightChars="255" w:firstLine="240"/>
        <w:rPr>
          <w:rFonts w:hint="eastAsia" w:ascii="宋体" w:hAnsi="宋体"/>
          <w:b w:val="0"/>
          <w:sz w:val="24"/>
          <w:szCs w:val="24"/>
          <w:lang w:val="en-US" w:eastAsia="zh-CN"/>
        </w:rPr>
      </w:pPr>
      <w:r>
        <w:rPr>
          <w:rFonts w:hint="eastAsia" w:ascii="宋体" w:hAnsi="宋体"/>
          <w:b w:val="0"/>
          <w:sz w:val="24"/>
          <w:szCs w:val="24"/>
          <w:lang w:val="en-US" w:eastAsia="zh-CN"/>
        </w:rPr>
        <w:t>所有硬件旁路集成至一个总硬件旁路，采用钥匙操作。</w:t>
      </w:r>
    </w:p>
    <w:p w14:paraId="19C5928A">
      <w:pPr>
        <w:pStyle w:val="2"/>
        <w:spacing w:line="360" w:lineRule="auto"/>
        <w:ind w:left="141" w:leftChars="67" w:right="535" w:rightChars="255" w:firstLine="240"/>
        <w:rPr>
          <w:rFonts w:hint="eastAsia" w:ascii="宋体" w:hAnsi="宋体"/>
          <w:b w:val="0"/>
          <w:sz w:val="24"/>
          <w:szCs w:val="24"/>
          <w:lang w:val="en-US" w:eastAsia="zh-CN"/>
        </w:rPr>
      </w:pPr>
      <w:r>
        <w:rPr>
          <w:rFonts w:hint="eastAsia" w:ascii="宋体" w:hAnsi="宋体"/>
          <w:b w:val="0"/>
          <w:sz w:val="24"/>
          <w:szCs w:val="24"/>
          <w:lang w:val="en-US" w:eastAsia="zh-CN"/>
        </w:rPr>
        <w:t>开车旁路带锁开关用钥匙操作，绿色。</w:t>
      </w:r>
    </w:p>
    <w:p w14:paraId="1CDC91DA">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2.2.1.</w:t>
      </w:r>
      <w:r>
        <w:rPr>
          <w:rFonts w:hint="eastAsia" w:ascii="宋体" w:hAnsi="宋体"/>
          <w:b w:val="0"/>
          <w:sz w:val="24"/>
          <w:szCs w:val="24"/>
          <w:lang w:val="en-US" w:eastAsia="zh-CN"/>
        </w:rPr>
        <w:t>5</w:t>
      </w:r>
      <w:r>
        <w:rPr>
          <w:rFonts w:hint="eastAsia" w:ascii="宋体" w:hAnsi="宋体" w:eastAsia="宋体"/>
          <w:b w:val="0"/>
          <w:sz w:val="24"/>
          <w:szCs w:val="24"/>
        </w:rPr>
        <w:t xml:space="preserve"> 工程师站和SER 工作站</w:t>
      </w:r>
    </w:p>
    <w:p w14:paraId="54D425F8">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程师站用于安全仪表系统组态、编程、故障诊断、状态监测、在线方案调整程序开发、系统诊断、控制系统组态、数据库和画面的组态、编辑及修改。同时可以离线和在线组态、修改、设置参数及系统维护。工程师站还应具有离线仿真调试功能。</w:t>
      </w:r>
    </w:p>
    <w:p w14:paraId="25D8F1F1">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SER 工作站用于记录过程事件。过程事件从SIS 系统中检索出来用于在线查看，可直接打印及存储到磁盘上, 事故记录的时间分辨率为《1ms。</w:t>
      </w:r>
    </w:p>
    <w:p w14:paraId="40CEE28B">
      <w:pPr>
        <w:pStyle w:val="2"/>
        <w:spacing w:line="360" w:lineRule="auto"/>
        <w:ind w:right="535" w:rightChars="255"/>
        <w:rPr>
          <w:rFonts w:hint="eastAsia" w:ascii="宋体" w:hAnsi="宋体" w:eastAsia="宋体"/>
          <w:b w:val="0"/>
          <w:sz w:val="24"/>
          <w:szCs w:val="24"/>
        </w:rPr>
      </w:pPr>
      <w:r>
        <w:rPr>
          <w:rFonts w:hint="eastAsia" w:ascii="宋体" w:hAnsi="宋体" w:eastAsia="宋体"/>
          <w:b w:val="0"/>
          <w:sz w:val="24"/>
          <w:szCs w:val="24"/>
        </w:rPr>
        <w:t xml:space="preserve"> 2.2.1.</w:t>
      </w:r>
      <w:r>
        <w:rPr>
          <w:rFonts w:hint="eastAsia" w:ascii="宋体" w:hAnsi="宋体"/>
          <w:b w:val="0"/>
          <w:sz w:val="24"/>
          <w:szCs w:val="24"/>
          <w:lang w:val="en-US" w:eastAsia="zh-CN"/>
        </w:rPr>
        <w:t>6</w:t>
      </w:r>
      <w:r>
        <w:rPr>
          <w:rFonts w:hint="eastAsia" w:ascii="宋体" w:hAnsi="宋体" w:eastAsia="宋体"/>
          <w:b w:val="0"/>
          <w:sz w:val="24"/>
          <w:szCs w:val="24"/>
        </w:rPr>
        <w:t xml:space="preserve"> 通信系统</w:t>
      </w:r>
    </w:p>
    <w:p w14:paraId="342B54A3">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SIS控制站与DCS系统预留冗余的通讯接口（采用Modbus协议的串行接口485）。</w:t>
      </w:r>
    </w:p>
    <w:p w14:paraId="7D5ACF65">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2.2.1.</w:t>
      </w:r>
      <w:r>
        <w:rPr>
          <w:rFonts w:hint="eastAsia" w:ascii="宋体" w:hAnsi="宋体"/>
          <w:b w:val="0"/>
          <w:sz w:val="24"/>
          <w:szCs w:val="24"/>
          <w:lang w:val="en-US" w:eastAsia="zh-CN"/>
        </w:rPr>
        <w:t>7</w:t>
      </w:r>
      <w:r>
        <w:rPr>
          <w:rFonts w:hint="eastAsia" w:ascii="宋体" w:hAnsi="宋体" w:eastAsia="宋体"/>
          <w:b w:val="0"/>
          <w:sz w:val="24"/>
          <w:szCs w:val="24"/>
        </w:rPr>
        <w:t xml:space="preserve"> 系统负荷</w:t>
      </w:r>
    </w:p>
    <w:p w14:paraId="1FD36242">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控制站CPU的负荷不应高于50%；</w:t>
      </w:r>
    </w:p>
    <w:p w14:paraId="0B6D4E87">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当控制站满负荷时，系统的电源、软件的负荷不应高于50%；</w:t>
      </w:r>
    </w:p>
    <w:p w14:paraId="55C7EBF7">
      <w:pPr>
        <w:numPr>
          <w:ilvl w:val="0"/>
          <w:numId w:val="0"/>
        </w:numPr>
        <w:spacing w:line="360" w:lineRule="auto"/>
        <w:ind w:left="479" w:leftChars="228" w:right="535" w:rightChars="255" w:firstLine="0" w:firstLineChars="0"/>
        <w:rPr>
          <w:rFonts w:hint="eastAsia" w:ascii="宋体" w:hAnsi="宋体" w:eastAsia="宋体"/>
          <w:b w:val="0"/>
          <w:sz w:val="24"/>
          <w:szCs w:val="24"/>
        </w:rPr>
      </w:pPr>
      <w:r>
        <w:rPr>
          <w:rFonts w:hint="eastAsia" w:ascii="宋体" w:hAnsi="宋体" w:eastAsia="宋体"/>
          <w:b w:val="0"/>
          <w:sz w:val="24"/>
          <w:szCs w:val="24"/>
        </w:rPr>
        <w:t xml:space="preserve">各级通讯负荷不应高于50%；                                                                                                                                                                                                 </w:t>
      </w:r>
      <w:r>
        <w:rPr>
          <w:rFonts w:ascii="宋体" w:hAnsi="宋体" w:eastAsia="宋体"/>
          <w:b w:val="0"/>
          <w:sz w:val="24"/>
          <w:szCs w:val="24"/>
        </w:rPr>
        <w:t xml:space="preserve">                                                                                                                                                                                                           </w:t>
      </w:r>
      <w:r>
        <w:rPr>
          <w:rFonts w:hint="eastAsia" w:ascii="宋体" w:hAnsi="宋体" w:eastAsia="宋体"/>
          <w:b w:val="0"/>
          <w:sz w:val="24"/>
          <w:szCs w:val="24"/>
        </w:rPr>
        <w:t>其他各种负载应具有至少40%以上的工作裕量。I/O卡件插槽要求预留20%的余量。</w:t>
      </w:r>
    </w:p>
    <w:p w14:paraId="37A8A571">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b w:val="0"/>
          <w:sz w:val="24"/>
          <w:szCs w:val="24"/>
          <w:lang w:val="en-US" w:eastAsia="zh-CN"/>
        </w:rPr>
        <w:t>采购</w:t>
      </w:r>
      <w:r>
        <w:rPr>
          <w:rFonts w:hint="eastAsia" w:ascii="宋体" w:hAnsi="宋体" w:eastAsia="宋体"/>
          <w:b w:val="0"/>
          <w:sz w:val="24"/>
          <w:szCs w:val="24"/>
        </w:rPr>
        <w:t>技术文件中应有上述各类负荷计算。</w:t>
      </w:r>
    </w:p>
    <w:p w14:paraId="5BDFBEFC">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2.2.1.</w:t>
      </w:r>
      <w:r>
        <w:rPr>
          <w:rFonts w:hint="eastAsia" w:ascii="宋体" w:hAnsi="宋体"/>
          <w:b w:val="0"/>
          <w:sz w:val="24"/>
          <w:szCs w:val="24"/>
          <w:lang w:val="en-US" w:eastAsia="zh-CN"/>
        </w:rPr>
        <w:t>8</w:t>
      </w:r>
      <w:r>
        <w:rPr>
          <w:rFonts w:hint="eastAsia" w:ascii="宋体" w:hAnsi="宋体" w:eastAsia="宋体"/>
          <w:b w:val="0"/>
          <w:sz w:val="24"/>
          <w:szCs w:val="24"/>
        </w:rPr>
        <w:t xml:space="preserve"> 系统的冗余</w:t>
      </w:r>
    </w:p>
    <w:p w14:paraId="31AEA8B5">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系统中，采用冗余、容错结构的包含以下部分：</w:t>
      </w:r>
    </w:p>
    <w:p w14:paraId="148AF575">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－所有电源设备和部件必须1:1冗余，所用电源必须经过TUV安全认证。</w:t>
      </w:r>
    </w:p>
    <w:p w14:paraId="31F74AD8">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－系统电源、现场供电电源必须独立设置。</w:t>
      </w:r>
    </w:p>
    <w:p w14:paraId="76FF02ED">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－通讯卡件必须是单独配置，不能占据CPU通讯串口。</w:t>
      </w:r>
    </w:p>
    <w:p w14:paraId="7CE7075E">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－通讯卡件必须是单独配置，不能占据CPU通讯串口。</w:t>
      </w:r>
    </w:p>
    <w:p w14:paraId="60AC7A2A">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－控制站处理器等功能卡必须采用TMR或QMR。 </w:t>
      </w:r>
    </w:p>
    <w:p w14:paraId="53D7779F">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－对要求的I/O卡必须TMR或QMR。 </w:t>
      </w:r>
    </w:p>
    <w:p w14:paraId="4393F7C3">
      <w:pPr>
        <w:bidi w:val="0"/>
        <w:spacing w:line="360" w:lineRule="auto"/>
        <w:ind w:firstLine="494" w:firstLineChars="0"/>
        <w:jc w:val="left"/>
        <w:rPr>
          <w:rFonts w:hint="default" w:ascii="宋体" w:hAnsi="宋体" w:eastAsia="宋体"/>
          <w:b w:val="0"/>
          <w:sz w:val="24"/>
          <w:szCs w:val="24"/>
          <w:lang w:val="en-US" w:eastAsia="zh-CN"/>
        </w:rPr>
      </w:pPr>
      <w:r>
        <w:rPr>
          <w:rFonts w:hint="eastAsia" w:ascii="宋体" w:hAnsi="宋体" w:eastAsia="宋体"/>
          <w:b w:val="0"/>
          <w:sz w:val="24"/>
          <w:szCs w:val="24"/>
        </w:rPr>
        <w:t>－对冗余的设备，要求能在线故障诊断、报警、自动切换及维修提示</w:t>
      </w:r>
      <w:r>
        <w:rPr>
          <w:rFonts w:hint="eastAsia" w:ascii="宋体" w:hAnsi="宋体"/>
          <w:b w:val="0"/>
          <w:sz w:val="24"/>
          <w:szCs w:val="24"/>
          <w:lang w:eastAsia="zh-CN"/>
        </w:rPr>
        <w:t>，</w:t>
      </w:r>
      <w:r>
        <w:rPr>
          <w:rFonts w:hint="eastAsia" w:ascii="宋体" w:hAnsi="宋体"/>
          <w:b w:val="0"/>
          <w:sz w:val="24"/>
          <w:szCs w:val="24"/>
          <w:lang w:val="en-US" w:eastAsia="zh-CN"/>
        </w:rPr>
        <w:t>并应能在线插拔更换。</w:t>
      </w:r>
    </w:p>
    <w:p w14:paraId="198269BD">
      <w:pPr>
        <w:pStyle w:val="2"/>
        <w:spacing w:line="360" w:lineRule="auto"/>
        <w:ind w:right="535" w:rightChars="255"/>
        <w:rPr>
          <w:rFonts w:hint="eastAsia" w:ascii="宋体" w:hAnsi="宋体" w:eastAsia="宋体"/>
          <w:b w:val="0"/>
          <w:sz w:val="24"/>
          <w:szCs w:val="24"/>
        </w:rPr>
      </w:pPr>
      <w:r>
        <w:rPr>
          <w:rFonts w:hint="eastAsia" w:ascii="宋体" w:hAnsi="宋体" w:eastAsia="宋体"/>
          <w:b w:val="0"/>
          <w:sz w:val="24"/>
          <w:szCs w:val="24"/>
        </w:rPr>
        <w:t>2.2.2 过程接口</w:t>
      </w:r>
    </w:p>
    <w:p w14:paraId="763A1858">
      <w:pPr>
        <w:pStyle w:val="2"/>
        <w:spacing w:line="360" w:lineRule="auto"/>
        <w:ind w:left="141" w:leftChars="67" w:right="535" w:rightChars="255" w:firstLine="240"/>
        <w:rPr>
          <w:rFonts w:hint="eastAsia" w:ascii="宋体" w:hAnsi="宋体" w:eastAsia="宋体"/>
          <w:b w:val="0"/>
          <w:sz w:val="24"/>
          <w:szCs w:val="24"/>
          <w:lang w:val="en-US" w:eastAsia="zh-CN"/>
        </w:rPr>
      </w:pPr>
      <w:r>
        <w:rPr>
          <w:rFonts w:hint="eastAsia" w:ascii="宋体" w:hAnsi="宋体" w:eastAsia="宋体"/>
          <w:b w:val="0"/>
          <w:sz w:val="24"/>
          <w:szCs w:val="24"/>
        </w:rPr>
        <w:t xml:space="preserve">2.2.2.2 </w:t>
      </w:r>
      <w:r>
        <w:rPr>
          <w:rFonts w:hint="eastAsia" w:ascii="宋体" w:hAnsi="宋体"/>
          <w:b w:val="0"/>
          <w:sz w:val="24"/>
          <w:szCs w:val="24"/>
          <w:lang w:val="en-US" w:eastAsia="zh-CN"/>
        </w:rPr>
        <w:t>过程接口机柜</w:t>
      </w:r>
    </w:p>
    <w:p w14:paraId="3A2D7CB1">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系统每个卡笼应至少有1 对空槽位。</w:t>
      </w:r>
    </w:p>
    <w:p w14:paraId="7E15677E">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系统(按控制器)应有20%的裕量空间用于安装I/O 卡件。控制器负荷能力包括扩展部分。</w:t>
      </w:r>
    </w:p>
    <w:p w14:paraId="46C8FDB7">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所有的输入/输出(I/O)点接好线。每个机柜里接线端子应留20%备用。</w:t>
      </w:r>
    </w:p>
    <w:p w14:paraId="534B63EB">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系统供货范围内机柜之间连接可采用系统电缆（ELCO）。现场不需要接线。</w:t>
      </w:r>
    </w:p>
    <w:p w14:paraId="0E450BBC">
      <w:pPr>
        <w:pStyle w:val="2"/>
        <w:spacing w:line="360" w:lineRule="auto"/>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2.2.2.2 I/O 模件</w:t>
      </w:r>
    </w:p>
    <w:p w14:paraId="30C42A8D">
      <w:pPr>
        <w:bidi w:val="0"/>
        <w:spacing w:line="360" w:lineRule="auto"/>
        <w:ind w:firstLine="480" w:firstLineChars="200"/>
        <w:jc w:val="left"/>
        <w:rPr>
          <w:rFonts w:hint="eastAsia" w:ascii="宋体" w:hAnsi="宋体" w:eastAsia="宋体"/>
          <w:b w:val="0"/>
          <w:sz w:val="24"/>
          <w:szCs w:val="24"/>
        </w:rPr>
      </w:pPr>
      <w:r>
        <w:rPr>
          <w:rFonts w:hint="eastAsia" w:ascii="宋体" w:hAnsi="宋体" w:eastAsia="宋体"/>
          <w:b w:val="0"/>
          <w:sz w:val="24"/>
          <w:szCs w:val="24"/>
        </w:rPr>
        <w:t>I/O 模块必须是安全级别SIL3（IEC61508），经TÜV 认证的I/O 模件。</w:t>
      </w:r>
    </w:p>
    <w:p w14:paraId="6E4F4E22">
      <w:pPr>
        <w:pStyle w:val="2"/>
        <w:spacing w:line="360" w:lineRule="auto"/>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I/O 模件抗干扰要求全部I/O 模件输入电路应带电磁隔离或光电隔离。通道应隔离，符合IEC61000 标准规定或SAMA PMC33.1 标准规定。</w:t>
      </w:r>
    </w:p>
    <w:p w14:paraId="43B8FA3B">
      <w:pPr>
        <w:spacing w:line="360" w:lineRule="auto"/>
        <w:ind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应提供I/O 模件的抗干扰能力说明，并提供I/O 模件接线的相关技术资料。</w:t>
      </w:r>
    </w:p>
    <w:p w14:paraId="48441300">
      <w:p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I/O 模件配置原则:</w:t>
      </w:r>
    </w:p>
    <w:p w14:paraId="3541B55A">
      <w:p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三重化（TMR） I/O 模件应按照装置或单元N+1 备用配置，每个装置或单元I/O 模件宜备用1个,并插在备用空间的主槽位上；不应作为I/O 的备用点；四重化（QMR） I/O 模件应1：1 冗余配置。</w:t>
      </w:r>
    </w:p>
    <w:p w14:paraId="05C8BB8F">
      <w:p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AI 模件 通道数不应超过 8 点；</w:t>
      </w:r>
    </w:p>
    <w:p w14:paraId="4D9A54CA">
      <w:p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AO 模件 通道数不应超过 8 点；</w:t>
      </w:r>
    </w:p>
    <w:p w14:paraId="52903365">
      <w:p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DI 模件 通道数不应超过 16 点；</w:t>
      </w:r>
    </w:p>
    <w:p w14:paraId="01FB127F">
      <w:pPr>
        <w:spacing w:line="360" w:lineRule="auto"/>
        <w:ind w:firstLine="480" w:firstLineChars="200"/>
        <w:rPr>
          <w:rFonts w:hint="eastAsia" w:ascii="宋体" w:hAnsi="宋体" w:eastAsia="宋体"/>
          <w:b w:val="0"/>
          <w:sz w:val="24"/>
          <w:szCs w:val="24"/>
        </w:rPr>
      </w:pPr>
      <w:r>
        <w:rPr>
          <w:rFonts w:hint="eastAsia" w:ascii="宋体" w:hAnsi="宋体" w:eastAsia="宋体"/>
          <w:b w:val="0"/>
          <w:sz w:val="24"/>
          <w:szCs w:val="24"/>
        </w:rPr>
        <w:t>DO 模件 通道数不应超过 16 点；</w:t>
      </w:r>
    </w:p>
    <w:p w14:paraId="39F06333">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I/O 类型:</w:t>
      </w:r>
    </w:p>
    <w:p w14:paraId="561A6807">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高电平模拟量输入模件： 4-20mA 24V DC 由SIS 系统供电</w:t>
      </w:r>
    </w:p>
    <w:p w14:paraId="4E15BFD7">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高电平模拟量输入模件： 4-20mA/HART 24V DC 由SIS 系统供电</w:t>
      </w:r>
    </w:p>
    <w:p w14:paraId="336D7924">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高电平模拟量输入模件： 4-20mA 外部供电</w:t>
      </w:r>
    </w:p>
    <w:p w14:paraId="09CD3259">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高电平模拟量输入模件： 4-20mA/HART 外部供电</w:t>
      </w:r>
    </w:p>
    <w:p w14:paraId="201132C3">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模拟量输出模件： 4-20mA 负载电阻大于750 欧姆（可选）</w:t>
      </w:r>
    </w:p>
    <w:p w14:paraId="4ED51FAE">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模拟量输出模件： 4-20mA/HART 负载电阻大于750 欧姆（可选）</w:t>
      </w:r>
    </w:p>
    <w:p w14:paraId="612D42EE">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数字量输入模件： 无源，正常时外部输入触点闭合。</w:t>
      </w:r>
    </w:p>
    <w:p w14:paraId="206D93CE">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数字量输出模件：触点容量为24VDC 3A。（ 继电器必须经过TUV SIL 3 安全认证）</w:t>
      </w:r>
    </w:p>
    <w:p w14:paraId="26CC1C88">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串行通信卡 RS485所有与安全关联的I/O 模件应有明显标志。</w:t>
      </w:r>
    </w:p>
    <w:p w14:paraId="6B01C54C">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所有I/O 模件应能带电插拔。</w:t>
      </w:r>
    </w:p>
    <w:p w14:paraId="3DFAD98A">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三取二等外部信号应分别接入不同的输入模件。</w:t>
      </w:r>
    </w:p>
    <w:p w14:paraId="5B785062">
      <w:pPr>
        <w:pStyle w:val="2"/>
        <w:spacing w:line="400" w:lineRule="exact"/>
        <w:ind w:left="0" w:leftChars="0" w:right="535" w:rightChars="255" w:firstLine="480" w:firstLineChars="200"/>
        <w:rPr>
          <w:rFonts w:hint="eastAsia" w:ascii="宋体" w:hAnsi="宋体" w:eastAsia="宋体"/>
          <w:b w:val="0"/>
          <w:sz w:val="24"/>
          <w:szCs w:val="24"/>
          <w:lang w:eastAsia="zh-CN"/>
        </w:rPr>
      </w:pPr>
      <w:r>
        <w:rPr>
          <w:rFonts w:hint="eastAsia" w:ascii="宋体" w:hAnsi="宋体" w:eastAsia="宋体"/>
          <w:b w:val="0"/>
          <w:sz w:val="24"/>
          <w:szCs w:val="24"/>
        </w:rPr>
        <w:t>现场终端模件</w:t>
      </w:r>
      <w:r>
        <w:rPr>
          <w:rFonts w:hint="eastAsia" w:ascii="宋体" w:hAnsi="宋体"/>
          <w:b w:val="0"/>
          <w:sz w:val="24"/>
          <w:szCs w:val="24"/>
          <w:lang w:eastAsia="zh-CN"/>
        </w:rPr>
        <w:t>：</w:t>
      </w:r>
    </w:p>
    <w:p w14:paraId="31B0A3DB">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现场终端模件由现场接口终端，熔断丝和隔离、信号处理电路等组成。</w:t>
      </w:r>
    </w:p>
    <w:p w14:paraId="608AE3B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现场终端模件电源冗余，由处理器电源单元供电。</w:t>
      </w:r>
    </w:p>
    <w:p w14:paraId="4B4FF26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现场终端模件每点均带熔断丝。</w:t>
      </w:r>
    </w:p>
    <w:p w14:paraId="55130EFE">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输入信号处理</w:t>
      </w:r>
    </w:p>
    <w:p w14:paraId="5732FB3E">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a)模拟输入信号的处理</w:t>
      </w:r>
    </w:p>
    <w:p w14:paraId="59DD529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在I/O 卡件完成输入滤波、工程单位转换及对非线性输入的线性化。说明所用的滤波方法和输入信号的更新扫描速度，以及是否可以在0.1-20 秒范围内调整扫描速度。</w:t>
      </w:r>
    </w:p>
    <w:p w14:paraId="1AB729C1">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b)触点状态检查</w:t>
      </w:r>
    </w:p>
    <w:p w14:paraId="7FC986FC">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由系统供电(24V DC)检查现场触点的状态变化。</w:t>
      </w:r>
    </w:p>
    <w:p w14:paraId="35B8D977">
      <w:pPr>
        <w:ind w:firstLine="420" w:firstLineChars="200"/>
        <w:rPr>
          <w:rFonts w:hint="default" w:eastAsia="宋体"/>
          <w:lang w:val="en-US" w:eastAsia="zh-CN"/>
        </w:rPr>
      </w:pPr>
      <w:r>
        <w:rPr>
          <w:rFonts w:hint="eastAsia"/>
          <w:kern w:val="1"/>
          <w:szCs w:val="21"/>
          <w:lang w:val="en-US" w:eastAsia="zh-CN"/>
        </w:rPr>
        <w:t>浪涌保护器</w:t>
      </w:r>
      <w:r>
        <w:rPr>
          <w:kern w:val="1"/>
          <w:szCs w:val="21"/>
        </w:rPr>
        <w:t>必须经过TUV SIL 2 安全认证</w:t>
      </w:r>
      <w:r>
        <w:rPr>
          <w:rFonts w:hint="eastAsia"/>
          <w:kern w:val="1"/>
          <w:szCs w:val="21"/>
          <w:lang w:eastAsia="zh-CN"/>
        </w:rPr>
        <w:t>，</w:t>
      </w:r>
      <w:r>
        <w:rPr>
          <w:rFonts w:hint="eastAsia"/>
          <w:kern w:val="1"/>
          <w:szCs w:val="21"/>
          <w:lang w:val="en-US" w:eastAsia="zh-CN"/>
        </w:rPr>
        <w:t>带故障提示功能，支持模块在线更换；</w:t>
      </w:r>
    </w:p>
    <w:p w14:paraId="714C6263">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电气特性</w:t>
      </w:r>
    </w:p>
    <w:p w14:paraId="1A675F1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应说明各类输入输出模件的电气特性：</w:t>
      </w:r>
    </w:p>
    <w:p w14:paraId="38C30E7F">
      <w:pPr>
        <w:bidi w:val="0"/>
        <w:ind w:firstLine="960" w:firstLineChars="400"/>
        <w:jc w:val="left"/>
        <w:rPr>
          <w:rFonts w:hint="eastAsia" w:ascii="宋体" w:hAnsi="宋体" w:eastAsia="宋体"/>
          <w:b w:val="0"/>
          <w:sz w:val="24"/>
          <w:szCs w:val="24"/>
        </w:rPr>
      </w:pPr>
      <w:r>
        <w:rPr>
          <w:rFonts w:hint="eastAsia" w:ascii="宋体" w:hAnsi="宋体" w:eastAsia="宋体"/>
          <w:b w:val="0"/>
          <w:sz w:val="24"/>
          <w:szCs w:val="24"/>
        </w:rPr>
        <w:t>输入范围</w:t>
      </w:r>
    </w:p>
    <w:p w14:paraId="3F3CEE6F">
      <w:pPr>
        <w:pStyle w:val="2"/>
        <w:spacing w:line="400" w:lineRule="exact"/>
        <w:ind w:left="0" w:leftChars="0"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过</w:t>
      </w:r>
      <w:r>
        <w:rPr>
          <w:rFonts w:ascii="宋体" w:hAnsi="宋体" w:eastAsia="宋体"/>
          <w:b w:val="0"/>
          <w:sz w:val="24"/>
          <w:szCs w:val="24"/>
        </w:rPr>
        <w:t>/</w:t>
      </w:r>
      <w:r>
        <w:rPr>
          <w:rFonts w:hint="eastAsia" w:ascii="宋体" w:hAnsi="宋体" w:eastAsia="宋体"/>
          <w:b w:val="0"/>
          <w:sz w:val="24"/>
          <w:szCs w:val="24"/>
        </w:rPr>
        <w:t>欠压输入范围</w:t>
      </w:r>
    </w:p>
    <w:p w14:paraId="1F94001A">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输入阻抗</w:t>
      </w:r>
    </w:p>
    <w:p w14:paraId="0BD4AEE1">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转换精度</w:t>
      </w:r>
    </w:p>
    <w:p w14:paraId="7945A183">
      <w:pPr>
        <w:pStyle w:val="2"/>
        <w:spacing w:line="400" w:lineRule="exact"/>
        <w:ind w:left="0" w:leftChars="0"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响应时间所有进出系统的输入输出信号都应满足</w:t>
      </w:r>
      <w:r>
        <w:rPr>
          <w:rFonts w:ascii="宋体" w:hAnsi="宋体" w:eastAsia="宋体"/>
          <w:b w:val="0"/>
          <w:sz w:val="24"/>
          <w:szCs w:val="24"/>
        </w:rPr>
        <w:t xml:space="preserve">ANSI37.90 </w:t>
      </w:r>
      <w:r>
        <w:rPr>
          <w:rFonts w:hint="eastAsia" w:ascii="宋体" w:hAnsi="宋体" w:eastAsia="宋体"/>
          <w:b w:val="0"/>
          <w:sz w:val="24"/>
          <w:szCs w:val="24"/>
        </w:rPr>
        <w:t>抗冲击测试要求。</w:t>
      </w:r>
    </w:p>
    <w:p w14:paraId="7F520C22">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现场仪表的直流供电:</w:t>
      </w:r>
    </w:p>
    <w:p w14:paraId="09A863C6">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系统对现场仪表的供电电压为24 伏。</w:t>
      </w:r>
    </w:p>
    <w:p w14:paraId="6610AED8">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SIS系统提供的24 伏直流供电母排应装在系统机柜内部。详细说明包括整个系统的负荷，以及所需的电源数量。</w:t>
      </w:r>
    </w:p>
    <w:p w14:paraId="2910762D">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2.2.2.3 通信接口</w:t>
      </w:r>
    </w:p>
    <w:p w14:paraId="0767D0E9">
      <w:pPr>
        <w:bidi w:val="0"/>
        <w:ind w:firstLine="480" w:firstLineChars="200"/>
        <w:jc w:val="left"/>
        <w:rPr>
          <w:rFonts w:hint="eastAsia" w:ascii="宋体" w:hAnsi="宋体" w:eastAsia="宋体"/>
          <w:b w:val="0"/>
          <w:sz w:val="24"/>
          <w:szCs w:val="24"/>
        </w:rPr>
      </w:pPr>
      <w:r>
        <w:rPr>
          <w:rFonts w:hint="eastAsia" w:ascii="宋体" w:hAnsi="宋体" w:eastAsia="宋体"/>
          <w:b w:val="0"/>
          <w:sz w:val="24"/>
          <w:szCs w:val="24"/>
        </w:rPr>
        <w:t>SIS 与DCS 通信卡必须是冗余配置,且冗余的两个通信接口不应在同一块通信卡上。</w:t>
      </w:r>
    </w:p>
    <w:p w14:paraId="2581F60F">
      <w:pPr>
        <w:bidi w:val="0"/>
        <w:ind w:firstLine="480" w:firstLineChars="200"/>
        <w:jc w:val="left"/>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应保证通信接口的硬件和软件能和DCS 通信。</w:t>
      </w:r>
    </w:p>
    <w:p w14:paraId="73170095">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与DCS 通信协议为MODBUS RTU。</w:t>
      </w:r>
    </w:p>
    <w:p w14:paraId="547E3BAE">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通信负荷不超过50%。</w:t>
      </w:r>
    </w:p>
    <w:p w14:paraId="09C45D41">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安全仪表系统SIS 除负责SIS 系统内部组态，出厂模拟调试等外,还应配合与分散控制系统(DCS)的通信工作。</w:t>
      </w:r>
    </w:p>
    <w:p w14:paraId="4D3A2E53">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highlight w:val="none"/>
          <w:lang w:eastAsia="zh-CN"/>
        </w:rPr>
        <w:t>供货方</w:t>
      </w:r>
      <w:r>
        <w:rPr>
          <w:rFonts w:hint="eastAsia" w:ascii="宋体" w:hAnsi="宋体" w:eastAsia="宋体"/>
          <w:b w:val="0"/>
          <w:sz w:val="24"/>
          <w:szCs w:val="24"/>
        </w:rPr>
        <w:t>应将SIS 样机运至DCS 工厂配合调试等。</w:t>
      </w:r>
    </w:p>
    <w:p w14:paraId="4C100A55">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2.2.2.4 人机接口</w:t>
      </w:r>
    </w:p>
    <w:p w14:paraId="1E69331A">
      <w:pPr>
        <w:pStyle w:val="2"/>
        <w:spacing w:line="400" w:lineRule="exact"/>
        <w:ind w:left="0" w:leftChars="0"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 xml:space="preserve">人机接口采用SIS </w:t>
      </w:r>
      <w:r>
        <w:rPr>
          <w:rFonts w:hint="eastAsia" w:ascii="宋体" w:hAnsi="宋体"/>
          <w:b w:val="0"/>
          <w:sz w:val="24"/>
          <w:szCs w:val="24"/>
          <w:lang w:val="en-US" w:eastAsia="zh-CN"/>
        </w:rPr>
        <w:t>工程师站</w:t>
      </w:r>
      <w:r>
        <w:rPr>
          <w:rFonts w:hint="eastAsia" w:ascii="宋体" w:hAnsi="宋体" w:eastAsia="宋体"/>
          <w:b w:val="0"/>
          <w:sz w:val="24"/>
          <w:szCs w:val="24"/>
        </w:rPr>
        <w:t>。设置1 台SIS 工程师兼操作站。</w:t>
      </w:r>
    </w:p>
    <w:p w14:paraId="44DA2637">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b w:val="0"/>
          <w:sz w:val="24"/>
          <w:szCs w:val="24"/>
          <w:lang w:val="en-US" w:eastAsia="zh-CN"/>
        </w:rPr>
        <w:t>工程师站应具备</w:t>
      </w:r>
      <w:r>
        <w:rPr>
          <w:rFonts w:hint="eastAsia" w:ascii="宋体" w:hAnsi="宋体" w:eastAsia="宋体"/>
          <w:b w:val="0"/>
          <w:sz w:val="24"/>
          <w:szCs w:val="24"/>
        </w:rPr>
        <w:t>操作站功能：</w:t>
      </w:r>
    </w:p>
    <w:p w14:paraId="79DB3D2D">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应能显示因果表及逻辑画面，包括：</w:t>
      </w:r>
    </w:p>
    <w:p w14:paraId="0AD797FD">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全部输入装置状态；</w:t>
      </w:r>
    </w:p>
    <w:p w14:paraId="0BEE8C52">
      <w:pPr>
        <w:pStyle w:val="2"/>
        <w:spacing w:line="400" w:lineRule="exact"/>
        <w:ind w:left="141" w:leftChars="67" w:right="535" w:rightChars="255" w:firstLine="720" w:firstLineChars="300"/>
        <w:rPr>
          <w:rFonts w:hint="eastAsia" w:ascii="宋体" w:hAnsi="宋体" w:eastAsia="宋体"/>
          <w:b w:val="0"/>
          <w:sz w:val="24"/>
          <w:szCs w:val="24"/>
        </w:rPr>
      </w:pPr>
      <w:r>
        <w:rPr>
          <w:rFonts w:ascii="宋体" w:hAnsi="宋体" w:eastAsia="宋体"/>
          <w:b w:val="0"/>
          <w:sz w:val="24"/>
          <w:szCs w:val="24"/>
        </w:rPr>
        <w:t xml:space="preserve"> </w:t>
      </w:r>
      <w:r>
        <w:rPr>
          <w:rFonts w:hint="eastAsia" w:ascii="宋体" w:hAnsi="宋体" w:eastAsia="宋体"/>
          <w:b w:val="0"/>
          <w:sz w:val="24"/>
          <w:szCs w:val="24"/>
        </w:rPr>
        <w:t>全部输出装置状态；</w:t>
      </w:r>
    </w:p>
    <w:p w14:paraId="5989DD3C">
      <w:pPr>
        <w:pStyle w:val="2"/>
        <w:spacing w:line="400" w:lineRule="exact"/>
        <w:ind w:left="141" w:leftChars="67" w:right="535" w:rightChars="255" w:firstLine="240"/>
        <w:rPr>
          <w:rFonts w:hint="eastAsia" w:ascii="宋体" w:hAnsi="宋体" w:eastAsia="宋体"/>
          <w:b w:val="0"/>
          <w:sz w:val="24"/>
          <w:szCs w:val="24"/>
        </w:rPr>
      </w:pPr>
      <w:r>
        <w:rPr>
          <w:rFonts w:ascii="宋体" w:hAnsi="宋体" w:eastAsia="宋体"/>
          <w:b w:val="0"/>
          <w:sz w:val="24"/>
          <w:szCs w:val="24"/>
        </w:rPr>
        <w:t xml:space="preserve"> </w:t>
      </w:r>
      <w:r>
        <w:rPr>
          <w:rFonts w:hint="eastAsia" w:ascii="宋体" w:hAnsi="宋体"/>
          <w:b w:val="0"/>
          <w:sz w:val="24"/>
          <w:szCs w:val="24"/>
          <w:lang w:val="en-US" w:eastAsia="zh-CN"/>
        </w:rPr>
        <w:t xml:space="preserve">  </w:t>
      </w:r>
      <w:r>
        <w:rPr>
          <w:rFonts w:hint="eastAsia" w:ascii="宋体" w:hAnsi="宋体" w:eastAsia="宋体"/>
          <w:b w:val="0"/>
          <w:sz w:val="24"/>
          <w:szCs w:val="24"/>
        </w:rPr>
        <w:t>全部开车开关状态；</w:t>
      </w:r>
    </w:p>
    <w:p w14:paraId="18F93086">
      <w:pPr>
        <w:pStyle w:val="2"/>
        <w:spacing w:line="400" w:lineRule="exact"/>
        <w:ind w:left="141" w:leftChars="67" w:right="535" w:rightChars="255" w:firstLine="240"/>
        <w:rPr>
          <w:rFonts w:hint="eastAsia" w:ascii="宋体" w:hAnsi="宋体" w:eastAsia="宋体"/>
          <w:b w:val="0"/>
          <w:sz w:val="24"/>
          <w:szCs w:val="24"/>
        </w:rPr>
      </w:pPr>
      <w:r>
        <w:rPr>
          <w:rFonts w:ascii="宋体" w:hAnsi="宋体" w:eastAsia="宋体"/>
          <w:b w:val="0"/>
          <w:sz w:val="24"/>
          <w:szCs w:val="24"/>
        </w:rPr>
        <w:t xml:space="preserve"> </w:t>
      </w:r>
      <w:r>
        <w:rPr>
          <w:rFonts w:hint="eastAsia" w:ascii="宋体" w:hAnsi="宋体"/>
          <w:b w:val="0"/>
          <w:sz w:val="24"/>
          <w:szCs w:val="24"/>
          <w:lang w:val="en-US" w:eastAsia="zh-CN"/>
        </w:rPr>
        <w:t xml:space="preserve">    </w:t>
      </w:r>
      <w:r>
        <w:rPr>
          <w:rFonts w:hint="eastAsia" w:ascii="宋体" w:hAnsi="宋体" w:eastAsia="宋体"/>
          <w:b w:val="0"/>
          <w:sz w:val="24"/>
          <w:szCs w:val="24"/>
        </w:rPr>
        <w:t>全部仪表维护旁路开关状态；</w:t>
      </w:r>
    </w:p>
    <w:p w14:paraId="2AC74379">
      <w:pPr>
        <w:pStyle w:val="2"/>
        <w:spacing w:line="400" w:lineRule="exact"/>
        <w:ind w:left="141" w:leftChars="67" w:right="535" w:rightChars="255" w:firstLine="240"/>
        <w:rPr>
          <w:rFonts w:hint="eastAsia" w:ascii="宋体" w:hAnsi="宋体" w:eastAsia="宋体"/>
          <w:b w:val="0"/>
          <w:sz w:val="24"/>
          <w:szCs w:val="24"/>
        </w:rPr>
      </w:pPr>
      <w:r>
        <w:rPr>
          <w:rFonts w:ascii="宋体" w:hAnsi="宋体" w:eastAsia="宋体"/>
          <w:b w:val="0"/>
          <w:sz w:val="24"/>
          <w:szCs w:val="24"/>
        </w:rPr>
        <w:t></w:t>
      </w:r>
      <w:r>
        <w:rPr>
          <w:rFonts w:hint="eastAsia" w:ascii="宋体" w:hAnsi="宋体"/>
          <w:b w:val="0"/>
          <w:sz w:val="24"/>
          <w:szCs w:val="24"/>
          <w:lang w:val="en-US" w:eastAsia="zh-CN"/>
        </w:rPr>
        <w:t xml:space="preserve">  </w:t>
      </w:r>
      <w:r>
        <w:rPr>
          <w:rFonts w:ascii="宋体" w:hAnsi="宋体" w:eastAsia="宋体"/>
          <w:b w:val="0"/>
          <w:sz w:val="24"/>
          <w:szCs w:val="24"/>
        </w:rPr>
        <w:t xml:space="preserve"> </w:t>
      </w:r>
      <w:r>
        <w:rPr>
          <w:rFonts w:hint="eastAsia" w:ascii="宋体" w:hAnsi="宋体" w:eastAsia="宋体"/>
          <w:b w:val="0"/>
          <w:sz w:val="24"/>
          <w:szCs w:val="24"/>
        </w:rPr>
        <w:t>联锁设定值。</w:t>
      </w:r>
    </w:p>
    <w:p w14:paraId="397434AD">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工艺操作旁路开关状态；</w:t>
      </w:r>
    </w:p>
    <w:p w14:paraId="3A15A1C5">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仪表维护旁路开关状态；</w:t>
      </w:r>
    </w:p>
    <w:p w14:paraId="6AEBE2FF">
      <w:pPr>
        <w:pStyle w:val="2"/>
        <w:spacing w:line="400" w:lineRule="exact"/>
        <w:ind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停车信号；</w:t>
      </w:r>
    </w:p>
    <w:p w14:paraId="76704812">
      <w:pPr>
        <w:pStyle w:val="2"/>
        <w:spacing w:line="400" w:lineRule="exact"/>
        <w:ind w:right="535" w:rightChars="255" w:firstLine="960" w:firstLineChars="400"/>
        <w:rPr>
          <w:rFonts w:hint="eastAsia" w:ascii="宋体" w:hAnsi="宋体" w:eastAsia="宋体"/>
          <w:b w:val="0"/>
          <w:sz w:val="24"/>
          <w:szCs w:val="24"/>
        </w:rPr>
      </w:pPr>
      <w:r>
        <w:rPr>
          <w:rFonts w:ascii="宋体" w:hAnsi="宋体" w:eastAsia="宋体"/>
          <w:b w:val="0"/>
          <w:sz w:val="24"/>
          <w:szCs w:val="24"/>
        </w:rPr>
        <w:t xml:space="preserve">SIS </w:t>
      </w:r>
      <w:r>
        <w:rPr>
          <w:rFonts w:hint="eastAsia" w:ascii="宋体" w:hAnsi="宋体" w:eastAsia="宋体"/>
          <w:b w:val="0"/>
          <w:sz w:val="24"/>
          <w:szCs w:val="24"/>
        </w:rPr>
        <w:t>系统故障；</w:t>
      </w:r>
    </w:p>
    <w:p w14:paraId="4C89C90F">
      <w:pPr>
        <w:pStyle w:val="2"/>
        <w:spacing w:line="400" w:lineRule="exact"/>
        <w:ind w:right="535" w:rightChars="255" w:firstLine="960" w:firstLineChars="400"/>
        <w:rPr>
          <w:rFonts w:hint="eastAsia" w:ascii="宋体" w:hAnsi="宋体" w:eastAsia="宋体"/>
          <w:b w:val="0"/>
          <w:sz w:val="24"/>
          <w:szCs w:val="24"/>
        </w:rPr>
      </w:pPr>
      <w:r>
        <w:rPr>
          <w:rFonts w:ascii="宋体" w:hAnsi="宋体" w:eastAsia="宋体"/>
          <w:b w:val="0"/>
          <w:sz w:val="24"/>
          <w:szCs w:val="24"/>
        </w:rPr>
        <w:t xml:space="preserve">24 </w:t>
      </w:r>
      <w:r>
        <w:rPr>
          <w:rFonts w:hint="eastAsia" w:ascii="宋体" w:hAnsi="宋体" w:eastAsia="宋体"/>
          <w:b w:val="0"/>
          <w:sz w:val="24"/>
          <w:szCs w:val="24"/>
        </w:rPr>
        <w:t>小时内全部停车历史记录；</w:t>
      </w:r>
    </w:p>
    <w:p w14:paraId="5CF31B4A">
      <w:pPr>
        <w:pStyle w:val="2"/>
        <w:spacing w:line="400" w:lineRule="exact"/>
        <w:ind w:left="141" w:leftChars="67" w:right="535" w:rightChars="255" w:firstLine="240"/>
        <w:rPr>
          <w:rFonts w:hint="eastAsia" w:ascii="宋体" w:hAnsi="宋体" w:eastAsia="宋体"/>
          <w:b w:val="0"/>
          <w:sz w:val="24"/>
          <w:szCs w:val="24"/>
        </w:rPr>
      </w:pPr>
      <w:r>
        <w:rPr>
          <w:rFonts w:ascii="宋体" w:hAnsi="宋体" w:eastAsia="宋体"/>
          <w:b w:val="0"/>
          <w:sz w:val="24"/>
          <w:szCs w:val="24"/>
        </w:rPr>
        <w:t xml:space="preserve"> </w:t>
      </w:r>
      <w:r>
        <w:rPr>
          <w:rFonts w:hint="eastAsia" w:ascii="宋体" w:hAnsi="宋体"/>
          <w:b w:val="0"/>
          <w:sz w:val="24"/>
          <w:szCs w:val="24"/>
          <w:lang w:val="en-US" w:eastAsia="zh-CN"/>
        </w:rPr>
        <w:t xml:space="preserve">    </w:t>
      </w:r>
      <w:r>
        <w:rPr>
          <w:rFonts w:ascii="宋体" w:hAnsi="宋体" w:eastAsia="宋体"/>
          <w:b w:val="0"/>
          <w:sz w:val="24"/>
          <w:szCs w:val="24"/>
        </w:rPr>
        <w:t xml:space="preserve">24 </w:t>
      </w:r>
      <w:r>
        <w:rPr>
          <w:rFonts w:hint="eastAsia" w:ascii="宋体" w:hAnsi="宋体" w:eastAsia="宋体"/>
          <w:b w:val="0"/>
          <w:sz w:val="24"/>
          <w:szCs w:val="24"/>
        </w:rPr>
        <w:t>小时内全部开关状态历史记录；</w:t>
      </w:r>
    </w:p>
    <w:p w14:paraId="756AD3BA">
      <w:pPr>
        <w:pStyle w:val="2"/>
        <w:spacing w:line="400" w:lineRule="exact"/>
        <w:ind w:left="141" w:leftChars="67" w:right="535" w:rightChars="255" w:firstLine="720" w:firstLineChars="300"/>
        <w:rPr>
          <w:rFonts w:hint="eastAsia" w:ascii="宋体" w:hAnsi="宋体" w:eastAsia="宋体"/>
          <w:b w:val="0"/>
          <w:sz w:val="24"/>
          <w:szCs w:val="24"/>
        </w:rPr>
      </w:pPr>
      <w:r>
        <w:rPr>
          <w:rFonts w:ascii="宋体" w:hAnsi="宋体" w:eastAsia="宋体"/>
          <w:b w:val="0"/>
          <w:sz w:val="24"/>
          <w:szCs w:val="24"/>
        </w:rPr>
        <w:t xml:space="preserve"> 24 </w:t>
      </w:r>
      <w:r>
        <w:rPr>
          <w:rFonts w:hint="eastAsia" w:ascii="宋体" w:hAnsi="宋体" w:eastAsia="宋体"/>
          <w:b w:val="0"/>
          <w:sz w:val="24"/>
          <w:szCs w:val="24"/>
        </w:rPr>
        <w:t>小时内全部按钮状态历史记录；</w:t>
      </w:r>
    </w:p>
    <w:p w14:paraId="1E496B5A">
      <w:pPr>
        <w:pStyle w:val="2"/>
        <w:spacing w:line="400" w:lineRule="exact"/>
        <w:ind w:left="141" w:leftChars="67" w:right="535" w:rightChars="255" w:firstLine="240"/>
        <w:rPr>
          <w:rFonts w:hint="eastAsia" w:ascii="宋体" w:hAnsi="宋体" w:eastAsia="宋体"/>
          <w:b w:val="0"/>
          <w:sz w:val="24"/>
          <w:szCs w:val="24"/>
        </w:rPr>
      </w:pPr>
      <w:r>
        <w:rPr>
          <w:rFonts w:ascii="宋体" w:hAnsi="宋体" w:eastAsia="宋体"/>
          <w:b w:val="0"/>
          <w:sz w:val="24"/>
          <w:szCs w:val="24"/>
        </w:rPr>
        <w:t></w:t>
      </w:r>
      <w:r>
        <w:rPr>
          <w:rFonts w:hint="eastAsia" w:ascii="宋体" w:hAnsi="宋体"/>
          <w:b w:val="0"/>
          <w:sz w:val="24"/>
          <w:szCs w:val="24"/>
          <w:lang w:val="en-US" w:eastAsia="zh-CN"/>
        </w:rPr>
        <w:t xml:space="preserve">  </w:t>
      </w:r>
      <w:r>
        <w:rPr>
          <w:rFonts w:ascii="宋体" w:hAnsi="宋体" w:eastAsia="宋体"/>
          <w:b w:val="0"/>
          <w:sz w:val="24"/>
          <w:szCs w:val="24"/>
        </w:rPr>
        <w:t xml:space="preserve"> </w:t>
      </w:r>
      <w:r>
        <w:rPr>
          <w:rFonts w:hint="eastAsia" w:ascii="宋体" w:hAnsi="宋体" w:eastAsia="宋体"/>
          <w:b w:val="0"/>
          <w:sz w:val="24"/>
          <w:szCs w:val="24"/>
        </w:rPr>
        <w:t>全部工艺操作旁路开关记时器设定。</w:t>
      </w:r>
    </w:p>
    <w:p w14:paraId="01A81B04">
      <w:pPr>
        <w:pStyle w:val="2"/>
        <w:spacing w:line="400" w:lineRule="exact"/>
        <w:ind w:left="0" w:leftChars="0" w:right="535" w:rightChars="255" w:firstLine="960" w:firstLineChars="400"/>
        <w:rPr>
          <w:rFonts w:hint="eastAsia" w:ascii="宋体" w:hAnsi="宋体" w:eastAsia="宋体"/>
          <w:b w:val="0"/>
          <w:sz w:val="24"/>
          <w:szCs w:val="24"/>
        </w:rPr>
      </w:pPr>
      <w:r>
        <w:rPr>
          <w:rFonts w:hint="eastAsia" w:ascii="宋体" w:hAnsi="宋体" w:eastAsia="宋体"/>
          <w:b w:val="0"/>
          <w:sz w:val="24"/>
          <w:szCs w:val="24"/>
        </w:rPr>
        <w:t>工程师站功能：</w:t>
      </w:r>
    </w:p>
    <w:p w14:paraId="04AFBD7A">
      <w:pPr>
        <w:bidi w:val="0"/>
        <w:ind w:firstLine="480" w:firstLineChars="200"/>
        <w:jc w:val="left"/>
        <w:rPr>
          <w:rFonts w:hint="eastAsia" w:ascii="宋体" w:hAnsi="宋体" w:eastAsia="宋体"/>
          <w:b w:val="0"/>
          <w:sz w:val="24"/>
          <w:szCs w:val="24"/>
        </w:rPr>
      </w:pPr>
      <w:r>
        <w:rPr>
          <w:rFonts w:hint="eastAsia" w:ascii="宋体" w:hAnsi="宋体" w:eastAsia="宋体"/>
          <w:b w:val="0"/>
          <w:sz w:val="24"/>
          <w:szCs w:val="24"/>
        </w:rPr>
        <w:t>配有控制系统组态所必须的各种专用软件，用于控制器的组态、除错、修改、测试。通过工程师站，可以在离线与在线状态下进行系统组态，修改、设置相关参数。并可在程序运行状态下下装修改过的组态。工程师站应具备打印组态数据和图形的能力。</w:t>
      </w:r>
    </w:p>
    <w:p w14:paraId="4751B49F">
      <w:pPr>
        <w:bidi w:val="0"/>
        <w:ind w:firstLine="480" w:firstLineChars="200"/>
        <w:jc w:val="left"/>
        <w:rPr>
          <w:rFonts w:hint="eastAsia" w:ascii="宋体" w:hAnsi="宋体" w:eastAsia="宋体"/>
          <w:b w:val="0"/>
          <w:sz w:val="24"/>
          <w:szCs w:val="24"/>
        </w:rPr>
      </w:pPr>
      <w:r>
        <w:rPr>
          <w:rFonts w:hint="eastAsia" w:ascii="宋体" w:hAnsi="宋体" w:eastAsia="宋体"/>
          <w:b w:val="0"/>
          <w:sz w:val="24"/>
          <w:szCs w:val="24"/>
        </w:rPr>
        <w:t>工程师站还必须具有SOE功能，可用于在线记录系统的各类报警及动作事件，存入硬盘，供查询、追溯、分析和打印。</w:t>
      </w:r>
    </w:p>
    <w:p w14:paraId="6A30960E">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顺序事件记录（SOE）站应具有顺序事件记录（SOE/SER）的功能，应配备整套顺序事件记录的软件。 </w:t>
      </w:r>
    </w:p>
    <w:p w14:paraId="4D218E1B">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顺序事件记录的时间分辨率为不大于1ms，记录的数据总数应大于60000条。 </w:t>
      </w:r>
    </w:p>
    <w:p w14:paraId="1B558A1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顺序事件记录站应能分别记录各控制器的报警及动作事件。 </w:t>
      </w:r>
    </w:p>
    <w:p w14:paraId="3BA02804">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硬盘的容量应满足全部事件记录需要量2倍以上的容量。系统应当满足所有种类数据的记录需要，可由用户选定记录的参数、采样时间和记录长度，并可对记录的数据进行编排处理和调用。</w:t>
      </w:r>
    </w:p>
    <w:p w14:paraId="0A2C051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硬盘上的永久记录应能转存到其他存储设备上。</w:t>
      </w:r>
    </w:p>
    <w:p w14:paraId="55CCCCFA">
      <w:pPr>
        <w:pStyle w:val="2"/>
        <w:spacing w:line="400" w:lineRule="exact"/>
        <w:ind w:right="535" w:rightChars="255" w:firstLine="480" w:firstLineChars="200"/>
        <w:rPr>
          <w:rFonts w:hint="eastAsia" w:ascii="宋体" w:hAnsi="宋体" w:eastAsia="宋体"/>
          <w:b w:val="0"/>
          <w:sz w:val="24"/>
          <w:szCs w:val="24"/>
          <w:highlight w:val="none"/>
        </w:rPr>
      </w:pPr>
      <w:r>
        <w:rPr>
          <w:rFonts w:hint="eastAsia" w:ascii="宋体" w:hAnsi="宋体" w:eastAsia="宋体"/>
          <w:b w:val="0"/>
          <w:sz w:val="24"/>
          <w:szCs w:val="24"/>
          <w:highlight w:val="none"/>
        </w:rPr>
        <w:t>工程师站基本配置要求：</w:t>
      </w:r>
    </w:p>
    <w:p w14:paraId="13E3902D">
      <w:pPr>
        <w:pStyle w:val="2"/>
        <w:spacing w:line="400" w:lineRule="exact"/>
        <w:ind w:right="535" w:rightChars="255" w:firstLine="480" w:firstLineChars="200"/>
        <w:rPr>
          <w:rFonts w:hint="eastAsia" w:ascii="宋体" w:hAnsi="宋体" w:eastAsia="宋体"/>
          <w:b w:val="0"/>
          <w:sz w:val="24"/>
          <w:szCs w:val="24"/>
          <w:highlight w:val="none"/>
        </w:rPr>
      </w:pPr>
      <w:r>
        <w:rPr>
          <w:rFonts w:hint="eastAsia" w:ascii="宋体" w:hAnsi="宋体" w:eastAsia="宋体"/>
          <w:b w:val="0"/>
          <w:sz w:val="24"/>
          <w:szCs w:val="24"/>
          <w:highlight w:val="none"/>
        </w:rPr>
        <w:t>主机要求为高性能工作站或高性能工业用计算机（DELLT5820 系列及以上）。</w:t>
      </w:r>
    </w:p>
    <w:p w14:paraId="60369E1A">
      <w:pPr>
        <w:pStyle w:val="2"/>
        <w:spacing w:line="400" w:lineRule="exact"/>
        <w:ind w:right="535" w:rightChars="255" w:firstLine="480" w:firstLineChars="200"/>
        <w:rPr>
          <w:rFonts w:hint="eastAsia" w:ascii="宋体" w:hAnsi="宋体" w:eastAsia="宋体"/>
          <w:b w:val="0"/>
          <w:sz w:val="24"/>
          <w:szCs w:val="24"/>
          <w:highlight w:val="none"/>
        </w:rPr>
      </w:pPr>
      <w:r>
        <w:rPr>
          <w:rFonts w:hint="eastAsia" w:ascii="宋体" w:hAnsi="宋体" w:eastAsia="宋体"/>
          <w:b w:val="0"/>
          <w:sz w:val="24"/>
          <w:szCs w:val="24"/>
          <w:highlight w:val="none"/>
        </w:rPr>
        <w:t>最低配置如下：CPU: 64 位；</w:t>
      </w:r>
    </w:p>
    <w:p w14:paraId="0EC14BFA">
      <w:pPr>
        <w:pStyle w:val="2"/>
        <w:spacing w:line="400" w:lineRule="exact"/>
        <w:ind w:right="535" w:rightChars="255" w:firstLine="480" w:firstLineChars="200"/>
        <w:rPr>
          <w:rFonts w:hint="eastAsia" w:ascii="宋体" w:hAnsi="宋体" w:eastAsia="宋体"/>
          <w:b w:val="0"/>
          <w:sz w:val="24"/>
          <w:szCs w:val="24"/>
          <w:highlight w:val="none"/>
        </w:rPr>
      </w:pPr>
      <w:r>
        <w:rPr>
          <w:rFonts w:hint="eastAsia" w:ascii="宋体" w:hAnsi="宋体" w:eastAsia="宋体"/>
          <w:b w:val="0"/>
          <w:sz w:val="24"/>
          <w:szCs w:val="24"/>
          <w:highlight w:val="none"/>
        </w:rPr>
        <w:t>主频: ≥3.6GHz；</w:t>
      </w:r>
    </w:p>
    <w:p w14:paraId="0489E22E">
      <w:pPr>
        <w:pStyle w:val="2"/>
        <w:spacing w:line="400" w:lineRule="exact"/>
        <w:ind w:right="535" w:rightChars="255" w:firstLine="480" w:firstLineChars="200"/>
        <w:rPr>
          <w:rFonts w:hint="eastAsia" w:ascii="宋体" w:hAnsi="宋体" w:eastAsia="宋体"/>
          <w:b w:val="0"/>
          <w:sz w:val="24"/>
          <w:szCs w:val="24"/>
          <w:highlight w:val="none"/>
        </w:rPr>
      </w:pPr>
      <w:r>
        <w:rPr>
          <w:rFonts w:hint="eastAsia" w:ascii="宋体" w:hAnsi="宋体" w:eastAsia="宋体"/>
          <w:b w:val="0"/>
          <w:sz w:val="24"/>
          <w:szCs w:val="24"/>
          <w:highlight w:val="none"/>
        </w:rPr>
        <w:t xml:space="preserve">硬盘: ＞1T </w:t>
      </w:r>
    </w:p>
    <w:p w14:paraId="05B53EE4">
      <w:pPr>
        <w:pStyle w:val="2"/>
        <w:spacing w:line="400" w:lineRule="exact"/>
        <w:ind w:right="535" w:rightChars="255" w:firstLine="480" w:firstLineChars="200"/>
        <w:rPr>
          <w:rFonts w:hint="eastAsia" w:ascii="宋体" w:hAnsi="宋体" w:eastAsia="宋体"/>
          <w:b w:val="0"/>
          <w:sz w:val="24"/>
          <w:szCs w:val="24"/>
          <w:highlight w:val="none"/>
        </w:rPr>
      </w:pPr>
      <w:r>
        <w:rPr>
          <w:rFonts w:hint="eastAsia" w:ascii="宋体" w:hAnsi="宋体" w:eastAsia="宋体"/>
          <w:b w:val="0"/>
          <w:sz w:val="24"/>
          <w:szCs w:val="24"/>
          <w:highlight w:val="none"/>
        </w:rPr>
        <w:t>内存: ≥16G；</w:t>
      </w:r>
    </w:p>
    <w:p w14:paraId="5957AE1B">
      <w:pPr>
        <w:pStyle w:val="2"/>
        <w:spacing w:line="400" w:lineRule="exact"/>
        <w:ind w:right="535" w:rightChars="255" w:firstLine="480" w:firstLineChars="200"/>
        <w:rPr>
          <w:rFonts w:hint="eastAsia" w:ascii="宋体" w:hAnsi="宋体" w:eastAsia="宋体"/>
          <w:b w:val="0"/>
          <w:sz w:val="24"/>
          <w:szCs w:val="24"/>
          <w:highlight w:val="none"/>
        </w:rPr>
      </w:pPr>
      <w:r>
        <w:rPr>
          <w:rFonts w:hint="eastAsia" w:ascii="宋体" w:hAnsi="宋体" w:eastAsia="宋体"/>
          <w:b w:val="0"/>
          <w:sz w:val="24"/>
          <w:szCs w:val="24"/>
          <w:highlight w:val="none"/>
        </w:rPr>
        <w:t>所有</w:t>
      </w:r>
      <w:r>
        <w:rPr>
          <w:rFonts w:hint="eastAsia" w:ascii="宋体" w:hAnsi="宋体"/>
          <w:b w:val="0"/>
          <w:sz w:val="24"/>
          <w:szCs w:val="24"/>
          <w:highlight w:val="none"/>
          <w:lang w:val="en-US" w:eastAsia="zh-CN"/>
        </w:rPr>
        <w:t>工程师</w:t>
      </w:r>
      <w:r>
        <w:rPr>
          <w:rFonts w:hint="eastAsia" w:ascii="宋体" w:hAnsi="宋体" w:eastAsia="宋体"/>
          <w:b w:val="0"/>
          <w:sz w:val="24"/>
          <w:szCs w:val="24"/>
          <w:highlight w:val="none"/>
        </w:rPr>
        <w:t>站的 USB 口及外设接口应能通过软件进行禁闭。每个</w:t>
      </w:r>
      <w:r>
        <w:rPr>
          <w:rFonts w:hint="eastAsia" w:ascii="宋体" w:hAnsi="宋体"/>
          <w:b w:val="0"/>
          <w:sz w:val="24"/>
          <w:szCs w:val="24"/>
          <w:highlight w:val="none"/>
          <w:lang w:val="en-US" w:eastAsia="zh-CN"/>
        </w:rPr>
        <w:t>工程师</w:t>
      </w:r>
      <w:r>
        <w:rPr>
          <w:rFonts w:hint="eastAsia" w:ascii="宋体" w:hAnsi="宋体" w:eastAsia="宋体"/>
          <w:b w:val="0"/>
          <w:sz w:val="24"/>
          <w:szCs w:val="24"/>
          <w:highlight w:val="none"/>
        </w:rPr>
        <w:t>站都应配备双屏 LED（24 英寸）彩色显示器、操作员键盘、声卡、鼠标。 LED 分辨率至少为 1920*1080。带有图形加速器的显示驱动卡。</w:t>
      </w:r>
    </w:p>
    <w:p w14:paraId="13BF3294">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2.2.2.5 旁路开关</w:t>
      </w:r>
    </w:p>
    <w:p w14:paraId="29041968">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工艺操作旁路开关根据工艺要求可采用两种形式:硬线和通信。</w:t>
      </w:r>
    </w:p>
    <w:p w14:paraId="1D4F62C1">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硬线方式</w:t>
      </w:r>
      <w:r>
        <w:rPr>
          <w:rFonts w:ascii="宋体" w:hAnsi="宋体" w:eastAsia="宋体"/>
          <w:b w:val="0"/>
          <w:sz w:val="24"/>
          <w:szCs w:val="24"/>
        </w:rPr>
        <w:t>:</w:t>
      </w:r>
    </w:p>
    <w:p w14:paraId="098C53E4">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工艺操作旁路开关设在辅助操作台上,与SIS 硬线连接。开关为两位式,带钥匙。状态监视通过SIS 通信至DCS 操作站进行显示。</w:t>
      </w:r>
    </w:p>
    <w:p w14:paraId="677B1A22">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通信方式</w:t>
      </w:r>
      <w:r>
        <w:rPr>
          <w:rFonts w:ascii="宋体" w:hAnsi="宋体" w:eastAsia="宋体"/>
          <w:b w:val="0"/>
          <w:sz w:val="24"/>
          <w:szCs w:val="24"/>
        </w:rPr>
        <w:t>:</w:t>
      </w:r>
    </w:p>
    <w:p w14:paraId="78A66F0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旁路开关在DCS 系统中用软件实现,独立的操作画面显示,并设置操作级别。其设置通过DCS通信至SIS 系统完成。</w:t>
      </w:r>
    </w:p>
    <w:p w14:paraId="23FF4AB9">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原则上仪表维护旁路开关采用软旁路开关，由DCS 操作站设置，通信到SIS 系统，进行旁路。每个安全联锁单元设置“允许”硬旁路开关。在“允许”条件下，软旁路开关有效。</w:t>
      </w:r>
    </w:p>
    <w:p w14:paraId="13E25E92">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2.2.2.6 辅操台</w:t>
      </w:r>
    </w:p>
    <w:p w14:paraId="2AA293D9">
      <w:pPr>
        <w:ind w:firstLine="480" w:firstLineChars="200"/>
        <w:rPr>
          <w:rFonts w:hint="eastAsia" w:ascii="宋体" w:hAnsi="宋体" w:eastAsia="宋体"/>
          <w:b w:val="0"/>
          <w:sz w:val="24"/>
          <w:szCs w:val="24"/>
        </w:rPr>
      </w:pPr>
      <w:r>
        <w:rPr>
          <w:rFonts w:hint="eastAsia" w:ascii="宋体" w:hAnsi="宋体" w:eastAsia="宋体"/>
          <w:b w:val="0"/>
          <w:sz w:val="24"/>
          <w:szCs w:val="24"/>
        </w:rPr>
        <w:t>SIS系统供货商须提供辅助操作台，包括安装面板、电源端子排、接线端子、按钮、开关、报警器等等</w:t>
      </w:r>
      <w:r>
        <w:rPr>
          <w:rFonts w:hint="eastAsia" w:ascii="宋体" w:hAnsi="宋体"/>
          <w:b w:val="0"/>
          <w:sz w:val="24"/>
          <w:szCs w:val="24"/>
          <w:lang w:eastAsia="zh-CN"/>
        </w:rPr>
        <w:t>（</w:t>
      </w:r>
      <w:r>
        <w:rPr>
          <w:rFonts w:hint="eastAsia" w:ascii="宋体" w:hAnsi="宋体"/>
          <w:b w:val="0"/>
          <w:sz w:val="24"/>
          <w:szCs w:val="24"/>
          <w:lang w:val="en-US" w:eastAsia="zh-CN"/>
        </w:rPr>
        <w:t>具体配置在开工会由采购方提供</w:t>
      </w:r>
      <w:r>
        <w:rPr>
          <w:rFonts w:hint="eastAsia" w:ascii="宋体" w:hAnsi="宋体"/>
          <w:b w:val="0"/>
          <w:sz w:val="24"/>
          <w:szCs w:val="24"/>
          <w:lang w:eastAsia="zh-CN"/>
        </w:rPr>
        <w:t>）</w:t>
      </w:r>
      <w:r>
        <w:rPr>
          <w:rFonts w:hint="eastAsia" w:ascii="宋体" w:hAnsi="宋体" w:eastAsia="宋体"/>
          <w:b w:val="0"/>
          <w:sz w:val="24"/>
          <w:szCs w:val="24"/>
        </w:rPr>
        <w:t>。SIS供货商须提供详细的供货清单、外形尺寸。辅助操作台内部的布置、安装、接线的工程设计、集成、调试等等工作由SIS供货商完成。</w:t>
      </w:r>
    </w:p>
    <w:p w14:paraId="787C3818">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2.3 工程师站和SER 工作站</w:t>
      </w:r>
    </w:p>
    <w:p w14:paraId="5080E814">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工程师站用于编程、生成、调试、编辑和维护。</w:t>
      </w:r>
    </w:p>
    <w:p w14:paraId="7C542EBD">
      <w:pPr>
        <w:pStyle w:val="2"/>
        <w:spacing w:line="400" w:lineRule="exact"/>
        <w:ind w:right="535" w:rightChars="255" w:firstLine="480" w:firstLineChars="200"/>
        <w:rPr>
          <w:rFonts w:hint="eastAsia" w:ascii="宋体" w:hAnsi="宋体" w:eastAsia="宋体"/>
          <w:b w:val="0"/>
          <w:sz w:val="24"/>
          <w:szCs w:val="24"/>
          <w:lang w:eastAsia="zh-CN"/>
        </w:rPr>
      </w:pPr>
      <w:r>
        <w:rPr>
          <w:rFonts w:hint="eastAsia" w:ascii="宋体" w:hAnsi="宋体" w:eastAsia="宋体"/>
          <w:b w:val="0"/>
          <w:sz w:val="24"/>
          <w:szCs w:val="24"/>
        </w:rPr>
        <w:t>工程师站采用台式机，</w:t>
      </w:r>
      <w:r>
        <w:rPr>
          <w:rFonts w:hint="eastAsia" w:ascii="宋体" w:hAnsi="宋体" w:eastAsia="宋体"/>
          <w:b w:val="0"/>
          <w:sz w:val="24"/>
          <w:szCs w:val="24"/>
          <w:highlight w:val="none"/>
        </w:rPr>
        <w:t>1 台激光黑白打印机（A4）</w:t>
      </w:r>
      <w:r>
        <w:rPr>
          <w:rFonts w:hint="eastAsia" w:ascii="宋体" w:hAnsi="宋体"/>
          <w:b w:val="0"/>
          <w:sz w:val="24"/>
          <w:szCs w:val="24"/>
          <w:lang w:eastAsia="zh-CN"/>
        </w:rPr>
        <w:t>（</w:t>
      </w:r>
      <w:r>
        <w:rPr>
          <w:rFonts w:hint="eastAsia" w:ascii="宋体" w:hAnsi="宋体"/>
          <w:b w:val="0"/>
          <w:sz w:val="24"/>
          <w:szCs w:val="24"/>
          <w:lang w:val="en-US" w:eastAsia="zh-CN"/>
        </w:rPr>
        <w:t>惠普</w:t>
      </w:r>
      <w:r>
        <w:rPr>
          <w:rFonts w:hint="eastAsia" w:ascii="宋体" w:hAnsi="宋体"/>
          <w:b w:val="0"/>
          <w:sz w:val="24"/>
          <w:szCs w:val="24"/>
          <w:lang w:eastAsia="zh-CN"/>
        </w:rPr>
        <w:t>）；</w:t>
      </w:r>
    </w:p>
    <w:p w14:paraId="449202F1">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SER 工作站用于SER 监控及管理。</w:t>
      </w:r>
    </w:p>
    <w:p w14:paraId="698E4FE5">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工程师站应提供硬盘映像、在线备份及快速恢复功能。</w:t>
      </w:r>
    </w:p>
    <w:p w14:paraId="5B383961">
      <w:pPr>
        <w:pStyle w:val="3"/>
        <w:ind w:left="0" w:leftChars="0" w:firstLine="240" w:firstLineChars="100"/>
        <w:rPr>
          <w:rFonts w:hint="eastAsia"/>
        </w:rPr>
      </w:pPr>
    </w:p>
    <w:p w14:paraId="139BFFFA">
      <w:pPr>
        <w:pStyle w:val="3"/>
        <w:ind w:left="0" w:leftChars="0" w:firstLine="240" w:firstLineChars="100"/>
      </w:pPr>
      <w:r>
        <w:rPr>
          <w:rFonts w:hint="eastAsia"/>
        </w:rPr>
        <w:t>2.4 软件组态</w:t>
      </w:r>
    </w:p>
    <w:p w14:paraId="40B329A0">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编程语言应符合IEC 61131-3 工业标准。</w:t>
      </w:r>
    </w:p>
    <w:p w14:paraId="3450BD9C">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2.4.1 软件组态的安全性</w:t>
      </w:r>
    </w:p>
    <w:p w14:paraId="1886E563">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采用PROM 或EPROM 存储器存储应用软件，提供防止未被授权人员修改程序的功能。软件应能在线修改及下装。</w:t>
      </w:r>
    </w:p>
    <w:p w14:paraId="0A1AC708">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2.4.2 编程软件</w:t>
      </w:r>
    </w:p>
    <w:p w14:paraId="40523CF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必须提供标准编程软件及全部所需的许可证 。</w:t>
      </w:r>
    </w:p>
    <w:p w14:paraId="2DFADA3B">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工程师站用于修改控制程序，诊断显示，离线/在线程序调试和现场装置的维护。</w:t>
      </w:r>
    </w:p>
    <w:p w14:paraId="3FA6A511">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系统软件包括系统诊断，工程，监视和删除故障功能。</w:t>
      </w:r>
    </w:p>
    <w:p w14:paraId="195751F2">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应提供最新版本的系统软件，免费提供升级软件。</w:t>
      </w:r>
    </w:p>
    <w:p w14:paraId="45EF73E6">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2.4.3 时序事件记录（SER）</w:t>
      </w:r>
    </w:p>
    <w:p w14:paraId="0E3E273C">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系统应提供重要的时序事件记录（SER）和过程历史报告。</w:t>
      </w:r>
    </w:p>
    <w:p w14:paraId="0173D2C3">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事件打印，事件分辨率50ms。</w:t>
      </w:r>
    </w:p>
    <w:p w14:paraId="53692B8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应提供最新版本SER 软件，免费提供升级软件。</w:t>
      </w:r>
    </w:p>
    <w:p w14:paraId="04B7A5BA">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2.4.4 组态</w:t>
      </w:r>
    </w:p>
    <w:p w14:paraId="145D7AA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根据</w:t>
      </w:r>
      <w:r>
        <w:rPr>
          <w:rFonts w:hint="eastAsia" w:ascii="宋体" w:hAnsi="宋体"/>
          <w:b w:val="0"/>
          <w:sz w:val="24"/>
          <w:szCs w:val="24"/>
          <w:lang w:eastAsia="zh-CN"/>
        </w:rPr>
        <w:t>采购方</w:t>
      </w:r>
      <w:r>
        <w:rPr>
          <w:rFonts w:hint="eastAsia" w:ascii="宋体" w:hAnsi="宋体" w:eastAsia="宋体"/>
          <w:b w:val="0"/>
          <w:sz w:val="24"/>
          <w:szCs w:val="24"/>
        </w:rPr>
        <w:t>提供I/O 清单及逻辑图进行编程组态。</w:t>
      </w:r>
    </w:p>
    <w:p w14:paraId="61384232">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在工厂验收（FAT）之前2 个星期，</w:t>
      </w:r>
      <w:r>
        <w:rPr>
          <w:rFonts w:hint="eastAsia" w:ascii="宋体" w:hAnsi="宋体"/>
          <w:b w:val="0"/>
          <w:sz w:val="24"/>
          <w:szCs w:val="24"/>
          <w:highlight w:val="none"/>
          <w:lang w:eastAsia="zh-CN"/>
        </w:rPr>
        <w:t>采购方</w:t>
      </w:r>
      <w:r>
        <w:rPr>
          <w:rFonts w:hint="eastAsia" w:ascii="宋体" w:hAnsi="宋体" w:eastAsia="宋体"/>
          <w:b w:val="0"/>
          <w:sz w:val="24"/>
          <w:szCs w:val="24"/>
        </w:rPr>
        <w:t>将审查最终组态文件。</w:t>
      </w:r>
    </w:p>
    <w:p w14:paraId="0CFC7D3F">
      <w:pPr>
        <w:pStyle w:val="3"/>
        <w:ind w:firstLine="480"/>
        <w:rPr>
          <w:rFonts w:hint="eastAsia"/>
        </w:rPr>
      </w:pPr>
    </w:p>
    <w:p w14:paraId="465061F6">
      <w:pPr>
        <w:pStyle w:val="3"/>
        <w:ind w:left="0" w:leftChars="0" w:firstLine="240" w:firstLineChars="100"/>
      </w:pPr>
      <w:r>
        <w:rPr>
          <w:rFonts w:hint="eastAsia"/>
        </w:rPr>
        <w:t>2.5 通信要求</w:t>
      </w:r>
    </w:p>
    <w:p w14:paraId="14CB067E">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2.5.1 总则</w:t>
      </w:r>
    </w:p>
    <w:p w14:paraId="4BC4C75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必须提供全冗余的工业化数字通信系统。通信系统为控制站与控制站之间、控制器与工程师站/SER 工作站提供可靠的高速数据传送。传送速率应不小于100Mb。</w:t>
      </w:r>
    </w:p>
    <w:p w14:paraId="572158C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系统应支持标准通信协议，冗余容错串行通信方式。SIS 系统能与DCS 系统进行通信，MODBUS RTU,RS 485。DCS 系统为主站，SIS 系统为从站。</w:t>
      </w:r>
    </w:p>
    <w:p w14:paraId="3558DA1C">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2.5.2 冗余</w:t>
      </w:r>
    </w:p>
    <w:p w14:paraId="2CB44701">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冗余数据通信系统应能够自动切换，并可进行系统诊断报警。在切换时不允许有数据丢失。说明故障的检查方法和切换方法。</w:t>
      </w:r>
    </w:p>
    <w:p w14:paraId="1B14BB3F">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2.5.3 接口设备</w:t>
      </w:r>
    </w:p>
    <w:p w14:paraId="0560171D">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说明在整个系统扫描速度允许的情况下，通信系统可支持的设备(I/O 接口、控制器、操作站、打印机、计算机接口等)的最大数量。</w:t>
      </w:r>
    </w:p>
    <w:p w14:paraId="526361FD">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2.5.4 抗干扰能力</w:t>
      </w:r>
    </w:p>
    <w:p w14:paraId="49B3186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所有部件都应抗每米10 毫伏场强的电磁及无线电干扰。</w:t>
      </w:r>
    </w:p>
    <w:p w14:paraId="6058F3EA">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2.5.5 时钟同步</w:t>
      </w:r>
    </w:p>
    <w:p w14:paraId="49189913">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系统具有时钟同步的性能， SIS 系统控制器的时钟在系统上电和更换时钟卡件后，能够自动进行同步。</w:t>
      </w:r>
    </w:p>
    <w:p w14:paraId="4FB53F80">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系统时钟同步信号来自于DCS 系统。</w:t>
      </w:r>
    </w:p>
    <w:p w14:paraId="7751E3EB">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2.5.6 系统响应时间</w:t>
      </w:r>
    </w:p>
    <w:p w14:paraId="1BA1A715">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从SIS 系统输入到输出之间，事件响应时间不应超过250ms。</w:t>
      </w:r>
    </w:p>
    <w:p w14:paraId="23939C15">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从操作员开始动作到操作站结果显示，信号器报警，响应时间不应超过2 秒。</w:t>
      </w:r>
    </w:p>
    <w:p w14:paraId="70D7A818">
      <w:pPr>
        <w:pStyle w:val="2"/>
        <w:spacing w:line="400" w:lineRule="exact"/>
        <w:ind w:left="141" w:leftChars="67" w:right="535" w:rightChars="255" w:firstLine="240"/>
        <w:rPr>
          <w:rFonts w:hint="eastAsia" w:ascii="宋体" w:hAnsi="宋体" w:eastAsia="宋体"/>
          <w:b w:val="0"/>
          <w:sz w:val="24"/>
          <w:szCs w:val="24"/>
        </w:rPr>
      </w:pPr>
    </w:p>
    <w:p w14:paraId="1C589216">
      <w:pPr>
        <w:pStyle w:val="3"/>
        <w:ind w:left="0" w:leftChars="0" w:firstLine="240" w:firstLineChars="100"/>
      </w:pPr>
      <w:r>
        <w:rPr>
          <w:rFonts w:hint="eastAsia"/>
        </w:rPr>
        <w:t>2.6 系统负荷要求</w:t>
      </w:r>
    </w:p>
    <w:p w14:paraId="0CE92917">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2.6.1 总则</w:t>
      </w:r>
    </w:p>
    <w:p w14:paraId="67DA1BB0">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所有控制器的估算负荷不应超出其能力的50%。在装置正常操作时，通信或计算都不应超出其可用资源(如存贮容量、扫描周期等)的50%，并提供这些计算数据。</w:t>
      </w:r>
    </w:p>
    <w:p w14:paraId="356521F4">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应提供各项估算系统负荷，并给出最坏情况下的估算值，说明采用的估算方法，并提供系统投运后能测试系统负荷的软件和方法。</w:t>
      </w:r>
    </w:p>
    <w:p w14:paraId="07A6D3AB">
      <w:pPr>
        <w:ind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必须保证投运后测试之负荷不超出估算负荷，否则</w:t>
      </w:r>
      <w:r>
        <w:rPr>
          <w:rFonts w:hint="eastAsia" w:ascii="宋体" w:hAnsi="宋体"/>
          <w:b w:val="0"/>
          <w:sz w:val="24"/>
          <w:szCs w:val="24"/>
          <w:lang w:eastAsia="zh-CN"/>
        </w:rPr>
        <w:t>供货方</w:t>
      </w:r>
      <w:r>
        <w:rPr>
          <w:rFonts w:hint="eastAsia" w:ascii="宋体" w:hAnsi="宋体" w:eastAsia="宋体"/>
          <w:b w:val="0"/>
          <w:sz w:val="24"/>
          <w:szCs w:val="24"/>
        </w:rPr>
        <w:t>有责任扩大系统配置以达到"估算负荷"，由此引起的软硬件设备的增加由</w:t>
      </w:r>
      <w:r>
        <w:rPr>
          <w:rFonts w:hint="eastAsia" w:ascii="宋体" w:hAnsi="宋体"/>
          <w:b w:val="0"/>
          <w:sz w:val="24"/>
          <w:szCs w:val="24"/>
          <w:lang w:eastAsia="zh-CN"/>
        </w:rPr>
        <w:t>供货方</w:t>
      </w:r>
      <w:r>
        <w:rPr>
          <w:rFonts w:hint="eastAsia" w:ascii="宋体" w:hAnsi="宋体" w:eastAsia="宋体"/>
          <w:b w:val="0"/>
          <w:sz w:val="24"/>
          <w:szCs w:val="24"/>
        </w:rPr>
        <w:t>承担其费用。</w:t>
      </w:r>
    </w:p>
    <w:p w14:paraId="05875763">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2.6.2负荷特殊计算</w:t>
      </w:r>
    </w:p>
    <w:p w14:paraId="3430239E">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应根据</w:t>
      </w:r>
      <w:r>
        <w:rPr>
          <w:rFonts w:hint="eastAsia" w:ascii="宋体" w:hAnsi="宋体"/>
          <w:b w:val="0"/>
          <w:sz w:val="24"/>
          <w:szCs w:val="24"/>
          <w:lang w:eastAsia="zh-CN"/>
        </w:rPr>
        <w:t>采购方</w:t>
      </w:r>
      <w:r>
        <w:rPr>
          <w:rFonts w:hint="eastAsia" w:ascii="宋体" w:hAnsi="宋体" w:eastAsia="宋体"/>
          <w:b w:val="0"/>
          <w:sz w:val="24"/>
          <w:szCs w:val="24"/>
        </w:rPr>
        <w:t>提供的I/O 点数，对控制器负荷，通信负荷，数据从输入至输出的响应时间进行计算并提供数据。</w:t>
      </w:r>
    </w:p>
    <w:p w14:paraId="36E04E33">
      <w:pPr>
        <w:rPr>
          <w:rFonts w:hint="eastAsia" w:ascii="宋体" w:hAnsi="宋体" w:eastAsia="宋体"/>
          <w:b w:val="0"/>
          <w:sz w:val="24"/>
          <w:szCs w:val="24"/>
        </w:rPr>
      </w:pPr>
    </w:p>
    <w:p w14:paraId="35D33625">
      <w:pPr>
        <w:pStyle w:val="3"/>
        <w:ind w:left="0" w:leftChars="0" w:firstLine="240" w:firstLineChars="100"/>
      </w:pPr>
      <w:r>
        <w:rPr>
          <w:rFonts w:hint="eastAsia"/>
        </w:rPr>
        <w:t>2.7 维护和安全、可靠性要求</w:t>
      </w:r>
    </w:p>
    <w:p w14:paraId="02D109CE">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2.7.1 维护</w:t>
      </w:r>
    </w:p>
    <w:p w14:paraId="07504038">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系统设计应使任何系统故障都可以尽快解除，并且可以带电更换卡件。系统的维护方针是用少量的备件更换损坏的电路板，然后尽快从制造厂商的备件库中换回新电路板。</w:t>
      </w:r>
    </w:p>
    <w:p w14:paraId="01E613C4">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为便于系统维护，</w:t>
      </w:r>
      <w:r>
        <w:rPr>
          <w:rFonts w:hint="eastAsia" w:ascii="宋体" w:hAnsi="宋体"/>
          <w:b w:val="0"/>
          <w:sz w:val="24"/>
          <w:szCs w:val="24"/>
          <w:lang w:eastAsia="zh-CN"/>
        </w:rPr>
        <w:t>供货方</w:t>
      </w:r>
      <w:r>
        <w:rPr>
          <w:rFonts w:hint="eastAsia" w:ascii="宋体" w:hAnsi="宋体" w:eastAsia="宋体"/>
          <w:b w:val="0"/>
          <w:sz w:val="24"/>
          <w:szCs w:val="24"/>
        </w:rPr>
        <w:t>应对每一组态回路绘出回路图，包括输入端子号、各类卡件、所有输入输出变量代号、各类常数、以及输出端子号。这些回路诊断可以在屏幕上显示或由打印机打出。</w:t>
      </w:r>
    </w:p>
    <w:p w14:paraId="11D8954A">
      <w:pPr>
        <w:rPr>
          <w:rFonts w:hint="eastAsia" w:ascii="宋体" w:hAnsi="宋体" w:eastAsia="宋体"/>
          <w:b w:val="0"/>
          <w:sz w:val="24"/>
          <w:szCs w:val="24"/>
        </w:rPr>
      </w:pPr>
    </w:p>
    <w:p w14:paraId="6DBEEF00">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采购方</w:t>
      </w:r>
      <w:r>
        <w:rPr>
          <w:rFonts w:hint="eastAsia" w:ascii="宋体" w:hAnsi="宋体" w:eastAsia="宋体"/>
          <w:b w:val="0"/>
          <w:sz w:val="24"/>
          <w:szCs w:val="24"/>
        </w:rPr>
        <w:t>维护工程师能够完成整个系统的维护。</w:t>
      </w:r>
      <w:r>
        <w:rPr>
          <w:rFonts w:hint="eastAsia" w:ascii="宋体" w:hAnsi="宋体"/>
          <w:b w:val="0"/>
          <w:sz w:val="24"/>
          <w:szCs w:val="24"/>
          <w:lang w:eastAsia="zh-CN"/>
        </w:rPr>
        <w:t>供货方</w:t>
      </w:r>
      <w:r>
        <w:rPr>
          <w:rFonts w:hint="eastAsia" w:ascii="宋体" w:hAnsi="宋体" w:eastAsia="宋体"/>
          <w:b w:val="0"/>
          <w:sz w:val="24"/>
          <w:szCs w:val="24"/>
        </w:rPr>
        <w:t>应提供满足此要求的培训时间和费用。</w:t>
      </w:r>
    </w:p>
    <w:p w14:paraId="7AAC190A">
      <w:pPr>
        <w:pStyle w:val="2"/>
        <w:spacing w:line="400" w:lineRule="exact"/>
        <w:ind w:right="535" w:rightChars="255" w:firstLine="480" w:firstLineChars="200"/>
        <w:rPr>
          <w:rFonts w:hint="eastAsia" w:ascii="宋体" w:hAnsi="宋体"/>
          <w:b w:val="0"/>
          <w:sz w:val="24"/>
          <w:szCs w:val="24"/>
          <w:lang w:eastAsia="zh-CN"/>
        </w:rPr>
      </w:pPr>
      <w:r>
        <w:rPr>
          <w:rFonts w:hint="eastAsia" w:ascii="宋体" w:hAnsi="宋体"/>
          <w:b w:val="0"/>
          <w:sz w:val="24"/>
          <w:szCs w:val="24"/>
          <w:lang w:eastAsia="zh-CN"/>
        </w:rPr>
        <w:t>供货方</w:t>
      </w:r>
      <w:r>
        <w:rPr>
          <w:rFonts w:hint="eastAsia" w:ascii="宋体" w:hAnsi="宋体" w:eastAsia="宋体"/>
          <w:b w:val="0"/>
          <w:sz w:val="24"/>
          <w:szCs w:val="24"/>
        </w:rPr>
        <w:t>应列出系统维护所需的所有硬件和软件，并在报价中列出备品备件分项单价及维护费用单价</w:t>
      </w:r>
      <w:r>
        <w:rPr>
          <w:rFonts w:hint="eastAsia" w:ascii="宋体" w:hAnsi="宋体"/>
          <w:b w:val="0"/>
          <w:sz w:val="24"/>
          <w:szCs w:val="24"/>
          <w:lang w:eastAsia="zh-CN"/>
        </w:rPr>
        <w:t>。</w:t>
      </w:r>
    </w:p>
    <w:p w14:paraId="1FCD212F">
      <w:pPr>
        <w:pStyle w:val="3"/>
        <w:ind w:firstLine="480"/>
        <w:rPr>
          <w:rFonts w:hint="eastAsia"/>
        </w:rPr>
      </w:pPr>
    </w:p>
    <w:p w14:paraId="536697F4">
      <w:pPr>
        <w:pStyle w:val="3"/>
        <w:ind w:left="0" w:leftChars="0" w:firstLine="240" w:firstLineChars="100"/>
      </w:pPr>
      <w:r>
        <w:rPr>
          <w:rFonts w:hint="eastAsia"/>
        </w:rPr>
        <w:t>2.8 系统机柜</w:t>
      </w:r>
    </w:p>
    <w:p w14:paraId="364EB4E8">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根据装置的控制和检测点数配置相应的控制单元及机柜。各类系统机柜宜预留20%的备用安装空间（不安装设备）。</w:t>
      </w:r>
    </w:p>
    <w:p w14:paraId="047EE96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报价技术文件应提供机柜、操作站等设备的外形尺寸、基础尺寸、材质、重量和颜色标志等技术规格。</w:t>
      </w:r>
    </w:p>
    <w:p w14:paraId="13CC9B9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 的机柜应采用标准机柜（如：Rittal TS 系列），前后单开门，左轴方式，尺寸统一为2100mm(高)X800mm(宽)X800mm(深)（包括底座），颜色色标为RAL7035。机柜门内带A3 横向聚乙烯电路图盒（带自粘固定带）。门内带正反面标签，门内、外均带机柜编号。</w:t>
      </w:r>
    </w:p>
    <w:p w14:paraId="57343B7A">
      <w:pPr>
        <w:rPr>
          <w:rFonts w:hint="eastAsia" w:ascii="宋体" w:hAnsi="宋体" w:eastAsia="宋体"/>
          <w:b w:val="0"/>
          <w:sz w:val="24"/>
          <w:szCs w:val="24"/>
        </w:rPr>
      </w:pPr>
    </w:p>
    <w:p w14:paraId="2B7A9A4C">
      <w:pPr>
        <w:pStyle w:val="3"/>
        <w:ind w:left="0" w:leftChars="0" w:firstLine="240" w:firstLineChars="100"/>
      </w:pPr>
      <w:r>
        <w:rPr>
          <w:rFonts w:hint="eastAsia"/>
        </w:rPr>
        <w:t>2.9 辅助机柜</w:t>
      </w:r>
    </w:p>
    <w:p w14:paraId="197E1B4C">
      <w:pPr>
        <w:pStyle w:val="2"/>
        <w:spacing w:line="400" w:lineRule="exact"/>
        <w:ind w:right="535" w:rightChars="255" w:firstLine="480" w:firstLineChars="200"/>
        <w:rPr>
          <w:rFonts w:hint="eastAsia" w:ascii="宋体" w:hAnsi="宋体" w:eastAsia="宋体"/>
          <w:b w:val="0"/>
          <w:sz w:val="24"/>
          <w:szCs w:val="24"/>
          <w:lang w:eastAsia="zh-CN"/>
        </w:rPr>
      </w:pPr>
      <w:r>
        <w:rPr>
          <w:rFonts w:hint="eastAsia" w:ascii="宋体" w:hAnsi="宋体" w:eastAsia="宋体"/>
          <w:b w:val="0"/>
          <w:sz w:val="24"/>
          <w:szCs w:val="24"/>
        </w:rPr>
        <w:t>辅助机柜与SIS 系统统一订货。包括1 面安全栅/端子柜</w:t>
      </w:r>
      <w:r>
        <w:rPr>
          <w:rFonts w:hint="eastAsia" w:ascii="宋体" w:hAnsi="宋体"/>
          <w:b w:val="0"/>
          <w:sz w:val="24"/>
          <w:szCs w:val="24"/>
          <w:lang w:eastAsia="zh-CN"/>
        </w:rPr>
        <w:t>。</w:t>
      </w:r>
    </w:p>
    <w:p w14:paraId="15E9E33E">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2.9.1 安全栅柜</w:t>
      </w:r>
    </w:p>
    <w:p w14:paraId="48BF7094">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安全栅柜上方安装直流24V（20A）冗余电源（必须经过TUV认证），带冗余模块（必须1:1冗余配置）。</w:t>
      </w:r>
    </w:p>
    <w:p w14:paraId="734EBA4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AI、DI 信号电缆先进安全栅，DO 信号接继电器，再接到SIS 的I/O 机柜。</w:t>
      </w:r>
    </w:p>
    <w:p w14:paraId="2F18A299">
      <w:pPr>
        <w:ind w:firstLine="480" w:firstLineChars="200"/>
        <w:rPr>
          <w:rFonts w:hint="eastAsia" w:ascii="宋体" w:hAnsi="宋体" w:eastAsia="宋体"/>
          <w:b w:val="0"/>
          <w:sz w:val="24"/>
          <w:szCs w:val="24"/>
        </w:rPr>
      </w:pPr>
      <w:r>
        <w:rPr>
          <w:rFonts w:hint="eastAsia" w:ascii="宋体" w:hAnsi="宋体" w:eastAsia="宋体"/>
          <w:b w:val="0"/>
          <w:sz w:val="24"/>
          <w:szCs w:val="24"/>
        </w:rPr>
        <w:t>安全栅采用隔离式、导轨安装、单独供电。供电电源为24VDC。</w:t>
      </w:r>
    </w:p>
    <w:p w14:paraId="3D326752">
      <w:pPr>
        <w:rPr>
          <w:rFonts w:hint="eastAsia"/>
          <w:lang w:val="en-US" w:eastAsia="zh-CN"/>
        </w:rPr>
      </w:pPr>
    </w:p>
    <w:p w14:paraId="01BC08CA">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2.9.2 电源柜（若适用）</w:t>
      </w:r>
    </w:p>
    <w:p w14:paraId="25A9F0AC">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电源柜视实际情况而定。</w:t>
      </w:r>
    </w:p>
    <w:p w14:paraId="0382AE50">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2.9.3 辅助机柜（若适用）</w:t>
      </w:r>
    </w:p>
    <w:p w14:paraId="4765E38A">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外形、尺寸及颜色应与SIS 机柜相同。柜内应配备专用的屏蔽线接线端子、供电端子、安装配件、汇线槽、风扇等辅助设施。电源线、接地线应连接完好。柜内应有20%的扩展空间。机柜配置电源，风扇工作状态在DCS 系统实现监控。</w:t>
      </w:r>
    </w:p>
    <w:p w14:paraId="2AD712FB">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报价技术文件应提供安全栅等的详细技术资料。</w:t>
      </w:r>
    </w:p>
    <w:p w14:paraId="17FFE59A">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安全栅、接线端子、继电器及电源柜等辅助机柜应分项列表报价。</w:t>
      </w:r>
    </w:p>
    <w:p w14:paraId="725C9408">
      <w:pPr>
        <w:pStyle w:val="3"/>
        <w:ind w:firstLine="480"/>
        <w:rPr>
          <w:rFonts w:hint="eastAsia"/>
        </w:rPr>
      </w:pPr>
    </w:p>
    <w:p w14:paraId="4F18042F">
      <w:pPr>
        <w:pStyle w:val="3"/>
        <w:ind w:left="0" w:leftChars="0" w:firstLine="240" w:firstLineChars="100"/>
      </w:pPr>
      <w:r>
        <w:rPr>
          <w:rFonts w:hint="eastAsia"/>
        </w:rPr>
        <w:t>2.10 电缆及连接配件</w:t>
      </w:r>
    </w:p>
    <w:p w14:paraId="551E2F27">
      <w:pPr>
        <w:ind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应提供通信电缆及连接配件。</w:t>
      </w:r>
    </w:p>
    <w:p w14:paraId="28554F34">
      <w:pPr>
        <w:ind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应提供通信电缆及连接配件。</w:t>
      </w:r>
    </w:p>
    <w:p w14:paraId="50909469">
      <w:pPr>
        <w:ind w:firstLine="480" w:firstLineChars="200"/>
        <w:rPr>
          <w:rFonts w:hint="eastAsia" w:ascii="宋体" w:hAnsi="宋体"/>
          <w:b w:val="0"/>
          <w:sz w:val="24"/>
          <w:szCs w:val="24"/>
          <w:lang w:val="en-US" w:eastAsia="zh-CN"/>
        </w:rPr>
      </w:pPr>
      <w:r>
        <w:rPr>
          <w:rFonts w:hint="eastAsia" w:ascii="宋体" w:hAnsi="宋体"/>
          <w:b w:val="0"/>
          <w:sz w:val="24"/>
          <w:szCs w:val="24"/>
          <w:lang w:eastAsia="zh-CN"/>
        </w:rPr>
        <w:t>供货方</w:t>
      </w:r>
      <w:r>
        <w:rPr>
          <w:rFonts w:hint="eastAsia" w:ascii="宋体" w:hAnsi="宋体" w:eastAsia="宋体"/>
          <w:b w:val="0"/>
          <w:sz w:val="24"/>
          <w:szCs w:val="24"/>
        </w:rPr>
        <w:t>应提供通信电缆及连接配件。</w:t>
      </w:r>
    </w:p>
    <w:p w14:paraId="4BFDA7C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应提供与DCS 系统的通讯网线2 根各30 米。</w:t>
      </w:r>
    </w:p>
    <w:p w14:paraId="7B7B3B7D">
      <w:pPr>
        <w:pStyle w:val="3"/>
        <w:rPr>
          <w:rFonts w:hint="eastAsia"/>
        </w:rPr>
      </w:pPr>
    </w:p>
    <w:p w14:paraId="5D1B494C">
      <w:pPr>
        <w:pStyle w:val="3"/>
        <w:ind w:left="0" w:leftChars="0" w:firstLine="240" w:firstLineChars="100"/>
      </w:pPr>
      <w:r>
        <w:rPr>
          <w:rFonts w:hint="eastAsia"/>
        </w:rPr>
        <w:t>2.11 电源及接地</w:t>
      </w:r>
    </w:p>
    <w:p w14:paraId="7AD7E30A">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2.11.1 电源规格</w:t>
      </w:r>
    </w:p>
    <w:p w14:paraId="472DEF31">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控制系统电源应为220VAC±10%，50Hz±1HZ 双路UPS 供电。</w:t>
      </w:r>
    </w:p>
    <w:p w14:paraId="2124373E">
      <w:pPr>
        <w:ind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必须在报价技术文件中提出对电源的技术要求和UPS 容量，并提供SIS 各种设备的电源规格、工作电流、最大启动电流、供电设备保护电流规格、耗电量及发热值等资料。</w:t>
      </w:r>
    </w:p>
    <w:p w14:paraId="101CF195">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2.11.2 现场仪表的供电</w:t>
      </w:r>
    </w:p>
    <w:p w14:paraId="1A55B11F">
      <w:pPr>
        <w:ind w:firstLine="480" w:firstLineChars="200"/>
        <w:rPr>
          <w:rFonts w:hint="eastAsia" w:ascii="宋体" w:hAnsi="宋体" w:eastAsia="宋体"/>
          <w:b w:val="0"/>
          <w:sz w:val="24"/>
          <w:szCs w:val="24"/>
        </w:rPr>
      </w:pPr>
      <w:r>
        <w:rPr>
          <w:rFonts w:hint="eastAsia" w:ascii="宋体" w:hAnsi="宋体" w:eastAsia="宋体"/>
          <w:b w:val="0"/>
          <w:sz w:val="24"/>
          <w:szCs w:val="24"/>
        </w:rPr>
        <w:t>现场仪表的24VDC 电源供电必须同系统电源独立配置，由</w:t>
      </w:r>
      <w:r>
        <w:rPr>
          <w:rFonts w:hint="eastAsia" w:ascii="宋体" w:hAnsi="宋体"/>
          <w:b w:val="0"/>
          <w:sz w:val="24"/>
          <w:szCs w:val="24"/>
          <w:lang w:eastAsia="zh-CN"/>
        </w:rPr>
        <w:t>供货方</w:t>
      </w:r>
      <w:r>
        <w:rPr>
          <w:rFonts w:hint="eastAsia" w:ascii="宋体" w:hAnsi="宋体" w:eastAsia="宋体"/>
          <w:b w:val="0"/>
          <w:sz w:val="24"/>
          <w:szCs w:val="24"/>
        </w:rPr>
        <w:t>提供1：1 冗余的稳压电源，电源负荷不大于50%。</w:t>
      </w:r>
    </w:p>
    <w:p w14:paraId="70216DF9">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2.11.3 接地工程</w:t>
      </w:r>
    </w:p>
    <w:p w14:paraId="4D84D009">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接地工程应符合SH/T3081-2003 等有关标准规范，采用等电位连接方式的共用接地系统，最终接到电气的接地系统。为便于</w:t>
      </w:r>
      <w:r>
        <w:rPr>
          <w:rFonts w:hint="eastAsia" w:ascii="宋体" w:hAnsi="宋体"/>
          <w:b w:val="0"/>
          <w:sz w:val="24"/>
          <w:szCs w:val="24"/>
          <w:lang w:eastAsia="zh-CN"/>
        </w:rPr>
        <w:t>采购方</w:t>
      </w:r>
      <w:r>
        <w:rPr>
          <w:rFonts w:hint="eastAsia" w:ascii="宋体" w:hAnsi="宋体" w:eastAsia="宋体"/>
          <w:b w:val="0"/>
          <w:sz w:val="24"/>
          <w:szCs w:val="24"/>
        </w:rPr>
        <w:t>的施工准备，报价技术文件中必须提供详细的接地工程规范、资料和说明。</w:t>
      </w:r>
    </w:p>
    <w:p w14:paraId="695CFE58">
      <w:pPr>
        <w:pStyle w:val="2"/>
        <w:ind w:left="0" w:leftChars="0" w:firstLine="0" w:firstLineChars="0"/>
        <w:rPr>
          <w:rFonts w:hint="eastAsia"/>
          <w:b w:val="0"/>
          <w:bCs w:val="0"/>
        </w:rPr>
      </w:pPr>
    </w:p>
    <w:p w14:paraId="7B2DB65E">
      <w:pPr>
        <w:pStyle w:val="2"/>
        <w:ind w:left="0" w:leftChars="0" w:firstLine="0" w:firstLineChars="0"/>
        <w:rPr>
          <w:rFonts w:hint="eastAsia"/>
          <w:b w:val="0"/>
          <w:bCs w:val="0"/>
        </w:rPr>
      </w:pPr>
      <w:r>
        <w:rPr>
          <w:rFonts w:hint="eastAsia"/>
          <w:b w:val="0"/>
          <w:bCs w:val="0"/>
        </w:rPr>
        <w:t>3</w:t>
      </w:r>
      <w:r>
        <w:rPr>
          <w:rFonts w:hint="eastAsia"/>
          <w:b w:val="0"/>
          <w:bCs w:val="0"/>
          <w:lang w:val="en-US" w:eastAsia="zh-CN"/>
        </w:rPr>
        <w:t>.</w:t>
      </w:r>
      <w:r>
        <w:rPr>
          <w:rFonts w:hint="eastAsia"/>
          <w:b w:val="0"/>
          <w:bCs w:val="0"/>
        </w:rPr>
        <w:t>软件配置的基本要求</w:t>
      </w:r>
    </w:p>
    <w:p w14:paraId="23BA30D5">
      <w:pPr>
        <w:pStyle w:val="3"/>
        <w:ind w:left="0" w:leftChars="0" w:firstLine="240" w:firstLineChars="100"/>
      </w:pPr>
      <w:r>
        <w:rPr>
          <w:rFonts w:hint="eastAsia"/>
        </w:rPr>
        <w:t>3.1 软件配置</w:t>
      </w:r>
    </w:p>
    <w:p w14:paraId="38F01872">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所提供的SIS 必须配备全套的编程软件和操作系统软件，软件的容量应系统的设计, 按设备的最大配置配备。</w:t>
      </w:r>
    </w:p>
    <w:p w14:paraId="6DE6A8A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b w:val="0"/>
          <w:sz w:val="24"/>
          <w:szCs w:val="24"/>
          <w:lang w:eastAsia="zh-CN"/>
        </w:rPr>
        <w:t>供货方</w:t>
      </w:r>
      <w:r>
        <w:rPr>
          <w:rFonts w:hint="eastAsia" w:ascii="宋体" w:hAnsi="宋体" w:eastAsia="宋体"/>
          <w:b w:val="0"/>
          <w:sz w:val="24"/>
          <w:szCs w:val="24"/>
        </w:rPr>
        <w:t>应列出可选的应用软件清单。</w:t>
      </w:r>
    </w:p>
    <w:p w14:paraId="44E1D7D4">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报价技术文件必须列出应配备的软件清单（包括已随硬件带的软件）和可供选择的软件清单，并说明软件的版本。</w:t>
      </w:r>
    </w:p>
    <w:p w14:paraId="30430B16">
      <w:pPr>
        <w:ind w:firstLine="480" w:firstLineChars="200"/>
      </w:pPr>
      <w:r>
        <w:rPr>
          <w:rFonts w:hint="eastAsia" w:ascii="宋体" w:hAnsi="宋体" w:eastAsia="宋体"/>
          <w:b w:val="0"/>
          <w:sz w:val="24"/>
          <w:szCs w:val="24"/>
        </w:rPr>
        <w:t>SIS 系统及组态软件应支持离线组态和调试。</w:t>
      </w:r>
    </w:p>
    <w:p w14:paraId="7EEDBA3D">
      <w:pPr>
        <w:rPr>
          <w:rFonts w:hint="eastAsia"/>
        </w:rPr>
      </w:pPr>
    </w:p>
    <w:p w14:paraId="53991B98">
      <w:pPr>
        <w:pStyle w:val="3"/>
        <w:ind w:left="0" w:leftChars="0" w:firstLine="240" w:firstLineChars="100"/>
      </w:pPr>
      <w:r>
        <w:rPr>
          <w:rFonts w:hint="eastAsia"/>
        </w:rPr>
        <w:t>3.2 软件的版本更新</w:t>
      </w:r>
    </w:p>
    <w:p w14:paraId="33C467AB">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在合同保证期及以后一年内，</w:t>
      </w:r>
      <w:r>
        <w:rPr>
          <w:rFonts w:hint="eastAsia" w:ascii="宋体" w:hAnsi="宋体"/>
          <w:b w:val="0"/>
          <w:sz w:val="24"/>
          <w:szCs w:val="24"/>
          <w:lang w:eastAsia="zh-CN"/>
        </w:rPr>
        <w:t>供货方</w:t>
      </w:r>
      <w:r>
        <w:rPr>
          <w:rFonts w:hint="eastAsia" w:ascii="宋体" w:hAnsi="宋体" w:eastAsia="宋体"/>
          <w:b w:val="0"/>
          <w:sz w:val="24"/>
          <w:szCs w:val="24"/>
        </w:rPr>
        <w:t xml:space="preserve">应免费提供最新版本的系统软件、应用软件及升级服务。对于由于软件版本等引起的系统故障， </w:t>
      </w:r>
      <w:r>
        <w:rPr>
          <w:rFonts w:hint="eastAsia" w:ascii="宋体" w:hAnsi="宋体"/>
          <w:b w:val="0"/>
          <w:sz w:val="24"/>
          <w:szCs w:val="24"/>
          <w:lang w:eastAsia="zh-CN"/>
        </w:rPr>
        <w:t>供货方</w:t>
      </w:r>
      <w:r>
        <w:rPr>
          <w:rFonts w:hint="eastAsia" w:ascii="宋体" w:hAnsi="宋体" w:eastAsia="宋体"/>
          <w:b w:val="0"/>
          <w:sz w:val="24"/>
          <w:szCs w:val="24"/>
        </w:rPr>
        <w:t>应及时处理，并应在合同保证期及以后五年内免费提供最新版本的系统软件、应用软件及升级服务。</w:t>
      </w:r>
    </w:p>
    <w:p w14:paraId="10C9CF9C">
      <w:pPr>
        <w:pStyle w:val="3"/>
        <w:ind w:left="0" w:leftChars="0" w:firstLine="240" w:firstLineChars="100"/>
      </w:pPr>
      <w:r>
        <w:rPr>
          <w:rFonts w:hint="eastAsia"/>
        </w:rPr>
        <w:t>3.3 汉字系统</w:t>
      </w:r>
    </w:p>
    <w:p w14:paraId="292E47E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报价技术文件中应对系统各类软件应用汉字的情况给予说明。</w:t>
      </w:r>
    </w:p>
    <w:p w14:paraId="606431FB">
      <w:pPr>
        <w:rPr>
          <w:rFonts w:hint="eastAsia"/>
        </w:rPr>
      </w:pPr>
    </w:p>
    <w:p w14:paraId="77CB9A9D">
      <w:pPr>
        <w:pStyle w:val="2"/>
        <w:ind w:left="0" w:leftChars="0" w:firstLine="0" w:firstLineChars="0"/>
        <w:rPr>
          <w:rFonts w:hint="eastAsia"/>
          <w:b w:val="0"/>
          <w:bCs w:val="0"/>
        </w:rPr>
      </w:pPr>
      <w:r>
        <w:rPr>
          <w:rFonts w:hint="eastAsia"/>
          <w:b w:val="0"/>
          <w:bCs w:val="0"/>
        </w:rPr>
        <w:t>4</w:t>
      </w:r>
      <w:r>
        <w:rPr>
          <w:rFonts w:hint="eastAsia"/>
          <w:b w:val="0"/>
          <w:bCs w:val="0"/>
          <w:lang w:val="en-US" w:eastAsia="zh-CN"/>
        </w:rPr>
        <w:t>.</w:t>
      </w:r>
      <w:r>
        <w:rPr>
          <w:rFonts w:hint="eastAsia"/>
          <w:b w:val="0"/>
          <w:bCs w:val="0"/>
        </w:rPr>
        <w:t>备品备件及辅助工具</w:t>
      </w:r>
    </w:p>
    <w:p w14:paraId="58F77172">
      <w:pPr>
        <w:pStyle w:val="3"/>
        <w:ind w:left="0" w:leftChars="0" w:firstLine="240" w:firstLineChars="100"/>
      </w:pPr>
      <w:r>
        <w:rPr>
          <w:rFonts w:hint="eastAsia"/>
        </w:rPr>
        <w:t>4.1备品备件</w:t>
      </w:r>
    </w:p>
    <w:p w14:paraId="27C7F85C">
      <w:pPr>
        <w:pStyle w:val="2"/>
        <w:spacing w:line="400" w:lineRule="exact"/>
        <w:ind w:right="535" w:rightChars="255" w:firstLine="480" w:firstLineChars="200"/>
        <w:rPr>
          <w:rFonts w:hint="eastAsia" w:ascii="宋体" w:hAnsi="宋体"/>
          <w:b w:val="0"/>
          <w:sz w:val="24"/>
          <w:szCs w:val="24"/>
          <w:highlight w:val="none"/>
          <w:lang w:eastAsia="zh-CN"/>
        </w:rPr>
      </w:pPr>
      <w:r>
        <w:rPr>
          <w:rFonts w:hint="eastAsia" w:ascii="宋体" w:hAnsi="宋体" w:eastAsia="宋体"/>
          <w:b w:val="0"/>
          <w:sz w:val="24"/>
          <w:szCs w:val="24"/>
        </w:rPr>
        <w:t>SIS供货商应推荐一份保证系统运行五年所需的备品备件清单。除开在线热备用的数量外，每种可更换部件备用量为10%，各种模块至少备一件。对消耗品的备用率不低于20%。</w:t>
      </w:r>
      <w:r>
        <w:rPr>
          <w:rFonts w:hint="eastAsia" w:ascii="宋体" w:hAnsi="宋体"/>
          <w:b w:val="0"/>
          <w:sz w:val="24"/>
          <w:szCs w:val="24"/>
          <w:highlight w:val="none"/>
          <w:lang w:eastAsia="zh-CN"/>
        </w:rPr>
        <w:t>（</w:t>
      </w:r>
      <w:r>
        <w:rPr>
          <w:rFonts w:hint="eastAsia" w:ascii="宋体" w:hAnsi="宋体"/>
          <w:b w:val="0"/>
          <w:sz w:val="24"/>
          <w:szCs w:val="24"/>
          <w:highlight w:val="none"/>
          <w:lang w:val="en-US" w:eastAsia="zh-CN"/>
        </w:rPr>
        <w:t>备品备件清单</w:t>
      </w:r>
      <w:r>
        <w:rPr>
          <w:rFonts w:hint="eastAsia" w:ascii="宋体" w:hAnsi="宋体"/>
          <w:b w:val="0"/>
          <w:sz w:val="24"/>
          <w:szCs w:val="24"/>
          <w:highlight w:val="none"/>
          <w:lang w:eastAsia="zh-CN"/>
        </w:rPr>
        <w:t>）</w:t>
      </w:r>
    </w:p>
    <w:tbl>
      <w:tblPr>
        <w:tblStyle w:val="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2711"/>
        <w:gridCol w:w="2610"/>
        <w:gridCol w:w="3082"/>
      </w:tblGrid>
      <w:tr w14:paraId="0B85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noWrap w:val="0"/>
            <w:vAlign w:val="center"/>
          </w:tcPr>
          <w:p w14:paraId="1A38491C">
            <w:pPr>
              <w:spacing w:line="360" w:lineRule="auto"/>
              <w:jc w:val="center"/>
              <w:rPr>
                <w:kern w:val="1"/>
                <w:szCs w:val="21"/>
              </w:rPr>
            </w:pPr>
            <w:r>
              <w:rPr>
                <w:kern w:val="1"/>
                <w:szCs w:val="21"/>
              </w:rPr>
              <w:t>序号</w:t>
            </w:r>
          </w:p>
        </w:tc>
        <w:tc>
          <w:tcPr>
            <w:tcW w:w="2711" w:type="dxa"/>
            <w:noWrap w:val="0"/>
            <w:vAlign w:val="center"/>
          </w:tcPr>
          <w:p w14:paraId="462DC3DB">
            <w:pPr>
              <w:spacing w:line="360" w:lineRule="auto"/>
              <w:jc w:val="center"/>
              <w:rPr>
                <w:kern w:val="1"/>
                <w:szCs w:val="21"/>
              </w:rPr>
            </w:pPr>
            <w:r>
              <w:rPr>
                <w:kern w:val="1"/>
                <w:szCs w:val="21"/>
              </w:rPr>
              <w:t>名称</w:t>
            </w:r>
          </w:p>
        </w:tc>
        <w:tc>
          <w:tcPr>
            <w:tcW w:w="2610" w:type="dxa"/>
            <w:noWrap w:val="0"/>
            <w:vAlign w:val="center"/>
          </w:tcPr>
          <w:p w14:paraId="5B8B2C3C">
            <w:pPr>
              <w:spacing w:line="360" w:lineRule="auto"/>
              <w:jc w:val="center"/>
              <w:rPr>
                <w:kern w:val="1"/>
                <w:szCs w:val="21"/>
              </w:rPr>
            </w:pPr>
            <w:r>
              <w:rPr>
                <w:kern w:val="1"/>
                <w:szCs w:val="21"/>
              </w:rPr>
              <w:t>描述</w:t>
            </w:r>
          </w:p>
        </w:tc>
        <w:tc>
          <w:tcPr>
            <w:tcW w:w="3082" w:type="dxa"/>
            <w:noWrap w:val="0"/>
            <w:vAlign w:val="center"/>
          </w:tcPr>
          <w:p w14:paraId="0E33C5F7">
            <w:pPr>
              <w:spacing w:line="360" w:lineRule="auto"/>
              <w:jc w:val="center"/>
              <w:rPr>
                <w:kern w:val="1"/>
                <w:szCs w:val="21"/>
              </w:rPr>
            </w:pPr>
            <w:r>
              <w:rPr>
                <w:kern w:val="1"/>
                <w:szCs w:val="21"/>
              </w:rPr>
              <w:t>数量</w:t>
            </w:r>
          </w:p>
        </w:tc>
      </w:tr>
      <w:tr w14:paraId="0D4F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vMerge w:val="restart"/>
            <w:noWrap w:val="0"/>
            <w:vAlign w:val="top"/>
          </w:tcPr>
          <w:p w14:paraId="74E013E0">
            <w:pPr>
              <w:spacing w:line="360" w:lineRule="auto"/>
              <w:jc w:val="center"/>
              <w:rPr>
                <w:rFonts w:hint="eastAsia" w:eastAsia="宋体"/>
                <w:kern w:val="1"/>
                <w:szCs w:val="21"/>
                <w:lang w:val="en-US" w:eastAsia="zh-CN"/>
              </w:rPr>
            </w:pPr>
            <w:r>
              <w:rPr>
                <w:rFonts w:hint="eastAsia"/>
                <w:kern w:val="1"/>
                <w:szCs w:val="21"/>
                <w:lang w:val="en-US" w:eastAsia="zh-CN"/>
              </w:rPr>
              <w:t>1</w:t>
            </w:r>
          </w:p>
        </w:tc>
        <w:tc>
          <w:tcPr>
            <w:tcW w:w="2711" w:type="dxa"/>
            <w:vMerge w:val="restart"/>
            <w:noWrap w:val="0"/>
            <w:vAlign w:val="top"/>
          </w:tcPr>
          <w:p w14:paraId="70B82E45">
            <w:pPr>
              <w:spacing w:line="360" w:lineRule="auto"/>
              <w:jc w:val="center"/>
              <w:rPr>
                <w:kern w:val="1"/>
                <w:szCs w:val="21"/>
              </w:rPr>
            </w:pPr>
            <w:r>
              <w:rPr>
                <w:kern w:val="1"/>
                <w:szCs w:val="21"/>
              </w:rPr>
              <w:t>卡件</w:t>
            </w:r>
          </w:p>
        </w:tc>
        <w:tc>
          <w:tcPr>
            <w:tcW w:w="2610" w:type="dxa"/>
            <w:noWrap w:val="0"/>
            <w:vAlign w:val="top"/>
          </w:tcPr>
          <w:p w14:paraId="142C547B">
            <w:pPr>
              <w:spacing w:line="360" w:lineRule="auto"/>
              <w:jc w:val="center"/>
              <w:rPr>
                <w:kern w:val="1"/>
                <w:szCs w:val="21"/>
              </w:rPr>
            </w:pPr>
            <w:r>
              <w:rPr>
                <w:kern w:val="1"/>
                <w:szCs w:val="21"/>
              </w:rPr>
              <w:t>AI</w:t>
            </w:r>
          </w:p>
        </w:tc>
        <w:tc>
          <w:tcPr>
            <w:tcW w:w="3082" w:type="dxa"/>
            <w:noWrap w:val="0"/>
            <w:vAlign w:val="top"/>
          </w:tcPr>
          <w:p w14:paraId="15399A3A">
            <w:pPr>
              <w:spacing w:line="360" w:lineRule="auto"/>
              <w:jc w:val="center"/>
              <w:rPr>
                <w:rFonts w:hint="eastAsia" w:eastAsia="宋体"/>
                <w:kern w:val="1"/>
                <w:szCs w:val="21"/>
                <w:lang w:val="en-US" w:eastAsia="zh-CN"/>
              </w:rPr>
            </w:pPr>
            <w:r>
              <w:rPr>
                <w:rFonts w:hint="eastAsia"/>
                <w:kern w:val="1"/>
                <w:szCs w:val="21"/>
                <w:lang w:val="en-US" w:eastAsia="zh-CN"/>
              </w:rPr>
              <w:t>1</w:t>
            </w:r>
          </w:p>
        </w:tc>
      </w:tr>
      <w:tr w14:paraId="21CA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vMerge w:val="continue"/>
            <w:noWrap w:val="0"/>
            <w:vAlign w:val="top"/>
          </w:tcPr>
          <w:p w14:paraId="2CB5ABF8">
            <w:pPr>
              <w:spacing w:line="360" w:lineRule="auto"/>
              <w:jc w:val="center"/>
              <w:rPr>
                <w:kern w:val="1"/>
                <w:szCs w:val="21"/>
              </w:rPr>
            </w:pPr>
          </w:p>
        </w:tc>
        <w:tc>
          <w:tcPr>
            <w:tcW w:w="2711" w:type="dxa"/>
            <w:vMerge w:val="continue"/>
            <w:noWrap w:val="0"/>
            <w:vAlign w:val="top"/>
          </w:tcPr>
          <w:p w14:paraId="1724F863">
            <w:pPr>
              <w:spacing w:line="360" w:lineRule="auto"/>
              <w:jc w:val="center"/>
              <w:rPr>
                <w:kern w:val="1"/>
                <w:szCs w:val="21"/>
              </w:rPr>
            </w:pPr>
          </w:p>
        </w:tc>
        <w:tc>
          <w:tcPr>
            <w:tcW w:w="2610" w:type="dxa"/>
            <w:noWrap w:val="0"/>
            <w:vAlign w:val="top"/>
          </w:tcPr>
          <w:p w14:paraId="39298089">
            <w:pPr>
              <w:spacing w:line="360" w:lineRule="auto"/>
              <w:jc w:val="center"/>
              <w:rPr>
                <w:kern w:val="1"/>
                <w:szCs w:val="21"/>
              </w:rPr>
            </w:pPr>
            <w:r>
              <w:rPr>
                <w:kern w:val="1"/>
                <w:szCs w:val="21"/>
              </w:rPr>
              <w:t>AO（如果有）</w:t>
            </w:r>
          </w:p>
        </w:tc>
        <w:tc>
          <w:tcPr>
            <w:tcW w:w="3082" w:type="dxa"/>
            <w:noWrap w:val="0"/>
            <w:vAlign w:val="top"/>
          </w:tcPr>
          <w:p w14:paraId="61A76150">
            <w:pPr>
              <w:spacing w:line="360" w:lineRule="auto"/>
              <w:jc w:val="center"/>
              <w:rPr>
                <w:kern w:val="1"/>
                <w:szCs w:val="21"/>
              </w:rPr>
            </w:pPr>
            <w:r>
              <w:rPr>
                <w:kern w:val="1"/>
                <w:szCs w:val="21"/>
              </w:rPr>
              <w:t>1</w:t>
            </w:r>
          </w:p>
        </w:tc>
      </w:tr>
      <w:tr w14:paraId="1CA5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vMerge w:val="continue"/>
            <w:noWrap w:val="0"/>
            <w:vAlign w:val="top"/>
          </w:tcPr>
          <w:p w14:paraId="1597F181">
            <w:pPr>
              <w:spacing w:line="360" w:lineRule="auto"/>
              <w:jc w:val="center"/>
              <w:rPr>
                <w:kern w:val="1"/>
                <w:szCs w:val="21"/>
              </w:rPr>
            </w:pPr>
          </w:p>
        </w:tc>
        <w:tc>
          <w:tcPr>
            <w:tcW w:w="2711" w:type="dxa"/>
            <w:vMerge w:val="continue"/>
            <w:noWrap w:val="0"/>
            <w:vAlign w:val="top"/>
          </w:tcPr>
          <w:p w14:paraId="19F06096">
            <w:pPr>
              <w:spacing w:line="360" w:lineRule="auto"/>
              <w:jc w:val="center"/>
              <w:rPr>
                <w:kern w:val="1"/>
                <w:szCs w:val="21"/>
              </w:rPr>
            </w:pPr>
          </w:p>
        </w:tc>
        <w:tc>
          <w:tcPr>
            <w:tcW w:w="2610" w:type="dxa"/>
            <w:noWrap w:val="0"/>
            <w:vAlign w:val="top"/>
          </w:tcPr>
          <w:p w14:paraId="0AEC25F4">
            <w:pPr>
              <w:spacing w:line="360" w:lineRule="auto"/>
              <w:jc w:val="center"/>
              <w:rPr>
                <w:kern w:val="1"/>
                <w:szCs w:val="21"/>
              </w:rPr>
            </w:pPr>
            <w:r>
              <w:rPr>
                <w:kern w:val="1"/>
                <w:szCs w:val="21"/>
              </w:rPr>
              <w:t>DI</w:t>
            </w:r>
          </w:p>
        </w:tc>
        <w:tc>
          <w:tcPr>
            <w:tcW w:w="3082" w:type="dxa"/>
            <w:noWrap w:val="0"/>
            <w:vAlign w:val="top"/>
          </w:tcPr>
          <w:p w14:paraId="26F8D4A2">
            <w:pPr>
              <w:spacing w:line="360" w:lineRule="auto"/>
              <w:jc w:val="center"/>
              <w:rPr>
                <w:rFonts w:hint="eastAsia" w:eastAsia="宋体"/>
                <w:kern w:val="1"/>
                <w:szCs w:val="21"/>
                <w:lang w:eastAsia="zh-CN"/>
              </w:rPr>
            </w:pPr>
            <w:r>
              <w:rPr>
                <w:rFonts w:hint="eastAsia"/>
                <w:kern w:val="1"/>
                <w:szCs w:val="21"/>
                <w:lang w:val="en-US" w:eastAsia="zh-CN"/>
              </w:rPr>
              <w:t>1</w:t>
            </w:r>
          </w:p>
        </w:tc>
      </w:tr>
      <w:tr w14:paraId="468A1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vMerge w:val="continue"/>
            <w:noWrap w:val="0"/>
            <w:vAlign w:val="top"/>
          </w:tcPr>
          <w:p w14:paraId="6A03D6D0">
            <w:pPr>
              <w:spacing w:line="360" w:lineRule="auto"/>
              <w:jc w:val="center"/>
              <w:rPr>
                <w:kern w:val="1"/>
                <w:szCs w:val="21"/>
              </w:rPr>
            </w:pPr>
          </w:p>
        </w:tc>
        <w:tc>
          <w:tcPr>
            <w:tcW w:w="2711" w:type="dxa"/>
            <w:vMerge w:val="continue"/>
            <w:noWrap w:val="0"/>
            <w:vAlign w:val="top"/>
          </w:tcPr>
          <w:p w14:paraId="53225CC1">
            <w:pPr>
              <w:spacing w:line="360" w:lineRule="auto"/>
              <w:jc w:val="center"/>
              <w:rPr>
                <w:kern w:val="1"/>
                <w:szCs w:val="21"/>
              </w:rPr>
            </w:pPr>
          </w:p>
        </w:tc>
        <w:tc>
          <w:tcPr>
            <w:tcW w:w="2610" w:type="dxa"/>
            <w:noWrap w:val="0"/>
            <w:vAlign w:val="top"/>
          </w:tcPr>
          <w:p w14:paraId="69DA6FF4">
            <w:pPr>
              <w:spacing w:line="360" w:lineRule="auto"/>
              <w:jc w:val="center"/>
              <w:rPr>
                <w:kern w:val="1"/>
                <w:szCs w:val="21"/>
              </w:rPr>
            </w:pPr>
            <w:r>
              <w:rPr>
                <w:kern w:val="1"/>
                <w:szCs w:val="21"/>
              </w:rPr>
              <w:t>DO</w:t>
            </w:r>
          </w:p>
        </w:tc>
        <w:tc>
          <w:tcPr>
            <w:tcW w:w="3082" w:type="dxa"/>
            <w:noWrap w:val="0"/>
            <w:vAlign w:val="top"/>
          </w:tcPr>
          <w:p w14:paraId="06C12694">
            <w:pPr>
              <w:spacing w:line="360" w:lineRule="auto"/>
              <w:jc w:val="center"/>
              <w:rPr>
                <w:rFonts w:hint="eastAsia" w:eastAsia="宋体"/>
                <w:kern w:val="1"/>
                <w:szCs w:val="21"/>
                <w:lang w:eastAsia="zh-CN"/>
              </w:rPr>
            </w:pPr>
            <w:r>
              <w:rPr>
                <w:rFonts w:hint="eastAsia"/>
                <w:kern w:val="1"/>
                <w:szCs w:val="21"/>
                <w:lang w:val="en-US" w:eastAsia="zh-CN"/>
              </w:rPr>
              <w:t>1</w:t>
            </w:r>
          </w:p>
        </w:tc>
      </w:tr>
      <w:tr w14:paraId="7636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noWrap w:val="0"/>
            <w:vAlign w:val="top"/>
          </w:tcPr>
          <w:p w14:paraId="5B719DA0">
            <w:pPr>
              <w:spacing w:line="360" w:lineRule="auto"/>
              <w:jc w:val="center"/>
              <w:rPr>
                <w:rFonts w:hint="eastAsia" w:eastAsia="宋体"/>
                <w:kern w:val="1"/>
                <w:szCs w:val="21"/>
                <w:lang w:eastAsia="zh-CN"/>
              </w:rPr>
            </w:pPr>
            <w:r>
              <w:rPr>
                <w:rFonts w:hint="eastAsia"/>
                <w:kern w:val="1"/>
                <w:szCs w:val="21"/>
                <w:lang w:val="en-US" w:eastAsia="zh-CN"/>
              </w:rPr>
              <w:t>2</w:t>
            </w:r>
          </w:p>
        </w:tc>
        <w:tc>
          <w:tcPr>
            <w:tcW w:w="2711" w:type="dxa"/>
            <w:noWrap w:val="0"/>
            <w:vAlign w:val="top"/>
          </w:tcPr>
          <w:p w14:paraId="3B5B24C3">
            <w:pPr>
              <w:spacing w:line="360" w:lineRule="auto"/>
              <w:jc w:val="center"/>
              <w:rPr>
                <w:kern w:val="1"/>
                <w:szCs w:val="21"/>
              </w:rPr>
            </w:pPr>
            <w:r>
              <w:rPr>
                <w:kern w:val="1"/>
                <w:szCs w:val="21"/>
              </w:rPr>
              <w:t>继电器</w:t>
            </w:r>
          </w:p>
        </w:tc>
        <w:tc>
          <w:tcPr>
            <w:tcW w:w="2610" w:type="dxa"/>
            <w:noWrap w:val="0"/>
            <w:vAlign w:val="top"/>
          </w:tcPr>
          <w:p w14:paraId="20E8F625">
            <w:pPr>
              <w:spacing w:line="360" w:lineRule="auto"/>
              <w:jc w:val="center"/>
              <w:rPr>
                <w:kern w:val="1"/>
                <w:szCs w:val="21"/>
              </w:rPr>
            </w:pPr>
          </w:p>
        </w:tc>
        <w:tc>
          <w:tcPr>
            <w:tcW w:w="3082" w:type="dxa"/>
            <w:noWrap w:val="0"/>
            <w:vAlign w:val="top"/>
          </w:tcPr>
          <w:p w14:paraId="156CEAAC">
            <w:pPr>
              <w:spacing w:line="360" w:lineRule="auto"/>
              <w:jc w:val="center"/>
              <w:rPr>
                <w:rFonts w:hint="eastAsia" w:eastAsia="宋体"/>
                <w:kern w:val="1"/>
                <w:szCs w:val="21"/>
                <w:lang w:eastAsia="zh-CN"/>
              </w:rPr>
            </w:pPr>
            <w:r>
              <w:rPr>
                <w:rFonts w:hint="eastAsia"/>
                <w:kern w:val="1"/>
                <w:szCs w:val="21"/>
                <w:lang w:val="en-US" w:eastAsia="zh-CN"/>
              </w:rPr>
              <w:t>1</w:t>
            </w:r>
          </w:p>
        </w:tc>
      </w:tr>
      <w:tr w14:paraId="6E5DD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 w:type="dxa"/>
            <w:noWrap w:val="0"/>
            <w:vAlign w:val="top"/>
          </w:tcPr>
          <w:p w14:paraId="7FA04494">
            <w:pPr>
              <w:spacing w:line="360" w:lineRule="auto"/>
              <w:jc w:val="center"/>
              <w:rPr>
                <w:rFonts w:hint="default"/>
                <w:color w:val="000000" w:themeColor="text1"/>
                <w:kern w:val="1"/>
                <w:szCs w:val="21"/>
                <w:lang w:val="en-US" w:eastAsia="zh-CN"/>
                <w14:textFill>
                  <w14:solidFill>
                    <w14:schemeClr w14:val="tx1"/>
                  </w14:solidFill>
                </w14:textFill>
              </w:rPr>
            </w:pPr>
            <w:r>
              <w:rPr>
                <w:rFonts w:hint="eastAsia"/>
                <w:color w:val="000000" w:themeColor="text1"/>
                <w:kern w:val="1"/>
                <w:szCs w:val="21"/>
                <w:lang w:val="en-US" w:eastAsia="zh-CN"/>
                <w14:textFill>
                  <w14:solidFill>
                    <w14:schemeClr w14:val="tx1"/>
                  </w14:solidFill>
                </w14:textFill>
              </w:rPr>
              <w:t>3</w:t>
            </w:r>
          </w:p>
        </w:tc>
        <w:tc>
          <w:tcPr>
            <w:tcW w:w="2711" w:type="dxa"/>
            <w:noWrap w:val="0"/>
            <w:vAlign w:val="top"/>
          </w:tcPr>
          <w:p w14:paraId="3458202D">
            <w:pPr>
              <w:spacing w:line="360" w:lineRule="auto"/>
              <w:jc w:val="center"/>
              <w:rPr>
                <w:rFonts w:hint="default"/>
                <w:color w:val="000000" w:themeColor="text1"/>
                <w:kern w:val="1"/>
                <w:szCs w:val="21"/>
                <w14:textFill>
                  <w14:solidFill>
                    <w14:schemeClr w14:val="tx1"/>
                  </w14:solidFill>
                </w14:textFill>
              </w:rPr>
            </w:pPr>
            <w:r>
              <w:rPr>
                <w:rFonts w:hint="eastAsia"/>
                <w:color w:val="000000" w:themeColor="text1"/>
                <w:kern w:val="1"/>
                <w:szCs w:val="21"/>
                <w:lang w:val="en-US" w:eastAsia="zh-CN"/>
                <w14:textFill>
                  <w14:solidFill>
                    <w14:schemeClr w14:val="tx1"/>
                  </w14:solidFill>
                </w14:textFill>
              </w:rPr>
              <w:t>浪涌保护器</w:t>
            </w:r>
          </w:p>
        </w:tc>
        <w:tc>
          <w:tcPr>
            <w:tcW w:w="2610" w:type="dxa"/>
            <w:noWrap w:val="0"/>
            <w:vAlign w:val="top"/>
          </w:tcPr>
          <w:p w14:paraId="4EC3BE28">
            <w:pPr>
              <w:spacing w:line="360" w:lineRule="auto"/>
              <w:jc w:val="center"/>
              <w:rPr>
                <w:color w:val="000000" w:themeColor="text1"/>
                <w:kern w:val="1"/>
                <w:szCs w:val="21"/>
                <w14:textFill>
                  <w14:solidFill>
                    <w14:schemeClr w14:val="tx1"/>
                  </w14:solidFill>
                </w14:textFill>
              </w:rPr>
            </w:pPr>
          </w:p>
        </w:tc>
        <w:tc>
          <w:tcPr>
            <w:tcW w:w="3082" w:type="dxa"/>
            <w:noWrap w:val="0"/>
            <w:vAlign w:val="top"/>
          </w:tcPr>
          <w:p w14:paraId="57068F82">
            <w:pPr>
              <w:spacing w:line="360" w:lineRule="auto"/>
              <w:jc w:val="center"/>
              <w:rPr>
                <w:rFonts w:hint="default"/>
                <w:color w:val="000000" w:themeColor="text1"/>
                <w:kern w:val="1"/>
                <w:szCs w:val="21"/>
                <w:lang w:val="en-US" w:eastAsia="zh-CN"/>
                <w14:textFill>
                  <w14:solidFill>
                    <w14:schemeClr w14:val="tx1"/>
                  </w14:solidFill>
                </w14:textFill>
              </w:rPr>
            </w:pPr>
            <w:r>
              <w:rPr>
                <w:rFonts w:hint="eastAsia"/>
                <w:color w:val="000000" w:themeColor="text1"/>
                <w:kern w:val="1"/>
                <w:szCs w:val="21"/>
                <w:lang w:val="en-US" w:eastAsia="zh-CN"/>
                <w14:textFill>
                  <w14:solidFill>
                    <w14:schemeClr w14:val="tx1"/>
                  </w14:solidFill>
                </w14:textFill>
              </w:rPr>
              <w:t>5</w:t>
            </w:r>
          </w:p>
        </w:tc>
      </w:tr>
    </w:tbl>
    <w:p w14:paraId="3A63DC96">
      <w:pPr>
        <w:rPr>
          <w:rFonts w:hint="eastAsia"/>
          <w:lang w:eastAsia="zh-CN"/>
        </w:rPr>
      </w:pPr>
    </w:p>
    <w:p w14:paraId="3D8FA203">
      <w:pPr>
        <w:pStyle w:val="3"/>
        <w:ind w:left="0" w:leftChars="0" w:firstLine="240" w:firstLineChars="100"/>
        <w:rPr>
          <w:rFonts w:hint="eastAsia"/>
        </w:rPr>
      </w:pPr>
      <w:r>
        <w:rPr>
          <w:rFonts w:hint="eastAsia"/>
        </w:rPr>
        <w:t>4.2专用仪器和辅助工具</w:t>
      </w:r>
    </w:p>
    <w:p w14:paraId="4A471698">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供货商应提供系统安装、调试、维护用的特殊工具和专用仪器、工具的清单，并单独报价。报价中应包括足够的用于系统组态、安装、调试、维护用的外存储介质（如：可读写光盘、活动硬盘等）。</w:t>
      </w:r>
    </w:p>
    <w:p w14:paraId="786C0ABF">
      <w:pPr>
        <w:rPr>
          <w:rFonts w:hint="eastAsia" w:ascii="宋体" w:hAnsi="宋体" w:eastAsia="宋体"/>
          <w:b w:val="0"/>
          <w:sz w:val="24"/>
          <w:szCs w:val="24"/>
        </w:rPr>
      </w:pPr>
    </w:p>
    <w:p w14:paraId="243AA654">
      <w:pPr>
        <w:pStyle w:val="2"/>
        <w:numPr>
          <w:ilvl w:val="0"/>
          <w:numId w:val="2"/>
        </w:numPr>
        <w:ind w:left="0" w:leftChars="0" w:firstLine="0" w:firstLineChars="0"/>
        <w:rPr>
          <w:rFonts w:hint="eastAsia"/>
          <w:b w:val="0"/>
          <w:bCs w:val="0"/>
        </w:rPr>
      </w:pPr>
      <w:r>
        <w:rPr>
          <w:rFonts w:hint="eastAsia"/>
          <w:b w:val="0"/>
          <w:bCs w:val="0"/>
        </w:rPr>
        <w:t>文件资料</w:t>
      </w:r>
    </w:p>
    <w:p w14:paraId="790BA793">
      <w:pPr>
        <w:pStyle w:val="3"/>
        <w:ind w:left="0" w:leftChars="0" w:firstLine="240" w:firstLineChars="100"/>
      </w:pPr>
      <w:r>
        <w:rPr>
          <w:rFonts w:hint="eastAsia"/>
        </w:rPr>
        <w:t>5.1工程设计文件资料</w:t>
      </w:r>
    </w:p>
    <w:p w14:paraId="4F28A20B">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SIS供货商应提供完整的中文工程设计文件资料及电子文件，数量由</w:t>
      </w:r>
      <w:r>
        <w:rPr>
          <w:rFonts w:hint="eastAsia" w:ascii="宋体" w:hAnsi="宋体"/>
          <w:b w:val="0"/>
          <w:sz w:val="24"/>
          <w:szCs w:val="24"/>
          <w:lang w:val="en-US" w:eastAsia="zh-CN"/>
        </w:rPr>
        <w:t>采购方</w:t>
      </w:r>
      <w:r>
        <w:rPr>
          <w:rFonts w:hint="eastAsia" w:ascii="宋体" w:hAnsi="宋体" w:eastAsia="宋体"/>
          <w:b w:val="0"/>
          <w:sz w:val="24"/>
          <w:szCs w:val="24"/>
        </w:rPr>
        <w:t>在合同中确定，资料至少应包括：</w:t>
      </w:r>
    </w:p>
    <w:p w14:paraId="008EDBFD">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（1）系统总说明书及配置图；</w:t>
      </w:r>
    </w:p>
    <w:p w14:paraId="237BD789">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b w:val="0"/>
          <w:sz w:val="24"/>
          <w:szCs w:val="24"/>
          <w:lang w:eastAsia="zh-CN"/>
        </w:rPr>
        <w:t>（</w:t>
      </w:r>
      <w:r>
        <w:rPr>
          <w:rFonts w:hint="eastAsia" w:ascii="宋体" w:hAnsi="宋体"/>
          <w:b w:val="0"/>
          <w:sz w:val="24"/>
          <w:szCs w:val="24"/>
          <w:lang w:val="en-US" w:eastAsia="zh-CN"/>
        </w:rPr>
        <w:t>2</w:t>
      </w:r>
      <w:r>
        <w:rPr>
          <w:rFonts w:hint="eastAsia" w:ascii="宋体" w:hAnsi="宋体" w:eastAsia="宋体"/>
          <w:b w:val="0"/>
          <w:sz w:val="24"/>
          <w:szCs w:val="24"/>
        </w:rPr>
        <w:t>）机柜、操作台和辅助操作台布置图；</w:t>
      </w:r>
    </w:p>
    <w:p w14:paraId="162C9F4C">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（3）输入输出模块或逻辑控制器及接线端子布置图、接线图；</w:t>
      </w:r>
    </w:p>
    <w:p w14:paraId="60D43779">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（4）系统供电及接地系统图；</w:t>
      </w:r>
    </w:p>
    <w:p w14:paraId="3B9F0031">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（5）系统内部电缆接线图；</w:t>
      </w:r>
    </w:p>
    <w:p w14:paraId="5FF0BD10">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（6）机柜、操作台、辅助操作台、机架详细尺寸图；</w:t>
      </w:r>
    </w:p>
    <w:p w14:paraId="3B1E3B9C">
      <w:pPr>
        <w:numPr>
          <w:ilvl w:val="0"/>
          <w:numId w:val="0"/>
        </w:numPr>
        <w:ind w:firstLine="480" w:firstLineChars="200"/>
        <w:rPr>
          <w:rFonts w:hint="eastAsia" w:ascii="宋体" w:hAnsi="宋体" w:eastAsia="宋体"/>
          <w:b w:val="0"/>
          <w:sz w:val="24"/>
          <w:szCs w:val="24"/>
        </w:rPr>
      </w:pPr>
      <w:r>
        <w:rPr>
          <w:rFonts w:hint="eastAsia" w:ascii="宋体" w:hAnsi="宋体" w:eastAsia="宋体"/>
          <w:b w:val="0"/>
          <w:sz w:val="24"/>
          <w:szCs w:val="24"/>
        </w:rPr>
        <w:t>（7）与中央控制室DCS系统的通讯电缆接线图。</w:t>
      </w:r>
    </w:p>
    <w:p w14:paraId="73B18A58">
      <w:pPr>
        <w:numPr>
          <w:ilvl w:val="0"/>
          <w:numId w:val="0"/>
        </w:numPr>
        <w:ind w:firstLine="480" w:firstLineChars="200"/>
        <w:rPr>
          <w:rFonts w:hint="eastAsia" w:ascii="宋体" w:hAnsi="宋体" w:eastAsia="宋体"/>
          <w:b w:val="0"/>
          <w:sz w:val="24"/>
          <w:szCs w:val="24"/>
        </w:rPr>
      </w:pPr>
    </w:p>
    <w:p w14:paraId="39E13622">
      <w:pPr>
        <w:numPr>
          <w:ilvl w:val="0"/>
          <w:numId w:val="0"/>
        </w:numPr>
        <w:ind w:firstLine="210" w:firstLineChars="100"/>
        <w:rPr>
          <w:rFonts w:hint="eastAsia"/>
        </w:rPr>
      </w:pPr>
      <w:r>
        <w:rPr>
          <w:rFonts w:hint="eastAsia"/>
        </w:rPr>
        <w:t>5.2  SIS系统应用文件</w:t>
      </w:r>
    </w:p>
    <w:p w14:paraId="557F6352">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SIS供货商应提供完整的中文使用手册文件资料和光盘版资料，数量由</w:t>
      </w:r>
      <w:r>
        <w:rPr>
          <w:rFonts w:hint="eastAsia" w:ascii="宋体" w:hAnsi="宋体"/>
          <w:b w:val="0"/>
          <w:sz w:val="24"/>
          <w:szCs w:val="24"/>
          <w:highlight w:val="none"/>
          <w:lang w:val="en-US" w:eastAsia="zh-CN"/>
        </w:rPr>
        <w:t>采购方</w:t>
      </w:r>
      <w:r>
        <w:rPr>
          <w:rFonts w:hint="eastAsia" w:ascii="宋体" w:hAnsi="宋体" w:eastAsia="宋体"/>
          <w:b w:val="0"/>
          <w:sz w:val="24"/>
          <w:szCs w:val="24"/>
          <w:highlight w:val="none"/>
        </w:rPr>
        <w:t>在</w:t>
      </w:r>
      <w:r>
        <w:rPr>
          <w:rFonts w:hint="eastAsia" w:ascii="宋体" w:hAnsi="宋体" w:eastAsia="宋体"/>
          <w:b w:val="0"/>
          <w:sz w:val="24"/>
          <w:szCs w:val="24"/>
        </w:rPr>
        <w:t>合同中确定，资料至少应包括：</w:t>
      </w:r>
    </w:p>
    <w:p w14:paraId="33935EFD">
      <w:pPr>
        <w:numPr>
          <w:ilvl w:val="0"/>
          <w:numId w:val="3"/>
        </w:numPr>
        <w:ind w:firstLine="480" w:firstLineChars="200"/>
        <w:rPr>
          <w:rFonts w:hint="eastAsia" w:ascii="宋体" w:hAnsi="宋体" w:eastAsia="宋体"/>
          <w:b w:val="0"/>
          <w:sz w:val="24"/>
          <w:szCs w:val="24"/>
        </w:rPr>
      </w:pPr>
      <w:r>
        <w:rPr>
          <w:rFonts w:hint="eastAsia" w:ascii="宋体" w:hAnsi="宋体" w:eastAsia="宋体"/>
          <w:b w:val="0"/>
          <w:sz w:val="24"/>
          <w:szCs w:val="24"/>
        </w:rPr>
        <w:t>各种设备的技术说明书；</w:t>
      </w:r>
    </w:p>
    <w:p w14:paraId="296E83D4">
      <w:pPr>
        <w:numPr>
          <w:ilvl w:val="0"/>
          <w:numId w:val="3"/>
        </w:numPr>
        <w:ind w:firstLine="480" w:firstLineChars="200"/>
        <w:rPr>
          <w:rFonts w:hint="eastAsia" w:ascii="宋体" w:hAnsi="宋体" w:eastAsia="宋体"/>
          <w:b w:val="0"/>
          <w:sz w:val="24"/>
          <w:szCs w:val="24"/>
        </w:rPr>
      </w:pPr>
      <w:r>
        <w:rPr>
          <w:rFonts w:hint="eastAsia" w:ascii="宋体" w:hAnsi="宋体" w:eastAsia="宋体"/>
          <w:b w:val="0"/>
          <w:sz w:val="24"/>
          <w:szCs w:val="24"/>
        </w:rPr>
        <w:t>系统配电及接地工程手册；</w:t>
      </w:r>
    </w:p>
    <w:p w14:paraId="43F13081">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（3）各种过程I/O端子接线图；</w:t>
      </w:r>
    </w:p>
    <w:p w14:paraId="3FDF0FF9">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（4）设备安装手册；</w:t>
      </w:r>
    </w:p>
    <w:p w14:paraId="2D823E48">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（5）系统软件使用手册；</w:t>
      </w:r>
    </w:p>
    <w:p w14:paraId="5587461B">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（6）各应用软件使用手册；</w:t>
      </w:r>
    </w:p>
    <w:p w14:paraId="43E949EA">
      <w:pPr>
        <w:pStyle w:val="2"/>
        <w:spacing w:line="400" w:lineRule="exact"/>
        <w:ind w:left="141" w:leftChars="67" w:right="535" w:rightChars="255" w:firstLine="240"/>
        <w:rPr>
          <w:rFonts w:hint="eastAsia"/>
        </w:rPr>
      </w:pPr>
      <w:r>
        <w:rPr>
          <w:rFonts w:hint="eastAsia" w:ascii="宋体" w:hAnsi="宋体" w:eastAsia="宋体"/>
          <w:b w:val="0"/>
          <w:sz w:val="24"/>
          <w:szCs w:val="24"/>
        </w:rPr>
        <w:t>（7）操作员手册；</w:t>
      </w:r>
    </w:p>
    <w:p w14:paraId="7309729E">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（8）工程师手册；</w:t>
      </w:r>
    </w:p>
    <w:p w14:paraId="2DF07AF7">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（9）系统维护手册；</w:t>
      </w:r>
    </w:p>
    <w:p w14:paraId="40A06F57">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（10）出厂验收测试程序文件；</w:t>
      </w:r>
    </w:p>
    <w:p w14:paraId="531F3EB5">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（11）配套设备的样本或使用说明书；</w:t>
      </w:r>
    </w:p>
    <w:p w14:paraId="50BD4812">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（12）其他必要的文件资料。</w:t>
      </w:r>
    </w:p>
    <w:p w14:paraId="044CF4EB">
      <w:pPr>
        <w:pStyle w:val="2"/>
        <w:ind w:left="0" w:leftChars="0" w:firstLine="0" w:firstLineChars="0"/>
        <w:rPr>
          <w:b w:val="0"/>
          <w:bCs w:val="0"/>
        </w:rPr>
      </w:pPr>
      <w:r>
        <w:rPr>
          <w:rFonts w:hint="eastAsia"/>
          <w:b w:val="0"/>
          <w:bCs w:val="0"/>
        </w:rPr>
        <w:t>6</w:t>
      </w:r>
      <w:r>
        <w:rPr>
          <w:rFonts w:hint="eastAsia"/>
          <w:b w:val="0"/>
          <w:bCs w:val="0"/>
          <w:lang w:val="en-US" w:eastAsia="zh-CN"/>
        </w:rPr>
        <w:t>.</w:t>
      </w:r>
      <w:r>
        <w:rPr>
          <w:rFonts w:hint="eastAsia"/>
          <w:b w:val="0"/>
          <w:bCs w:val="0"/>
        </w:rPr>
        <w:t>技术服务</w:t>
      </w:r>
    </w:p>
    <w:p w14:paraId="175C8A0E">
      <w:pPr>
        <w:pStyle w:val="3"/>
        <w:ind w:left="0" w:leftChars="0" w:firstLine="240" w:firstLineChars="100"/>
      </w:pPr>
      <w:r>
        <w:rPr>
          <w:rFonts w:hint="eastAsia"/>
        </w:rPr>
        <w:t>6.1概述</w:t>
      </w:r>
    </w:p>
    <w:p w14:paraId="5428F4C8">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技术服务应包括项目服务与现场服务。项目服务有项目管理、工厂试验与出厂验收、培训服务、组态工作管理等。现场服务包括到货开箱检查、系统通电、联调、试运和装置投运以及集成设备现场安装、调试等。</w:t>
      </w:r>
    </w:p>
    <w:p w14:paraId="42437140">
      <w:pPr>
        <w:pStyle w:val="3"/>
        <w:ind w:left="0" w:leftChars="0" w:firstLine="240" w:firstLineChars="100"/>
      </w:pPr>
      <w:r>
        <w:rPr>
          <w:rFonts w:hint="eastAsia"/>
        </w:rPr>
        <w:t>6.2项目管理</w:t>
      </w:r>
    </w:p>
    <w:p w14:paraId="305C80DD">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6.2.1项目经理</w:t>
      </w:r>
    </w:p>
    <w:p w14:paraId="67C8653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供货商在整个项目执行期间应提供优良的项目管理服务；项目执行必须由供货商实施，不得外包。SIS供货商在签定合同后应立即指定一位固定的有相同或类似项目经验的项目经理并及时通知用户。项目经理应自始至终地负责整个项目的实施及文件、信件（传真、网络信件等）资料往来，及时联系和处理用户与厂商之间的有关事宜。如有人员更改或临时变化，应预先通知用户，用户认可之后才能实施。</w:t>
      </w:r>
    </w:p>
    <w:p w14:paraId="0DE0D5E4">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6.2.2安全工程师</w:t>
      </w:r>
    </w:p>
    <w:p w14:paraId="057A418E">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供货商在项目经理确定后，应指派至少一位经过TUV认证的安全工程师负责整个项目执行阶段的技术工作，认证的等级宜达到。在经过业主和设计方认可后，安全工程师在下列阶段对本项目的技术工作负完全责任：</w:t>
      </w:r>
    </w:p>
    <w:p w14:paraId="3E31A121">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项目早期阶段；</w:t>
      </w:r>
    </w:p>
    <w:p w14:paraId="10FF3FD7">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FDS（功能设计）阶段；</w:t>
      </w:r>
    </w:p>
    <w:p w14:paraId="2B40CE35">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系统集成阶段；</w:t>
      </w:r>
    </w:p>
    <w:p w14:paraId="70339C72">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程序编制阶段；</w:t>
      </w:r>
    </w:p>
    <w:p w14:paraId="0705AF6A">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内部测试及FAT准备阶段；</w:t>
      </w:r>
    </w:p>
    <w:p w14:paraId="00271B80">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FAT阶段；</w:t>
      </w:r>
    </w:p>
    <w:p w14:paraId="7756B47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与DCS联合测试阶段；</w:t>
      </w:r>
    </w:p>
    <w:p w14:paraId="5457526A">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现场服务阶段。</w:t>
      </w:r>
    </w:p>
    <w:p w14:paraId="3501927C">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6.2.3项目进度</w:t>
      </w:r>
    </w:p>
    <w:p w14:paraId="07BAE1CF">
      <w:pPr>
        <w:ind w:firstLine="480" w:firstLineChars="200"/>
        <w:rPr>
          <w:rFonts w:hint="eastAsia" w:ascii="宋体" w:hAnsi="宋体" w:eastAsia="宋体"/>
          <w:b w:val="0"/>
          <w:sz w:val="24"/>
          <w:szCs w:val="24"/>
        </w:rPr>
      </w:pPr>
      <w:r>
        <w:rPr>
          <w:rFonts w:hint="eastAsia" w:ascii="宋体" w:hAnsi="宋体" w:eastAsia="宋体"/>
          <w:b w:val="0"/>
          <w:sz w:val="24"/>
          <w:szCs w:val="24"/>
        </w:rPr>
        <w:t>SIS供货商应按业主要求提供参考的项目进度表，确切进度及具体日程待签订合同前确定。</w:t>
      </w:r>
    </w:p>
    <w:p w14:paraId="36EEEFD2">
      <w:pPr>
        <w:ind w:firstLine="480" w:firstLineChars="200"/>
        <w:rPr>
          <w:rFonts w:hint="eastAsia" w:ascii="宋体" w:hAnsi="宋体" w:eastAsia="宋体"/>
          <w:b w:val="0"/>
          <w:sz w:val="24"/>
          <w:szCs w:val="24"/>
        </w:rPr>
      </w:pPr>
      <w:r>
        <w:rPr>
          <w:rFonts w:hint="eastAsia" w:ascii="宋体" w:hAnsi="宋体" w:eastAsia="宋体"/>
          <w:b w:val="0"/>
          <w:sz w:val="24"/>
          <w:szCs w:val="24"/>
        </w:rPr>
        <w:t>SIS供货商应在技术文件中提出本项目设备设计、制造、调试、测试、验收等各阶段的执行进度。</w:t>
      </w:r>
    </w:p>
    <w:p w14:paraId="562CC00A">
      <w:pPr>
        <w:pStyle w:val="3"/>
        <w:ind w:left="0" w:leftChars="0" w:firstLine="240" w:firstLineChars="100"/>
      </w:pPr>
      <w:r>
        <w:rPr>
          <w:rFonts w:hint="eastAsia"/>
        </w:rPr>
        <w:t>6.3工程条件会</w:t>
      </w:r>
    </w:p>
    <w:p w14:paraId="1BC737D7">
      <w:pPr>
        <w:ind w:firstLine="480" w:firstLineChars="200"/>
        <w:rPr>
          <w:rFonts w:hint="eastAsia" w:ascii="宋体" w:hAnsi="宋体" w:eastAsia="宋体"/>
          <w:b w:val="0"/>
          <w:sz w:val="24"/>
          <w:szCs w:val="24"/>
        </w:rPr>
      </w:pPr>
      <w:r>
        <w:rPr>
          <w:rFonts w:hint="eastAsia" w:ascii="宋体" w:hAnsi="宋体" w:eastAsia="宋体"/>
          <w:b w:val="0"/>
          <w:sz w:val="24"/>
          <w:szCs w:val="24"/>
        </w:rPr>
        <w:t>SIS供货商应在签定合同后，按照业主要求举行工程条件会议，对系统配置和规格进行详细确认，确定各承包单位的所有供货清单。经确认的供货清单与服务条款即为生产定单。确认文件资料的详细内容及具体的交付时间。双方确认的文件即成为技术附件，具有合同附件的同等效力。</w:t>
      </w:r>
    </w:p>
    <w:p w14:paraId="05091624">
      <w:pPr>
        <w:pStyle w:val="3"/>
        <w:ind w:left="0" w:leftChars="0" w:firstLine="240" w:firstLineChars="100"/>
        <w:rPr>
          <w:rFonts w:hint="eastAsia"/>
        </w:rPr>
      </w:pPr>
      <w:r>
        <w:rPr>
          <w:rFonts w:hint="eastAsia"/>
        </w:rPr>
        <w:t>6.4现场技术服务</w:t>
      </w:r>
    </w:p>
    <w:p w14:paraId="4BFCB64A">
      <w:pPr>
        <w:ind w:firstLine="420" w:firstLineChars="200"/>
        <w:rPr>
          <w:rFonts w:hint="default"/>
          <w:kern w:val="1"/>
          <w:szCs w:val="21"/>
          <w:lang w:val="en-US" w:eastAsia="zh-CN"/>
        </w:rPr>
      </w:pPr>
      <w:r>
        <w:rPr>
          <w:rFonts w:hint="eastAsia"/>
          <w:kern w:val="1"/>
          <w:szCs w:val="21"/>
          <w:lang w:val="en-US" w:eastAsia="zh-CN"/>
        </w:rPr>
        <w:t>供货方</w:t>
      </w:r>
      <w:r>
        <w:rPr>
          <w:rFonts w:hint="eastAsia"/>
          <w:kern w:val="1"/>
          <w:szCs w:val="21"/>
        </w:rPr>
        <w:t>在质保期内</w:t>
      </w:r>
      <w:r>
        <w:rPr>
          <w:rFonts w:hint="eastAsia"/>
          <w:kern w:val="1"/>
          <w:szCs w:val="21"/>
          <w:lang w:val="en-US" w:eastAsia="zh-CN"/>
        </w:rPr>
        <w:t>承诺现场技术服务</w:t>
      </w:r>
      <w:r>
        <w:rPr>
          <w:rFonts w:hint="eastAsia"/>
          <w:kern w:val="1"/>
          <w:szCs w:val="21"/>
          <w:highlight w:val="yellow"/>
        </w:rPr>
        <w:t>没有时间限制</w:t>
      </w:r>
      <w:r>
        <w:rPr>
          <w:rFonts w:hint="eastAsia"/>
          <w:kern w:val="1"/>
          <w:szCs w:val="21"/>
          <w:lang w:eastAsia="zh-CN"/>
        </w:rPr>
        <w:t>，</w:t>
      </w:r>
      <w:r>
        <w:rPr>
          <w:rFonts w:hint="eastAsia"/>
          <w:kern w:val="1"/>
          <w:szCs w:val="21"/>
          <w:lang w:val="en-US" w:eastAsia="zh-CN"/>
        </w:rPr>
        <w:t>配合现场安装、通电、联调试运行以及系统投运等相关工作，确保系统正常运行。在质保期后，供货方对采购方提供时长为一周的现场服务，供货技术文件</w:t>
      </w:r>
      <w:r>
        <w:rPr>
          <w:kern w:val="1"/>
          <w:szCs w:val="21"/>
        </w:rPr>
        <w:t>应对以上现场技术服务分别列出推荐的人员工时及费用，该部分费用包含在合同总价中。</w:t>
      </w:r>
    </w:p>
    <w:p w14:paraId="463A5D49">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6.4.1现场安装</w:t>
      </w:r>
    </w:p>
    <w:p w14:paraId="417E1D8E">
      <w:pPr>
        <w:ind w:firstLine="480" w:firstLineChars="200"/>
        <w:rPr>
          <w:rFonts w:hint="eastAsia" w:ascii="宋体" w:hAnsi="宋体" w:eastAsia="宋体"/>
          <w:b w:val="0"/>
          <w:sz w:val="24"/>
          <w:szCs w:val="24"/>
        </w:rPr>
      </w:pPr>
      <w:r>
        <w:rPr>
          <w:rFonts w:hint="eastAsia" w:ascii="宋体" w:hAnsi="宋体" w:eastAsia="宋体"/>
          <w:b w:val="0"/>
          <w:sz w:val="24"/>
          <w:szCs w:val="24"/>
        </w:rPr>
        <w:t>现场安装由业主总体负责，SIS供货商对安装工作提供技术指导和协助服务。由SIS供货商成套的部分（包括安装、接线等）应由SIS供货商负责。</w:t>
      </w:r>
    </w:p>
    <w:p w14:paraId="11030F24">
      <w:pPr>
        <w:ind w:firstLine="480" w:firstLineChars="200"/>
        <w:rPr>
          <w:rFonts w:hint="eastAsia" w:ascii="宋体" w:hAnsi="宋体" w:eastAsia="宋体"/>
          <w:b w:val="0"/>
          <w:sz w:val="24"/>
          <w:szCs w:val="24"/>
        </w:rPr>
      </w:pPr>
      <w:r>
        <w:rPr>
          <w:rFonts w:hint="eastAsia" w:ascii="宋体" w:hAnsi="宋体" w:eastAsia="宋体"/>
          <w:b w:val="0"/>
          <w:sz w:val="24"/>
          <w:szCs w:val="24"/>
        </w:rPr>
        <w:t>6.4.2系统通电</w:t>
      </w:r>
    </w:p>
    <w:p w14:paraId="6CF14DAB">
      <w:pPr>
        <w:ind w:firstLine="480" w:firstLineChars="200"/>
        <w:rPr>
          <w:rFonts w:hint="eastAsia" w:ascii="宋体" w:hAnsi="宋体" w:eastAsia="宋体"/>
          <w:b w:val="0"/>
          <w:sz w:val="24"/>
          <w:szCs w:val="24"/>
        </w:rPr>
      </w:pPr>
      <w:r>
        <w:rPr>
          <w:rFonts w:hint="eastAsia" w:ascii="宋体" w:hAnsi="宋体" w:eastAsia="宋体"/>
          <w:b w:val="0"/>
          <w:sz w:val="24"/>
          <w:szCs w:val="24"/>
        </w:rPr>
        <w:t>SIS设备在现场安装、接线完毕后，系统通电须由SIS供货商的技术人员负责，通电前SIS供货商的技术人员检查系统的安装、接线、电源及接地等情况，然后通电启动。</w:t>
      </w:r>
    </w:p>
    <w:p w14:paraId="13373877">
      <w:pPr>
        <w:ind w:firstLine="480" w:firstLineChars="200"/>
        <w:rPr>
          <w:rFonts w:hint="eastAsia" w:ascii="宋体" w:hAnsi="宋体" w:eastAsia="宋体"/>
          <w:b w:val="0"/>
          <w:sz w:val="24"/>
          <w:szCs w:val="24"/>
        </w:rPr>
      </w:pPr>
      <w:r>
        <w:rPr>
          <w:rFonts w:hint="eastAsia" w:ascii="宋体" w:hAnsi="宋体" w:eastAsia="宋体"/>
          <w:b w:val="0"/>
          <w:sz w:val="24"/>
          <w:szCs w:val="24"/>
        </w:rPr>
        <w:t>6.4.3系统联调试运行</w:t>
      </w:r>
    </w:p>
    <w:p w14:paraId="515E3E9D">
      <w:pPr>
        <w:ind w:firstLine="480" w:firstLineChars="200"/>
        <w:rPr>
          <w:rFonts w:hint="eastAsia" w:ascii="宋体" w:hAnsi="宋体" w:eastAsia="宋体"/>
          <w:b w:val="0"/>
          <w:sz w:val="24"/>
          <w:szCs w:val="24"/>
        </w:rPr>
      </w:pPr>
      <w:r>
        <w:rPr>
          <w:rFonts w:hint="eastAsia" w:ascii="宋体" w:hAnsi="宋体" w:eastAsia="宋体"/>
          <w:b w:val="0"/>
          <w:sz w:val="24"/>
          <w:szCs w:val="24"/>
        </w:rPr>
        <w:t>装置开工前，由SIS供货商派本项目的安全工程师到现场，协助用户对系统与过程进行联调试运，使系统各部分处于正常工作状态，完整地投入运行。</w:t>
      </w:r>
    </w:p>
    <w:p w14:paraId="590CC97B">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SIS供货商应在装置开工前完成本</w:t>
      </w:r>
      <w:r>
        <w:rPr>
          <w:rFonts w:hint="eastAsia" w:ascii="宋体" w:hAnsi="宋体"/>
          <w:b w:val="0"/>
          <w:sz w:val="24"/>
          <w:szCs w:val="24"/>
          <w:lang w:eastAsia="zh-CN"/>
        </w:rPr>
        <w:t>技术说明文件</w:t>
      </w:r>
      <w:r>
        <w:rPr>
          <w:rFonts w:hint="eastAsia" w:ascii="宋体" w:hAnsi="宋体" w:eastAsia="宋体"/>
          <w:b w:val="0"/>
          <w:sz w:val="24"/>
          <w:szCs w:val="24"/>
        </w:rPr>
        <w:t>所要求负责的SIS与DCS系统的通讯调试。</w:t>
      </w:r>
    </w:p>
    <w:p w14:paraId="333FCC35">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联调试运后，可进行现场验收。</w:t>
      </w:r>
    </w:p>
    <w:p w14:paraId="677FDAF4">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6.4.4系统投运</w:t>
      </w:r>
    </w:p>
    <w:p w14:paraId="7BE184B5">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在本装置开车期间，SIS供货商指派的有开车经验的安全工程师应到现场，保证开车期间系统工作正常，及时完成组态程序的调整、修改、完善。</w:t>
      </w:r>
    </w:p>
    <w:p w14:paraId="46707414">
      <w:pPr>
        <w:pStyle w:val="2"/>
        <w:spacing w:line="400" w:lineRule="exact"/>
        <w:ind w:right="535" w:rightChars="255" w:firstLine="480" w:firstLineChars="200"/>
        <w:rPr>
          <w:rFonts w:hint="eastAsia" w:ascii="宋体" w:hAnsi="宋体" w:eastAsia="宋体"/>
          <w:b w:val="0"/>
          <w:sz w:val="24"/>
          <w:szCs w:val="24"/>
        </w:rPr>
      </w:pPr>
    </w:p>
    <w:p w14:paraId="635FE374">
      <w:pPr>
        <w:pStyle w:val="3"/>
        <w:ind w:left="0" w:leftChars="0" w:firstLine="240" w:firstLineChars="100"/>
        <w:rPr>
          <w:rFonts w:hint="eastAsia"/>
        </w:rPr>
      </w:pPr>
      <w:r>
        <w:rPr>
          <w:rFonts w:hint="eastAsia"/>
        </w:rPr>
        <w:t>6.5售后服务与维修</w:t>
      </w:r>
    </w:p>
    <w:p w14:paraId="2668E03F">
      <w:pPr>
        <w:pStyle w:val="3"/>
        <w:ind w:left="0" w:leftChars="0" w:firstLine="480" w:firstLineChars="200"/>
        <w:rPr>
          <w:rFonts w:hint="eastAsia" w:ascii="宋体" w:hAnsi="宋体" w:eastAsia="宋体"/>
          <w:b w:val="0"/>
          <w:sz w:val="24"/>
          <w:szCs w:val="24"/>
        </w:rPr>
      </w:pPr>
      <w:r>
        <w:rPr>
          <w:rFonts w:hint="eastAsia" w:ascii="宋体" w:hAnsi="宋体" w:eastAsia="宋体"/>
          <w:b w:val="0"/>
          <w:sz w:val="24"/>
          <w:szCs w:val="24"/>
        </w:rPr>
        <w:t>SIS供货商应对系统投运后的售后技术服务、使用与维修技术咨询提供良好的保证，SIS供货商应保证其指定技术服务与维修的支持部门在接到用户电话（传真）后24小时内对用户提出的问题给予答复（电话或传真），直到解决问题。需要时应派专人到用户所在地解决。</w:t>
      </w:r>
    </w:p>
    <w:p w14:paraId="0428EC1F">
      <w:pPr>
        <w:pStyle w:val="2"/>
        <w:ind w:left="0" w:leftChars="0" w:firstLine="0" w:firstLineChars="0"/>
        <w:rPr>
          <w:rFonts w:hint="eastAsia"/>
          <w:b w:val="0"/>
          <w:bCs w:val="0"/>
        </w:rPr>
      </w:pPr>
      <w:r>
        <w:rPr>
          <w:rFonts w:hint="eastAsia"/>
          <w:b w:val="0"/>
          <w:bCs w:val="0"/>
        </w:rPr>
        <w:t>7</w:t>
      </w:r>
      <w:r>
        <w:rPr>
          <w:rFonts w:hint="eastAsia"/>
          <w:b w:val="0"/>
          <w:bCs w:val="0"/>
          <w:lang w:val="en-US" w:eastAsia="zh-CN"/>
        </w:rPr>
        <w:t>.</w:t>
      </w:r>
      <w:r>
        <w:rPr>
          <w:rFonts w:hint="eastAsia"/>
          <w:b w:val="0"/>
          <w:bCs w:val="0"/>
        </w:rPr>
        <w:t>技术培训及软件组态</w:t>
      </w:r>
    </w:p>
    <w:p w14:paraId="47DB2524">
      <w:pPr>
        <w:rPr>
          <w:rFonts w:hint="eastAsia" w:ascii="宋体" w:hAnsi="宋体" w:eastAsia="宋体"/>
          <w:b w:val="0"/>
          <w:sz w:val="24"/>
          <w:szCs w:val="24"/>
        </w:rPr>
      </w:pPr>
    </w:p>
    <w:p w14:paraId="2991977E">
      <w:pPr>
        <w:pStyle w:val="3"/>
        <w:ind w:left="0" w:leftChars="0" w:firstLine="240" w:firstLineChars="100"/>
      </w:pPr>
      <w:r>
        <w:rPr>
          <w:rFonts w:hint="eastAsia"/>
        </w:rPr>
        <w:t>7.1技术培训</w:t>
      </w:r>
    </w:p>
    <w:p w14:paraId="41BD3DEF">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7.1.1系统技术培训</w:t>
      </w:r>
    </w:p>
    <w:p w14:paraId="4DD6004F"/>
    <w:p w14:paraId="13FDD624">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系统技术培训一般为对所选系统的技术规格、配置的软件功能进行详细介绍，并进行组态技术预培训(可和软件组态培训同步进行)。参加人数约2 人，时间约 </w:t>
      </w:r>
      <w:r>
        <w:rPr>
          <w:rFonts w:hint="eastAsia" w:ascii="宋体" w:hAnsi="宋体"/>
          <w:b w:val="0"/>
          <w:sz w:val="24"/>
          <w:szCs w:val="24"/>
          <w:lang w:val="en-US" w:eastAsia="zh-CN"/>
        </w:rPr>
        <w:t>1</w:t>
      </w:r>
      <w:r>
        <w:rPr>
          <w:rFonts w:hint="eastAsia" w:ascii="宋体" w:hAnsi="宋体" w:eastAsia="宋体"/>
          <w:b w:val="0"/>
          <w:sz w:val="24"/>
          <w:szCs w:val="24"/>
        </w:rPr>
        <w:t xml:space="preserve"> 周。</w:t>
      </w:r>
    </w:p>
    <w:p w14:paraId="0C0CCE2A">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报价书应提出培训计划和培训内容</w:t>
      </w:r>
      <w:r>
        <w:rPr>
          <w:rFonts w:hint="eastAsia" w:ascii="宋体" w:hAnsi="宋体"/>
          <w:b w:val="0"/>
          <w:sz w:val="24"/>
          <w:szCs w:val="24"/>
          <w:lang w:val="en-US" w:eastAsia="zh-CN"/>
        </w:rPr>
        <w:t>及费用</w:t>
      </w:r>
      <w:r>
        <w:rPr>
          <w:rFonts w:hint="eastAsia" w:ascii="宋体" w:hAnsi="宋体" w:eastAsia="宋体"/>
          <w:b w:val="0"/>
          <w:sz w:val="24"/>
          <w:szCs w:val="24"/>
        </w:rPr>
        <w:t>。培训期间，供货商应为用户提供良好的工作条件。</w:t>
      </w:r>
    </w:p>
    <w:p w14:paraId="7B458A84">
      <w:pPr>
        <w:rPr>
          <w:rFonts w:hint="eastAsia"/>
        </w:rPr>
      </w:pPr>
    </w:p>
    <w:p w14:paraId="624DE5BE">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7.1.2软件组态培训</w:t>
      </w:r>
    </w:p>
    <w:p w14:paraId="6173849C">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软件组态培训是软件组态工作的重要组成部分。报价书应对组态工作的方式、培训计划、组态工作实施细则及费用提出建议并单独报价。</w:t>
      </w:r>
    </w:p>
    <w:p w14:paraId="27B345AA">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组态培训和用户参与组态工作连续进行。一般应在用户自己的设备上进行组态和下装，组态人员有设计院和用户共约 </w:t>
      </w:r>
      <w:r>
        <w:rPr>
          <w:rFonts w:hint="eastAsia" w:ascii="宋体" w:hAnsi="宋体"/>
          <w:b w:val="0"/>
          <w:sz w:val="24"/>
          <w:szCs w:val="24"/>
          <w:lang w:val="en-US" w:eastAsia="zh-CN"/>
        </w:rPr>
        <w:t>2</w:t>
      </w:r>
      <w:r>
        <w:rPr>
          <w:rFonts w:hint="eastAsia" w:ascii="宋体" w:hAnsi="宋体" w:eastAsia="宋体"/>
          <w:b w:val="0"/>
          <w:sz w:val="24"/>
          <w:szCs w:val="24"/>
        </w:rPr>
        <w:t>人，培训时间</w:t>
      </w:r>
      <w:r>
        <w:rPr>
          <w:rFonts w:hint="eastAsia" w:ascii="宋体" w:hAnsi="宋体"/>
          <w:b w:val="0"/>
          <w:sz w:val="24"/>
          <w:szCs w:val="24"/>
          <w:lang w:val="en-US" w:eastAsia="zh-CN"/>
        </w:rPr>
        <w:t>1</w:t>
      </w:r>
      <w:r>
        <w:rPr>
          <w:rFonts w:hint="eastAsia" w:ascii="宋体" w:hAnsi="宋体" w:eastAsia="宋体"/>
          <w:b w:val="0"/>
          <w:sz w:val="24"/>
          <w:szCs w:val="24"/>
        </w:rPr>
        <w:t xml:space="preserve"> 周。</w:t>
      </w:r>
    </w:p>
    <w:p w14:paraId="2384614D">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组态期间，</w:t>
      </w:r>
      <w:r>
        <w:rPr>
          <w:rFonts w:hint="eastAsia" w:ascii="宋体" w:hAnsi="宋体" w:eastAsia="宋体"/>
          <w:b w:val="0"/>
          <w:sz w:val="24"/>
          <w:szCs w:val="24"/>
          <w:highlight w:val="none"/>
        </w:rPr>
        <w:t>供货</w:t>
      </w:r>
      <w:r>
        <w:rPr>
          <w:rFonts w:hint="eastAsia" w:ascii="宋体" w:hAnsi="宋体"/>
          <w:b w:val="0"/>
          <w:sz w:val="24"/>
          <w:szCs w:val="24"/>
          <w:highlight w:val="none"/>
          <w:lang w:val="en-US" w:eastAsia="zh-CN"/>
        </w:rPr>
        <w:t>方</w:t>
      </w:r>
      <w:r>
        <w:rPr>
          <w:rFonts w:hint="eastAsia" w:ascii="宋体" w:hAnsi="宋体" w:eastAsia="宋体"/>
          <w:b w:val="0"/>
          <w:sz w:val="24"/>
          <w:szCs w:val="24"/>
        </w:rPr>
        <w:t>应为用户提供良好的工作条件。</w:t>
      </w:r>
    </w:p>
    <w:p w14:paraId="289598F2">
      <w:pPr>
        <w:pStyle w:val="2"/>
        <w:spacing w:line="400" w:lineRule="exact"/>
        <w:ind w:left="141" w:leftChars="67" w:right="535" w:rightChars="255" w:firstLine="240"/>
        <w:rPr>
          <w:rFonts w:hint="eastAsia" w:ascii="宋体" w:hAnsi="宋体" w:eastAsia="宋体"/>
          <w:b w:val="0"/>
          <w:sz w:val="24"/>
          <w:szCs w:val="24"/>
        </w:rPr>
      </w:pPr>
      <w:r>
        <w:rPr>
          <w:rFonts w:hint="eastAsia" w:ascii="宋体" w:hAnsi="宋体" w:eastAsia="宋体"/>
          <w:b w:val="0"/>
          <w:sz w:val="24"/>
          <w:szCs w:val="24"/>
        </w:rPr>
        <w:t>7.1.3操作和维护培训</w:t>
      </w:r>
    </w:p>
    <w:p w14:paraId="0E194AD1">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操作和维护培训应为正式的培训课程，在具有培训资格的培训中心或生产装置现场进行，保证培训质量。</w:t>
      </w:r>
    </w:p>
    <w:p w14:paraId="7B57F1AA">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 xml:space="preserve">用户参加人数约 2 人，培训时间 </w:t>
      </w:r>
      <w:r>
        <w:rPr>
          <w:rFonts w:hint="eastAsia" w:ascii="宋体" w:hAnsi="宋体"/>
          <w:b w:val="0"/>
          <w:sz w:val="24"/>
          <w:szCs w:val="24"/>
          <w:lang w:val="en-US" w:eastAsia="zh-CN"/>
        </w:rPr>
        <w:t>1</w:t>
      </w:r>
      <w:r>
        <w:rPr>
          <w:rFonts w:hint="eastAsia" w:ascii="宋体" w:hAnsi="宋体" w:eastAsia="宋体"/>
          <w:b w:val="0"/>
          <w:sz w:val="24"/>
          <w:szCs w:val="24"/>
        </w:rPr>
        <w:t>周。</w:t>
      </w:r>
    </w:p>
    <w:p w14:paraId="77DEFA5E">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最终培训的时间、人数等由</w:t>
      </w:r>
      <w:r>
        <w:rPr>
          <w:rFonts w:hint="eastAsia" w:ascii="宋体" w:hAnsi="宋体"/>
          <w:b w:val="0"/>
          <w:sz w:val="24"/>
          <w:szCs w:val="24"/>
          <w:highlight w:val="none"/>
          <w:lang w:val="en-US" w:eastAsia="zh-CN"/>
        </w:rPr>
        <w:t>采购方</w:t>
      </w:r>
      <w:r>
        <w:rPr>
          <w:rFonts w:hint="eastAsia" w:ascii="宋体" w:hAnsi="宋体" w:eastAsia="宋体"/>
          <w:b w:val="0"/>
          <w:sz w:val="24"/>
          <w:szCs w:val="24"/>
        </w:rPr>
        <w:t>与SIS供货商协商确定。</w:t>
      </w:r>
    </w:p>
    <w:p w14:paraId="4037F2D7">
      <w:pPr>
        <w:pStyle w:val="3"/>
        <w:ind w:left="0" w:leftChars="0" w:firstLine="240" w:firstLineChars="100"/>
      </w:pPr>
      <w:r>
        <w:rPr>
          <w:rFonts w:hint="eastAsia"/>
        </w:rPr>
        <w:t>7.2组态</w:t>
      </w:r>
    </w:p>
    <w:p w14:paraId="3D6C045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软件组态及系统集成由SIS供货商负责。SIS供货商应派有经验的技术工程师完成组态及数据输入工作。</w:t>
      </w:r>
    </w:p>
    <w:p w14:paraId="73EF3619">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采用专利技术的工艺过程及设备由专利提供商派技术工程师协助SIS供货商的组态工程师完成组态工作并提供组态所需的相关资料。</w:t>
      </w:r>
    </w:p>
    <w:p w14:paraId="3AFB5BA3">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SIS供货商的技术工程师负责完成全部组态文件，例如：显示及控制流程图、系统结构文件、报警分组、控制回路文件、检测点文件、操作台工作文件、生产数据报表等各种文件。</w:t>
      </w:r>
    </w:p>
    <w:p w14:paraId="57F74E1C">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组态文件形成磁盘文件，经调试修改，由设计人员和最终用户确认，接收最后的组态文件。</w:t>
      </w:r>
    </w:p>
    <w:p w14:paraId="2E4B43DD">
      <w:pPr>
        <w:pStyle w:val="2"/>
        <w:ind w:firstLine="280"/>
        <w:rPr>
          <w:rFonts w:hint="eastAsia"/>
          <w:b w:val="0"/>
          <w:bCs w:val="0"/>
        </w:rPr>
      </w:pPr>
    </w:p>
    <w:p w14:paraId="457C7677">
      <w:pPr>
        <w:pStyle w:val="2"/>
        <w:numPr>
          <w:ilvl w:val="0"/>
          <w:numId w:val="4"/>
        </w:numPr>
        <w:ind w:left="0" w:leftChars="0" w:firstLine="0" w:firstLineChars="0"/>
        <w:rPr>
          <w:rFonts w:hint="eastAsia"/>
          <w:b w:val="0"/>
          <w:bCs w:val="0"/>
        </w:rPr>
      </w:pPr>
      <w:r>
        <w:rPr>
          <w:rFonts w:hint="eastAsia"/>
          <w:b w:val="0"/>
          <w:bCs w:val="0"/>
        </w:rPr>
        <w:t>测试与验收</w:t>
      </w:r>
    </w:p>
    <w:p w14:paraId="52D99B74">
      <w:pPr>
        <w:pStyle w:val="3"/>
        <w:ind w:left="0" w:leftChars="0" w:firstLine="240" w:firstLineChars="100"/>
      </w:pPr>
      <w:r>
        <w:rPr>
          <w:rFonts w:hint="eastAsia"/>
        </w:rPr>
        <w:t>8.1工厂测试与出厂验收（FAT）</w:t>
      </w:r>
    </w:p>
    <w:p w14:paraId="53338202">
      <w:pPr>
        <w:numPr>
          <w:ilvl w:val="0"/>
          <w:numId w:val="0"/>
        </w:numPr>
        <w:ind w:firstLine="480" w:firstLineChars="200"/>
        <w:rPr>
          <w:rFonts w:hint="eastAsia" w:ascii="宋体" w:hAnsi="宋体" w:eastAsia="宋体"/>
          <w:b w:val="0"/>
          <w:sz w:val="24"/>
          <w:szCs w:val="24"/>
        </w:rPr>
      </w:pPr>
      <w:r>
        <w:rPr>
          <w:rFonts w:hint="eastAsia" w:ascii="宋体" w:hAnsi="宋体" w:eastAsia="宋体"/>
          <w:b w:val="0"/>
          <w:sz w:val="24"/>
          <w:szCs w:val="24"/>
        </w:rPr>
        <w:t>在系统制造、组装完成之后，验收测试之前，SIS供货商应提交一份完整的产品清单和测试文件。出厂测试验收前，厂方应提出一套标准验收程序及内容（包括厂方标准测试文件）。系统出厂验收由双方技术人员共同执行，SIS供货商必须保证所提供设备的所有技术指标达到产品说明书、供货合同和工程会议所制定的要求。</w:t>
      </w:r>
    </w:p>
    <w:p w14:paraId="04F17746">
      <w:pPr>
        <w:numPr>
          <w:ilvl w:val="0"/>
          <w:numId w:val="0"/>
        </w:numPr>
        <w:ind w:firstLine="480" w:firstLineChars="200"/>
        <w:rPr>
          <w:rFonts w:hint="eastAsia" w:ascii="宋体" w:hAnsi="宋体" w:eastAsia="宋体"/>
          <w:b w:val="0"/>
          <w:sz w:val="24"/>
          <w:szCs w:val="24"/>
        </w:rPr>
      </w:pPr>
    </w:p>
    <w:p w14:paraId="168D5F65">
      <w:pPr>
        <w:pStyle w:val="2"/>
        <w:spacing w:line="400" w:lineRule="exact"/>
        <w:ind w:left="0" w:leftChars="0"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工厂验收时SIS供货商应提供充分的测试用的仪器和工具。设计人员在工厂验收时对所有模块均需进行测试 ，对所有I/O模块的每个通道均应进行测试。</w:t>
      </w:r>
    </w:p>
    <w:p w14:paraId="01B533E3">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工厂验收文件由双方代表共同签署。</w:t>
      </w:r>
    </w:p>
    <w:p w14:paraId="1F944AB5">
      <w:pPr>
        <w:pStyle w:val="3"/>
        <w:ind w:left="0" w:leftChars="0" w:firstLine="240" w:firstLineChars="100"/>
      </w:pPr>
      <w:r>
        <w:rPr>
          <w:rFonts w:hint="eastAsia"/>
        </w:rPr>
        <w:t>8.2现场验收（SAT）</w:t>
      </w:r>
    </w:p>
    <w:p w14:paraId="1702C0EC">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设备到现场后，SIS供货商派人与业主共同开箱验收。确认装箱单和设备完好情况。</w:t>
      </w:r>
    </w:p>
    <w:p w14:paraId="5FAFECE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系统安装、接线等工作完成后，SIS供货商需派人与业主共同进行系统检查、系统通电、软件安装、组态下载、整个系统试运等工作。然后共同进行最终的系统现场验收测试。</w:t>
      </w:r>
    </w:p>
    <w:p w14:paraId="7B21666F">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最终系统测试结果应达到系统技术</w:t>
      </w:r>
      <w:r>
        <w:rPr>
          <w:rFonts w:hint="eastAsia" w:ascii="宋体" w:hAnsi="宋体"/>
          <w:b w:val="0"/>
          <w:sz w:val="24"/>
          <w:szCs w:val="24"/>
          <w:lang w:eastAsia="zh-CN"/>
        </w:rPr>
        <w:t>技术说明文件</w:t>
      </w:r>
      <w:r>
        <w:rPr>
          <w:rFonts w:hint="eastAsia" w:ascii="宋体" w:hAnsi="宋体" w:eastAsia="宋体"/>
          <w:b w:val="0"/>
          <w:sz w:val="24"/>
          <w:szCs w:val="24"/>
        </w:rPr>
        <w:t>中的各项要求，系统最终验收文件由双方代表共同签署。</w:t>
      </w:r>
    </w:p>
    <w:p w14:paraId="1F05E3BA">
      <w:pPr>
        <w:rPr>
          <w:rFonts w:hint="eastAsia"/>
        </w:rPr>
      </w:pPr>
    </w:p>
    <w:p w14:paraId="62ED38C5">
      <w:pPr>
        <w:ind w:firstLine="480" w:firstLineChars="200"/>
        <w:rPr>
          <w:rFonts w:hint="eastAsia" w:ascii="宋体" w:hAnsi="宋体" w:eastAsia="宋体"/>
          <w:b w:val="0"/>
          <w:sz w:val="24"/>
          <w:szCs w:val="24"/>
          <w:lang w:val="en-US" w:eastAsia="zh-CN"/>
        </w:rPr>
      </w:pPr>
    </w:p>
    <w:p w14:paraId="4B63B9D1">
      <w:pPr>
        <w:pStyle w:val="2"/>
        <w:numPr>
          <w:ilvl w:val="0"/>
          <w:numId w:val="4"/>
        </w:numPr>
        <w:ind w:left="0" w:leftChars="0" w:firstLine="0" w:firstLineChars="0"/>
        <w:rPr>
          <w:rFonts w:hint="eastAsia"/>
          <w:b w:val="0"/>
          <w:bCs w:val="0"/>
        </w:rPr>
      </w:pPr>
      <w:r>
        <w:rPr>
          <w:rFonts w:hint="eastAsia"/>
          <w:b w:val="0"/>
          <w:bCs w:val="0"/>
        </w:rPr>
        <w:t>产品保证期</w:t>
      </w:r>
    </w:p>
    <w:p w14:paraId="1E1CC029">
      <w:pPr>
        <w:pStyle w:val="3"/>
        <w:ind w:left="0" w:leftChars="0" w:firstLine="240" w:firstLineChars="100"/>
        <w:rPr>
          <w:rFonts w:hint="eastAsia"/>
        </w:rPr>
      </w:pPr>
      <w:r>
        <w:rPr>
          <w:rFonts w:hint="eastAsia"/>
        </w:rPr>
        <w:t>9.1保证期</w:t>
      </w:r>
    </w:p>
    <w:p w14:paraId="6244FC2E">
      <w:pPr>
        <w:pStyle w:val="3"/>
        <w:ind w:left="0" w:leftChars="0" w:firstLine="480" w:firstLineChars="200"/>
        <w:rPr>
          <w:rFonts w:hint="eastAsia" w:ascii="宋体" w:hAnsi="宋体" w:eastAsia="宋体"/>
          <w:b w:val="0"/>
          <w:sz w:val="24"/>
          <w:szCs w:val="24"/>
        </w:rPr>
      </w:pPr>
      <w:r>
        <w:rPr>
          <w:rFonts w:hint="eastAsia" w:ascii="宋体" w:hAnsi="宋体" w:eastAsia="宋体"/>
          <w:b w:val="0"/>
          <w:sz w:val="24"/>
          <w:szCs w:val="24"/>
        </w:rPr>
        <w:t>SIS 供货商必须保证系统所有设备、仪表、部件完好工作。</w:t>
      </w:r>
    </w:p>
    <w:p w14:paraId="0B8B6946">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在保证期内，SIS 供货商应保证免费更换发生故障的或有缺陷的部件和设备。用来更换的部件和设备应当是新的。</w:t>
      </w:r>
    </w:p>
    <w:p w14:paraId="7E525FDE">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保证期</w:t>
      </w:r>
      <w:r>
        <w:rPr>
          <w:rFonts w:hint="eastAsia" w:ascii="宋体" w:hAnsi="宋体"/>
          <w:b w:val="0"/>
          <w:sz w:val="24"/>
          <w:szCs w:val="24"/>
          <w:lang w:val="en-US" w:eastAsia="zh-CN"/>
        </w:rPr>
        <w:t>为系统投运验收合格后十二个月</w:t>
      </w:r>
      <w:r>
        <w:rPr>
          <w:rFonts w:hint="eastAsia" w:ascii="宋体" w:hAnsi="宋体" w:eastAsia="宋体"/>
          <w:b w:val="0"/>
          <w:sz w:val="24"/>
          <w:szCs w:val="24"/>
        </w:rPr>
        <w:t>。</w:t>
      </w:r>
    </w:p>
    <w:p w14:paraId="3934C5C1">
      <w:pPr>
        <w:pStyle w:val="3"/>
        <w:ind w:left="0" w:leftChars="0" w:firstLine="240" w:firstLineChars="100"/>
      </w:pPr>
      <w:r>
        <w:rPr>
          <w:rFonts w:hint="eastAsia"/>
        </w:rPr>
        <w:t>9.2备件供应期</w:t>
      </w:r>
    </w:p>
    <w:p w14:paraId="38934B90">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本项目SIS 供货清单中的所有设备、部件应保证15 年（或停止生产后9 年）以上的备件供应期。</w:t>
      </w:r>
    </w:p>
    <w:p w14:paraId="05C6B3F9">
      <w:pPr>
        <w:pStyle w:val="2"/>
        <w:spacing w:line="400" w:lineRule="exact"/>
        <w:ind w:right="535" w:rightChars="255" w:firstLine="480" w:firstLineChars="200"/>
        <w:rPr>
          <w:rFonts w:hint="eastAsia" w:ascii="宋体" w:hAnsi="宋体" w:eastAsia="宋体"/>
          <w:b w:val="0"/>
          <w:sz w:val="24"/>
          <w:szCs w:val="24"/>
        </w:rPr>
      </w:pPr>
      <w:r>
        <w:rPr>
          <w:rFonts w:hint="eastAsia" w:ascii="宋体" w:hAnsi="宋体" w:eastAsia="宋体"/>
          <w:b w:val="0"/>
          <w:sz w:val="24"/>
          <w:szCs w:val="24"/>
        </w:rPr>
        <w:t>本项目的备品备件应分品种单列报价。在备件供应期内，所有备品备件的价格应保证不高于本次报价中单列价格的15％。</w:t>
      </w:r>
    </w:p>
    <w:p w14:paraId="0FED7EB5">
      <w:pPr>
        <w:rPr>
          <w:rFonts w:hint="eastAsia" w:ascii="宋体" w:hAnsi="宋体" w:eastAsia="宋体"/>
          <w:b w:val="0"/>
          <w:sz w:val="24"/>
          <w:szCs w:val="24"/>
        </w:rPr>
      </w:pPr>
    </w:p>
    <w:p w14:paraId="727FBA92">
      <w:pPr>
        <w:autoSpaceDE w:val="0"/>
        <w:autoSpaceDN w:val="0"/>
        <w:adjustRightInd w:val="0"/>
        <w:outlineLvl w:val="1"/>
        <w:rPr>
          <w:rFonts w:hint="eastAsia" w:ascii="Times New Roman" w:hAnsi="宋体" w:eastAsia="宋体" w:cs="Times New Roman"/>
          <w:color w:val="000000"/>
          <w:kern w:val="0"/>
          <w:szCs w:val="21"/>
        </w:rPr>
      </w:pPr>
      <w:r>
        <w:rPr>
          <w:rFonts w:ascii="Times New Roman" w:hAnsi="Times New Roman" w:eastAsia="宋体" w:cs="Times New Roman"/>
          <w:color w:val="000000"/>
          <w:kern w:val="0"/>
          <w:szCs w:val="21"/>
        </w:rPr>
        <w:t>10</w:t>
      </w:r>
      <w:r>
        <w:rPr>
          <w:rFonts w:hint="eastAsia" w:cs="Times New Roman"/>
          <w:color w:val="000000"/>
          <w:kern w:val="0"/>
          <w:szCs w:val="21"/>
          <w:lang w:val="en-US" w:eastAsia="zh-CN"/>
        </w:rPr>
        <w:t>.</w:t>
      </w:r>
      <w:r>
        <w:rPr>
          <w:rFonts w:hint="eastAsia" w:ascii="Times New Roman" w:hAnsi="宋体" w:eastAsia="宋体" w:cs="Times New Roman"/>
          <w:color w:val="000000"/>
          <w:kern w:val="0"/>
          <w:szCs w:val="21"/>
        </w:rPr>
        <w:t>附表</w:t>
      </w:r>
      <w:r>
        <w:rPr>
          <w:rFonts w:ascii="Times New Roman" w:hAnsi="Times New Roman" w:eastAsia="宋体" w:cs="Times New Roman"/>
          <w:color w:val="000000"/>
          <w:kern w:val="0"/>
          <w:szCs w:val="21"/>
        </w:rPr>
        <w:t>--I/O</w:t>
      </w:r>
      <w:r>
        <w:rPr>
          <w:rFonts w:hint="eastAsia" w:ascii="Times New Roman" w:hAnsi="宋体" w:eastAsia="宋体" w:cs="Times New Roman"/>
          <w:color w:val="000000"/>
          <w:kern w:val="0"/>
          <w:szCs w:val="21"/>
        </w:rPr>
        <w:t>测点</w:t>
      </w:r>
    </w:p>
    <w:p w14:paraId="2925768A">
      <w:pPr>
        <w:rPr>
          <w:rFonts w:ascii="Calibri" w:hAnsi="Calibri" w:eastAsia="宋体" w:cs="Times New Roman"/>
        </w:rPr>
      </w:pPr>
    </w:p>
    <w:tbl>
      <w:tblPr>
        <w:tblStyle w:val="7"/>
        <w:tblW w:w="8352" w:type="dxa"/>
        <w:jc w:val="center"/>
        <w:tblLayout w:type="fixed"/>
        <w:tblCellMar>
          <w:top w:w="0" w:type="dxa"/>
          <w:left w:w="108" w:type="dxa"/>
          <w:bottom w:w="0" w:type="dxa"/>
          <w:right w:w="108" w:type="dxa"/>
        </w:tblCellMar>
      </w:tblPr>
      <w:tblGrid>
        <w:gridCol w:w="2440"/>
        <w:gridCol w:w="1127"/>
        <w:gridCol w:w="1276"/>
        <w:gridCol w:w="850"/>
        <w:gridCol w:w="2659"/>
      </w:tblGrid>
      <w:tr w14:paraId="43915CE5">
        <w:tblPrEx>
          <w:tblCellMar>
            <w:top w:w="0" w:type="dxa"/>
            <w:left w:w="108" w:type="dxa"/>
            <w:bottom w:w="0" w:type="dxa"/>
            <w:right w:w="108" w:type="dxa"/>
          </w:tblCellMar>
        </w:tblPrEx>
        <w:trPr>
          <w:trHeight w:val="585" w:hRule="atLeast"/>
          <w:jc w:val="center"/>
        </w:trPr>
        <w:tc>
          <w:tcPr>
            <w:tcW w:w="2440" w:type="dxa"/>
            <w:tcBorders>
              <w:top w:val="single" w:color="auto" w:sz="4" w:space="0"/>
              <w:left w:val="single" w:color="auto" w:sz="4" w:space="0"/>
              <w:bottom w:val="single" w:color="auto" w:sz="4" w:space="0"/>
              <w:right w:val="single" w:color="auto" w:sz="4" w:space="0"/>
            </w:tcBorders>
            <w:noWrap/>
            <w:vAlign w:val="center"/>
          </w:tcPr>
          <w:p w14:paraId="1D415D95">
            <w:pPr>
              <w:rPr>
                <w:rFonts w:ascii="Times New Roman" w:hAnsi="Times New Roman" w:eastAsia="宋体" w:cs="Times New Roman"/>
                <w:szCs w:val="21"/>
              </w:rPr>
            </w:pPr>
            <w:r>
              <w:rPr>
                <w:rFonts w:hint="eastAsia" w:ascii="Times New Roman" w:hAnsi="宋体" w:eastAsia="宋体" w:cs="Times New Roman"/>
                <w:szCs w:val="21"/>
              </w:rPr>
              <w:t>信号类型</w:t>
            </w:r>
          </w:p>
        </w:tc>
        <w:tc>
          <w:tcPr>
            <w:tcW w:w="1127" w:type="dxa"/>
            <w:tcBorders>
              <w:top w:val="single" w:color="auto" w:sz="4" w:space="0"/>
              <w:bottom w:val="single" w:color="auto" w:sz="4" w:space="0"/>
              <w:right w:val="single" w:color="auto" w:sz="4" w:space="0"/>
            </w:tcBorders>
            <w:noWrap/>
            <w:vAlign w:val="center"/>
          </w:tcPr>
          <w:p w14:paraId="6FAFE19C">
            <w:pPr>
              <w:rPr>
                <w:rFonts w:ascii="Times New Roman" w:hAnsi="Times New Roman" w:eastAsia="宋体" w:cs="Times New Roman"/>
                <w:szCs w:val="21"/>
              </w:rPr>
            </w:pPr>
            <w:r>
              <w:rPr>
                <w:rFonts w:ascii="Times New Roman" w:hAnsi="Times New Roman" w:eastAsia="宋体" w:cs="Times New Roman"/>
                <w:szCs w:val="21"/>
              </w:rPr>
              <w:t>I/O</w:t>
            </w:r>
            <w:r>
              <w:rPr>
                <w:rFonts w:hint="eastAsia" w:ascii="Times New Roman" w:hAnsi="宋体" w:eastAsia="宋体" w:cs="Times New Roman"/>
                <w:szCs w:val="21"/>
              </w:rPr>
              <w:t>冗余</w:t>
            </w:r>
          </w:p>
        </w:tc>
        <w:tc>
          <w:tcPr>
            <w:tcW w:w="1276" w:type="dxa"/>
            <w:tcBorders>
              <w:top w:val="single" w:color="auto" w:sz="4" w:space="0"/>
              <w:bottom w:val="single" w:color="auto" w:sz="4" w:space="0"/>
              <w:right w:val="single" w:color="auto" w:sz="4" w:space="0"/>
            </w:tcBorders>
            <w:noWrap/>
            <w:vAlign w:val="center"/>
          </w:tcPr>
          <w:p w14:paraId="496F1EA0">
            <w:pPr>
              <w:rPr>
                <w:rFonts w:ascii="Times New Roman" w:hAnsi="Times New Roman" w:eastAsia="宋体" w:cs="Times New Roman"/>
                <w:szCs w:val="21"/>
              </w:rPr>
            </w:pPr>
            <w:r>
              <w:rPr>
                <w:rFonts w:ascii="Times New Roman" w:hAnsi="Times New Roman" w:eastAsia="宋体" w:cs="Times New Roman"/>
                <w:szCs w:val="21"/>
              </w:rPr>
              <w:t>I/O</w:t>
            </w:r>
            <w:r>
              <w:rPr>
                <w:rFonts w:hint="eastAsia" w:ascii="Times New Roman" w:hAnsi="宋体" w:eastAsia="宋体" w:cs="Times New Roman"/>
                <w:szCs w:val="21"/>
              </w:rPr>
              <w:t>非冗余</w:t>
            </w:r>
          </w:p>
        </w:tc>
        <w:tc>
          <w:tcPr>
            <w:tcW w:w="850" w:type="dxa"/>
            <w:tcBorders>
              <w:top w:val="single" w:color="auto" w:sz="4" w:space="0"/>
              <w:bottom w:val="single" w:color="auto" w:sz="4" w:space="0"/>
              <w:right w:val="single" w:color="auto" w:sz="4" w:space="0"/>
            </w:tcBorders>
            <w:noWrap/>
            <w:vAlign w:val="center"/>
          </w:tcPr>
          <w:p w14:paraId="46F6AAD4">
            <w:pPr>
              <w:rPr>
                <w:rFonts w:ascii="Times New Roman" w:hAnsi="Times New Roman" w:eastAsia="宋体" w:cs="Times New Roman"/>
                <w:szCs w:val="21"/>
              </w:rPr>
            </w:pPr>
            <w:r>
              <w:rPr>
                <w:rFonts w:hint="eastAsia" w:ascii="Times New Roman" w:hAnsi="宋体" w:eastAsia="宋体" w:cs="Times New Roman"/>
                <w:szCs w:val="21"/>
              </w:rPr>
              <w:t>设计</w:t>
            </w:r>
          </w:p>
        </w:tc>
        <w:tc>
          <w:tcPr>
            <w:tcW w:w="2659" w:type="dxa"/>
            <w:tcBorders>
              <w:top w:val="single" w:color="auto" w:sz="4" w:space="0"/>
              <w:bottom w:val="single" w:color="auto" w:sz="4" w:space="0"/>
              <w:right w:val="single" w:color="auto" w:sz="4" w:space="0"/>
            </w:tcBorders>
            <w:noWrap/>
            <w:vAlign w:val="center"/>
          </w:tcPr>
          <w:p w14:paraId="00046488">
            <w:pPr>
              <w:rPr>
                <w:rFonts w:ascii="Times New Roman" w:hAnsi="Times New Roman" w:eastAsia="宋体" w:cs="Times New Roman"/>
                <w:szCs w:val="21"/>
              </w:rPr>
            </w:pPr>
            <w:r>
              <w:rPr>
                <w:rFonts w:hint="eastAsia" w:ascii="Times New Roman" w:hAnsi="宋体" w:eastAsia="宋体" w:cs="Times New Roman"/>
                <w:szCs w:val="21"/>
              </w:rPr>
              <w:t>备注</w:t>
            </w:r>
          </w:p>
        </w:tc>
      </w:tr>
      <w:tr w14:paraId="4B31DAC2">
        <w:tblPrEx>
          <w:tblCellMar>
            <w:top w:w="0" w:type="dxa"/>
            <w:left w:w="108" w:type="dxa"/>
            <w:bottom w:w="0" w:type="dxa"/>
            <w:right w:w="108" w:type="dxa"/>
          </w:tblCellMar>
        </w:tblPrEx>
        <w:trPr>
          <w:trHeight w:val="585" w:hRule="atLeast"/>
          <w:jc w:val="center"/>
        </w:trPr>
        <w:tc>
          <w:tcPr>
            <w:tcW w:w="2440" w:type="dxa"/>
            <w:tcBorders>
              <w:left w:val="single" w:color="auto" w:sz="4" w:space="0"/>
              <w:bottom w:val="single" w:color="auto" w:sz="4" w:space="0"/>
              <w:right w:val="single" w:color="auto" w:sz="4" w:space="0"/>
            </w:tcBorders>
            <w:noWrap/>
            <w:vAlign w:val="center"/>
          </w:tcPr>
          <w:p w14:paraId="3AA58C78">
            <w:pPr>
              <w:rPr>
                <w:rFonts w:ascii="Times New Roman" w:hAnsi="Times New Roman" w:eastAsia="宋体" w:cs="Times New Roman"/>
                <w:szCs w:val="21"/>
              </w:rPr>
            </w:pPr>
            <w:r>
              <w:rPr>
                <w:rFonts w:ascii="Times New Roman" w:hAnsi="Times New Roman" w:eastAsia="宋体" w:cs="Times New Roman"/>
                <w:szCs w:val="21"/>
              </w:rPr>
              <w:t>AI(4~20mA)</w:t>
            </w:r>
          </w:p>
        </w:tc>
        <w:tc>
          <w:tcPr>
            <w:tcW w:w="1127" w:type="dxa"/>
            <w:tcBorders>
              <w:bottom w:val="single" w:color="auto" w:sz="4" w:space="0"/>
              <w:right w:val="single" w:color="auto" w:sz="4" w:space="0"/>
            </w:tcBorders>
            <w:noWrap/>
            <w:vAlign w:val="center"/>
          </w:tcPr>
          <w:p w14:paraId="7C0A9FAC">
            <w:pPr>
              <w:rPr>
                <w:rFonts w:hint="eastAsia" w:ascii="Times New Roman" w:hAnsi="Times New Roman" w:eastAsia="宋体" w:cs="Times New Roman"/>
                <w:szCs w:val="21"/>
              </w:rPr>
            </w:pPr>
            <w:r>
              <w:rPr>
                <w:rFonts w:hint="eastAsia" w:ascii="Times New Roman" w:hAnsi="Times New Roman" w:eastAsia="宋体" w:cs="Times New Roman"/>
                <w:szCs w:val="21"/>
              </w:rPr>
              <w:t>12</w:t>
            </w:r>
          </w:p>
        </w:tc>
        <w:tc>
          <w:tcPr>
            <w:tcW w:w="1276" w:type="dxa"/>
            <w:tcBorders>
              <w:bottom w:val="single" w:color="auto" w:sz="4" w:space="0"/>
              <w:right w:val="single" w:color="auto" w:sz="4" w:space="0"/>
            </w:tcBorders>
            <w:noWrap/>
            <w:vAlign w:val="center"/>
          </w:tcPr>
          <w:p w14:paraId="3E9C7FA6">
            <w:pPr>
              <w:rPr>
                <w:rFonts w:ascii="Times New Roman" w:hAnsi="Times New Roman" w:eastAsia="宋体" w:cs="Times New Roman"/>
                <w:szCs w:val="21"/>
              </w:rPr>
            </w:pPr>
            <w:r>
              <w:rPr>
                <w:rFonts w:hint="eastAsia" w:ascii="Times New Roman" w:hAnsi="宋体" w:eastAsia="宋体" w:cs="Times New Roman"/>
                <w:szCs w:val="21"/>
              </w:rPr>
              <w:t>　</w:t>
            </w:r>
          </w:p>
        </w:tc>
        <w:tc>
          <w:tcPr>
            <w:tcW w:w="850" w:type="dxa"/>
            <w:tcBorders>
              <w:bottom w:val="single" w:color="auto" w:sz="4" w:space="0"/>
              <w:right w:val="single" w:color="auto" w:sz="4" w:space="0"/>
            </w:tcBorders>
            <w:noWrap/>
            <w:vAlign w:val="center"/>
          </w:tcPr>
          <w:p w14:paraId="14D9C804">
            <w:pPr>
              <w:rPr>
                <w:rFonts w:hint="eastAsia" w:ascii="Times New Roman" w:hAnsi="Times New Roman" w:eastAsia="宋体" w:cs="Times New Roman"/>
                <w:szCs w:val="21"/>
              </w:rPr>
            </w:pPr>
            <w:r>
              <w:rPr>
                <w:rFonts w:hint="eastAsia" w:ascii="Times New Roman" w:hAnsi="Times New Roman" w:eastAsia="宋体" w:cs="Times New Roman"/>
                <w:szCs w:val="21"/>
              </w:rPr>
              <w:t>24</w:t>
            </w:r>
          </w:p>
        </w:tc>
        <w:tc>
          <w:tcPr>
            <w:tcW w:w="2659" w:type="dxa"/>
            <w:tcBorders>
              <w:bottom w:val="single" w:color="auto" w:sz="4" w:space="0"/>
              <w:right w:val="single" w:color="auto" w:sz="4" w:space="0"/>
            </w:tcBorders>
            <w:noWrap/>
            <w:vAlign w:val="center"/>
          </w:tcPr>
          <w:p w14:paraId="01DB0A96">
            <w:pPr>
              <w:rPr>
                <w:rFonts w:ascii="Times New Roman" w:hAnsi="Times New Roman" w:eastAsia="宋体" w:cs="Times New Roman"/>
                <w:szCs w:val="21"/>
              </w:rPr>
            </w:pPr>
            <w:r>
              <w:rPr>
                <w:rFonts w:hint="eastAsia" w:ascii="Times New Roman" w:hAnsi="宋体" w:eastAsia="宋体" w:cs="Times New Roman"/>
                <w:szCs w:val="21"/>
              </w:rPr>
              <w:t>变送器</w:t>
            </w:r>
          </w:p>
        </w:tc>
      </w:tr>
      <w:tr w14:paraId="571033FD">
        <w:tblPrEx>
          <w:tblCellMar>
            <w:top w:w="0" w:type="dxa"/>
            <w:left w:w="108" w:type="dxa"/>
            <w:bottom w:w="0" w:type="dxa"/>
            <w:right w:w="108" w:type="dxa"/>
          </w:tblCellMar>
        </w:tblPrEx>
        <w:trPr>
          <w:trHeight w:val="585" w:hRule="atLeast"/>
          <w:jc w:val="center"/>
        </w:trPr>
        <w:tc>
          <w:tcPr>
            <w:tcW w:w="2440" w:type="dxa"/>
            <w:tcBorders>
              <w:left w:val="single" w:color="auto" w:sz="4" w:space="0"/>
              <w:bottom w:val="single" w:color="auto" w:sz="4" w:space="0"/>
              <w:right w:val="single" w:color="auto" w:sz="4" w:space="0"/>
            </w:tcBorders>
            <w:noWrap/>
            <w:vAlign w:val="center"/>
          </w:tcPr>
          <w:p w14:paraId="52A21C25">
            <w:pPr>
              <w:rPr>
                <w:rFonts w:ascii="Times New Roman" w:hAnsi="Times New Roman" w:eastAsia="宋体" w:cs="Times New Roman"/>
                <w:szCs w:val="21"/>
              </w:rPr>
            </w:pPr>
            <w:r>
              <w:rPr>
                <w:rFonts w:ascii="Times New Roman" w:hAnsi="Times New Roman" w:eastAsia="宋体" w:cs="Times New Roman"/>
                <w:szCs w:val="21"/>
              </w:rPr>
              <w:t>RTD(</w:t>
            </w:r>
            <w:r>
              <w:rPr>
                <w:rFonts w:hint="eastAsia" w:ascii="Times New Roman" w:hAnsi="宋体" w:eastAsia="宋体" w:cs="Times New Roman"/>
                <w:szCs w:val="21"/>
              </w:rPr>
              <w:t>三线制</w:t>
            </w:r>
            <w:r>
              <w:rPr>
                <w:rFonts w:ascii="Times New Roman" w:hAnsi="Times New Roman" w:eastAsia="宋体" w:cs="Times New Roman"/>
                <w:szCs w:val="21"/>
              </w:rPr>
              <w:t>)</w:t>
            </w:r>
          </w:p>
        </w:tc>
        <w:tc>
          <w:tcPr>
            <w:tcW w:w="1127" w:type="dxa"/>
            <w:tcBorders>
              <w:bottom w:val="single" w:color="auto" w:sz="4" w:space="0"/>
              <w:right w:val="single" w:color="auto" w:sz="4" w:space="0"/>
            </w:tcBorders>
            <w:noWrap/>
            <w:vAlign w:val="center"/>
          </w:tcPr>
          <w:p w14:paraId="301E95DA">
            <w:pPr>
              <w:rPr>
                <w:rFonts w:ascii="Times New Roman" w:hAnsi="Times New Roman" w:eastAsia="宋体" w:cs="Times New Roman"/>
                <w:szCs w:val="21"/>
              </w:rPr>
            </w:pPr>
          </w:p>
        </w:tc>
        <w:tc>
          <w:tcPr>
            <w:tcW w:w="1276" w:type="dxa"/>
            <w:tcBorders>
              <w:bottom w:val="single" w:color="auto" w:sz="4" w:space="0"/>
              <w:right w:val="single" w:color="auto" w:sz="4" w:space="0"/>
            </w:tcBorders>
            <w:noWrap/>
            <w:vAlign w:val="center"/>
          </w:tcPr>
          <w:p w14:paraId="2067A0F1">
            <w:pPr>
              <w:rPr>
                <w:rFonts w:ascii="Times New Roman" w:hAnsi="Times New Roman" w:eastAsia="宋体" w:cs="Times New Roman"/>
                <w:szCs w:val="21"/>
              </w:rPr>
            </w:pPr>
            <w:r>
              <w:rPr>
                <w:rFonts w:hint="eastAsia" w:ascii="Times New Roman" w:hAnsi="宋体" w:eastAsia="宋体" w:cs="Times New Roman"/>
                <w:szCs w:val="21"/>
              </w:rPr>
              <w:t>　</w:t>
            </w:r>
          </w:p>
        </w:tc>
        <w:tc>
          <w:tcPr>
            <w:tcW w:w="850" w:type="dxa"/>
            <w:tcBorders>
              <w:bottom w:val="single" w:color="auto" w:sz="4" w:space="0"/>
              <w:right w:val="single" w:color="auto" w:sz="4" w:space="0"/>
            </w:tcBorders>
            <w:noWrap/>
            <w:vAlign w:val="center"/>
          </w:tcPr>
          <w:p w14:paraId="429601BC">
            <w:pPr>
              <w:rPr>
                <w:rFonts w:ascii="Times New Roman" w:hAnsi="Times New Roman" w:eastAsia="宋体" w:cs="Times New Roman"/>
                <w:szCs w:val="21"/>
              </w:rPr>
            </w:pPr>
          </w:p>
        </w:tc>
        <w:tc>
          <w:tcPr>
            <w:tcW w:w="2659" w:type="dxa"/>
            <w:tcBorders>
              <w:bottom w:val="single" w:color="auto" w:sz="4" w:space="0"/>
              <w:right w:val="single" w:color="auto" w:sz="4" w:space="0"/>
            </w:tcBorders>
            <w:noWrap/>
            <w:vAlign w:val="center"/>
          </w:tcPr>
          <w:p w14:paraId="0FCD6E61">
            <w:pPr>
              <w:rPr>
                <w:rFonts w:ascii="Times New Roman" w:hAnsi="Times New Roman" w:eastAsia="宋体" w:cs="Times New Roman"/>
                <w:szCs w:val="21"/>
              </w:rPr>
            </w:pPr>
          </w:p>
        </w:tc>
      </w:tr>
      <w:tr w14:paraId="2F106EBE">
        <w:tblPrEx>
          <w:tblCellMar>
            <w:top w:w="0" w:type="dxa"/>
            <w:left w:w="108" w:type="dxa"/>
            <w:bottom w:w="0" w:type="dxa"/>
            <w:right w:w="108" w:type="dxa"/>
          </w:tblCellMar>
        </w:tblPrEx>
        <w:trPr>
          <w:trHeight w:val="585" w:hRule="atLeast"/>
          <w:jc w:val="center"/>
        </w:trPr>
        <w:tc>
          <w:tcPr>
            <w:tcW w:w="2440" w:type="dxa"/>
            <w:tcBorders>
              <w:left w:val="single" w:color="auto" w:sz="4" w:space="0"/>
              <w:bottom w:val="single" w:color="auto" w:sz="4" w:space="0"/>
              <w:right w:val="single" w:color="auto" w:sz="4" w:space="0"/>
            </w:tcBorders>
            <w:noWrap/>
            <w:vAlign w:val="center"/>
          </w:tcPr>
          <w:p w14:paraId="23A745F5">
            <w:pPr>
              <w:rPr>
                <w:rFonts w:ascii="Times New Roman" w:hAnsi="Times New Roman" w:eastAsia="宋体" w:cs="Times New Roman"/>
                <w:szCs w:val="21"/>
              </w:rPr>
            </w:pPr>
            <w:r>
              <w:rPr>
                <w:rFonts w:ascii="Times New Roman" w:hAnsi="Times New Roman" w:eastAsia="宋体" w:cs="Times New Roman"/>
                <w:szCs w:val="21"/>
              </w:rPr>
              <w:t>DI</w:t>
            </w:r>
            <w:r>
              <w:rPr>
                <w:rFonts w:hint="eastAsia" w:ascii="Times New Roman" w:hAnsi="宋体" w:eastAsia="宋体" w:cs="Times New Roman"/>
                <w:szCs w:val="21"/>
              </w:rPr>
              <w:t>（干接点）</w:t>
            </w:r>
          </w:p>
        </w:tc>
        <w:tc>
          <w:tcPr>
            <w:tcW w:w="1127" w:type="dxa"/>
            <w:tcBorders>
              <w:bottom w:val="single" w:color="auto" w:sz="4" w:space="0"/>
              <w:right w:val="single" w:color="auto" w:sz="4" w:space="0"/>
            </w:tcBorders>
            <w:noWrap/>
            <w:vAlign w:val="center"/>
          </w:tcPr>
          <w:p w14:paraId="633381B2">
            <w:pPr>
              <w:rPr>
                <w:rFonts w:hint="eastAsia" w:ascii="Times New Roman" w:hAnsi="Times New Roman" w:eastAsia="宋体" w:cs="Times New Roman"/>
                <w:szCs w:val="21"/>
              </w:rPr>
            </w:pPr>
            <w:r>
              <w:rPr>
                <w:rFonts w:hint="eastAsia" w:ascii="Times New Roman" w:hAnsi="Times New Roman" w:eastAsia="宋体" w:cs="Times New Roman"/>
                <w:szCs w:val="21"/>
              </w:rPr>
              <w:t>20</w:t>
            </w:r>
          </w:p>
        </w:tc>
        <w:tc>
          <w:tcPr>
            <w:tcW w:w="1276" w:type="dxa"/>
            <w:tcBorders>
              <w:bottom w:val="single" w:color="auto" w:sz="4" w:space="0"/>
              <w:right w:val="single" w:color="auto" w:sz="4" w:space="0"/>
            </w:tcBorders>
            <w:noWrap/>
            <w:vAlign w:val="center"/>
          </w:tcPr>
          <w:p w14:paraId="4A03849F">
            <w:pPr>
              <w:rPr>
                <w:rFonts w:ascii="Times New Roman" w:hAnsi="Times New Roman" w:eastAsia="宋体" w:cs="Times New Roman"/>
                <w:szCs w:val="21"/>
              </w:rPr>
            </w:pPr>
          </w:p>
        </w:tc>
        <w:tc>
          <w:tcPr>
            <w:tcW w:w="850" w:type="dxa"/>
            <w:tcBorders>
              <w:bottom w:val="single" w:color="auto" w:sz="4" w:space="0"/>
              <w:right w:val="single" w:color="auto" w:sz="4" w:space="0"/>
            </w:tcBorders>
            <w:noWrap/>
            <w:vAlign w:val="center"/>
          </w:tcPr>
          <w:p w14:paraId="0403A461">
            <w:pPr>
              <w:rPr>
                <w:rFonts w:ascii="Times New Roman" w:hAnsi="Times New Roman" w:eastAsia="宋体" w:cs="Times New Roman"/>
                <w:szCs w:val="21"/>
              </w:rPr>
            </w:pPr>
            <w:r>
              <w:rPr>
                <w:rFonts w:hint="eastAsia" w:ascii="Times New Roman" w:hAnsi="Times New Roman" w:eastAsia="宋体" w:cs="Times New Roman"/>
                <w:szCs w:val="21"/>
              </w:rPr>
              <w:t>32</w:t>
            </w:r>
          </w:p>
        </w:tc>
        <w:tc>
          <w:tcPr>
            <w:tcW w:w="2659" w:type="dxa"/>
            <w:tcBorders>
              <w:bottom w:val="single" w:color="auto" w:sz="4" w:space="0"/>
              <w:right w:val="single" w:color="auto" w:sz="4" w:space="0"/>
            </w:tcBorders>
            <w:noWrap/>
            <w:vAlign w:val="center"/>
          </w:tcPr>
          <w:p w14:paraId="1AC5BDD6">
            <w:pPr>
              <w:rPr>
                <w:rFonts w:ascii="Times New Roman" w:hAnsi="Times New Roman" w:eastAsia="宋体" w:cs="Times New Roman"/>
                <w:szCs w:val="21"/>
              </w:rPr>
            </w:pPr>
            <w:r>
              <w:rPr>
                <w:rFonts w:hint="eastAsia" w:ascii="Times New Roman" w:hAnsi="Times New Roman" w:eastAsia="宋体" w:cs="Times New Roman"/>
                <w:szCs w:val="21"/>
              </w:rPr>
              <w:t>阀位开关及按钮</w:t>
            </w:r>
          </w:p>
        </w:tc>
      </w:tr>
      <w:tr w14:paraId="5EA48CDE">
        <w:tblPrEx>
          <w:tblCellMar>
            <w:top w:w="0" w:type="dxa"/>
            <w:left w:w="108" w:type="dxa"/>
            <w:bottom w:w="0" w:type="dxa"/>
            <w:right w:w="108" w:type="dxa"/>
          </w:tblCellMar>
        </w:tblPrEx>
        <w:trPr>
          <w:trHeight w:val="585" w:hRule="atLeast"/>
          <w:jc w:val="center"/>
        </w:trPr>
        <w:tc>
          <w:tcPr>
            <w:tcW w:w="2440" w:type="dxa"/>
            <w:tcBorders>
              <w:left w:val="single" w:color="auto" w:sz="4" w:space="0"/>
              <w:bottom w:val="single" w:color="auto" w:sz="4" w:space="0"/>
              <w:right w:val="single" w:color="auto" w:sz="4" w:space="0"/>
            </w:tcBorders>
            <w:noWrap/>
            <w:vAlign w:val="center"/>
          </w:tcPr>
          <w:p w14:paraId="24754B1D">
            <w:pPr>
              <w:rPr>
                <w:rFonts w:ascii="Times New Roman" w:hAnsi="Times New Roman" w:eastAsia="宋体" w:cs="Times New Roman"/>
                <w:szCs w:val="21"/>
              </w:rPr>
            </w:pPr>
            <w:r>
              <w:rPr>
                <w:rFonts w:ascii="Times New Roman" w:hAnsi="Times New Roman" w:eastAsia="宋体" w:cs="Times New Roman"/>
                <w:szCs w:val="21"/>
              </w:rPr>
              <w:t>DI</w:t>
            </w:r>
            <w:r>
              <w:rPr>
                <w:rFonts w:hint="eastAsia" w:ascii="Times New Roman" w:hAnsi="宋体" w:eastAsia="宋体" w:cs="Times New Roman"/>
                <w:szCs w:val="21"/>
              </w:rPr>
              <w:t>（</w:t>
            </w:r>
            <w:r>
              <w:rPr>
                <w:rFonts w:ascii="Times New Roman" w:hAnsi="Times New Roman" w:eastAsia="宋体" w:cs="Times New Roman"/>
                <w:szCs w:val="21"/>
              </w:rPr>
              <w:t>NAMUR</w:t>
            </w:r>
            <w:r>
              <w:rPr>
                <w:rFonts w:hint="eastAsia" w:ascii="Times New Roman" w:hAnsi="宋体" w:eastAsia="宋体" w:cs="Times New Roman"/>
                <w:szCs w:val="21"/>
              </w:rPr>
              <w:t>）</w:t>
            </w:r>
          </w:p>
        </w:tc>
        <w:tc>
          <w:tcPr>
            <w:tcW w:w="1127" w:type="dxa"/>
            <w:tcBorders>
              <w:bottom w:val="single" w:color="auto" w:sz="4" w:space="0"/>
              <w:right w:val="single" w:color="auto" w:sz="4" w:space="0"/>
            </w:tcBorders>
            <w:noWrap/>
            <w:vAlign w:val="center"/>
          </w:tcPr>
          <w:p w14:paraId="42CF5414">
            <w:pPr>
              <w:rPr>
                <w:rFonts w:ascii="Times New Roman" w:hAnsi="Times New Roman" w:eastAsia="宋体" w:cs="Times New Roman"/>
                <w:szCs w:val="21"/>
              </w:rPr>
            </w:pPr>
          </w:p>
        </w:tc>
        <w:tc>
          <w:tcPr>
            <w:tcW w:w="1276" w:type="dxa"/>
            <w:tcBorders>
              <w:bottom w:val="single" w:color="auto" w:sz="4" w:space="0"/>
              <w:right w:val="single" w:color="auto" w:sz="4" w:space="0"/>
            </w:tcBorders>
            <w:noWrap/>
            <w:vAlign w:val="center"/>
          </w:tcPr>
          <w:p w14:paraId="26D9541D">
            <w:pPr>
              <w:rPr>
                <w:rFonts w:ascii="Times New Roman" w:hAnsi="Times New Roman" w:eastAsia="宋体" w:cs="Times New Roman"/>
                <w:szCs w:val="21"/>
              </w:rPr>
            </w:pPr>
          </w:p>
        </w:tc>
        <w:tc>
          <w:tcPr>
            <w:tcW w:w="850" w:type="dxa"/>
            <w:tcBorders>
              <w:bottom w:val="single" w:color="auto" w:sz="4" w:space="0"/>
              <w:right w:val="single" w:color="auto" w:sz="4" w:space="0"/>
            </w:tcBorders>
            <w:noWrap/>
            <w:vAlign w:val="center"/>
          </w:tcPr>
          <w:p w14:paraId="7A7CB5FF">
            <w:pPr>
              <w:rPr>
                <w:rFonts w:ascii="Times New Roman" w:hAnsi="Times New Roman" w:eastAsia="宋体" w:cs="Times New Roman"/>
                <w:szCs w:val="21"/>
              </w:rPr>
            </w:pPr>
          </w:p>
        </w:tc>
        <w:tc>
          <w:tcPr>
            <w:tcW w:w="2659" w:type="dxa"/>
            <w:tcBorders>
              <w:bottom w:val="single" w:color="auto" w:sz="4" w:space="0"/>
              <w:right w:val="single" w:color="auto" w:sz="4" w:space="0"/>
            </w:tcBorders>
            <w:noWrap/>
            <w:vAlign w:val="center"/>
          </w:tcPr>
          <w:p w14:paraId="1D5EF332">
            <w:pPr>
              <w:rPr>
                <w:rFonts w:ascii="Times New Roman" w:hAnsi="Times New Roman" w:eastAsia="宋体" w:cs="Times New Roman"/>
                <w:szCs w:val="21"/>
              </w:rPr>
            </w:pPr>
          </w:p>
        </w:tc>
      </w:tr>
      <w:tr w14:paraId="38FEB9F7">
        <w:tblPrEx>
          <w:tblCellMar>
            <w:top w:w="0" w:type="dxa"/>
            <w:left w:w="108" w:type="dxa"/>
            <w:bottom w:w="0" w:type="dxa"/>
            <w:right w:w="108" w:type="dxa"/>
          </w:tblCellMar>
        </w:tblPrEx>
        <w:trPr>
          <w:trHeight w:val="585" w:hRule="atLeast"/>
          <w:jc w:val="center"/>
        </w:trPr>
        <w:tc>
          <w:tcPr>
            <w:tcW w:w="2440" w:type="dxa"/>
            <w:tcBorders>
              <w:left w:val="single" w:color="auto" w:sz="4" w:space="0"/>
              <w:bottom w:val="single" w:color="auto" w:sz="4" w:space="0"/>
              <w:right w:val="single" w:color="auto" w:sz="4" w:space="0"/>
            </w:tcBorders>
            <w:noWrap/>
            <w:vAlign w:val="center"/>
          </w:tcPr>
          <w:p w14:paraId="69BD1A54">
            <w:pPr>
              <w:rPr>
                <w:rFonts w:ascii="Times New Roman" w:hAnsi="Times New Roman" w:eastAsia="宋体" w:cs="Times New Roman"/>
                <w:szCs w:val="21"/>
              </w:rPr>
            </w:pPr>
            <w:r>
              <w:rPr>
                <w:rFonts w:ascii="Times New Roman" w:hAnsi="Times New Roman" w:eastAsia="宋体" w:cs="Times New Roman"/>
                <w:szCs w:val="21"/>
              </w:rPr>
              <w:t>DO(≥0.5A, 24VDC)</w:t>
            </w:r>
          </w:p>
        </w:tc>
        <w:tc>
          <w:tcPr>
            <w:tcW w:w="1127" w:type="dxa"/>
            <w:tcBorders>
              <w:bottom w:val="single" w:color="auto" w:sz="4" w:space="0"/>
              <w:right w:val="single" w:color="auto" w:sz="4" w:space="0"/>
            </w:tcBorders>
            <w:noWrap/>
            <w:vAlign w:val="center"/>
          </w:tcPr>
          <w:p w14:paraId="16A8081F">
            <w:pPr>
              <w:rPr>
                <w:rFonts w:ascii="Times New Roman" w:hAnsi="Times New Roman" w:eastAsia="宋体" w:cs="Times New Roman"/>
                <w:szCs w:val="21"/>
              </w:rPr>
            </w:pPr>
          </w:p>
        </w:tc>
        <w:tc>
          <w:tcPr>
            <w:tcW w:w="1276" w:type="dxa"/>
            <w:tcBorders>
              <w:bottom w:val="single" w:color="auto" w:sz="4" w:space="0"/>
              <w:right w:val="single" w:color="auto" w:sz="4" w:space="0"/>
            </w:tcBorders>
            <w:noWrap/>
            <w:vAlign w:val="center"/>
          </w:tcPr>
          <w:p w14:paraId="474C4D8D">
            <w:pPr>
              <w:rPr>
                <w:rFonts w:ascii="Times New Roman" w:hAnsi="Times New Roman" w:eastAsia="宋体" w:cs="Times New Roman"/>
                <w:szCs w:val="21"/>
              </w:rPr>
            </w:pPr>
            <w:r>
              <w:rPr>
                <w:rFonts w:hint="eastAsia" w:ascii="Times New Roman" w:hAnsi="宋体" w:eastAsia="宋体" w:cs="Times New Roman"/>
                <w:szCs w:val="21"/>
              </w:rPr>
              <w:t>　</w:t>
            </w:r>
          </w:p>
        </w:tc>
        <w:tc>
          <w:tcPr>
            <w:tcW w:w="850" w:type="dxa"/>
            <w:tcBorders>
              <w:bottom w:val="single" w:color="auto" w:sz="4" w:space="0"/>
              <w:right w:val="single" w:color="auto" w:sz="4" w:space="0"/>
            </w:tcBorders>
            <w:noWrap/>
            <w:vAlign w:val="center"/>
          </w:tcPr>
          <w:p w14:paraId="5547EE37">
            <w:pPr>
              <w:rPr>
                <w:rFonts w:ascii="Times New Roman" w:hAnsi="Times New Roman" w:eastAsia="宋体" w:cs="Times New Roman"/>
                <w:szCs w:val="21"/>
              </w:rPr>
            </w:pPr>
          </w:p>
        </w:tc>
        <w:tc>
          <w:tcPr>
            <w:tcW w:w="2659" w:type="dxa"/>
            <w:tcBorders>
              <w:bottom w:val="single" w:color="auto" w:sz="4" w:space="0"/>
              <w:right w:val="single" w:color="auto" w:sz="4" w:space="0"/>
            </w:tcBorders>
            <w:noWrap/>
            <w:vAlign w:val="center"/>
          </w:tcPr>
          <w:p w14:paraId="438AA592">
            <w:pPr>
              <w:rPr>
                <w:rFonts w:ascii="Times New Roman" w:hAnsi="Times New Roman" w:eastAsia="宋体" w:cs="Times New Roman"/>
                <w:szCs w:val="21"/>
              </w:rPr>
            </w:pPr>
          </w:p>
        </w:tc>
      </w:tr>
      <w:tr w14:paraId="237ABE43">
        <w:tblPrEx>
          <w:tblCellMar>
            <w:top w:w="0" w:type="dxa"/>
            <w:left w:w="108" w:type="dxa"/>
            <w:bottom w:w="0" w:type="dxa"/>
            <w:right w:w="108" w:type="dxa"/>
          </w:tblCellMar>
        </w:tblPrEx>
        <w:trPr>
          <w:trHeight w:val="585" w:hRule="atLeast"/>
          <w:jc w:val="center"/>
        </w:trPr>
        <w:tc>
          <w:tcPr>
            <w:tcW w:w="2440" w:type="dxa"/>
            <w:tcBorders>
              <w:left w:val="single" w:color="auto" w:sz="4" w:space="0"/>
              <w:right w:val="single" w:color="auto" w:sz="4" w:space="0"/>
            </w:tcBorders>
            <w:noWrap/>
            <w:vAlign w:val="center"/>
          </w:tcPr>
          <w:p w14:paraId="1F311019">
            <w:pPr>
              <w:rPr>
                <w:rFonts w:ascii="Times New Roman" w:hAnsi="Times New Roman" w:eastAsia="宋体" w:cs="Times New Roman"/>
                <w:szCs w:val="21"/>
              </w:rPr>
            </w:pPr>
            <w:r>
              <w:rPr>
                <w:rFonts w:ascii="Times New Roman" w:hAnsi="Times New Roman" w:eastAsia="宋体" w:cs="Times New Roman"/>
                <w:szCs w:val="21"/>
              </w:rPr>
              <w:t>DO(≥0.5A, 24VDC)</w:t>
            </w:r>
          </w:p>
        </w:tc>
        <w:tc>
          <w:tcPr>
            <w:tcW w:w="1127" w:type="dxa"/>
            <w:tcBorders>
              <w:right w:val="single" w:color="auto" w:sz="4" w:space="0"/>
            </w:tcBorders>
            <w:noWrap/>
            <w:vAlign w:val="center"/>
          </w:tcPr>
          <w:p w14:paraId="384360FB">
            <w:pPr>
              <w:rPr>
                <w:rFonts w:hint="eastAsia" w:ascii="Times New Roman" w:hAnsi="Times New Roman" w:eastAsia="宋体" w:cs="Times New Roman"/>
                <w:szCs w:val="21"/>
              </w:rPr>
            </w:pPr>
            <w:r>
              <w:rPr>
                <w:rFonts w:hint="eastAsia" w:ascii="Times New Roman" w:hAnsi="Times New Roman" w:eastAsia="宋体" w:cs="Times New Roman"/>
                <w:szCs w:val="21"/>
              </w:rPr>
              <w:t>23</w:t>
            </w:r>
          </w:p>
        </w:tc>
        <w:tc>
          <w:tcPr>
            <w:tcW w:w="1276" w:type="dxa"/>
            <w:tcBorders>
              <w:right w:val="single" w:color="auto" w:sz="4" w:space="0"/>
            </w:tcBorders>
            <w:noWrap/>
            <w:vAlign w:val="center"/>
          </w:tcPr>
          <w:p w14:paraId="0BEC451E">
            <w:pPr>
              <w:rPr>
                <w:rFonts w:ascii="Times New Roman" w:hAnsi="Times New Roman" w:eastAsia="宋体" w:cs="Times New Roman"/>
                <w:szCs w:val="21"/>
              </w:rPr>
            </w:pPr>
            <w:r>
              <w:rPr>
                <w:rFonts w:hint="eastAsia" w:ascii="Times New Roman" w:hAnsi="宋体" w:eastAsia="宋体" w:cs="Times New Roman"/>
                <w:szCs w:val="21"/>
              </w:rPr>
              <w:t>　</w:t>
            </w:r>
          </w:p>
        </w:tc>
        <w:tc>
          <w:tcPr>
            <w:tcW w:w="850" w:type="dxa"/>
            <w:tcBorders>
              <w:right w:val="single" w:color="auto" w:sz="4" w:space="0"/>
            </w:tcBorders>
            <w:noWrap/>
            <w:vAlign w:val="center"/>
          </w:tcPr>
          <w:p w14:paraId="022451C4">
            <w:pPr>
              <w:rPr>
                <w:rFonts w:hint="eastAsia" w:ascii="Times New Roman" w:hAnsi="Times New Roman" w:eastAsia="宋体" w:cs="Times New Roman"/>
                <w:szCs w:val="21"/>
              </w:rPr>
            </w:pPr>
            <w:r>
              <w:rPr>
                <w:rFonts w:hint="eastAsia" w:ascii="Times New Roman" w:hAnsi="Times New Roman" w:eastAsia="宋体" w:cs="Times New Roman"/>
                <w:szCs w:val="21"/>
              </w:rPr>
              <w:t>48</w:t>
            </w:r>
          </w:p>
        </w:tc>
        <w:tc>
          <w:tcPr>
            <w:tcW w:w="2659" w:type="dxa"/>
            <w:tcBorders>
              <w:right w:val="single" w:color="auto" w:sz="4" w:space="0"/>
            </w:tcBorders>
            <w:noWrap/>
            <w:vAlign w:val="center"/>
          </w:tcPr>
          <w:p w14:paraId="466172B7">
            <w:pPr>
              <w:rPr>
                <w:rFonts w:ascii="Times New Roman" w:hAnsi="Times New Roman" w:eastAsia="宋体" w:cs="Times New Roman"/>
                <w:szCs w:val="21"/>
              </w:rPr>
            </w:pPr>
            <w:r>
              <w:rPr>
                <w:rFonts w:hint="eastAsia" w:ascii="Times New Roman" w:hAnsi="Times New Roman" w:eastAsia="宋体" w:cs="Times New Roman"/>
                <w:szCs w:val="21"/>
              </w:rPr>
              <w:t>(继电器隔离)</w:t>
            </w:r>
          </w:p>
        </w:tc>
      </w:tr>
      <w:tr w14:paraId="61B82171">
        <w:tblPrEx>
          <w:tblCellMar>
            <w:top w:w="0" w:type="dxa"/>
            <w:left w:w="108" w:type="dxa"/>
            <w:bottom w:w="0" w:type="dxa"/>
            <w:right w:w="108" w:type="dxa"/>
          </w:tblCellMar>
        </w:tblPrEx>
        <w:trPr>
          <w:trHeight w:val="585" w:hRule="atLeast"/>
          <w:jc w:val="center"/>
        </w:trPr>
        <w:tc>
          <w:tcPr>
            <w:tcW w:w="2440" w:type="dxa"/>
            <w:tcBorders>
              <w:left w:val="single" w:color="auto" w:sz="4" w:space="0"/>
              <w:bottom w:val="single" w:color="auto" w:sz="4" w:space="0"/>
              <w:right w:val="single" w:color="auto" w:sz="4" w:space="0"/>
            </w:tcBorders>
            <w:noWrap/>
            <w:vAlign w:val="center"/>
          </w:tcPr>
          <w:p w14:paraId="337C7642">
            <w:pPr>
              <w:rPr>
                <w:rFonts w:hint="default" w:ascii="Times New Roman" w:hAnsi="Times New Roman" w:eastAsia="宋体" w:cs="Times New Roman"/>
                <w:szCs w:val="21"/>
                <w:lang w:val="en-US" w:eastAsia="zh-CN"/>
              </w:rPr>
            </w:pPr>
            <w:r>
              <w:rPr>
                <w:rFonts w:hint="eastAsia" w:cs="Times New Roman"/>
                <w:szCs w:val="21"/>
                <w:lang w:val="en-US" w:eastAsia="zh-CN"/>
              </w:rPr>
              <w:t>浪涌保护器</w:t>
            </w:r>
          </w:p>
        </w:tc>
        <w:tc>
          <w:tcPr>
            <w:tcW w:w="1127" w:type="dxa"/>
            <w:tcBorders>
              <w:bottom w:val="single" w:color="auto" w:sz="4" w:space="0"/>
              <w:right w:val="single" w:color="auto" w:sz="4" w:space="0"/>
            </w:tcBorders>
            <w:noWrap/>
            <w:vAlign w:val="center"/>
          </w:tcPr>
          <w:p w14:paraId="7EB5989B">
            <w:pPr>
              <w:rPr>
                <w:rFonts w:hint="eastAsia" w:ascii="Times New Roman" w:hAnsi="Times New Roman" w:eastAsia="宋体" w:cs="Times New Roman"/>
                <w:szCs w:val="21"/>
              </w:rPr>
            </w:pPr>
          </w:p>
        </w:tc>
        <w:tc>
          <w:tcPr>
            <w:tcW w:w="1276" w:type="dxa"/>
            <w:tcBorders>
              <w:bottom w:val="single" w:color="auto" w:sz="4" w:space="0"/>
              <w:right w:val="single" w:color="auto" w:sz="4" w:space="0"/>
            </w:tcBorders>
            <w:noWrap/>
            <w:vAlign w:val="center"/>
          </w:tcPr>
          <w:p w14:paraId="2D24FD6A">
            <w:pPr>
              <w:rPr>
                <w:rFonts w:hint="eastAsia" w:ascii="Times New Roman" w:hAnsi="宋体" w:eastAsia="宋体" w:cs="Times New Roman"/>
                <w:szCs w:val="21"/>
              </w:rPr>
            </w:pPr>
          </w:p>
        </w:tc>
        <w:tc>
          <w:tcPr>
            <w:tcW w:w="850" w:type="dxa"/>
            <w:tcBorders>
              <w:bottom w:val="single" w:color="auto" w:sz="4" w:space="0"/>
              <w:right w:val="single" w:color="auto" w:sz="4" w:space="0"/>
            </w:tcBorders>
            <w:noWrap/>
            <w:vAlign w:val="center"/>
          </w:tcPr>
          <w:p w14:paraId="22EFEF56">
            <w:pPr>
              <w:rPr>
                <w:rFonts w:hint="default" w:ascii="Times New Roman" w:hAnsi="Times New Roman" w:eastAsia="宋体" w:cs="Times New Roman"/>
                <w:szCs w:val="21"/>
                <w:lang w:val="en-US" w:eastAsia="zh-CN"/>
              </w:rPr>
            </w:pPr>
            <w:r>
              <w:rPr>
                <w:rFonts w:hint="eastAsia" w:cs="Times New Roman"/>
                <w:szCs w:val="21"/>
                <w:lang w:val="en-US" w:eastAsia="zh-CN"/>
              </w:rPr>
              <w:t>48</w:t>
            </w:r>
          </w:p>
        </w:tc>
        <w:tc>
          <w:tcPr>
            <w:tcW w:w="2659" w:type="dxa"/>
            <w:tcBorders>
              <w:bottom w:val="single" w:color="auto" w:sz="4" w:space="0"/>
              <w:right w:val="single" w:color="auto" w:sz="4" w:space="0"/>
            </w:tcBorders>
            <w:noWrap/>
            <w:vAlign w:val="center"/>
          </w:tcPr>
          <w:p w14:paraId="0B0C0A3E">
            <w:pPr>
              <w:rPr>
                <w:rFonts w:hint="eastAsia" w:ascii="Times New Roman" w:hAnsi="Times New Roman" w:eastAsia="宋体" w:cs="Times New Roman"/>
                <w:szCs w:val="21"/>
              </w:rPr>
            </w:pPr>
          </w:p>
        </w:tc>
      </w:tr>
    </w:tbl>
    <w:p w14:paraId="36E1CA69">
      <w:pPr>
        <w:spacing w:before="240"/>
        <w:ind w:firstLine="538"/>
        <w:rPr>
          <w:rFonts w:ascii="Times New Roman" w:hAnsi="Times New Roman" w:eastAsia="宋体" w:cs="Times New Roman"/>
        </w:rPr>
      </w:pPr>
      <w:r>
        <w:rPr>
          <w:rFonts w:hint="eastAsia" w:ascii="Times New Roman" w:hAnsi="Times New Roman" w:eastAsia="宋体" w:cs="Times New Roman"/>
        </w:rPr>
        <w:t>注：</w:t>
      </w:r>
      <w:r>
        <w:rPr>
          <w:rFonts w:hint="eastAsia" w:ascii="Times New Roman" w:hAnsi="宋体" w:eastAsia="宋体" w:cs="Times New Roman"/>
        </w:rPr>
        <w:t>继电器必须经过</w:t>
      </w:r>
      <w:r>
        <w:rPr>
          <w:rFonts w:ascii="Times New Roman" w:hAnsi="Calibri" w:eastAsia="宋体" w:cs="Times New Roman"/>
        </w:rPr>
        <w:t xml:space="preserve">TUV SIL 3 </w:t>
      </w:r>
      <w:r>
        <w:rPr>
          <w:rFonts w:hint="eastAsia" w:ascii="Times New Roman" w:hAnsi="宋体" w:eastAsia="宋体" w:cs="Times New Roman"/>
        </w:rPr>
        <w:t>安全认证。</w:t>
      </w:r>
    </w:p>
    <w:p w14:paraId="0FFC466D">
      <w:pPr>
        <w:rPr>
          <w:rFonts w:hint="eastAsia"/>
          <w:lang w:val="en-US" w:eastAsia="zh-CN"/>
        </w:rPr>
      </w:pPr>
    </w:p>
    <w:p w14:paraId="06579832">
      <w:pPr>
        <w:rPr>
          <w:rFonts w:hint="eastAsia"/>
          <w:lang w:val="en-US" w:eastAsia="zh-CN"/>
        </w:rPr>
      </w:pPr>
    </w:p>
    <w:p w14:paraId="57E68775">
      <w:pPr>
        <w:rPr>
          <w:rFonts w:hint="default" w:eastAsia="宋体"/>
          <w:sz w:val="32"/>
          <w:szCs w:val="32"/>
          <w:lang w:val="en-US" w:eastAsia="zh-CN"/>
        </w:rPr>
      </w:pPr>
      <w:r>
        <w:rPr>
          <w:rFonts w:hint="eastAsia"/>
          <w:sz w:val="32"/>
          <w:szCs w:val="32"/>
          <w:lang w:val="en-US" w:eastAsia="zh-CN"/>
        </w:rPr>
        <w:t>附件</w:t>
      </w:r>
    </w:p>
    <w:p w14:paraId="0E23FA4A">
      <w:pPr>
        <w:rPr>
          <w:rFonts w:hint="eastAsia" w:ascii="宋体" w:hAnsi="宋体"/>
          <w:b w:val="0"/>
          <w:sz w:val="24"/>
          <w:szCs w:val="24"/>
          <w:lang w:val="en-US" w:eastAsia="zh-CN"/>
        </w:rPr>
      </w:pPr>
      <w:r>
        <w:rPr>
          <w:rFonts w:hint="eastAsia" w:ascii="宋体" w:hAnsi="宋体"/>
          <w:b w:val="0"/>
          <w:sz w:val="24"/>
          <w:szCs w:val="24"/>
          <w:lang w:val="en-US" w:eastAsia="zh-CN"/>
        </w:rPr>
        <w:t>SIS  IO表</w:t>
      </w:r>
    </w:p>
    <w:p w14:paraId="6DC12641">
      <w:pPr>
        <w:rPr>
          <w:rFonts w:hint="eastAsia" w:ascii="宋体" w:hAnsi="宋体"/>
          <w:b w:val="0"/>
          <w:sz w:val="24"/>
          <w:szCs w:val="24"/>
          <w:lang w:val="en-US" w:eastAsia="zh-CN"/>
        </w:rPr>
      </w:pPr>
      <w:r>
        <w:rPr>
          <w:rFonts w:hint="eastAsia" w:ascii="宋体" w:hAnsi="宋体"/>
          <w:b w:val="0"/>
          <w:sz w:val="24"/>
          <w:szCs w:val="24"/>
          <w:lang w:val="en-US" w:eastAsia="zh-CN"/>
        </w:rPr>
        <w:t>SIS  监控数据表</w:t>
      </w:r>
    </w:p>
    <w:p w14:paraId="43AC581A">
      <w:pPr>
        <w:rPr>
          <w:rFonts w:hint="default" w:ascii="宋体" w:hAnsi="宋体"/>
          <w:b w:val="0"/>
          <w:sz w:val="24"/>
          <w:szCs w:val="24"/>
          <w:lang w:val="en-US" w:eastAsia="zh-CN"/>
        </w:rPr>
      </w:pPr>
      <w:r>
        <w:rPr>
          <w:rFonts w:hint="eastAsia" w:ascii="宋体" w:hAnsi="宋体"/>
          <w:b w:val="0"/>
          <w:sz w:val="24"/>
          <w:szCs w:val="24"/>
          <w:lang w:val="en-US" w:eastAsia="zh-CN"/>
        </w:rPr>
        <w:t>SIS  联锁系统逻辑图</w:t>
      </w:r>
    </w:p>
    <w:p w14:paraId="50DC9AA3">
      <w:pPr>
        <w:numPr>
          <w:ilvl w:val="0"/>
          <w:numId w:val="0"/>
        </w:numPr>
        <w:ind w:leftChars="0"/>
      </w:pPr>
    </w:p>
    <w:p w14:paraId="4A50136B">
      <w:pPr>
        <w:ind w:firstLine="480" w:firstLineChars="200"/>
        <w:rPr>
          <w:rFonts w:hint="eastAsia" w:ascii="宋体" w:hAnsi="宋体" w:eastAsia="宋体"/>
          <w:b w:val="0"/>
          <w:sz w:val="24"/>
          <w:szCs w:val="24"/>
          <w:lang w:val="en-US" w:eastAsia="zh-CN"/>
        </w:rPr>
      </w:pPr>
    </w:p>
    <w:sectPr>
      <w:headerReference r:id="rId3" w:type="default"/>
      <w:footerReference r:id="rId4" w:type="default"/>
      <w:pgSz w:w="11906" w:h="16838"/>
      <w:pgMar w:top="1440" w:right="924" w:bottom="1440" w:left="873" w:header="851" w:footer="992" w:gutter="567"/>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4982F">
    <w:pPr>
      <w:pStyle w:val="5"/>
      <w:tabs>
        <w:tab w:val="right" w:pos="8306"/>
        <w:tab w:val="clear" w:pos="8299"/>
      </w:tabs>
      <w:jc w:val="right"/>
    </w:pPr>
    <w:r>
      <mc:AlternateContent>
        <mc:Choice Requires="wps">
          <w:drawing>
            <wp:anchor distT="0" distB="0" distL="114300" distR="114300" simplePos="0" relativeHeight="251659264" behindDoc="0" locked="0" layoutInCell="0" allowOverlap="1">
              <wp:simplePos x="0" y="0"/>
              <wp:positionH relativeFrom="margin">
                <wp:align>center</wp:align>
              </wp:positionH>
              <wp:positionV relativeFrom="paragraph">
                <wp:posOffset>0</wp:posOffset>
              </wp:positionV>
              <wp:extent cx="114300" cy="131445"/>
              <wp:effectExtent l="0" t="0" r="0" b="0"/>
              <wp:wrapNone/>
              <wp:docPr id="1" name="文本框7"/>
              <wp:cNvGraphicFramePr/>
              <a:graphic xmlns:a="http://schemas.openxmlformats.org/drawingml/2006/main">
                <a:graphicData uri="http://schemas.microsoft.com/office/word/2010/wordprocessingShape">
                  <wps:wsp>
                    <wps:cNvSpPr txBox="1"/>
                    <wps:spPr>
                      <a:xfrm>
                        <a:off x="0" y="0"/>
                        <a:ext cx="114300" cy="131445"/>
                      </a:xfrm>
                      <a:prstGeom prst="rect">
                        <a:avLst/>
                      </a:prstGeom>
                      <a:noFill/>
                      <a:ln>
                        <a:noFill/>
                      </a:ln>
                    </wps:spPr>
                    <wps:txbx>
                      <w:txbxContent>
                        <w:p w14:paraId="386706DF">
                          <w:pPr>
                            <w:pStyle w:val="5"/>
                            <w:tabs>
                              <w:tab w:val="right" w:pos="8306"/>
                              <w:tab w:val="clear" w:pos="8299"/>
                            </w:tabs>
                          </w:pPr>
                          <w:r>
                            <w:fldChar w:fldCharType="begin"/>
                          </w:r>
                          <w:r>
                            <w:instrText xml:space="preserve"> PAGE \* Arabic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7" o:spid="_x0000_s1026" o:spt="202" type="#_x0000_t202" style="position:absolute;left:0pt;margin-top:0pt;height:10.35pt;width:9pt;mso-position-horizontal:center;mso-position-horizontal-relative:margin;mso-wrap-style:none;z-index:251659264;mso-width-relative:page;mso-height-relative:page;" filled="f" stroked="f" coordsize="21600,21600" o:allowincell="f"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Xbt2cMwBAACWAwAADgAAAGRycy9lMm9Eb2MueG1srVPNjtMwEL4j8Q6W&#10;79TJbvlR1HQFqhYhIUBaeADXsRtL/pPHbdIXgDfgxIU7z9XnYOykXVgue+CSjGcm33zf58nqZrSG&#10;HGQE7V1L60VFiXTCd9rtWvrl8+2zV5RA4q7jxjvZ0qMEerN++mQ1hEZe+d6bTkaCIA6aIbS0Tyk0&#10;jIHopeWw8EE6LCofLU94jDvWRT4gujXsqqpesMHHLkQvJABmN1ORzojxMYBeKS3kxou9lS5NqFEa&#10;nlAS9DoAXRe2SkmRPioFMhHTUlSayhOHYLzNT7Ze8WYXeei1mCnwx1B4oMly7XDoBWrDEyf7qP+B&#10;slpED16lhfCWTUKKI6iirh54c9fzIIsWtBrCxXT4f7Diw+FTJLrDTaDEcYsXfvr+7fTj1+nn15fZ&#10;nSFAg013AdvS+MaPuXPOAyaz6FFFm98oh2AdvT1evJVjIiJ/VC+vK6wILNXX9XL5PKOw+49DhPRW&#10;ekty0NKIV1cc5Yf3kKbWc0ue5fytNgbzvDHurwRi5gzLzCeGOUrjdpxpb313RDUD3npLHS45Jead&#10;Q1PzgpyDeA6252Afot71SK0uvCC83ickUbjlCRPsPBivq6ibVyvvw5/n0nX/O6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AL+8ifPAAAAAwEAAA8AAAAAAAAAAQAgAAAAIgAAAGRycy9kb3ducmV2&#10;LnhtbFBLAQIUABQAAAAIAIdO4kBdu3ZwzAEAAJYDAAAOAAAAAAAAAAEAIAAAAB4BAABkcnMvZTJv&#10;RG9jLnhtbFBLBQYAAAAABgAGAFkBAABcBQAAAAA=&#10;">
              <v:fill on="f" focussize="0,0"/>
              <v:stroke on="f"/>
              <v:imagedata o:title=""/>
              <o:lock v:ext="edit" aspectratio="f"/>
              <v:textbox inset="0mm,0mm,0mm,0mm" style="mso-fit-shape-to-text:t;">
                <w:txbxContent>
                  <w:p w14:paraId="386706DF">
                    <w:pPr>
                      <w:pStyle w:val="5"/>
                      <w:tabs>
                        <w:tab w:val="right" w:pos="8306"/>
                        <w:tab w:val="clear" w:pos="8299"/>
                      </w:tabs>
                    </w:pPr>
                    <w:r>
                      <w:fldChar w:fldCharType="begin"/>
                    </w:r>
                    <w:r>
                      <w:instrText xml:space="preserve"> PAGE \* Arabic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0103B">
    <w:pPr>
      <w:pStyle w:val="6"/>
      <w:tabs>
        <w:tab w:val="right" w:pos="8306"/>
        <w:tab w:val="clear" w:pos="8299"/>
      </w:tabs>
    </w:pPr>
    <w:r>
      <w:t xml:space="preserve">   </w:t>
    </w:r>
    <w:r>
      <w:rPr>
        <w:rFonts w:hint="eastAsia" w:ascii="宋体" w:hAnsi="宋体" w:cs="宋体"/>
        <w:sz w:val="15"/>
        <w:szCs w:val="15"/>
      </w:rPr>
      <w:t>江苏索普</w:t>
    </w:r>
    <w:r>
      <w:rPr>
        <w:rFonts w:hint="eastAsia" w:ascii="宋体" w:hAnsi="宋体" w:cs="宋体"/>
        <w:sz w:val="15"/>
        <w:szCs w:val="15"/>
        <w:lang w:val="en-US" w:eastAsia="zh-CN"/>
      </w:rPr>
      <w:t>工程</w:t>
    </w:r>
    <w:r>
      <w:rPr>
        <w:rFonts w:hint="eastAsia" w:ascii="宋体" w:hAnsi="宋体" w:cs="宋体"/>
        <w:sz w:val="15"/>
        <w:szCs w:val="15"/>
      </w:rPr>
      <w:t>有限</w:t>
    </w:r>
    <w:r>
      <w:rPr>
        <w:rFonts w:hint="eastAsia" w:ascii="宋体" w:hAnsi="宋体" w:cs="宋体"/>
        <w:sz w:val="15"/>
        <w:szCs w:val="15"/>
        <w:lang w:val="en-US" w:eastAsia="zh-CN"/>
      </w:rPr>
      <w:t>公司</w:t>
    </w:r>
    <w:r>
      <w:rPr>
        <w:rFonts w:hint="eastAsia"/>
        <w:sz w:val="15"/>
        <w:szCs w:val="15"/>
        <w:lang w:val="en-US" w:eastAsia="zh-CN"/>
      </w:rPr>
      <w:t>新材料80万吨硫酸</w:t>
    </w:r>
    <w:r>
      <w:rPr>
        <w:rFonts w:hint="eastAsia"/>
        <w:sz w:val="15"/>
        <w:szCs w:val="15"/>
      </w:rPr>
      <w:t>项目</w:t>
    </w:r>
    <w:r>
      <w:rPr>
        <w:rFonts w:hint="eastAsia"/>
        <w:sz w:val="15"/>
        <w:szCs w:val="15"/>
        <w:lang w:val="en-US" w:eastAsia="zh-CN"/>
      </w:rPr>
      <w:t>本安全仪表系统（</w:t>
    </w:r>
    <w:r>
      <w:rPr>
        <w:rFonts w:hint="eastAsia" w:ascii="宋体" w:hAnsi="宋体" w:eastAsia="宋体"/>
        <w:b w:val="0"/>
        <w:sz w:val="15"/>
        <w:szCs w:val="15"/>
      </w:rPr>
      <w:t>Safty Instrumented System，简称SIS</w:t>
    </w:r>
    <w:r>
      <w:rPr>
        <w:rFonts w:hint="eastAsia"/>
        <w:sz w:val="15"/>
        <w:szCs w:val="15"/>
        <w:lang w:val="en-US" w:eastAsia="zh-CN"/>
      </w:rPr>
      <w:t>）采购</w:t>
    </w:r>
    <w:r>
      <w:rPr>
        <w:sz w:val="15"/>
        <w:szCs w:val="15"/>
      </w:rPr>
      <w:t>——</w:t>
    </w:r>
    <w:r>
      <w:rPr>
        <w:rFonts w:hint="eastAsia"/>
        <w:sz w:val="15"/>
        <w:szCs w:val="15"/>
        <w:lang w:val="en-US" w:eastAsia="zh-CN"/>
      </w:rPr>
      <w:t>技术说明</w:t>
    </w:r>
    <w:r>
      <w:rPr>
        <w:rFonts w:hint="eastAsia"/>
        <w:sz w:val="15"/>
        <w:szCs w:val="15"/>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AD7FA"/>
    <w:multiLevelType w:val="singleLevel"/>
    <w:tmpl w:val="C9CAD7FA"/>
    <w:lvl w:ilvl="0" w:tentative="0">
      <w:start w:val="8"/>
      <w:numFmt w:val="decimal"/>
      <w:lvlText w:val="%1."/>
      <w:lvlJc w:val="left"/>
      <w:pPr>
        <w:tabs>
          <w:tab w:val="left" w:pos="312"/>
        </w:tabs>
      </w:pPr>
    </w:lvl>
  </w:abstractNum>
  <w:abstractNum w:abstractNumId="1">
    <w:nsid w:val="D8559C2C"/>
    <w:multiLevelType w:val="singleLevel"/>
    <w:tmpl w:val="D8559C2C"/>
    <w:lvl w:ilvl="0" w:tentative="0">
      <w:start w:val="1"/>
      <w:numFmt w:val="decimal"/>
      <w:lvlText w:val="%1."/>
      <w:lvlJc w:val="left"/>
      <w:pPr>
        <w:tabs>
          <w:tab w:val="left" w:pos="312"/>
        </w:tabs>
      </w:pPr>
    </w:lvl>
  </w:abstractNum>
  <w:abstractNum w:abstractNumId="2">
    <w:nsid w:val="F14B7E06"/>
    <w:multiLevelType w:val="singleLevel"/>
    <w:tmpl w:val="F14B7E06"/>
    <w:lvl w:ilvl="0" w:tentative="0">
      <w:start w:val="5"/>
      <w:numFmt w:val="decimal"/>
      <w:lvlText w:val="%1."/>
      <w:lvlJc w:val="left"/>
      <w:pPr>
        <w:tabs>
          <w:tab w:val="left" w:pos="312"/>
        </w:tabs>
      </w:pPr>
    </w:lvl>
  </w:abstractNum>
  <w:abstractNum w:abstractNumId="3">
    <w:nsid w:val="FEF1EB71"/>
    <w:multiLevelType w:val="singleLevel"/>
    <w:tmpl w:val="FEF1EB71"/>
    <w:lvl w:ilvl="0" w:tentative="0">
      <w:start w:val="1"/>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trackRevisions w:val="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2MDllYmJiNTJjNWU0NjVmYzQ5YmRkNDJiMWEzZGIifQ=="/>
  </w:docVars>
  <w:rsids>
    <w:rsidRoot w:val="00823963"/>
    <w:rsid w:val="000033C9"/>
    <w:rsid w:val="000051A7"/>
    <w:rsid w:val="000119CA"/>
    <w:rsid w:val="00012506"/>
    <w:rsid w:val="00026DA9"/>
    <w:rsid w:val="00026DAB"/>
    <w:rsid w:val="000311E2"/>
    <w:rsid w:val="00035178"/>
    <w:rsid w:val="000414D4"/>
    <w:rsid w:val="00044017"/>
    <w:rsid w:val="000465B9"/>
    <w:rsid w:val="0004731A"/>
    <w:rsid w:val="000519BF"/>
    <w:rsid w:val="0005321B"/>
    <w:rsid w:val="00056487"/>
    <w:rsid w:val="000579E0"/>
    <w:rsid w:val="000651AC"/>
    <w:rsid w:val="00076C98"/>
    <w:rsid w:val="00081F4F"/>
    <w:rsid w:val="0008270A"/>
    <w:rsid w:val="000842E7"/>
    <w:rsid w:val="00090970"/>
    <w:rsid w:val="00091A5E"/>
    <w:rsid w:val="0009252A"/>
    <w:rsid w:val="000A2110"/>
    <w:rsid w:val="000A7134"/>
    <w:rsid w:val="000B0419"/>
    <w:rsid w:val="000B45A2"/>
    <w:rsid w:val="000B5F14"/>
    <w:rsid w:val="000B7134"/>
    <w:rsid w:val="000B73B9"/>
    <w:rsid w:val="000C6B2E"/>
    <w:rsid w:val="000C7EBB"/>
    <w:rsid w:val="000D5C0C"/>
    <w:rsid w:val="000D7C21"/>
    <w:rsid w:val="000E27E6"/>
    <w:rsid w:val="000E4F52"/>
    <w:rsid w:val="000E77D8"/>
    <w:rsid w:val="000F45A9"/>
    <w:rsid w:val="000F4F9D"/>
    <w:rsid w:val="000F5997"/>
    <w:rsid w:val="00101A03"/>
    <w:rsid w:val="00102FBE"/>
    <w:rsid w:val="0010415A"/>
    <w:rsid w:val="00106F82"/>
    <w:rsid w:val="00107D91"/>
    <w:rsid w:val="00120635"/>
    <w:rsid w:val="00124B85"/>
    <w:rsid w:val="00137EC6"/>
    <w:rsid w:val="00145544"/>
    <w:rsid w:val="001458BE"/>
    <w:rsid w:val="001470E9"/>
    <w:rsid w:val="00160640"/>
    <w:rsid w:val="0016327F"/>
    <w:rsid w:val="00164F88"/>
    <w:rsid w:val="00170064"/>
    <w:rsid w:val="00170FDC"/>
    <w:rsid w:val="00173680"/>
    <w:rsid w:val="00175521"/>
    <w:rsid w:val="001818F7"/>
    <w:rsid w:val="0018327A"/>
    <w:rsid w:val="00183BB0"/>
    <w:rsid w:val="001863E2"/>
    <w:rsid w:val="00190764"/>
    <w:rsid w:val="0019169D"/>
    <w:rsid w:val="0019513A"/>
    <w:rsid w:val="001A2639"/>
    <w:rsid w:val="001A41D8"/>
    <w:rsid w:val="001B2D5C"/>
    <w:rsid w:val="001B3EC8"/>
    <w:rsid w:val="001B49F3"/>
    <w:rsid w:val="001B61EE"/>
    <w:rsid w:val="001C3ED4"/>
    <w:rsid w:val="001C52F3"/>
    <w:rsid w:val="001D45AA"/>
    <w:rsid w:val="001E5D06"/>
    <w:rsid w:val="001E68DF"/>
    <w:rsid w:val="001E7BDA"/>
    <w:rsid w:val="001F2294"/>
    <w:rsid w:val="001F3D85"/>
    <w:rsid w:val="001F65B8"/>
    <w:rsid w:val="00215395"/>
    <w:rsid w:val="002164FA"/>
    <w:rsid w:val="00220AFA"/>
    <w:rsid w:val="002248F0"/>
    <w:rsid w:val="00227B1D"/>
    <w:rsid w:val="002308B7"/>
    <w:rsid w:val="0023226C"/>
    <w:rsid w:val="00236AD8"/>
    <w:rsid w:val="002402F8"/>
    <w:rsid w:val="002413A8"/>
    <w:rsid w:val="002535C5"/>
    <w:rsid w:val="00255ED5"/>
    <w:rsid w:val="00257119"/>
    <w:rsid w:val="00262D94"/>
    <w:rsid w:val="00264DC5"/>
    <w:rsid w:val="00267506"/>
    <w:rsid w:val="00273A41"/>
    <w:rsid w:val="00293142"/>
    <w:rsid w:val="00294CFE"/>
    <w:rsid w:val="0029558C"/>
    <w:rsid w:val="002A49C9"/>
    <w:rsid w:val="002A73EA"/>
    <w:rsid w:val="002B0C41"/>
    <w:rsid w:val="002B6502"/>
    <w:rsid w:val="002C6FF3"/>
    <w:rsid w:val="002D33FB"/>
    <w:rsid w:val="002D3A5B"/>
    <w:rsid w:val="002D5FBB"/>
    <w:rsid w:val="002E166D"/>
    <w:rsid w:val="002E3F44"/>
    <w:rsid w:val="002E5DB2"/>
    <w:rsid w:val="002E5F14"/>
    <w:rsid w:val="002E5FC3"/>
    <w:rsid w:val="002E65DB"/>
    <w:rsid w:val="002E6D48"/>
    <w:rsid w:val="002F6116"/>
    <w:rsid w:val="0030416A"/>
    <w:rsid w:val="00305B9C"/>
    <w:rsid w:val="00310438"/>
    <w:rsid w:val="00325397"/>
    <w:rsid w:val="00325540"/>
    <w:rsid w:val="00326B57"/>
    <w:rsid w:val="0033566A"/>
    <w:rsid w:val="00340357"/>
    <w:rsid w:val="0034080C"/>
    <w:rsid w:val="00342741"/>
    <w:rsid w:val="00344457"/>
    <w:rsid w:val="003460C5"/>
    <w:rsid w:val="003503E2"/>
    <w:rsid w:val="003535A2"/>
    <w:rsid w:val="0036130B"/>
    <w:rsid w:val="00365D65"/>
    <w:rsid w:val="00366C58"/>
    <w:rsid w:val="003706B6"/>
    <w:rsid w:val="003716CA"/>
    <w:rsid w:val="00375A78"/>
    <w:rsid w:val="00386FA4"/>
    <w:rsid w:val="00390421"/>
    <w:rsid w:val="003940AC"/>
    <w:rsid w:val="00395473"/>
    <w:rsid w:val="003A6D5A"/>
    <w:rsid w:val="003B0FF2"/>
    <w:rsid w:val="003B6C5B"/>
    <w:rsid w:val="003C04E1"/>
    <w:rsid w:val="003C36D7"/>
    <w:rsid w:val="003C7B0C"/>
    <w:rsid w:val="003D06FF"/>
    <w:rsid w:val="003D0978"/>
    <w:rsid w:val="003E6975"/>
    <w:rsid w:val="003F3176"/>
    <w:rsid w:val="003F425C"/>
    <w:rsid w:val="003F7AC7"/>
    <w:rsid w:val="00402948"/>
    <w:rsid w:val="00402ED1"/>
    <w:rsid w:val="00407DD7"/>
    <w:rsid w:val="00421726"/>
    <w:rsid w:val="0043077C"/>
    <w:rsid w:val="00432333"/>
    <w:rsid w:val="004334CC"/>
    <w:rsid w:val="004365A0"/>
    <w:rsid w:val="00443042"/>
    <w:rsid w:val="00443437"/>
    <w:rsid w:val="00452BB7"/>
    <w:rsid w:val="00455E61"/>
    <w:rsid w:val="00455E9D"/>
    <w:rsid w:val="00460BCA"/>
    <w:rsid w:val="00462D36"/>
    <w:rsid w:val="0046309A"/>
    <w:rsid w:val="00464C62"/>
    <w:rsid w:val="004728DE"/>
    <w:rsid w:val="004761C3"/>
    <w:rsid w:val="00476823"/>
    <w:rsid w:val="00477706"/>
    <w:rsid w:val="00481027"/>
    <w:rsid w:val="00484C8D"/>
    <w:rsid w:val="00486F30"/>
    <w:rsid w:val="00487560"/>
    <w:rsid w:val="00492766"/>
    <w:rsid w:val="00495606"/>
    <w:rsid w:val="00496995"/>
    <w:rsid w:val="004A39AF"/>
    <w:rsid w:val="004B3993"/>
    <w:rsid w:val="004B5226"/>
    <w:rsid w:val="004C568F"/>
    <w:rsid w:val="004D3C28"/>
    <w:rsid w:val="004D7932"/>
    <w:rsid w:val="004E1EB7"/>
    <w:rsid w:val="004E381F"/>
    <w:rsid w:val="00501FC8"/>
    <w:rsid w:val="00504E66"/>
    <w:rsid w:val="0051206D"/>
    <w:rsid w:val="00512A6D"/>
    <w:rsid w:val="00513192"/>
    <w:rsid w:val="00526F50"/>
    <w:rsid w:val="00527878"/>
    <w:rsid w:val="00532387"/>
    <w:rsid w:val="0053324C"/>
    <w:rsid w:val="00541BCE"/>
    <w:rsid w:val="00542B4E"/>
    <w:rsid w:val="0054559F"/>
    <w:rsid w:val="00546269"/>
    <w:rsid w:val="005519B3"/>
    <w:rsid w:val="00552152"/>
    <w:rsid w:val="00571220"/>
    <w:rsid w:val="005773E8"/>
    <w:rsid w:val="00585D2B"/>
    <w:rsid w:val="005939DB"/>
    <w:rsid w:val="00594606"/>
    <w:rsid w:val="0059486B"/>
    <w:rsid w:val="00596034"/>
    <w:rsid w:val="005B3603"/>
    <w:rsid w:val="005B44CC"/>
    <w:rsid w:val="005B51A2"/>
    <w:rsid w:val="005B7D96"/>
    <w:rsid w:val="005C1689"/>
    <w:rsid w:val="005D1127"/>
    <w:rsid w:val="005D23A4"/>
    <w:rsid w:val="005D4CE3"/>
    <w:rsid w:val="005D7DFD"/>
    <w:rsid w:val="005E0934"/>
    <w:rsid w:val="005E222C"/>
    <w:rsid w:val="005F344D"/>
    <w:rsid w:val="006034C2"/>
    <w:rsid w:val="006079FC"/>
    <w:rsid w:val="006241ED"/>
    <w:rsid w:val="00634336"/>
    <w:rsid w:val="00637FDF"/>
    <w:rsid w:val="0064182D"/>
    <w:rsid w:val="0064533C"/>
    <w:rsid w:val="00657EBC"/>
    <w:rsid w:val="00660B99"/>
    <w:rsid w:val="00667287"/>
    <w:rsid w:val="00683D2A"/>
    <w:rsid w:val="006845AE"/>
    <w:rsid w:val="00684E59"/>
    <w:rsid w:val="006962FE"/>
    <w:rsid w:val="006A00F1"/>
    <w:rsid w:val="006A149E"/>
    <w:rsid w:val="006A48E2"/>
    <w:rsid w:val="006A4956"/>
    <w:rsid w:val="006B1BA6"/>
    <w:rsid w:val="006B2F67"/>
    <w:rsid w:val="006B34DB"/>
    <w:rsid w:val="006B62FA"/>
    <w:rsid w:val="006C678B"/>
    <w:rsid w:val="006C71AD"/>
    <w:rsid w:val="006D3D03"/>
    <w:rsid w:val="006D6E75"/>
    <w:rsid w:val="006E31B2"/>
    <w:rsid w:val="006E35F2"/>
    <w:rsid w:val="006E4530"/>
    <w:rsid w:val="006F1112"/>
    <w:rsid w:val="006F1751"/>
    <w:rsid w:val="006F3F7B"/>
    <w:rsid w:val="006F46E4"/>
    <w:rsid w:val="006F6F41"/>
    <w:rsid w:val="0070322A"/>
    <w:rsid w:val="00703C1B"/>
    <w:rsid w:val="0070459C"/>
    <w:rsid w:val="00706B0B"/>
    <w:rsid w:val="00712E11"/>
    <w:rsid w:val="007164F5"/>
    <w:rsid w:val="007177E0"/>
    <w:rsid w:val="00725CAF"/>
    <w:rsid w:val="00725D4A"/>
    <w:rsid w:val="00732666"/>
    <w:rsid w:val="00735B98"/>
    <w:rsid w:val="00736CF5"/>
    <w:rsid w:val="00740090"/>
    <w:rsid w:val="00750236"/>
    <w:rsid w:val="00751D91"/>
    <w:rsid w:val="00757402"/>
    <w:rsid w:val="007576D9"/>
    <w:rsid w:val="007619F7"/>
    <w:rsid w:val="00763D24"/>
    <w:rsid w:val="007673CB"/>
    <w:rsid w:val="007755C7"/>
    <w:rsid w:val="007757E1"/>
    <w:rsid w:val="007757FD"/>
    <w:rsid w:val="00775A01"/>
    <w:rsid w:val="00777F1C"/>
    <w:rsid w:val="0078198B"/>
    <w:rsid w:val="00781A14"/>
    <w:rsid w:val="00783837"/>
    <w:rsid w:val="0079279A"/>
    <w:rsid w:val="007A0644"/>
    <w:rsid w:val="007A079D"/>
    <w:rsid w:val="007A67B6"/>
    <w:rsid w:val="007B008C"/>
    <w:rsid w:val="007B011A"/>
    <w:rsid w:val="007B2DBB"/>
    <w:rsid w:val="007B36D1"/>
    <w:rsid w:val="007B58CE"/>
    <w:rsid w:val="007C2BBF"/>
    <w:rsid w:val="007C5D65"/>
    <w:rsid w:val="007C60AA"/>
    <w:rsid w:val="007C71F0"/>
    <w:rsid w:val="007C7A76"/>
    <w:rsid w:val="007D210C"/>
    <w:rsid w:val="007D4E04"/>
    <w:rsid w:val="007E014B"/>
    <w:rsid w:val="007F3185"/>
    <w:rsid w:val="007F43CB"/>
    <w:rsid w:val="00805A3E"/>
    <w:rsid w:val="00807F16"/>
    <w:rsid w:val="0081047A"/>
    <w:rsid w:val="0081223C"/>
    <w:rsid w:val="00812DE7"/>
    <w:rsid w:val="00815852"/>
    <w:rsid w:val="00815B61"/>
    <w:rsid w:val="00820A8A"/>
    <w:rsid w:val="00823963"/>
    <w:rsid w:val="008307FD"/>
    <w:rsid w:val="00830F8F"/>
    <w:rsid w:val="00832114"/>
    <w:rsid w:val="00833A74"/>
    <w:rsid w:val="008354E9"/>
    <w:rsid w:val="00844B06"/>
    <w:rsid w:val="00845ECA"/>
    <w:rsid w:val="00853C96"/>
    <w:rsid w:val="008548E9"/>
    <w:rsid w:val="00854F3E"/>
    <w:rsid w:val="008703F1"/>
    <w:rsid w:val="008754A4"/>
    <w:rsid w:val="008805E7"/>
    <w:rsid w:val="00881058"/>
    <w:rsid w:val="00881C46"/>
    <w:rsid w:val="00881F5B"/>
    <w:rsid w:val="008925C4"/>
    <w:rsid w:val="00892F8B"/>
    <w:rsid w:val="008A062B"/>
    <w:rsid w:val="008A676A"/>
    <w:rsid w:val="008A72DC"/>
    <w:rsid w:val="008B141D"/>
    <w:rsid w:val="008B17FA"/>
    <w:rsid w:val="008B68F6"/>
    <w:rsid w:val="008C5CFD"/>
    <w:rsid w:val="008C6A8A"/>
    <w:rsid w:val="008C7B4C"/>
    <w:rsid w:val="008D10DB"/>
    <w:rsid w:val="008D18DF"/>
    <w:rsid w:val="008D28DA"/>
    <w:rsid w:val="008D31E4"/>
    <w:rsid w:val="008D5DB9"/>
    <w:rsid w:val="008E1E65"/>
    <w:rsid w:val="008E7738"/>
    <w:rsid w:val="008F09D2"/>
    <w:rsid w:val="009031B4"/>
    <w:rsid w:val="009058BE"/>
    <w:rsid w:val="00914025"/>
    <w:rsid w:val="009155F3"/>
    <w:rsid w:val="009164B2"/>
    <w:rsid w:val="00922C30"/>
    <w:rsid w:val="00923204"/>
    <w:rsid w:val="00923EFA"/>
    <w:rsid w:val="00925889"/>
    <w:rsid w:val="009362E7"/>
    <w:rsid w:val="00945EB0"/>
    <w:rsid w:val="009534C3"/>
    <w:rsid w:val="0096260F"/>
    <w:rsid w:val="00966C48"/>
    <w:rsid w:val="00971318"/>
    <w:rsid w:val="009779FE"/>
    <w:rsid w:val="00985B09"/>
    <w:rsid w:val="009901FB"/>
    <w:rsid w:val="00993ABE"/>
    <w:rsid w:val="00996A71"/>
    <w:rsid w:val="00996E65"/>
    <w:rsid w:val="00996F0C"/>
    <w:rsid w:val="009A2DBC"/>
    <w:rsid w:val="009A3ACC"/>
    <w:rsid w:val="009B6585"/>
    <w:rsid w:val="009B7F50"/>
    <w:rsid w:val="009C353C"/>
    <w:rsid w:val="009C7103"/>
    <w:rsid w:val="009D3438"/>
    <w:rsid w:val="009E5048"/>
    <w:rsid w:val="009F2C62"/>
    <w:rsid w:val="009F39C7"/>
    <w:rsid w:val="009F6047"/>
    <w:rsid w:val="00A02635"/>
    <w:rsid w:val="00A10CCD"/>
    <w:rsid w:val="00A11F37"/>
    <w:rsid w:val="00A146EE"/>
    <w:rsid w:val="00A208F7"/>
    <w:rsid w:val="00A21B0B"/>
    <w:rsid w:val="00A248D4"/>
    <w:rsid w:val="00A251F7"/>
    <w:rsid w:val="00A2600D"/>
    <w:rsid w:val="00A2605D"/>
    <w:rsid w:val="00A26FEA"/>
    <w:rsid w:val="00A3255B"/>
    <w:rsid w:val="00A34747"/>
    <w:rsid w:val="00A37EEA"/>
    <w:rsid w:val="00A44B8A"/>
    <w:rsid w:val="00A543C9"/>
    <w:rsid w:val="00A55A7C"/>
    <w:rsid w:val="00A56E72"/>
    <w:rsid w:val="00A570BB"/>
    <w:rsid w:val="00A61515"/>
    <w:rsid w:val="00A6161B"/>
    <w:rsid w:val="00A6193B"/>
    <w:rsid w:val="00A633E8"/>
    <w:rsid w:val="00A67B3D"/>
    <w:rsid w:val="00A759B2"/>
    <w:rsid w:val="00A76A90"/>
    <w:rsid w:val="00A77356"/>
    <w:rsid w:val="00A8156F"/>
    <w:rsid w:val="00A8196F"/>
    <w:rsid w:val="00A81FBD"/>
    <w:rsid w:val="00A83A59"/>
    <w:rsid w:val="00A849BD"/>
    <w:rsid w:val="00A87009"/>
    <w:rsid w:val="00A95BAE"/>
    <w:rsid w:val="00AA0604"/>
    <w:rsid w:val="00AA0699"/>
    <w:rsid w:val="00AA0799"/>
    <w:rsid w:val="00AA57A2"/>
    <w:rsid w:val="00AA6275"/>
    <w:rsid w:val="00AB0637"/>
    <w:rsid w:val="00AB79B9"/>
    <w:rsid w:val="00AC2553"/>
    <w:rsid w:val="00AC6446"/>
    <w:rsid w:val="00AC6A8E"/>
    <w:rsid w:val="00AC6CF9"/>
    <w:rsid w:val="00AD756E"/>
    <w:rsid w:val="00AE1999"/>
    <w:rsid w:val="00AE60D0"/>
    <w:rsid w:val="00AF313C"/>
    <w:rsid w:val="00AF5F19"/>
    <w:rsid w:val="00B00766"/>
    <w:rsid w:val="00B0292C"/>
    <w:rsid w:val="00B1011D"/>
    <w:rsid w:val="00B134C3"/>
    <w:rsid w:val="00B206D9"/>
    <w:rsid w:val="00B20C37"/>
    <w:rsid w:val="00B401F5"/>
    <w:rsid w:val="00B52893"/>
    <w:rsid w:val="00B53EDA"/>
    <w:rsid w:val="00B55BD4"/>
    <w:rsid w:val="00B5638E"/>
    <w:rsid w:val="00B66229"/>
    <w:rsid w:val="00B66B24"/>
    <w:rsid w:val="00B746FB"/>
    <w:rsid w:val="00B762A8"/>
    <w:rsid w:val="00B83BFC"/>
    <w:rsid w:val="00B84221"/>
    <w:rsid w:val="00B84EE7"/>
    <w:rsid w:val="00B87032"/>
    <w:rsid w:val="00B87EEA"/>
    <w:rsid w:val="00B9399F"/>
    <w:rsid w:val="00BA12A4"/>
    <w:rsid w:val="00BA2D6D"/>
    <w:rsid w:val="00BA41C7"/>
    <w:rsid w:val="00BB2BC5"/>
    <w:rsid w:val="00BB3FF5"/>
    <w:rsid w:val="00BB4105"/>
    <w:rsid w:val="00BB565D"/>
    <w:rsid w:val="00BC09E3"/>
    <w:rsid w:val="00BC7A3E"/>
    <w:rsid w:val="00BD1A3D"/>
    <w:rsid w:val="00BD270F"/>
    <w:rsid w:val="00BD304E"/>
    <w:rsid w:val="00BD5DD1"/>
    <w:rsid w:val="00BE317A"/>
    <w:rsid w:val="00BE4924"/>
    <w:rsid w:val="00BE7B7E"/>
    <w:rsid w:val="00BF0494"/>
    <w:rsid w:val="00BF4FCF"/>
    <w:rsid w:val="00C04AC9"/>
    <w:rsid w:val="00C05870"/>
    <w:rsid w:val="00C10E03"/>
    <w:rsid w:val="00C20F17"/>
    <w:rsid w:val="00C22C24"/>
    <w:rsid w:val="00C2497F"/>
    <w:rsid w:val="00C33A2A"/>
    <w:rsid w:val="00C33FE6"/>
    <w:rsid w:val="00C37D82"/>
    <w:rsid w:val="00C5531C"/>
    <w:rsid w:val="00C553EE"/>
    <w:rsid w:val="00C60663"/>
    <w:rsid w:val="00C65316"/>
    <w:rsid w:val="00C65840"/>
    <w:rsid w:val="00C72FB0"/>
    <w:rsid w:val="00C73A36"/>
    <w:rsid w:val="00C77138"/>
    <w:rsid w:val="00C775C2"/>
    <w:rsid w:val="00C8011F"/>
    <w:rsid w:val="00C80EAF"/>
    <w:rsid w:val="00C8449D"/>
    <w:rsid w:val="00C935A2"/>
    <w:rsid w:val="00C95714"/>
    <w:rsid w:val="00C9615B"/>
    <w:rsid w:val="00C96FF4"/>
    <w:rsid w:val="00CA085C"/>
    <w:rsid w:val="00CA0A7D"/>
    <w:rsid w:val="00CA4DF5"/>
    <w:rsid w:val="00CA50C5"/>
    <w:rsid w:val="00CA740C"/>
    <w:rsid w:val="00CA7BCD"/>
    <w:rsid w:val="00CB0E3C"/>
    <w:rsid w:val="00CB783D"/>
    <w:rsid w:val="00CC22A3"/>
    <w:rsid w:val="00CC6149"/>
    <w:rsid w:val="00CC6B20"/>
    <w:rsid w:val="00CC6C39"/>
    <w:rsid w:val="00CC74D1"/>
    <w:rsid w:val="00CD0EE4"/>
    <w:rsid w:val="00CD1F90"/>
    <w:rsid w:val="00CD45FD"/>
    <w:rsid w:val="00CD56FD"/>
    <w:rsid w:val="00CD58FB"/>
    <w:rsid w:val="00CD7CD4"/>
    <w:rsid w:val="00CE63B3"/>
    <w:rsid w:val="00CF012B"/>
    <w:rsid w:val="00CF29F5"/>
    <w:rsid w:val="00CF46BF"/>
    <w:rsid w:val="00CF7DFE"/>
    <w:rsid w:val="00D00A5E"/>
    <w:rsid w:val="00D03A33"/>
    <w:rsid w:val="00D07A74"/>
    <w:rsid w:val="00D1137C"/>
    <w:rsid w:val="00D1352A"/>
    <w:rsid w:val="00D175BE"/>
    <w:rsid w:val="00D20D9B"/>
    <w:rsid w:val="00D22522"/>
    <w:rsid w:val="00D25885"/>
    <w:rsid w:val="00D278EB"/>
    <w:rsid w:val="00D27BC5"/>
    <w:rsid w:val="00D5125A"/>
    <w:rsid w:val="00D55618"/>
    <w:rsid w:val="00D61349"/>
    <w:rsid w:val="00D63709"/>
    <w:rsid w:val="00D63A4A"/>
    <w:rsid w:val="00D64814"/>
    <w:rsid w:val="00D7116D"/>
    <w:rsid w:val="00D71A6C"/>
    <w:rsid w:val="00D8417A"/>
    <w:rsid w:val="00D85174"/>
    <w:rsid w:val="00D9062D"/>
    <w:rsid w:val="00D90962"/>
    <w:rsid w:val="00D92088"/>
    <w:rsid w:val="00D9751C"/>
    <w:rsid w:val="00D97EC8"/>
    <w:rsid w:val="00DA41E8"/>
    <w:rsid w:val="00DB1037"/>
    <w:rsid w:val="00DB2461"/>
    <w:rsid w:val="00DB5691"/>
    <w:rsid w:val="00DB6EC4"/>
    <w:rsid w:val="00DC1C84"/>
    <w:rsid w:val="00DC7009"/>
    <w:rsid w:val="00DC71ED"/>
    <w:rsid w:val="00DD0071"/>
    <w:rsid w:val="00DD2944"/>
    <w:rsid w:val="00DD3C97"/>
    <w:rsid w:val="00DD54F3"/>
    <w:rsid w:val="00DE2E08"/>
    <w:rsid w:val="00DE37B5"/>
    <w:rsid w:val="00DE63E3"/>
    <w:rsid w:val="00DE78D7"/>
    <w:rsid w:val="00E0515D"/>
    <w:rsid w:val="00E11140"/>
    <w:rsid w:val="00E1178C"/>
    <w:rsid w:val="00E12A5F"/>
    <w:rsid w:val="00E15125"/>
    <w:rsid w:val="00E1619B"/>
    <w:rsid w:val="00E16B0A"/>
    <w:rsid w:val="00E21441"/>
    <w:rsid w:val="00E21741"/>
    <w:rsid w:val="00E23E9F"/>
    <w:rsid w:val="00E311EC"/>
    <w:rsid w:val="00E40F8A"/>
    <w:rsid w:val="00E432A8"/>
    <w:rsid w:val="00E44B2C"/>
    <w:rsid w:val="00E45485"/>
    <w:rsid w:val="00E479C5"/>
    <w:rsid w:val="00E518D9"/>
    <w:rsid w:val="00E57DD6"/>
    <w:rsid w:val="00E712D5"/>
    <w:rsid w:val="00E716E4"/>
    <w:rsid w:val="00E71FBF"/>
    <w:rsid w:val="00E772C4"/>
    <w:rsid w:val="00E82F08"/>
    <w:rsid w:val="00E83AA0"/>
    <w:rsid w:val="00E84766"/>
    <w:rsid w:val="00E86352"/>
    <w:rsid w:val="00E94E75"/>
    <w:rsid w:val="00EA50D1"/>
    <w:rsid w:val="00EA673E"/>
    <w:rsid w:val="00EA7C0D"/>
    <w:rsid w:val="00EB03E1"/>
    <w:rsid w:val="00EB0F4A"/>
    <w:rsid w:val="00EB5E11"/>
    <w:rsid w:val="00EB5EB5"/>
    <w:rsid w:val="00EC01A6"/>
    <w:rsid w:val="00ED5251"/>
    <w:rsid w:val="00EE1BE6"/>
    <w:rsid w:val="00EE21BA"/>
    <w:rsid w:val="00EE3C13"/>
    <w:rsid w:val="00EF47DF"/>
    <w:rsid w:val="00EF5040"/>
    <w:rsid w:val="00EF6303"/>
    <w:rsid w:val="00F009AB"/>
    <w:rsid w:val="00F0359A"/>
    <w:rsid w:val="00F053E2"/>
    <w:rsid w:val="00F05FD0"/>
    <w:rsid w:val="00F10197"/>
    <w:rsid w:val="00F108F0"/>
    <w:rsid w:val="00F1432D"/>
    <w:rsid w:val="00F14BBC"/>
    <w:rsid w:val="00F223E9"/>
    <w:rsid w:val="00F2296D"/>
    <w:rsid w:val="00F2337A"/>
    <w:rsid w:val="00F357CE"/>
    <w:rsid w:val="00F37D27"/>
    <w:rsid w:val="00F4101E"/>
    <w:rsid w:val="00F60D60"/>
    <w:rsid w:val="00F67E1C"/>
    <w:rsid w:val="00F73613"/>
    <w:rsid w:val="00F74363"/>
    <w:rsid w:val="00F77151"/>
    <w:rsid w:val="00F806C9"/>
    <w:rsid w:val="00F84503"/>
    <w:rsid w:val="00F849E3"/>
    <w:rsid w:val="00F85313"/>
    <w:rsid w:val="00F8726C"/>
    <w:rsid w:val="00F94D03"/>
    <w:rsid w:val="00FA383D"/>
    <w:rsid w:val="00FA78F7"/>
    <w:rsid w:val="00FA7BE0"/>
    <w:rsid w:val="00FB06CC"/>
    <w:rsid w:val="00FC0125"/>
    <w:rsid w:val="00FC1253"/>
    <w:rsid w:val="00FC23A3"/>
    <w:rsid w:val="00FD1F2D"/>
    <w:rsid w:val="00FD33D4"/>
    <w:rsid w:val="00FD4606"/>
    <w:rsid w:val="00FD4C62"/>
    <w:rsid w:val="00FD665A"/>
    <w:rsid w:val="00FE7B5F"/>
    <w:rsid w:val="00FF2B67"/>
    <w:rsid w:val="00FF3896"/>
    <w:rsid w:val="00FF49EE"/>
    <w:rsid w:val="00FF4CA8"/>
    <w:rsid w:val="00FF7FDE"/>
    <w:rsid w:val="015D4B15"/>
    <w:rsid w:val="02732875"/>
    <w:rsid w:val="0619090A"/>
    <w:rsid w:val="061E175F"/>
    <w:rsid w:val="089339DB"/>
    <w:rsid w:val="094B0229"/>
    <w:rsid w:val="0A621137"/>
    <w:rsid w:val="0E9F2A4D"/>
    <w:rsid w:val="13B83648"/>
    <w:rsid w:val="15FA0CAA"/>
    <w:rsid w:val="186B66C7"/>
    <w:rsid w:val="18D57180"/>
    <w:rsid w:val="198C727E"/>
    <w:rsid w:val="19FA5532"/>
    <w:rsid w:val="20207DEE"/>
    <w:rsid w:val="27C22525"/>
    <w:rsid w:val="317B6991"/>
    <w:rsid w:val="33A373E1"/>
    <w:rsid w:val="3AC75471"/>
    <w:rsid w:val="3BA72627"/>
    <w:rsid w:val="3CF340EB"/>
    <w:rsid w:val="3CF56AA9"/>
    <w:rsid w:val="41A771E2"/>
    <w:rsid w:val="5B837BFC"/>
    <w:rsid w:val="684A6627"/>
    <w:rsid w:val="6DCC4E6C"/>
    <w:rsid w:val="752B0C21"/>
    <w:rsid w:val="75AD42EB"/>
    <w:rsid w:val="7A133232"/>
    <w:rsid w:val="7CA215B0"/>
    <w:rsid w:val="7EF631F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lang w:val="en-US" w:eastAsia="zh-CN" w:bidi="ar-SA"/>
    </w:rPr>
  </w:style>
  <w:style w:type="paragraph" w:styleId="2">
    <w:name w:val="heading 1"/>
    <w:basedOn w:val="1"/>
    <w:next w:val="1"/>
    <w:qFormat/>
    <w:locked/>
    <w:uiPriority w:val="9"/>
    <w:pPr>
      <w:keepNext/>
      <w:keepLines/>
      <w:spacing w:line="480" w:lineRule="auto"/>
      <w:ind w:firstLine="100" w:firstLineChars="100"/>
      <w:jc w:val="left"/>
      <w:outlineLvl w:val="0"/>
    </w:pPr>
    <w:rPr>
      <w:b/>
      <w:bCs/>
      <w:kern w:val="44"/>
      <w:sz w:val="28"/>
      <w:szCs w:val="44"/>
    </w:rPr>
  </w:style>
  <w:style w:type="paragraph" w:styleId="3">
    <w:name w:val="heading 2"/>
    <w:basedOn w:val="1"/>
    <w:next w:val="1"/>
    <w:unhideWhenUsed/>
    <w:qFormat/>
    <w:locked/>
    <w:uiPriority w:val="9"/>
    <w:pPr>
      <w:keepNext/>
      <w:keepLines/>
      <w:spacing w:line="360" w:lineRule="auto"/>
      <w:ind w:right="210" w:rightChars="100" w:firstLine="560" w:firstLineChars="200"/>
      <w:jc w:val="left"/>
      <w:outlineLvl w:val="1"/>
    </w:pPr>
    <w:rPr>
      <w:rFonts w:asciiTheme="majorHAnsi" w:hAnsiTheme="majorHAnsi" w:eastAsiaTheme="majorEastAsia" w:cstheme="majorBidi"/>
      <w:bCs/>
      <w:sz w:val="24"/>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qFormat/>
    <w:uiPriority w:val="99"/>
    <w:rPr>
      <w:sz w:val="18"/>
      <w:szCs w:val="18"/>
    </w:rPr>
  </w:style>
  <w:style w:type="paragraph" w:styleId="5">
    <w:name w:val="footer"/>
    <w:basedOn w:val="1"/>
    <w:link w:val="10"/>
    <w:qFormat/>
    <w:uiPriority w:val="99"/>
    <w:pPr>
      <w:tabs>
        <w:tab w:val="center" w:pos="4153"/>
        <w:tab w:val="right" w:pos="8299"/>
      </w:tabs>
      <w:jc w:val="left"/>
    </w:pPr>
    <w:rPr>
      <w:kern w:val="1"/>
      <w:sz w:val="18"/>
    </w:rPr>
  </w:style>
  <w:style w:type="paragraph" w:styleId="6">
    <w:name w:val="header"/>
    <w:basedOn w:val="1"/>
    <w:link w:val="11"/>
    <w:qFormat/>
    <w:uiPriority w:val="99"/>
    <w:pPr>
      <w:pBdr>
        <w:bottom w:val="single" w:color="000000" w:sz="6" w:space="1"/>
      </w:pBdr>
      <w:tabs>
        <w:tab w:val="center" w:pos="4153"/>
        <w:tab w:val="right" w:pos="8299"/>
      </w:tabs>
      <w:jc w:val="center"/>
    </w:pPr>
    <w:rPr>
      <w:kern w:val="1"/>
      <w:sz w:val="18"/>
    </w:rPr>
  </w:style>
  <w:style w:type="table" w:styleId="8">
    <w:name w:val="Table Grid"/>
    <w:basedOn w:val="7"/>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页脚 Char"/>
    <w:basedOn w:val="9"/>
    <w:link w:val="5"/>
    <w:qFormat/>
    <w:locked/>
    <w:uiPriority w:val="99"/>
    <w:rPr>
      <w:rFonts w:ascii="Times New Roman" w:hAnsi="Times New Roman" w:eastAsia="宋体" w:cs="Times New Roman"/>
      <w:color w:val="000000"/>
      <w:kern w:val="1"/>
      <w:sz w:val="20"/>
      <w:szCs w:val="20"/>
    </w:rPr>
  </w:style>
  <w:style w:type="character" w:customStyle="1" w:styleId="11">
    <w:name w:val="页眉 Char"/>
    <w:basedOn w:val="9"/>
    <w:link w:val="6"/>
    <w:qFormat/>
    <w:locked/>
    <w:uiPriority w:val="99"/>
    <w:rPr>
      <w:rFonts w:ascii="Times New Roman" w:hAnsi="Times New Roman" w:eastAsia="宋体" w:cs="Times New Roman"/>
      <w:color w:val="000000"/>
      <w:kern w:val="1"/>
      <w:sz w:val="20"/>
      <w:szCs w:val="20"/>
    </w:rPr>
  </w:style>
  <w:style w:type="character" w:customStyle="1" w:styleId="12">
    <w:name w:val="批注框文本 Char"/>
    <w:basedOn w:val="9"/>
    <w:link w:val="4"/>
    <w:semiHidden/>
    <w:qFormat/>
    <w:locked/>
    <w:uiPriority w:val="99"/>
    <w:rPr>
      <w:rFonts w:ascii="Times New Roman" w:hAnsi="Times New Roman" w:eastAsia="宋体" w:cs="Times New Roman"/>
      <w:color w:val="000000"/>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7891</Words>
  <Characters>8881</Characters>
  <Lines>29</Lines>
  <Paragraphs>8</Paragraphs>
  <TotalTime>3</TotalTime>
  <ScaleCrop>false</ScaleCrop>
  <LinksUpToDate>false</LinksUpToDate>
  <CharactersWithSpaces>9622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2022-02-22T07:27:00Z</dcterms:created>
  <dc:creator>张余乾</dc:creator>
  <cp:lastModifiedBy>清风细雨</cp:lastModifiedBy>
  <dcterms:modified xsi:type="dcterms:W3CDTF">2026-06-11T02:28:32Z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eyJoZGlkIjoiOTFjNDVkOTBjYzRiMWFmM2FiYTE2ZGVjMjRhY2FkMDgiLCJ1c2VySWQiOiI1MDg4MjgyNjQifQ==</vt:lpwstr>
  </property>
  <property fmtid="{D5CDD505-2E9C-101B-9397-08002B2CF9AE}" pid="3" name="KSOProductBuildVer">
    <vt:lpwstr>2052-12.1.0.26895</vt:lpwstr>
  </property>
  <property fmtid="{D5CDD505-2E9C-101B-9397-08002B2CF9AE}" pid="4" name="ICV">
    <vt:lpwstr>62886983C2934D3EA8D425E49269A6F4_13</vt:lpwstr>
  </property>
</Properties>
</file>