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81211">
      <w:pPr>
        <w:rPr>
          <w:b/>
          <w:kern w:val="1"/>
          <w:sz w:val="32"/>
          <w:szCs w:val="32"/>
        </w:rPr>
      </w:pPr>
      <w:bookmarkStart w:id="44" w:name="_GoBack"/>
      <w:bookmarkEnd w:id="44"/>
      <w:r>
        <w:t xml:space="preserve">   </w:t>
      </w:r>
    </w:p>
    <w:p w14:paraId="426DBE99">
      <w:pPr>
        <w:numPr>
          <w:ilvl w:val="0"/>
          <w:numId w:val="1"/>
        </w:numPr>
        <w:spacing w:line="360" w:lineRule="auto"/>
        <w:rPr>
          <w:b/>
          <w:caps/>
          <w:sz w:val="24"/>
        </w:rPr>
      </w:pPr>
      <w:r>
        <w:rPr>
          <w:rFonts w:hint="eastAsia"/>
          <w:b/>
          <w:caps/>
          <w:sz w:val="24"/>
        </w:rPr>
        <w:t>总则</w:t>
      </w:r>
      <w:r>
        <w:rPr>
          <w:b/>
          <w:caps/>
          <w:sz w:val="24"/>
        </w:rPr>
        <w:t xml:space="preserve"> </w:t>
      </w:r>
    </w:p>
    <w:p w14:paraId="1E2B7840">
      <w:pPr>
        <w:numPr>
          <w:ilvl w:val="0"/>
          <w:numId w:val="0"/>
        </w:numPr>
        <w:spacing w:line="360" w:lineRule="auto"/>
        <w:ind w:firstLine="210" w:firstLineChars="100"/>
        <w:rPr>
          <w:rFonts w:hint="eastAsia"/>
        </w:rPr>
      </w:pPr>
      <w:r>
        <w:rPr>
          <w:rFonts w:hint="eastAsia"/>
        </w:rPr>
        <w:t>1.1概述</w:t>
      </w:r>
    </w:p>
    <w:p w14:paraId="07203E3B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本气体检测系统（以下简称GDS）</w:t>
      </w:r>
      <w:r>
        <w:rPr>
          <w:rFonts w:hint="eastAsia" w:ascii="宋体" w:hAnsi="宋体"/>
          <w:sz w:val="24"/>
          <w:szCs w:val="24"/>
          <w:lang w:val="en-US" w:eastAsia="zh-CN"/>
        </w:rPr>
        <w:t>采购技术说明</w:t>
      </w:r>
      <w:r>
        <w:rPr>
          <w:rFonts w:hint="eastAsia" w:ascii="宋体" w:hAnsi="宋体" w:eastAsia="宋体"/>
          <w:sz w:val="24"/>
          <w:szCs w:val="24"/>
        </w:rPr>
        <w:t>是为江苏</w:t>
      </w:r>
      <w:r>
        <w:rPr>
          <w:rFonts w:hint="eastAsia" w:ascii="宋体" w:hAnsi="宋体"/>
          <w:sz w:val="24"/>
          <w:szCs w:val="24"/>
          <w:lang w:val="en-US" w:eastAsia="zh-CN"/>
        </w:rPr>
        <w:t>索</w:t>
      </w:r>
      <w:r>
        <w:rPr>
          <w:rFonts w:hint="eastAsia" w:ascii="宋体" w:hAnsi="宋体" w:eastAsia="宋体"/>
          <w:sz w:val="24"/>
          <w:szCs w:val="24"/>
        </w:rPr>
        <w:t>普新材料科技有限公司醋酸乙烯及EVA一体化项目(一期工程)硫酸装置和空分装置编制的。</w:t>
      </w:r>
    </w:p>
    <w:p w14:paraId="7B000F55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</w:t>
      </w:r>
      <w:r>
        <w:rPr>
          <w:rFonts w:hint="eastAsia" w:ascii="宋体" w:hAnsi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是订货合同的基础文件之一，经双方确认签字后可作为合同技术附件。</w:t>
      </w:r>
    </w:p>
    <w:p w14:paraId="4C592F08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</w:t>
      </w:r>
      <w:r>
        <w:rPr>
          <w:rFonts w:hint="eastAsia" w:ascii="宋体" w:hAnsi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对项目的GDS在系统配置、系统功能、技术性能等方面提出需要的技术规格，对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的供货范围、技术服务、工程项目实施等提出要求。</w:t>
      </w:r>
    </w:p>
    <w:p w14:paraId="002F4DA1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/>
          <w:b w:val="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</w:t>
      </w:r>
      <w:r>
        <w:rPr>
          <w:rFonts w:hint="eastAsia" w:ascii="宋体" w:hAnsi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是最低限度要求，并未对一切细节做详细规定，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应保证提供符合本</w:t>
      </w:r>
      <w:r>
        <w:rPr>
          <w:rFonts w:hint="eastAsia" w:ascii="宋体" w:hAnsi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和最新技术标准的产品。对</w:t>
      </w:r>
      <w:r>
        <w:rPr>
          <w:rFonts w:hint="eastAsia" w:ascii="宋体" w:hAnsi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中未提及的，但为实现系统技术性能和系统完整又是需要的系统配置和有关附件，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有责任向</w:t>
      </w: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提出建议，提供完善的系统配置。</w:t>
      </w:r>
    </w:p>
    <w:p w14:paraId="42D2B434">
      <w:pPr>
        <w:numPr>
          <w:ilvl w:val="0"/>
          <w:numId w:val="0"/>
        </w:numPr>
        <w:spacing w:line="360" w:lineRule="auto"/>
        <w:ind w:firstLine="210" w:firstLineChars="100"/>
        <w:rPr>
          <w:rFonts w:hint="eastAsia" w:ascii="宋体" w:hAnsi="宋体" w:eastAsia="宋体"/>
          <w:b w:val="0"/>
          <w:sz w:val="24"/>
          <w:szCs w:val="24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</w:t>
      </w:r>
      <w:r>
        <w:rPr>
          <w:rFonts w:hint="eastAsia"/>
          <w:highlight w:val="none"/>
          <w:lang w:eastAsia="zh-CN"/>
        </w:rPr>
        <w:t>供货方</w:t>
      </w:r>
      <w:r>
        <w:rPr>
          <w:rFonts w:hint="eastAsia"/>
        </w:rPr>
        <w:t>的责任</w:t>
      </w:r>
      <w:r>
        <w:rPr>
          <w:rFonts w:hint="eastAsia" w:ascii="宋体" w:hAnsi="宋体" w:eastAsia="宋体"/>
          <w:b w:val="0"/>
          <w:sz w:val="24"/>
          <w:szCs w:val="24"/>
        </w:rPr>
        <w:t xml:space="preserve"> </w:t>
      </w:r>
    </w:p>
    <w:p w14:paraId="37FA44AC">
      <w:pPr>
        <w:ind w:firstLine="480" w:firstLineChars="200"/>
        <w:rPr>
          <w:rFonts w:hint="eastAsia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对所提供的硬件（包括所集成的其它设备）、软件、技术服务、工程服务、技术培训、软件组态、系统集成、包装运输、开箱检验、安装指导、现场测试、系统验收，直至整套系统投运等各个环节负有完全责任。</w:t>
      </w:r>
    </w:p>
    <w:p w14:paraId="179EEE09">
      <w:pPr>
        <w:ind w:firstLine="210" w:firstLineChars="10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bookmarkStart w:id="0" w:name="_Toc155942750"/>
      <w:bookmarkStart w:id="1" w:name="_Toc156209043"/>
      <w:r>
        <w:rPr>
          <w:rFonts w:hint="eastAsia"/>
        </w:rPr>
        <w:t>对</w:t>
      </w:r>
      <w:r>
        <w:rPr>
          <w:rFonts w:hint="eastAsia"/>
          <w:lang w:val="en-US" w:eastAsia="zh-CN"/>
        </w:rPr>
        <w:t>供应</w:t>
      </w:r>
      <w:r>
        <w:rPr>
          <w:rFonts w:hint="eastAsia"/>
        </w:rPr>
        <w:t>文件的要求</w:t>
      </w:r>
      <w:bookmarkEnd w:id="0"/>
      <w:bookmarkEnd w:id="1"/>
    </w:p>
    <w:p w14:paraId="6ED1F4F4"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1.3.1 </w:t>
      </w:r>
      <w:bookmarkStart w:id="2" w:name="_Toc156209044"/>
      <w:r>
        <w:rPr>
          <w:rFonts w:hint="eastAsia" w:ascii="宋体" w:hAnsi="宋体" w:eastAsia="宋体"/>
          <w:bCs/>
          <w:sz w:val="24"/>
          <w:szCs w:val="24"/>
        </w:rPr>
        <w:t>对系统配置的要求</w:t>
      </w:r>
      <w:bookmarkEnd w:id="2"/>
    </w:p>
    <w:p w14:paraId="5BC68B0B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</w:t>
      </w:r>
      <w:r>
        <w:rPr>
          <w:rFonts w:hint="eastAsia" w:ascii="宋体" w:hAnsi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规定的系统配置规模、规格指标是基本要求。请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根据这些基本要求配置成熟的主流设备和软件版本，提供良好的项目技术交流服务，据此做出性能、价格最合适的报价。除已特殊说明的条款外，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技术文件必须符合</w:t>
      </w:r>
      <w:r>
        <w:rPr>
          <w:rFonts w:hint="eastAsia" w:ascii="宋体" w:hAnsi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所列的供货范围、技术规格、技术指标和原则。</w:t>
      </w:r>
    </w:p>
    <w:p w14:paraId="7B449F9A">
      <w:pPr>
        <w:pStyle w:val="2"/>
        <w:spacing w:line="400" w:lineRule="exact"/>
        <w:ind w:left="0" w:leftChars="0" w:right="535" w:rightChars="255" w:firstLine="480" w:firstLineChars="200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在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技术文件中所提供的GDS的系统配置，无论是硬件、软件都必须是完整无缺项的。无论何时发现缺陷、漏项，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方都必须无偿补足。</w:t>
      </w:r>
    </w:p>
    <w:p w14:paraId="073BAA19">
      <w:pPr>
        <w:pStyle w:val="3"/>
        <w:ind w:left="0" w:leftChars="0" w:firstLine="480" w:firstLineChars="200"/>
        <w:rPr>
          <w:rFonts w:hint="eastAsia"/>
          <w:b w:val="0"/>
          <w:bCs w:val="0"/>
          <w:sz w:val="21"/>
          <w:szCs w:val="21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/>
          <w:sz w:val="24"/>
          <w:szCs w:val="24"/>
        </w:rPr>
        <w:t>方对技术文件的确认并不能免除或减轻供货方的责任。</w:t>
      </w:r>
    </w:p>
    <w:p w14:paraId="58B8686B">
      <w:pPr>
        <w:pStyle w:val="2"/>
        <w:spacing w:line="400" w:lineRule="exact"/>
        <w:ind w:left="0" w:leftChars="0" w:right="535" w:rightChars="255" w:firstLine="420" w:firstLineChars="200"/>
        <w:rPr>
          <w:rFonts w:hint="eastAsia" w:ascii="宋体" w:hAnsi="宋体" w:eastAsia="宋体"/>
          <w:b w:val="0"/>
          <w:sz w:val="21"/>
          <w:szCs w:val="21"/>
        </w:rPr>
      </w:pPr>
      <w:r>
        <w:rPr>
          <w:rFonts w:hint="eastAsia" w:ascii="宋体" w:hAnsi="宋体" w:eastAsia="宋体"/>
          <w:b w:val="0"/>
          <w:sz w:val="21"/>
          <w:szCs w:val="21"/>
        </w:rPr>
        <w:t>1.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/>
          <w:b w:val="0"/>
          <w:sz w:val="21"/>
          <w:szCs w:val="21"/>
        </w:rPr>
        <w:t>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/>
          <w:b w:val="0"/>
          <w:sz w:val="21"/>
          <w:szCs w:val="21"/>
        </w:rPr>
        <w:t xml:space="preserve"> </w:t>
      </w:r>
      <w:bookmarkStart w:id="3" w:name="_Toc156209045"/>
      <w:r>
        <w:rPr>
          <w:rFonts w:hint="eastAsia" w:ascii="宋体" w:hAnsi="宋体"/>
          <w:b w:val="0"/>
          <w:sz w:val="21"/>
          <w:szCs w:val="21"/>
          <w:lang w:val="en-US" w:eastAsia="zh-CN"/>
        </w:rPr>
        <w:t>供应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技术文件中的歧义</w:t>
      </w:r>
      <w:bookmarkEnd w:id="3"/>
    </w:p>
    <w:p w14:paraId="4ACB110B">
      <w:pPr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如果最终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技术文件中的条款、技术规格、数字等出现前后不一致或互相矛盾之处，原则上以对</w:t>
      </w: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有利的条款、技术规格、数字为准。</w:t>
      </w:r>
    </w:p>
    <w:p w14:paraId="48EE0E65">
      <w:pPr>
        <w:ind w:firstLine="420" w:firstLineChars="200"/>
        <w:rPr>
          <w:rFonts w:hint="eastAsia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b w:val="0"/>
          <w:sz w:val="21"/>
          <w:szCs w:val="21"/>
        </w:rPr>
        <w:t>1.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/>
          <w:b w:val="0"/>
          <w:sz w:val="21"/>
          <w:szCs w:val="21"/>
        </w:rPr>
        <w:t>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 xml:space="preserve">3 </w:t>
      </w:r>
      <w:bookmarkStart w:id="4" w:name="_Toc156209046"/>
      <w:r>
        <w:rPr>
          <w:rFonts w:hint="eastAsia" w:ascii="宋体" w:hAnsi="宋体"/>
          <w:bCs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bCs/>
          <w:sz w:val="24"/>
          <w:szCs w:val="24"/>
        </w:rPr>
        <w:t>技术文件与</w:t>
      </w:r>
      <w:r>
        <w:rPr>
          <w:rFonts w:hint="eastAsia" w:ascii="宋体" w:hAnsi="宋体"/>
          <w:bCs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bCs/>
          <w:sz w:val="24"/>
          <w:szCs w:val="24"/>
        </w:rPr>
        <w:t>的差异</w:t>
      </w:r>
      <w:bookmarkEnd w:id="4"/>
      <w:r>
        <w:rPr>
          <w:rFonts w:hint="eastAsia" w:ascii="宋体" w:hAnsi="宋体"/>
          <w:b w:val="0"/>
          <w:sz w:val="21"/>
          <w:szCs w:val="21"/>
          <w:lang w:val="en-US" w:eastAsia="zh-CN"/>
        </w:rPr>
        <w:t xml:space="preserve"> </w:t>
      </w:r>
    </w:p>
    <w:p w14:paraId="1BB33377">
      <w:pPr>
        <w:ind w:firstLine="480" w:firstLineChars="200"/>
        <w:rPr>
          <w:rFonts w:hint="eastAsia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在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技术文件中所提供的设备的技术规格中，若有不满足</w:t>
      </w:r>
      <w:r>
        <w:rPr>
          <w:rFonts w:hint="eastAsia" w:ascii="宋体" w:hAnsi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要求的指标或有差别的地方，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必须在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技术文件中明确说明。否则，以后由此产生的问题（不论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文件是否被确认）均由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负责。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技术文件必须对替代方案进行明确说明。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技术文件可根据对</w:t>
      </w:r>
      <w:r>
        <w:rPr>
          <w:rFonts w:hint="eastAsia" w:ascii="宋体" w:hAnsi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的理解和系统的特点，提出更好的建议方案，可作为选择方案单列报价。</w:t>
      </w:r>
    </w:p>
    <w:p w14:paraId="5BEF74EC">
      <w:pPr>
        <w:ind w:firstLine="420" w:firstLineChars="200"/>
        <w:rPr>
          <w:rFonts w:hint="eastAsia" w:ascii="宋体" w:hAnsi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sz w:val="21"/>
          <w:szCs w:val="21"/>
        </w:rPr>
        <w:t>1.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/>
          <w:b w:val="0"/>
          <w:sz w:val="21"/>
          <w:szCs w:val="21"/>
        </w:rPr>
        <w:t>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 xml:space="preserve">4 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bCs/>
          <w:sz w:val="24"/>
          <w:szCs w:val="24"/>
        </w:rPr>
        <w:t>技术文件的主要内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容</w:t>
      </w:r>
    </w:p>
    <w:p w14:paraId="229C2475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技术文件应包括：</w:t>
      </w:r>
    </w:p>
    <w:p w14:paraId="6461C5E4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及制造厂商简介；</w:t>
      </w:r>
    </w:p>
    <w:p w14:paraId="6BEB7D7B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－技术说明（对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系统的技术特点做详细说明，以便</w:t>
      </w: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做出最终评价）；</w:t>
      </w:r>
    </w:p>
    <w:p w14:paraId="22660850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－系统配置及功能说明；</w:t>
      </w:r>
    </w:p>
    <w:p w14:paraId="5FE73A42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－机柜配置图（含外形尺寸、颜色、重量等）；</w:t>
      </w:r>
    </w:p>
    <w:p w14:paraId="09757E6B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－硬件设备清单（要详细写明名称、规格、型号、功能、产品系列号、样本编号、数量等）；推荐的和可选择的硬件设备清单；</w:t>
      </w:r>
    </w:p>
    <w:p w14:paraId="19B3C09D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－系统配备的软件清单（要详细写明名称、规格、型号、功能、产品系列号、样本编号、数量等）；推荐的和可选用的软件清单；</w:t>
      </w:r>
    </w:p>
    <w:p w14:paraId="35906D82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－备品备件清单；</w:t>
      </w:r>
    </w:p>
    <w:p w14:paraId="56939B7B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－技术服务项目及保证；</w:t>
      </w:r>
    </w:p>
    <w:p w14:paraId="0375EE31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－工程项目实施内容及保证；</w:t>
      </w:r>
    </w:p>
    <w:p w14:paraId="650D45C9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－质量保证：系统质量和功能保证；系统软件成套及完整保证；系统集成设备的质量、功能及其与系统兼容性保证；</w:t>
      </w:r>
    </w:p>
    <w:p w14:paraId="24299C52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－系统集成设备配置及功能说明；</w:t>
      </w:r>
    </w:p>
    <w:p w14:paraId="7D10953D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—系统的平均无故障时间及平均修复时间；</w:t>
      </w:r>
    </w:p>
    <w:p w14:paraId="16DC3C44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—系统供电要求、最大工作电流、满负荷电流及散热量；</w:t>
      </w:r>
    </w:p>
    <w:p w14:paraId="25663C04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－其他说明。</w:t>
      </w:r>
    </w:p>
    <w:p w14:paraId="3D7CDC7D">
      <w:pPr>
        <w:ind w:firstLine="420" w:firstLineChars="200"/>
        <w:rPr>
          <w:rFonts w:hint="eastAsia" w:ascii="宋体" w:hAnsi="宋体" w:eastAsia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sz w:val="21"/>
          <w:szCs w:val="21"/>
        </w:rPr>
        <w:t>1.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/>
          <w:b w:val="0"/>
          <w:sz w:val="21"/>
          <w:szCs w:val="21"/>
        </w:rPr>
        <w:t>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 xml:space="preserve">5 </w:t>
      </w:r>
      <w:r>
        <w:rPr>
          <w:rFonts w:hint="eastAsia" w:ascii="宋体" w:hAnsi="宋体" w:eastAsia="宋体"/>
          <w:bCs/>
          <w:sz w:val="24"/>
          <w:szCs w:val="24"/>
        </w:rPr>
        <w:t>技术说明和选型样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本</w:t>
      </w:r>
    </w:p>
    <w:p w14:paraId="05FB2BB1">
      <w:pPr>
        <w:ind w:firstLine="480" w:firstLineChars="200"/>
        <w:rPr>
          <w:rFonts w:hint="eastAsia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必须提供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技术文件中所涉及的所有设备和部件、所有应用软件的详细技术规格、功能说明等资料和选型样本，否则按无效</w:t>
      </w:r>
      <w:r>
        <w:rPr>
          <w:rFonts w:hint="eastAsia" w:ascii="宋体" w:hAnsi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/>
          <w:sz w:val="24"/>
          <w:szCs w:val="24"/>
        </w:rPr>
        <w:t>对待。</w:t>
      </w:r>
    </w:p>
    <w:p w14:paraId="5BBA2769">
      <w:pPr>
        <w:ind w:firstLine="420" w:firstLineChars="200"/>
        <w:rPr>
          <w:rFonts w:hint="default" w:ascii="宋体" w:hAnsi="宋体" w:eastAsia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b w:val="0"/>
          <w:sz w:val="21"/>
          <w:szCs w:val="21"/>
        </w:rPr>
        <w:t>1.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/>
          <w:b w:val="0"/>
          <w:sz w:val="21"/>
          <w:szCs w:val="21"/>
        </w:rPr>
        <w:t>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 xml:space="preserve">6 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供应技术文件有关资料</w:t>
      </w:r>
    </w:p>
    <w:p w14:paraId="59E6B49C">
      <w:pPr>
        <w:ind w:firstLine="480" w:firstLineChars="200"/>
        <w:rPr>
          <w:rFonts w:hint="eastAsia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技术文件中还应当附加：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技术文件中使用的专用技术术语和缩写注释；使用和引用的标准及规范；对于</w:t>
      </w:r>
      <w:r>
        <w:rPr>
          <w:rFonts w:hint="eastAsia" w:ascii="宋体" w:hAnsi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/>
          <w:sz w:val="24"/>
          <w:szCs w:val="24"/>
        </w:rPr>
        <w:t>方不了解的标准及规范，必要时还应附加标准全文。</w:t>
      </w:r>
    </w:p>
    <w:p w14:paraId="43A5598F">
      <w:pPr>
        <w:ind w:firstLine="420" w:firstLineChars="200"/>
        <w:rPr>
          <w:rFonts w:hint="eastAsia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b w:val="0"/>
          <w:sz w:val="21"/>
          <w:szCs w:val="21"/>
        </w:rPr>
        <w:t>1.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/>
          <w:b w:val="0"/>
          <w:sz w:val="21"/>
          <w:szCs w:val="21"/>
        </w:rPr>
        <w:t>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7 报价形式</w:t>
      </w:r>
    </w:p>
    <w:p w14:paraId="05DF7796">
      <w:pPr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报价货币为人民币，交货地点为：用户现场。</w:t>
      </w:r>
    </w:p>
    <w:p w14:paraId="0AE4DB26">
      <w:pPr>
        <w:ind w:firstLine="420" w:firstLineChars="200"/>
        <w:rPr>
          <w:rFonts w:hint="default" w:ascii="宋体" w:hAnsi="宋体" w:eastAsia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b w:val="0"/>
          <w:sz w:val="21"/>
          <w:szCs w:val="21"/>
        </w:rPr>
        <w:t>1.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/>
          <w:b w:val="0"/>
          <w:sz w:val="21"/>
          <w:szCs w:val="21"/>
        </w:rPr>
        <w:t>.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8 供应的送达</w:t>
      </w:r>
    </w:p>
    <w:p w14:paraId="4A12D7C1">
      <w:pPr>
        <w:ind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请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方在收到本</w:t>
      </w:r>
      <w:r>
        <w:rPr>
          <w:rFonts w:hint="eastAsia" w:ascii="宋体" w:hAnsi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后1周内将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技术文件送（或寄）到</w:t>
      </w:r>
      <w:r>
        <w:rPr>
          <w:rFonts w:hint="eastAsia" w:ascii="宋体" w:hAnsi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/>
          <w:sz w:val="24"/>
          <w:szCs w:val="24"/>
        </w:rPr>
        <w:t>方。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技术文件均应为正式文件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C9695F2">
      <w:pPr>
        <w:ind w:firstLine="240" w:firstLineChars="100"/>
        <w:rPr>
          <w:rFonts w:hint="eastAsia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1.4 无效供应</w:t>
      </w:r>
      <w:r>
        <w:rPr>
          <w:rFonts w:hint="eastAsia"/>
        </w:rPr>
        <w:t xml:space="preserve"> </w:t>
      </w:r>
    </w:p>
    <w:p w14:paraId="1CD51A54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如果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技术文件不按</w:t>
      </w:r>
      <w:r>
        <w:rPr>
          <w:rFonts w:hint="eastAsia" w:ascii="宋体" w:hAnsi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技术文件的要求编制，将视为无效</w:t>
      </w:r>
      <w:r>
        <w:rPr>
          <w:rFonts w:hint="eastAsia" w:ascii="宋体" w:hAnsi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/>
          <w:sz w:val="24"/>
          <w:szCs w:val="24"/>
        </w:rPr>
        <w:t>；</w:t>
      </w:r>
    </w:p>
    <w:p w14:paraId="26838F00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如果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技术文件中有一项及以上不符合“必须”或“严禁”的条款，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文件即为作废；</w:t>
      </w:r>
    </w:p>
    <w:p w14:paraId="5D5288BD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上述情况，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方将不具备进入评审阶段和</w:t>
      </w:r>
      <w:r>
        <w:rPr>
          <w:rFonts w:hint="eastAsia" w:ascii="宋体" w:hAnsi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/>
          <w:sz w:val="24"/>
          <w:szCs w:val="24"/>
        </w:rPr>
        <w:t>的资格。</w:t>
      </w:r>
    </w:p>
    <w:p w14:paraId="67468B72">
      <w:pPr>
        <w:pStyle w:val="3"/>
        <w:ind w:left="0" w:leftChars="0" w:right="315" w:firstLine="240" w:firstLineChars="100"/>
        <w:rPr>
          <w:rFonts w:hint="eastAsia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1.5 </w:t>
      </w:r>
      <w:bookmarkStart w:id="5" w:name="_Toc156209054"/>
      <w:bookmarkStart w:id="6" w:name="_Toc155942752"/>
      <w:r>
        <w:rPr>
          <w:rFonts w:hint="eastAsia"/>
        </w:rPr>
        <w:t>关于</w:t>
      </w:r>
      <w:r>
        <w:rPr>
          <w:rFonts w:hint="eastAsia"/>
          <w:lang w:val="en-US" w:eastAsia="zh-CN"/>
        </w:rPr>
        <w:t>采购</w:t>
      </w:r>
      <w:r>
        <w:rPr>
          <w:rFonts w:hint="eastAsia"/>
        </w:rPr>
        <w:t>及</w:t>
      </w:r>
      <w:r>
        <w:rPr>
          <w:rFonts w:hint="eastAsia"/>
          <w:lang w:val="en-US" w:eastAsia="zh-CN"/>
        </w:rPr>
        <w:t>供应</w:t>
      </w:r>
      <w:r>
        <w:rPr>
          <w:rFonts w:hint="eastAsia"/>
        </w:rPr>
        <w:t>的修改</w:t>
      </w:r>
      <w:bookmarkEnd w:id="5"/>
      <w:bookmarkEnd w:id="6"/>
    </w:p>
    <w:p w14:paraId="003B8B1E">
      <w:pPr>
        <w:pStyle w:val="3"/>
        <w:ind w:left="0" w:leftChars="0" w:right="315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的要求及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内容必要时可作适当调整和修改，但不得改变重要的和实质性的内容，并且必须经过买卖双方确认。调整和修改可通过技术协调会或工程协调会的方式进行，调整和修改的原因和内容必须提交补充文件，并有正式的记录文件备案。</w:t>
      </w:r>
    </w:p>
    <w:p w14:paraId="31433553">
      <w:pPr>
        <w:ind w:firstLine="240" w:firstLineChars="1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1.6 交货期</w:t>
      </w:r>
    </w:p>
    <w:p w14:paraId="5B715B76">
      <w:pPr>
        <w:ind w:firstLine="480" w:firstLineChars="200"/>
        <w:rPr>
          <w:rFonts w:hint="eastAsia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交货期暂定为2026年7月</w:t>
      </w:r>
      <w:r>
        <w:rPr>
          <w:rFonts w:hint="eastAsia" w:ascii="宋体" w:hAnsi="宋体"/>
          <w:sz w:val="24"/>
          <w:szCs w:val="24"/>
          <w:lang w:val="en-US" w:eastAsia="zh-CN"/>
        </w:rPr>
        <w:t>15号</w:t>
      </w:r>
      <w:r>
        <w:rPr>
          <w:rFonts w:hint="eastAsia" w:ascii="宋体" w:hAnsi="宋体" w:eastAsia="宋体"/>
          <w:sz w:val="24"/>
          <w:szCs w:val="24"/>
        </w:rPr>
        <w:t>。如交货期有变化，双方应及时沟通，但必须经过</w:t>
      </w: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同意。</w:t>
      </w:r>
    </w:p>
    <w:p w14:paraId="1CA93A4F">
      <w:pPr>
        <w:rPr>
          <w:rFonts w:hint="eastAsia" w:ascii="宋体" w:hAnsi="宋体"/>
          <w:b w:val="0"/>
          <w:sz w:val="21"/>
          <w:szCs w:val="21"/>
          <w:lang w:val="en-US" w:eastAsia="zh-CN"/>
        </w:rPr>
      </w:pPr>
    </w:p>
    <w:p w14:paraId="294F8FF5">
      <w:pPr>
        <w:rPr>
          <w:rFonts w:hint="eastAsia" w:ascii="宋体" w:hAnsi="宋体"/>
          <w:b w:val="0"/>
          <w:sz w:val="21"/>
          <w:szCs w:val="21"/>
          <w:lang w:val="en-US" w:eastAsia="zh-CN"/>
        </w:rPr>
      </w:pPr>
    </w:p>
    <w:p w14:paraId="6DF69D60">
      <w:pPr>
        <w:rPr>
          <w:rFonts w:hint="eastAsia" w:ascii="宋体" w:hAnsi="宋体"/>
          <w:b w:val="0"/>
          <w:sz w:val="21"/>
          <w:szCs w:val="21"/>
          <w:lang w:val="en-US" w:eastAsia="zh-CN"/>
        </w:rPr>
      </w:pPr>
    </w:p>
    <w:p w14:paraId="49D6C2F8">
      <w:pPr>
        <w:pStyle w:val="2"/>
        <w:ind w:firstLine="280"/>
        <w:rPr>
          <w:rFonts w:hint="eastAsia"/>
          <w:b w:val="0"/>
          <w:bCs w:val="0"/>
        </w:rPr>
      </w:pPr>
    </w:p>
    <w:p w14:paraId="06AD7596">
      <w:pPr>
        <w:pStyle w:val="2"/>
        <w:numPr>
          <w:ilvl w:val="0"/>
          <w:numId w:val="1"/>
        </w:numPr>
        <w:ind w:left="0" w:leftChars="0" w:firstLine="0" w:firstLineChars="0"/>
      </w:pPr>
      <w:bookmarkStart w:id="7" w:name="_Toc155942754"/>
      <w:bookmarkStart w:id="8" w:name="_Toc156209056"/>
      <w:r>
        <w:rPr>
          <w:rFonts w:hint="eastAsia"/>
        </w:rPr>
        <w:t>系统技术要求</w:t>
      </w:r>
      <w:bookmarkEnd w:id="7"/>
      <w:bookmarkEnd w:id="8"/>
    </w:p>
    <w:p w14:paraId="524B2CA8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GDS生产厂商应具有ISO9001质量体系认证，推荐的GDS在行业有相关应用业绩，能够满足安全生产与管理的需要。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技术文件中应列出用户名单、工程项目名称和基本配置情况。</w:t>
      </w:r>
    </w:p>
    <w:p w14:paraId="614715B4">
      <w:pPr>
        <w:spacing w:before="181" w:line="359" w:lineRule="auto"/>
        <w:ind w:left="33" w:right="70" w:firstLine="483" w:firstLineChars="20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GDS</w:t>
      </w:r>
      <w:r>
        <w:rPr>
          <w:rFonts w:ascii="宋体" w:hAnsi="宋体" w:eastAsia="宋体" w:cs="宋体"/>
          <w:spacing w:val="-38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系统遵循原则：</w:t>
      </w:r>
    </w:p>
    <w:p w14:paraId="16540618">
      <w:pPr>
        <w:adjustRightInd w:val="0"/>
        <w:snapToGrid w:val="0"/>
        <w:spacing w:before="0" w:line="360" w:lineRule="exact"/>
        <w:ind w:left="0" w:right="420" w:rightChars="200" w:firstLine="516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 xml:space="preserve">a) </w:t>
      </w:r>
      <w:r>
        <w:rPr>
          <w:rFonts w:hint="eastAsia" w:ascii="宋体" w:hAnsi="宋体" w:eastAsia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GDS系统应具备TUV认证，安全级别为SIL3（IEC61508），并具备消防CCCF认证。</w:t>
      </w:r>
    </w:p>
    <w:p w14:paraId="79168BFF">
      <w:pPr>
        <w:spacing w:before="180" w:line="289" w:lineRule="auto"/>
        <w:ind w:left="39" w:right="70" w:firstLine="49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8"/>
          <w:sz w:val="24"/>
          <w:szCs w:val="24"/>
          <w:highlight w:val="none"/>
        </w:rPr>
        <w:t>b) 逻辑运算器必须以微处理机为基础，</w:t>
      </w:r>
      <w:r>
        <w:rPr>
          <w:rFonts w:ascii="宋体" w:hAnsi="宋体" w:eastAsia="宋体" w:cs="宋体"/>
          <w:sz w:val="24"/>
          <w:szCs w:val="24"/>
          <w:highlight w:val="none"/>
        </w:rPr>
        <w:t>CPU</w:t>
      </w:r>
      <w:r>
        <w:rPr>
          <w:rFonts w:ascii="宋体" w:hAnsi="宋体" w:eastAsia="宋体" w:cs="宋体"/>
          <w:spacing w:val="-41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8"/>
          <w:sz w:val="24"/>
          <w:szCs w:val="24"/>
          <w:highlight w:val="none"/>
        </w:rPr>
        <w:t>采用三重化或四重化的冗余容错</w:t>
      </w:r>
      <w:r>
        <w:rPr>
          <w:rFonts w:ascii="宋体" w:hAnsi="宋体" w:eastAsia="宋体" w:cs="宋体"/>
          <w:sz w:val="24"/>
          <w:szCs w:val="24"/>
          <w:highlight w:val="none"/>
        </w:rPr>
        <w:t>技术；</w:t>
      </w:r>
    </w:p>
    <w:p w14:paraId="436AFAC6">
      <w:pPr>
        <w:spacing w:before="182" w:line="360" w:lineRule="auto"/>
        <w:ind w:left="546"/>
        <w:rPr>
          <w:rFonts w:ascii="宋体" w:hAnsi="宋体" w:eastAsia="宋体" w:cs="宋体"/>
          <w:spacing w:val="9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>c) 应能实现控制、操作、通信等功能；</w:t>
      </w:r>
    </w:p>
    <w:p w14:paraId="7D0D0EA2">
      <w:pPr>
        <w:spacing w:before="30" w:line="360" w:lineRule="auto"/>
        <w:ind w:left="547"/>
        <w:rPr>
          <w:rFonts w:ascii="宋体" w:hAnsi="宋体" w:eastAsia="宋体" w:cs="宋体"/>
          <w:spacing w:val="-2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13"/>
          <w:sz w:val="24"/>
          <w:szCs w:val="24"/>
          <w:highlight w:val="none"/>
        </w:rPr>
        <w:t>d) 应能诊断和显示系统的全部部件故障，并通过串行通信接口在操作站上</w:t>
      </w: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显示；</w:t>
      </w:r>
    </w:p>
    <w:p w14:paraId="1FB07244">
      <w:pPr>
        <w:spacing w:before="30" w:line="360" w:lineRule="auto"/>
        <w:ind w:left="547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10"/>
          <w:sz w:val="24"/>
          <w:szCs w:val="24"/>
          <w:highlight w:val="none"/>
        </w:rPr>
        <w:t>e) 应先进可靠，组态方便、灵活，具有开放式的结构；</w:t>
      </w:r>
    </w:p>
    <w:p w14:paraId="0A63B35D">
      <w:pPr>
        <w:spacing w:before="179" w:line="220" w:lineRule="auto"/>
        <w:ind w:left="546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8"/>
          <w:sz w:val="24"/>
          <w:szCs w:val="24"/>
          <w:highlight w:val="none"/>
        </w:rPr>
        <w:t>f) 系统必须设计成故障安全型；</w:t>
      </w:r>
    </w:p>
    <w:p w14:paraId="4CF7728B">
      <w:pPr>
        <w:spacing w:before="182" w:line="214" w:lineRule="auto"/>
        <w:ind w:left="546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>g) 各控制器必须为型号一致的主流产品；</w:t>
      </w:r>
    </w:p>
    <w:p w14:paraId="6654F111">
      <w:pPr>
        <w:spacing w:before="186" w:line="220" w:lineRule="auto"/>
        <w:ind w:left="53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>h) 必须采用冗余和容错的通信方式；</w:t>
      </w:r>
    </w:p>
    <w:p w14:paraId="594FACC7">
      <w:pPr>
        <w:spacing w:before="183" w:line="289" w:lineRule="auto"/>
        <w:ind w:left="42" w:right="40" w:firstLine="516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 xml:space="preserve">i) 与 </w:t>
      </w:r>
      <w:r>
        <w:rPr>
          <w:rFonts w:ascii="宋体" w:hAnsi="宋体" w:eastAsia="宋体" w:cs="宋体"/>
          <w:sz w:val="24"/>
          <w:szCs w:val="24"/>
          <w:highlight w:val="none"/>
        </w:rPr>
        <w:t>DCS</w:t>
      </w: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 xml:space="preserve"> 通信接口必须是冗余配置，带自诊断功能，在操作站上能显示运</w:t>
      </w: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>行状态；</w:t>
      </w:r>
    </w:p>
    <w:p w14:paraId="0E179837">
      <w:pPr>
        <w:spacing w:before="181" w:line="215" w:lineRule="auto"/>
        <w:ind w:left="55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>j) 必须提供全部的应用编程软件和操作系统软件；</w:t>
      </w:r>
    </w:p>
    <w:p w14:paraId="4A16912C">
      <w:pPr>
        <w:adjustRightInd w:val="0"/>
        <w:snapToGrid w:val="0"/>
        <w:spacing w:line="360" w:lineRule="exact"/>
        <w:ind w:right="420" w:rightChars="200" w:firstLine="504" w:firstLineChars="200"/>
        <w:rPr>
          <w:rFonts w:ascii="宋体" w:hAnsi="宋体" w:eastAsia="宋体" w:cs="宋体"/>
          <w:spacing w:val="6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6"/>
          <w:sz w:val="24"/>
          <w:szCs w:val="24"/>
          <w:highlight w:val="none"/>
        </w:rPr>
        <w:t>k) 控制器、</w:t>
      </w:r>
      <w:r>
        <w:rPr>
          <w:rFonts w:ascii="宋体" w:hAnsi="宋体" w:eastAsia="宋体" w:cs="宋体"/>
          <w:spacing w:val="-4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6"/>
          <w:sz w:val="24"/>
          <w:szCs w:val="24"/>
          <w:highlight w:val="none"/>
        </w:rPr>
        <w:t>I/O</w:t>
      </w:r>
      <w:r>
        <w:rPr>
          <w:rFonts w:ascii="宋体" w:hAnsi="宋体" w:eastAsia="宋体" w:cs="宋体"/>
          <w:spacing w:val="-44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6"/>
          <w:sz w:val="24"/>
          <w:szCs w:val="24"/>
          <w:highlight w:val="none"/>
        </w:rPr>
        <w:t>模件及电源等必须是</w:t>
      </w:r>
      <w:r>
        <w:rPr>
          <w:rFonts w:ascii="宋体" w:hAnsi="宋体" w:eastAsia="宋体" w:cs="宋体"/>
          <w:spacing w:val="-37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GDS</w:t>
      </w:r>
      <w:r>
        <w:rPr>
          <w:rFonts w:ascii="宋体" w:hAnsi="宋体" w:eastAsia="宋体" w:cs="宋体"/>
          <w:spacing w:val="-40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6"/>
          <w:sz w:val="24"/>
          <w:szCs w:val="24"/>
          <w:highlight w:val="none"/>
        </w:rPr>
        <w:t>厂家的原产地生产；</w:t>
      </w:r>
    </w:p>
    <w:p w14:paraId="3072B624">
      <w:pPr>
        <w:spacing w:before="187" w:line="324" w:lineRule="auto"/>
        <w:ind w:left="38" w:right="40" w:firstLine="498" w:firstLineChars="201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4"/>
          <w:sz w:val="24"/>
          <w:szCs w:val="24"/>
          <w:highlight w:val="none"/>
        </w:rPr>
        <w:t xml:space="preserve">系统的构成包括过程接口、I/O 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val="en-US" w:eastAsia="zh-CN"/>
        </w:rPr>
        <w:t>卡</w:t>
      </w:r>
      <w:r>
        <w:rPr>
          <w:rFonts w:ascii="宋体" w:hAnsi="宋体" w:eastAsia="宋体" w:cs="宋体"/>
          <w:spacing w:val="4"/>
          <w:sz w:val="24"/>
          <w:szCs w:val="24"/>
          <w:highlight w:val="none"/>
        </w:rPr>
        <w:t>件、控制器、通信系统、</w:t>
      </w:r>
      <w:r>
        <w:rPr>
          <w:rFonts w:ascii="宋体" w:hAnsi="宋体" w:eastAsia="宋体" w:cs="宋体"/>
          <w:spacing w:val="7"/>
          <w:sz w:val="24"/>
          <w:szCs w:val="24"/>
          <w:highlight w:val="none"/>
        </w:rPr>
        <w:t>工程师站及网络结构。</w:t>
      </w:r>
      <w:r>
        <w:rPr>
          <w:rFonts w:ascii="宋体" w:hAnsi="宋体" w:eastAsia="宋体" w:cs="宋体"/>
          <w:spacing w:val="-39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  <w:highlight w:val="none"/>
          <w:lang w:val="en-US" w:eastAsia="zh-CN"/>
        </w:rPr>
        <w:t>供货</w:t>
      </w:r>
      <w:r>
        <w:rPr>
          <w:rFonts w:hint="eastAsia" w:ascii="宋体" w:hAnsi="宋体" w:eastAsia="宋体" w:cs="宋体"/>
          <w:spacing w:val="7"/>
          <w:sz w:val="24"/>
          <w:szCs w:val="24"/>
          <w:highlight w:val="none"/>
          <w:lang w:eastAsia="zh-CN"/>
        </w:rPr>
        <w:t>方</w:t>
      </w:r>
      <w:r>
        <w:rPr>
          <w:rFonts w:ascii="宋体" w:hAnsi="宋体" w:eastAsia="宋体" w:cs="宋体"/>
          <w:spacing w:val="6"/>
          <w:sz w:val="24"/>
          <w:szCs w:val="24"/>
          <w:highlight w:val="none"/>
        </w:rPr>
        <w:t>结合自身产品的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>特点</w:t>
      </w:r>
      <w:r>
        <w:rPr>
          <w:rFonts w:hint="eastAsia" w:ascii="宋体" w:hAnsi="宋体" w:eastAsia="宋体" w:cs="宋体"/>
          <w:spacing w:val="3"/>
          <w:sz w:val="24"/>
          <w:szCs w:val="24"/>
          <w:highlight w:val="none"/>
          <w:lang w:val="en-US" w:eastAsia="zh-CN"/>
        </w:rPr>
        <w:t>提供</w:t>
      </w:r>
      <w:r>
        <w:rPr>
          <w:rFonts w:ascii="宋体" w:hAnsi="宋体" w:eastAsia="宋体" w:cs="宋体"/>
          <w:spacing w:val="-31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GDS</w:t>
      </w:r>
      <w:r>
        <w:rPr>
          <w:rFonts w:ascii="宋体" w:hAnsi="宋体" w:eastAsia="宋体" w:cs="宋体"/>
          <w:spacing w:val="-39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>系统结构图，推荐最适合的系统结构， 提供系统结构图</w:t>
      </w:r>
      <w:r>
        <w:rPr>
          <w:rFonts w:ascii="宋体" w:hAnsi="宋体" w:eastAsia="宋体" w:cs="宋体"/>
          <w:spacing w:val="-31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>并作说</w:t>
      </w: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明。</w:t>
      </w:r>
    </w:p>
    <w:p w14:paraId="68861D3F">
      <w:pPr>
        <w:spacing w:before="182" w:line="289" w:lineRule="auto"/>
        <w:ind w:left="42" w:right="48" w:firstLine="516" w:firstLineChars="20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9"/>
          <w:sz w:val="24"/>
          <w:szCs w:val="24"/>
          <w:highlight w:val="none"/>
          <w:lang w:val="en-US" w:eastAsia="zh-CN"/>
        </w:rPr>
        <w:t>供货</w:t>
      </w:r>
      <w:r>
        <w:rPr>
          <w:rFonts w:hint="eastAsia" w:ascii="宋体" w:hAnsi="宋体" w:eastAsia="宋体" w:cs="宋体"/>
          <w:spacing w:val="9"/>
          <w:sz w:val="24"/>
          <w:szCs w:val="24"/>
          <w:highlight w:val="none"/>
          <w:lang w:eastAsia="zh-CN"/>
        </w:rPr>
        <w:t>方</w:t>
      </w: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>应提供标准系统组态软件及全部所需的使用权（</w:t>
      </w:r>
      <w:r>
        <w:rPr>
          <w:rFonts w:ascii="宋体" w:hAnsi="宋体" w:eastAsia="宋体" w:cs="宋体"/>
          <w:sz w:val="24"/>
          <w:szCs w:val="24"/>
          <w:highlight w:val="none"/>
        </w:rPr>
        <w:t>Licenses</w:t>
      </w:r>
      <w:r>
        <w:rPr>
          <w:rFonts w:ascii="宋体" w:hAnsi="宋体" w:eastAsia="宋体" w:cs="宋体"/>
          <w:spacing w:val="-61"/>
          <w:w w:val="97"/>
          <w:sz w:val="24"/>
          <w:szCs w:val="24"/>
          <w:highlight w:val="none"/>
        </w:rPr>
        <w:t>），</w:t>
      </w: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>必须保证</w:t>
      </w:r>
      <w:r>
        <w:rPr>
          <w:rFonts w:ascii="宋体" w:hAnsi="宋体" w:eastAsia="宋体" w:cs="宋体"/>
          <w:spacing w:val="7"/>
          <w:sz w:val="24"/>
          <w:szCs w:val="24"/>
          <w:highlight w:val="none"/>
        </w:rPr>
        <w:t>系统软件的完整性和技术支持。</w:t>
      </w:r>
    </w:p>
    <w:p w14:paraId="12BEE424">
      <w:pPr>
        <w:spacing w:before="182" w:line="220" w:lineRule="auto"/>
        <w:ind w:left="43" w:firstLine="512" w:firstLineChars="200"/>
        <w:rPr>
          <w:rFonts w:ascii="宋体" w:hAnsi="宋体" w:eastAsia="宋体" w:cs="宋体"/>
          <w:spacing w:val="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8"/>
          <w:sz w:val="24"/>
          <w:szCs w:val="24"/>
          <w:highlight w:val="none"/>
          <w:lang w:val="en-US" w:eastAsia="zh-CN"/>
        </w:rPr>
        <w:t>供货</w:t>
      </w:r>
      <w:r>
        <w:rPr>
          <w:rFonts w:hint="eastAsia" w:ascii="宋体" w:hAnsi="宋体" w:eastAsia="宋体" w:cs="宋体"/>
          <w:spacing w:val="8"/>
          <w:sz w:val="24"/>
          <w:szCs w:val="24"/>
          <w:highlight w:val="none"/>
          <w:lang w:eastAsia="zh-CN"/>
        </w:rPr>
        <w:t>方</w:t>
      </w:r>
      <w:r>
        <w:rPr>
          <w:rFonts w:ascii="宋体" w:hAnsi="宋体" w:eastAsia="宋体" w:cs="宋体"/>
          <w:spacing w:val="8"/>
          <w:sz w:val="24"/>
          <w:szCs w:val="24"/>
          <w:highlight w:val="none"/>
        </w:rPr>
        <w:t>应对系统的响应时间及扫描周期进行详细说明。</w:t>
      </w:r>
    </w:p>
    <w:p w14:paraId="603233C8">
      <w:pPr>
        <w:spacing w:before="182" w:line="220" w:lineRule="auto"/>
        <w:ind w:left="43" w:firstLine="512" w:firstLineChars="200"/>
        <w:rPr>
          <w:rFonts w:ascii="宋体" w:hAnsi="宋体" w:eastAsia="宋体" w:cs="宋体"/>
          <w:spacing w:val="8"/>
          <w:sz w:val="24"/>
          <w:szCs w:val="24"/>
          <w:highlight w:val="none"/>
        </w:rPr>
      </w:pPr>
    </w:p>
    <w:p w14:paraId="0E707FB1">
      <w:pPr>
        <w:adjustRightInd w:val="0"/>
        <w:snapToGrid w:val="0"/>
        <w:spacing w:line="360" w:lineRule="exact"/>
        <w:ind w:right="420" w:rightChars="200" w:firstLine="516" w:firstLineChars="200"/>
        <w:rPr>
          <w:rFonts w:hint="eastAsia" w:ascii="宋体" w:hAnsi="宋体" w:eastAsia="宋体" w:cs="宋体"/>
          <w:spacing w:val="6"/>
          <w:sz w:val="24"/>
          <w:szCs w:val="24"/>
          <w:highlight w:val="red"/>
          <w:lang w:val="en-US" w:eastAsia="zh-CN"/>
        </w:rPr>
      </w:pPr>
      <w:r>
        <w:rPr>
          <w:rFonts w:hint="eastAsia" w:ascii="宋体" w:hAnsi="宋体" w:eastAsia="宋体" w:cs="宋体"/>
          <w:spacing w:val="9"/>
          <w:sz w:val="24"/>
          <w:szCs w:val="24"/>
          <w:highlight w:val="none"/>
          <w:lang w:val="en-US" w:eastAsia="zh-CN"/>
        </w:rPr>
        <w:t>供货</w:t>
      </w:r>
      <w:r>
        <w:rPr>
          <w:rFonts w:hint="eastAsia" w:ascii="宋体" w:hAnsi="宋体" w:eastAsia="宋体" w:cs="宋体"/>
          <w:spacing w:val="9"/>
          <w:sz w:val="24"/>
          <w:szCs w:val="24"/>
          <w:highlight w:val="none"/>
          <w:lang w:eastAsia="zh-CN"/>
        </w:rPr>
        <w:t>方</w:t>
      </w: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>为本项目提供的</w:t>
      </w:r>
      <w:r>
        <w:rPr>
          <w:rFonts w:ascii="宋体" w:hAnsi="宋体" w:eastAsia="宋体" w:cs="宋体"/>
          <w:spacing w:val="-27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GDS</w:t>
      </w:r>
      <w:r>
        <w:rPr>
          <w:rFonts w:ascii="宋体" w:hAnsi="宋体" w:eastAsia="宋体" w:cs="宋体"/>
          <w:spacing w:val="-34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>应采用近几年发展、改进的新技术、新设备，并</w:t>
      </w:r>
      <w:r>
        <w:rPr>
          <w:rFonts w:ascii="宋体" w:hAnsi="宋体" w:eastAsia="宋体" w:cs="宋体"/>
          <w:spacing w:val="10"/>
          <w:sz w:val="24"/>
          <w:szCs w:val="24"/>
          <w:highlight w:val="none"/>
        </w:rPr>
        <w:t>且必须是成熟的、经过实际应用的系统，应能满足本项目的需要。</w:t>
      </w:r>
    </w:p>
    <w:p w14:paraId="1F19B7BA"/>
    <w:p w14:paraId="377ABB17">
      <w:pPr>
        <w:ind w:firstLine="210" w:firstLineChars="100"/>
        <w:rPr>
          <w:rFonts w:hint="eastAsia"/>
        </w:rPr>
      </w:pPr>
      <w:r>
        <w:rPr>
          <w:rFonts w:hint="eastAsia"/>
        </w:rPr>
        <w:t>2.1</w:t>
      </w:r>
      <w:bookmarkStart w:id="9" w:name="_Toc155942755"/>
      <w:bookmarkStart w:id="10" w:name="_Toc156209057"/>
      <w:r>
        <w:rPr>
          <w:rFonts w:hint="eastAsia"/>
        </w:rPr>
        <w:t>系统功能要求</w:t>
      </w:r>
      <w:bookmarkEnd w:id="9"/>
      <w:bookmarkEnd w:id="10"/>
    </w:p>
    <w:p w14:paraId="60DDB8C8">
      <w:pPr>
        <w:ind w:firstLine="240" w:firstLineChars="100"/>
        <w:rPr>
          <w:rFonts w:hint="default" w:ascii="宋体" w:hAnsi="宋体" w:eastAsia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sz w:val="24"/>
          <w:szCs w:val="24"/>
          <w:lang w:val="en-US" w:eastAsia="zh-CN"/>
        </w:rPr>
        <w:t xml:space="preserve">2.1.1 数据采集 </w:t>
      </w:r>
    </w:p>
    <w:p w14:paraId="0426C86E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数据采集单元采用标准工业型产品，通过独立的信号处理单元，接收气体探测器的输出信号，经处理后存放到相应的数据库中以供显示调用。</w:t>
      </w:r>
    </w:p>
    <w:p w14:paraId="5EE3D569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数据采集单元各信号通道应相互隔离，并能为现场气体探测器提供24VDC电源。</w:t>
      </w:r>
    </w:p>
    <w:p w14:paraId="63E0B1F4">
      <w:pPr>
        <w:pStyle w:val="3"/>
        <w:ind w:left="0" w:leftChars="0" w:firstLine="240" w:firstLineChars="100"/>
        <w:rPr>
          <w:rFonts w:hint="eastAsia" w:ascii="宋体" w:hAnsi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sz w:val="24"/>
          <w:szCs w:val="24"/>
          <w:lang w:val="en-US" w:eastAsia="zh-CN"/>
        </w:rPr>
        <w:t>2.1.2 显示报警</w:t>
      </w:r>
    </w:p>
    <w:p w14:paraId="57E938C3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系统应能显示总貌画面、报警画面、回路画面、组态画面等。</w:t>
      </w:r>
    </w:p>
    <w:p w14:paraId="29337B51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系统应具备完善的报警功能，应能记录所有的报警信息，对气体浓度报警和系统故障报警应有明显区别。</w:t>
      </w:r>
    </w:p>
    <w:p w14:paraId="370E8A2C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系统应能区分报警顺序，具有时间记录功能。气体浓度报警的计时误差不应超过30s，且必须经过确认后方可停止。</w:t>
      </w:r>
    </w:p>
    <w:p w14:paraId="52AC7828">
      <w:pPr>
        <w:ind w:firstLine="240" w:firstLineChars="100"/>
        <w:rPr>
          <w:rFonts w:hint="eastAsia" w:ascii="宋体" w:hAnsi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sz w:val="24"/>
          <w:szCs w:val="24"/>
          <w:lang w:val="en-US" w:eastAsia="zh-CN"/>
        </w:rPr>
        <w:t xml:space="preserve">2.1.3 逻辑输出 </w:t>
      </w:r>
    </w:p>
    <w:p w14:paraId="411DCE03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系统应具备可组态的逻辑输出功能，提供经逻辑判断后的开关量输出，用于火灾联动或驱动声光报警器。开关量的输出应是隔离的。</w:t>
      </w:r>
    </w:p>
    <w:p w14:paraId="75179783">
      <w:pPr>
        <w:adjustRightInd w:val="0"/>
        <w:snapToGrid w:val="0"/>
        <w:spacing w:line="360" w:lineRule="exact"/>
        <w:ind w:right="420" w:rightChars="200" w:firstLine="480" w:firstLineChars="200"/>
        <w:rPr>
          <w:rFonts w:hint="default" w:ascii="宋体" w:hAnsi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系统可为相应的附件提供电源。</w:t>
      </w:r>
    </w:p>
    <w:p w14:paraId="3EAE47BF">
      <w:pPr>
        <w:pStyle w:val="3"/>
        <w:ind w:left="0" w:leftChars="0" w:firstLine="240" w:firstLineChars="100"/>
        <w:rPr>
          <w:rFonts w:hint="eastAsia"/>
          <w:lang w:val="en-US" w:eastAsia="zh-CN"/>
        </w:rPr>
      </w:pPr>
      <w:r>
        <w:rPr>
          <w:rFonts w:hint="eastAsia"/>
          <w:b w:val="0"/>
          <w:bCs/>
        </w:rPr>
        <w:t>2.2</w:t>
      </w:r>
      <w:r>
        <w:rPr>
          <w:rFonts w:hint="eastAsia"/>
        </w:rPr>
        <w:t xml:space="preserve"> 控制站及I/O接</w:t>
      </w:r>
      <w:r>
        <w:rPr>
          <w:rFonts w:hint="eastAsia"/>
          <w:lang w:val="en-US" w:eastAsia="zh-CN"/>
        </w:rPr>
        <w:t>口</w:t>
      </w:r>
    </w:p>
    <w:p w14:paraId="48EA7587">
      <w:pPr>
        <w:pStyle w:val="3"/>
        <w:ind w:left="0" w:leftChars="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控制站的负荷不应超过60％，当控制站满负荷时，系统的电源、软件、通讯负荷和其它各种负载应具有至少40％以上的工作裕量。</w:t>
      </w:r>
    </w:p>
    <w:p w14:paraId="12DA8E62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I/O接口类型除AI/DO外，还应配备标准串行和并行通讯接口（如：RS-232C/RS-485、Modbus RTU通讯接口等）</w:t>
      </w:r>
      <w:r>
        <w:rPr>
          <w:rFonts w:hint="eastAsia" w:ascii="宋体" w:hAnsi="宋体"/>
          <w:sz w:val="24"/>
          <w:szCs w:val="24"/>
          <w:lang w:val="en-US" w:eastAsia="zh-CN"/>
        </w:rPr>
        <w:t>5个</w:t>
      </w:r>
      <w:r>
        <w:rPr>
          <w:rFonts w:hint="eastAsia" w:ascii="宋体" w:hAnsi="宋体" w:eastAsia="宋体"/>
          <w:sz w:val="24"/>
          <w:szCs w:val="24"/>
        </w:rPr>
        <w:t>，各类卡件应有0.1％精度的产品</w:t>
      </w:r>
    </w:p>
    <w:p w14:paraId="5F74A094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sz w:val="24"/>
          <w:szCs w:val="24"/>
        </w:rPr>
        <w:t>2.</w:t>
      </w:r>
      <w:r>
        <w:rPr>
          <w:rFonts w:hint="eastAsia" w:ascii="宋体" w:hAnsi="宋体"/>
          <w:b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b w:val="0"/>
          <w:sz w:val="24"/>
          <w:szCs w:val="24"/>
        </w:rPr>
        <w:t xml:space="preserve"> </w:t>
      </w:r>
      <w:bookmarkStart w:id="11" w:name="_Toc155942758"/>
      <w:bookmarkStart w:id="12" w:name="_Toc156209063"/>
      <w:r>
        <w:rPr>
          <w:rFonts w:hint="eastAsia"/>
          <w:sz w:val="24"/>
          <w:szCs w:val="24"/>
        </w:rPr>
        <w:t>系统的可靠性</w:t>
      </w:r>
      <w:bookmarkEnd w:id="11"/>
      <w:bookmarkEnd w:id="12"/>
    </w:p>
    <w:p w14:paraId="03ABD523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系统应安全可靠，平均无故障时间和平均修复时间应属先进行列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19EBDC70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b w:val="0"/>
          <w:sz w:val="24"/>
          <w:szCs w:val="24"/>
        </w:rPr>
      </w:pPr>
    </w:p>
    <w:p w14:paraId="6905087F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sz w:val="24"/>
          <w:szCs w:val="24"/>
        </w:rPr>
        <w:t>2.</w:t>
      </w:r>
      <w:r>
        <w:rPr>
          <w:rFonts w:hint="eastAsia" w:ascii="宋体" w:hAnsi="宋体"/>
          <w:b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b w:val="0"/>
          <w:sz w:val="24"/>
          <w:szCs w:val="24"/>
        </w:rPr>
        <w:t xml:space="preserve"> </w:t>
      </w:r>
      <w:bookmarkStart w:id="13" w:name="_Toc155942759"/>
      <w:bookmarkStart w:id="14" w:name="_Toc156209064"/>
      <w:r>
        <w:rPr>
          <w:rFonts w:hint="eastAsia"/>
          <w:sz w:val="24"/>
          <w:szCs w:val="24"/>
        </w:rPr>
        <w:t>通讯网络</w:t>
      </w:r>
      <w:bookmarkEnd w:id="13"/>
      <w:bookmarkEnd w:id="14"/>
    </w:p>
    <w:p w14:paraId="73B69B25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系统应具有数字化通讯网络，为系统设备之间，以及其它外部设备之间提供可靠的数据传输。</w:t>
      </w:r>
    </w:p>
    <w:p w14:paraId="6DD062F9">
      <w:pPr>
        <w:adjustRightInd w:val="0"/>
        <w:snapToGrid w:val="0"/>
        <w:spacing w:line="360" w:lineRule="exact"/>
        <w:ind w:right="420" w:rightChars="200" w:firstLine="516" w:firstLineChars="200"/>
        <w:rPr>
          <w:rFonts w:ascii="宋体" w:hAnsi="宋体" w:eastAsia="宋体" w:cs="宋体"/>
          <w:spacing w:val="9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9"/>
          <w:sz w:val="24"/>
          <w:szCs w:val="24"/>
          <w:highlight w:val="none"/>
          <w:lang w:val="en-US" w:eastAsia="zh-CN"/>
        </w:rPr>
        <w:t>供货</w:t>
      </w:r>
      <w:r>
        <w:rPr>
          <w:rFonts w:hint="eastAsia" w:ascii="宋体" w:hAnsi="宋体" w:eastAsia="宋体" w:cs="宋体"/>
          <w:spacing w:val="9"/>
          <w:sz w:val="24"/>
          <w:szCs w:val="24"/>
          <w:highlight w:val="none"/>
          <w:lang w:eastAsia="zh-CN"/>
        </w:rPr>
        <w:t>方</w:t>
      </w: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>必须提供全冗余的工业化数字通信系统。通信系统为控制站与控制站</w:t>
      </w:r>
      <w:r>
        <w:rPr>
          <w:rFonts w:ascii="宋体" w:hAnsi="宋体" w:eastAsia="宋体" w:cs="宋体"/>
          <w:spacing w:val="10"/>
          <w:sz w:val="24"/>
          <w:szCs w:val="24"/>
          <w:highlight w:val="none"/>
        </w:rPr>
        <w:t>之间、控制器与工程师站提供可靠的高速数据传送。传送速率应不</w:t>
      </w: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>小于</w:t>
      </w:r>
      <w:r>
        <w:rPr>
          <w:rFonts w:ascii="宋体" w:hAnsi="宋体" w:eastAsia="宋体" w:cs="宋体"/>
          <w:spacing w:val="-1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>100</w:t>
      </w:r>
      <w:r>
        <w:rPr>
          <w:rFonts w:ascii="宋体" w:hAnsi="宋体" w:eastAsia="宋体" w:cs="宋体"/>
          <w:sz w:val="24"/>
          <w:szCs w:val="24"/>
          <w:highlight w:val="none"/>
        </w:rPr>
        <w:t>Mb</w:t>
      </w:r>
      <w:r>
        <w:rPr>
          <w:rFonts w:ascii="宋体" w:hAnsi="宋体" w:eastAsia="宋体" w:cs="宋体"/>
          <w:spacing w:val="9"/>
          <w:sz w:val="24"/>
          <w:szCs w:val="24"/>
          <w:highlight w:val="none"/>
        </w:rPr>
        <w:t>。</w:t>
      </w:r>
    </w:p>
    <w:p w14:paraId="4EB51C6D">
      <w:pPr>
        <w:adjustRightInd w:val="0"/>
        <w:snapToGrid w:val="0"/>
        <w:spacing w:line="360" w:lineRule="exact"/>
        <w:ind w:right="420" w:rightChars="200" w:firstLine="480" w:firstLineChars="200"/>
        <w:rPr>
          <w:rFonts w:ascii="宋体" w:hAnsi="宋体" w:eastAsia="宋体" w:cs="宋体"/>
          <w:spacing w:val="6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GDS</w:t>
      </w: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 xml:space="preserve"> 系统应支持标准通信协议，冗余串行通信方式。</w:t>
      </w:r>
      <w:r>
        <w:rPr>
          <w:rFonts w:ascii="宋体" w:hAnsi="宋体" w:eastAsia="宋体" w:cs="宋体"/>
          <w:sz w:val="24"/>
          <w:szCs w:val="24"/>
          <w:highlight w:val="none"/>
        </w:rPr>
        <w:t>GDS</w:t>
      </w:r>
      <w:r>
        <w:rPr>
          <w:rFonts w:ascii="宋体" w:hAnsi="宋体" w:eastAsia="宋体" w:cs="宋体"/>
          <w:spacing w:val="2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 xml:space="preserve">系统能与 </w:t>
      </w:r>
      <w:r>
        <w:rPr>
          <w:rFonts w:ascii="宋体" w:hAnsi="宋体" w:eastAsia="宋体" w:cs="宋体"/>
          <w:sz w:val="24"/>
          <w:szCs w:val="24"/>
          <w:highlight w:val="none"/>
        </w:rPr>
        <w:t>DCS</w:t>
      </w:r>
      <w:r>
        <w:rPr>
          <w:rFonts w:ascii="宋体" w:hAnsi="宋体" w:eastAsia="宋体" w:cs="宋体"/>
          <w:spacing w:val="1"/>
          <w:sz w:val="24"/>
          <w:szCs w:val="24"/>
          <w:highlight w:val="none"/>
        </w:rPr>
        <w:t xml:space="preserve"> 系</w:t>
      </w:r>
      <w:r>
        <w:rPr>
          <w:rFonts w:ascii="宋体" w:hAnsi="宋体" w:eastAsia="宋体" w:cs="宋体"/>
          <w:spacing w:val="6"/>
          <w:sz w:val="24"/>
          <w:szCs w:val="24"/>
          <w:highlight w:val="none"/>
        </w:rPr>
        <w:t>统进行通信，</w:t>
      </w:r>
      <w:r>
        <w:rPr>
          <w:rFonts w:ascii="宋体" w:hAnsi="宋体" w:eastAsia="宋体" w:cs="宋体"/>
          <w:spacing w:val="-4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MODBUS</w:t>
      </w:r>
      <w:r>
        <w:rPr>
          <w:rFonts w:ascii="宋体" w:hAnsi="宋体" w:eastAsia="宋体" w:cs="宋体"/>
          <w:spacing w:val="6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RTU</w:t>
      </w:r>
      <w:r>
        <w:rPr>
          <w:rFonts w:ascii="宋体" w:hAnsi="宋体" w:eastAsia="宋体" w:cs="宋体"/>
          <w:spacing w:val="6"/>
          <w:sz w:val="24"/>
          <w:szCs w:val="24"/>
          <w:highlight w:val="none"/>
        </w:rPr>
        <w:t>,</w:t>
      </w:r>
      <w:r>
        <w:rPr>
          <w:rFonts w:ascii="宋体" w:hAnsi="宋体" w:eastAsia="宋体" w:cs="宋体"/>
          <w:sz w:val="24"/>
          <w:szCs w:val="24"/>
          <w:highlight w:val="none"/>
        </w:rPr>
        <w:t>RS</w:t>
      </w:r>
      <w:r>
        <w:rPr>
          <w:rFonts w:ascii="宋体" w:hAnsi="宋体" w:eastAsia="宋体" w:cs="宋体"/>
          <w:spacing w:val="6"/>
          <w:sz w:val="24"/>
          <w:szCs w:val="24"/>
          <w:highlight w:val="none"/>
        </w:rPr>
        <w:t xml:space="preserve"> 485。</w:t>
      </w:r>
      <w:r>
        <w:rPr>
          <w:rFonts w:ascii="宋体" w:hAnsi="宋体" w:eastAsia="宋体" w:cs="宋体"/>
          <w:sz w:val="24"/>
          <w:szCs w:val="24"/>
          <w:highlight w:val="none"/>
        </w:rPr>
        <w:t>DCS</w:t>
      </w:r>
      <w:r>
        <w:rPr>
          <w:rFonts w:ascii="宋体" w:hAnsi="宋体" w:eastAsia="宋体" w:cs="宋体"/>
          <w:spacing w:val="-38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6"/>
          <w:sz w:val="24"/>
          <w:szCs w:val="24"/>
          <w:highlight w:val="none"/>
        </w:rPr>
        <w:t>系统为主站，</w:t>
      </w:r>
      <w:r>
        <w:rPr>
          <w:rFonts w:ascii="宋体" w:hAnsi="宋体" w:eastAsia="宋体" w:cs="宋体"/>
          <w:spacing w:val="-54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GDS</w:t>
      </w:r>
      <w:r>
        <w:rPr>
          <w:rFonts w:ascii="宋体" w:hAnsi="宋体" w:eastAsia="宋体" w:cs="宋体"/>
          <w:spacing w:val="-38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6"/>
          <w:sz w:val="24"/>
          <w:szCs w:val="24"/>
          <w:highlight w:val="none"/>
        </w:rPr>
        <w:t>系统为从站。</w:t>
      </w:r>
    </w:p>
    <w:p w14:paraId="4C2DD038">
      <w:pPr>
        <w:spacing w:before="186" w:line="289" w:lineRule="auto"/>
        <w:ind w:left="40" w:right="38" w:firstLine="500" w:firstLineChars="20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5"/>
          <w:sz w:val="24"/>
          <w:szCs w:val="24"/>
          <w:highlight w:val="none"/>
        </w:rPr>
        <w:t>通信接口故障不应影响安全仪表系统的安全功能，故障信号并能在操作站</w:t>
      </w:r>
      <w:r>
        <w:rPr>
          <w:rFonts w:ascii="宋体" w:hAnsi="宋体" w:eastAsia="宋体" w:cs="宋体"/>
          <w:spacing w:val="3"/>
          <w:sz w:val="24"/>
          <w:szCs w:val="24"/>
          <w:highlight w:val="none"/>
        </w:rPr>
        <w:t>上显示、报警。</w:t>
      </w:r>
    </w:p>
    <w:p w14:paraId="6AE0D79C">
      <w:pPr>
        <w:adjustRightInd w:val="0"/>
        <w:snapToGrid w:val="0"/>
        <w:spacing w:line="360" w:lineRule="exact"/>
        <w:ind w:right="420" w:rightChars="200" w:firstLine="508" w:firstLineChars="200"/>
        <w:rPr>
          <w:rFonts w:hint="eastAsia" w:ascii="宋体" w:hAnsi="宋体" w:eastAsia="宋体" w:cs="宋体"/>
          <w:spacing w:val="6"/>
          <w:sz w:val="24"/>
          <w:szCs w:val="24"/>
          <w:highlight w:val="none"/>
          <w:lang w:eastAsia="zh-CN"/>
        </w:rPr>
      </w:pPr>
      <w:r>
        <w:rPr>
          <w:rFonts w:ascii="宋体" w:hAnsi="宋体" w:eastAsia="宋体" w:cs="宋体"/>
          <w:spacing w:val="7"/>
          <w:sz w:val="24"/>
          <w:szCs w:val="24"/>
          <w:highlight w:val="none"/>
        </w:rPr>
        <w:t>通信接口的负荷不应超过</w:t>
      </w:r>
      <w:r>
        <w:rPr>
          <w:rFonts w:ascii="宋体" w:hAnsi="宋体" w:eastAsia="宋体" w:cs="宋体"/>
          <w:spacing w:val="-25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  <w:highlight w:val="none"/>
          <w:lang w:val="en-US" w:eastAsia="zh-CN"/>
        </w:rPr>
        <w:t>40</w:t>
      </w:r>
      <w:r>
        <w:rPr>
          <w:rFonts w:ascii="宋体" w:hAnsi="宋体" w:eastAsia="宋体" w:cs="宋体"/>
          <w:spacing w:val="7"/>
          <w:sz w:val="24"/>
          <w:szCs w:val="24"/>
          <w:highlight w:val="none"/>
        </w:rPr>
        <w:t>%</w:t>
      </w:r>
      <w:r>
        <w:rPr>
          <w:rFonts w:hint="eastAsia" w:ascii="宋体" w:hAnsi="宋体" w:eastAsia="宋体" w:cs="宋体"/>
          <w:spacing w:val="7"/>
          <w:sz w:val="24"/>
          <w:szCs w:val="24"/>
          <w:highlight w:val="none"/>
          <w:lang w:eastAsia="zh-CN"/>
        </w:rPr>
        <w:t>。</w:t>
      </w:r>
    </w:p>
    <w:p w14:paraId="3EA36222">
      <w:pPr>
        <w:ind w:firstLine="240" w:firstLineChars="100"/>
        <w:rPr>
          <w:rFonts w:hint="eastAsia" w:ascii="宋体" w:hAnsi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sz w:val="24"/>
          <w:szCs w:val="24"/>
        </w:rPr>
        <w:t>2.</w:t>
      </w:r>
      <w:r>
        <w:rPr>
          <w:rFonts w:hint="eastAsia" w:ascii="宋体" w:hAnsi="宋体"/>
          <w:b w:val="0"/>
          <w:sz w:val="24"/>
          <w:szCs w:val="24"/>
          <w:lang w:val="en-US" w:eastAsia="zh-CN"/>
        </w:rPr>
        <w:t>5 系统的扩展性</w:t>
      </w:r>
    </w:p>
    <w:p w14:paraId="695CFE58">
      <w:pPr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各类卡件必须预留30％以上的余量，各类机柜应留有30％以上的备用安装空间，系统的电源、软件、通讯等负荷应可以容纳这些扩展量。</w:t>
      </w:r>
    </w:p>
    <w:p w14:paraId="43043494">
      <w:pPr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p w14:paraId="56E69341">
      <w:pPr>
        <w:pStyle w:val="2"/>
        <w:tabs>
          <w:tab w:val="left" w:pos="420"/>
        </w:tabs>
        <w:ind w:right="315"/>
      </w:pPr>
      <w:r>
        <w:rPr>
          <w:rFonts w:hint="eastAsia"/>
          <w:b w:val="0"/>
          <w:bCs w:val="0"/>
        </w:rPr>
        <w:t>3</w:t>
      </w:r>
      <w:r>
        <w:rPr>
          <w:rFonts w:hint="eastAsia"/>
          <w:b w:val="0"/>
          <w:bCs w:val="0"/>
          <w:lang w:val="en-US" w:eastAsia="zh-CN"/>
        </w:rPr>
        <w:t>.</w:t>
      </w:r>
      <w:bookmarkStart w:id="15" w:name="_Toc155942761"/>
      <w:bookmarkStart w:id="16" w:name="_Toc156209066"/>
      <w:r>
        <w:rPr>
          <w:rFonts w:hint="eastAsia"/>
        </w:rPr>
        <w:t>硬件配置要求</w:t>
      </w:r>
      <w:bookmarkEnd w:id="15"/>
      <w:bookmarkEnd w:id="16"/>
    </w:p>
    <w:p w14:paraId="23BA30D5">
      <w:pPr>
        <w:pStyle w:val="3"/>
        <w:ind w:left="0" w:leftChars="0" w:firstLine="240" w:firstLineChars="100"/>
      </w:pPr>
      <w:r>
        <w:rPr>
          <w:rFonts w:hint="eastAsia"/>
        </w:rPr>
        <w:t xml:space="preserve">3.1 </w:t>
      </w:r>
      <w:bookmarkStart w:id="17" w:name="_Toc156209067"/>
      <w:bookmarkStart w:id="18" w:name="_Toc155942762"/>
      <w:r>
        <w:rPr>
          <w:rFonts w:hint="eastAsia"/>
        </w:rPr>
        <w:t>设备安装环境</w:t>
      </w:r>
      <w:bookmarkEnd w:id="17"/>
      <w:bookmarkEnd w:id="18"/>
    </w:p>
    <w:p w14:paraId="30430B16">
      <w:pPr>
        <w:ind w:firstLine="480" w:firstLineChars="200"/>
      </w:pPr>
      <w:r>
        <w:rPr>
          <w:rFonts w:hint="eastAsia" w:ascii="宋体" w:hAnsi="宋体" w:eastAsia="宋体"/>
          <w:sz w:val="24"/>
          <w:szCs w:val="24"/>
        </w:rPr>
        <w:t>本项目GDS的操作站和机柜分别安装在在控制室操作间和机柜间内。</w:t>
      </w:r>
    </w:p>
    <w:p w14:paraId="7EEDBA3D">
      <w:pPr>
        <w:rPr>
          <w:rFonts w:hint="eastAsia"/>
        </w:rPr>
      </w:pPr>
    </w:p>
    <w:p w14:paraId="53991B98">
      <w:pPr>
        <w:pStyle w:val="3"/>
        <w:ind w:left="0" w:leftChars="0" w:firstLine="240" w:firstLineChars="100"/>
      </w:pPr>
      <w:r>
        <w:rPr>
          <w:rFonts w:hint="eastAsia"/>
        </w:rPr>
        <w:t xml:space="preserve">3.2 </w:t>
      </w:r>
      <w:bookmarkStart w:id="19" w:name="_Toc155942763"/>
      <w:bookmarkStart w:id="20" w:name="_Toc156209068"/>
      <w:r>
        <w:rPr>
          <w:rFonts w:hint="eastAsia"/>
        </w:rPr>
        <w:t>I/O点的统计</w:t>
      </w:r>
      <w:bookmarkEnd w:id="19"/>
      <w:bookmarkEnd w:id="20"/>
    </w:p>
    <w:p w14:paraId="6AFD9309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气体探测器应接入AI卡，AI卡应有独立的A/D，D/A转换器，其通道数不应多于每卡16通道，各通道间应相互隔离。</w:t>
      </w:r>
    </w:p>
    <w:p w14:paraId="1CFEA068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开关量采用继电器隔离输出形式，继电器触点容量为250VAC/3A，其通道数不应多于16通道。</w:t>
      </w:r>
    </w:p>
    <w:p w14:paraId="6F5C6B0D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所有卡件应具有防环境腐蚀能力，应达到ANSI/ISAS71.04标准G3等级。</w:t>
      </w:r>
    </w:p>
    <w:p w14:paraId="4783D78B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I/O备用点数按实际点数的30%配置。</w:t>
      </w:r>
    </w:p>
    <w:p w14:paraId="27F0D939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I/O统计表见附表《GDS I/O表》。</w:t>
      </w:r>
    </w:p>
    <w:p w14:paraId="10C9CF9C">
      <w:pPr>
        <w:pStyle w:val="3"/>
        <w:ind w:left="0" w:leftChars="0" w:firstLine="240" w:firstLineChars="100"/>
        <w:rPr>
          <w:rFonts w:hint="eastAsia" w:eastAsiaTheme="majorEastAsia"/>
          <w:lang w:eastAsia="zh-CN"/>
        </w:rPr>
      </w:pPr>
      <w:r>
        <w:rPr>
          <w:rFonts w:hint="eastAsia"/>
        </w:rPr>
        <w:t xml:space="preserve">3.3 </w:t>
      </w:r>
      <w:bookmarkStart w:id="21" w:name="_Toc156209069"/>
      <w:bookmarkStart w:id="22" w:name="_Toc155942764"/>
      <w:r>
        <w:rPr>
          <w:rFonts w:hint="eastAsia"/>
          <w:lang w:val="en-US" w:eastAsia="zh-CN"/>
        </w:rPr>
        <w:t>工程师</w:t>
      </w:r>
      <w:r>
        <w:rPr>
          <w:rFonts w:hint="eastAsia"/>
        </w:rPr>
        <w:t>站</w:t>
      </w:r>
      <w:bookmarkEnd w:id="21"/>
      <w:bookmarkEnd w:id="22"/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操作站</w:t>
      </w:r>
      <w:r>
        <w:rPr>
          <w:rFonts w:hint="eastAsia"/>
          <w:lang w:eastAsia="zh-CN"/>
        </w:rPr>
        <w:t>）</w:t>
      </w:r>
    </w:p>
    <w:p w14:paraId="55CCCCFA">
      <w:pPr>
        <w:pStyle w:val="2"/>
        <w:spacing w:line="400" w:lineRule="exact"/>
        <w:ind w:right="535" w:rightChars="255" w:firstLine="480" w:firstLineChars="200"/>
        <w:rPr>
          <w:rFonts w:hint="eastAsia" w:ascii="宋体" w:hAnsi="宋体" w:eastAsia="宋体"/>
          <w:b w:val="0"/>
          <w:sz w:val="24"/>
          <w:szCs w:val="24"/>
          <w:highlight w:val="none"/>
        </w:rPr>
      </w:pPr>
      <w:r>
        <w:rPr>
          <w:rFonts w:hint="eastAsia" w:ascii="宋体" w:hAnsi="宋体"/>
          <w:b w:val="0"/>
          <w:sz w:val="24"/>
          <w:szCs w:val="24"/>
          <w:highlight w:val="none"/>
          <w:lang w:val="en-US" w:eastAsia="zh-CN"/>
        </w:rPr>
        <w:t>工程师</w:t>
      </w:r>
      <w:r>
        <w:rPr>
          <w:rFonts w:hint="eastAsia" w:ascii="宋体" w:hAnsi="宋体" w:eastAsia="宋体"/>
          <w:b w:val="0"/>
          <w:sz w:val="24"/>
          <w:szCs w:val="24"/>
          <w:highlight w:val="none"/>
        </w:rPr>
        <w:t>站</w:t>
      </w:r>
      <w:r>
        <w:rPr>
          <w:rFonts w:hint="eastAsia" w:ascii="宋体" w:hAnsi="宋体"/>
          <w:b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/>
          <w:b w:val="0"/>
          <w:sz w:val="24"/>
          <w:szCs w:val="24"/>
          <w:highlight w:val="none"/>
          <w:lang w:val="en-US" w:eastAsia="zh-CN"/>
        </w:rPr>
        <w:t>操作站</w:t>
      </w:r>
      <w:r>
        <w:rPr>
          <w:rFonts w:hint="eastAsia" w:ascii="宋体" w:hAnsi="宋体"/>
          <w:b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/>
          <w:b w:val="0"/>
          <w:sz w:val="24"/>
          <w:szCs w:val="24"/>
          <w:highlight w:val="none"/>
        </w:rPr>
        <w:t>基本配置要求：</w:t>
      </w:r>
    </w:p>
    <w:p w14:paraId="13E3902D">
      <w:pPr>
        <w:pStyle w:val="2"/>
        <w:spacing w:line="400" w:lineRule="exact"/>
        <w:ind w:right="535" w:rightChars="255" w:firstLine="480" w:firstLineChars="200"/>
        <w:rPr>
          <w:rFonts w:hint="eastAsia" w:ascii="宋体" w:hAnsi="宋体" w:eastAsia="宋体"/>
          <w:b w:val="0"/>
          <w:sz w:val="24"/>
          <w:szCs w:val="24"/>
          <w:highlight w:val="none"/>
        </w:rPr>
      </w:pPr>
      <w:r>
        <w:rPr>
          <w:rFonts w:hint="eastAsia" w:ascii="宋体" w:hAnsi="宋体" w:eastAsia="宋体"/>
          <w:b w:val="0"/>
          <w:sz w:val="24"/>
          <w:szCs w:val="24"/>
          <w:highlight w:val="none"/>
        </w:rPr>
        <w:t>主机要求为高性能工作站或高性能工业用计算机（DELLT5820 系列及以上）。</w:t>
      </w:r>
    </w:p>
    <w:p w14:paraId="60369E1A">
      <w:pPr>
        <w:pStyle w:val="2"/>
        <w:spacing w:line="400" w:lineRule="exact"/>
        <w:ind w:right="535" w:rightChars="255" w:firstLine="480" w:firstLineChars="200"/>
        <w:rPr>
          <w:rFonts w:hint="eastAsia" w:ascii="宋体" w:hAnsi="宋体" w:eastAsia="宋体"/>
          <w:b w:val="0"/>
          <w:sz w:val="24"/>
          <w:szCs w:val="24"/>
          <w:highlight w:val="none"/>
        </w:rPr>
      </w:pPr>
      <w:r>
        <w:rPr>
          <w:rFonts w:hint="eastAsia" w:ascii="宋体" w:hAnsi="宋体" w:eastAsia="宋体"/>
          <w:b w:val="0"/>
          <w:sz w:val="24"/>
          <w:szCs w:val="24"/>
          <w:highlight w:val="none"/>
        </w:rPr>
        <w:t>最低配置如下：CPU: 64 位；</w:t>
      </w:r>
    </w:p>
    <w:p w14:paraId="0EC14BFA">
      <w:pPr>
        <w:pStyle w:val="2"/>
        <w:spacing w:line="400" w:lineRule="exact"/>
        <w:ind w:right="535" w:rightChars="255" w:firstLine="480" w:firstLineChars="200"/>
        <w:rPr>
          <w:rFonts w:hint="eastAsia" w:ascii="宋体" w:hAnsi="宋体" w:eastAsia="宋体"/>
          <w:b w:val="0"/>
          <w:sz w:val="24"/>
          <w:szCs w:val="24"/>
          <w:highlight w:val="none"/>
        </w:rPr>
      </w:pPr>
      <w:r>
        <w:rPr>
          <w:rFonts w:hint="eastAsia" w:ascii="宋体" w:hAnsi="宋体" w:eastAsia="宋体"/>
          <w:b w:val="0"/>
          <w:sz w:val="24"/>
          <w:szCs w:val="24"/>
          <w:highlight w:val="none"/>
        </w:rPr>
        <w:t>主频: ≥3.6GHz；</w:t>
      </w:r>
    </w:p>
    <w:p w14:paraId="0489E22E">
      <w:pPr>
        <w:pStyle w:val="2"/>
        <w:spacing w:line="400" w:lineRule="exact"/>
        <w:ind w:right="535" w:rightChars="255" w:firstLine="480" w:firstLineChars="200"/>
        <w:rPr>
          <w:rFonts w:hint="eastAsia" w:ascii="宋体" w:hAnsi="宋体" w:eastAsia="宋体"/>
          <w:b w:val="0"/>
          <w:sz w:val="24"/>
          <w:szCs w:val="24"/>
          <w:highlight w:val="none"/>
        </w:rPr>
      </w:pPr>
      <w:r>
        <w:rPr>
          <w:rFonts w:hint="eastAsia" w:ascii="宋体" w:hAnsi="宋体" w:eastAsia="宋体"/>
          <w:b w:val="0"/>
          <w:sz w:val="24"/>
          <w:szCs w:val="24"/>
          <w:highlight w:val="none"/>
        </w:rPr>
        <w:t xml:space="preserve">硬盘: ＞1T </w:t>
      </w:r>
    </w:p>
    <w:p w14:paraId="05B53EE4">
      <w:pPr>
        <w:pStyle w:val="2"/>
        <w:spacing w:line="400" w:lineRule="exact"/>
        <w:ind w:right="535" w:rightChars="255" w:firstLine="480" w:firstLineChars="200"/>
        <w:rPr>
          <w:rFonts w:hint="eastAsia" w:ascii="宋体" w:hAnsi="宋体" w:eastAsia="宋体"/>
          <w:b w:val="0"/>
          <w:sz w:val="24"/>
          <w:szCs w:val="24"/>
          <w:highlight w:val="none"/>
        </w:rPr>
      </w:pPr>
      <w:r>
        <w:rPr>
          <w:rFonts w:hint="eastAsia" w:ascii="宋体" w:hAnsi="宋体" w:eastAsia="宋体"/>
          <w:b w:val="0"/>
          <w:sz w:val="24"/>
          <w:szCs w:val="24"/>
          <w:highlight w:val="none"/>
        </w:rPr>
        <w:t>内存: ≥16G；</w:t>
      </w:r>
    </w:p>
    <w:p w14:paraId="5957AE1B">
      <w:pPr>
        <w:pStyle w:val="2"/>
        <w:spacing w:line="400" w:lineRule="exact"/>
        <w:ind w:right="535" w:rightChars="255" w:firstLine="480" w:firstLineChars="200"/>
        <w:rPr>
          <w:rFonts w:hint="eastAsia" w:ascii="宋体" w:hAnsi="宋体" w:eastAsia="宋体"/>
          <w:b w:val="0"/>
          <w:sz w:val="24"/>
          <w:szCs w:val="24"/>
          <w:highlight w:val="none"/>
        </w:rPr>
      </w:pPr>
      <w:r>
        <w:rPr>
          <w:rFonts w:hint="eastAsia" w:ascii="宋体" w:hAnsi="宋体" w:eastAsia="宋体"/>
          <w:b w:val="0"/>
          <w:sz w:val="24"/>
          <w:szCs w:val="24"/>
          <w:highlight w:val="none"/>
        </w:rPr>
        <w:t>所有</w:t>
      </w:r>
      <w:r>
        <w:rPr>
          <w:rFonts w:hint="eastAsia" w:ascii="宋体" w:hAnsi="宋体"/>
          <w:b w:val="0"/>
          <w:sz w:val="24"/>
          <w:szCs w:val="24"/>
          <w:highlight w:val="none"/>
          <w:lang w:val="en-US" w:eastAsia="zh-CN"/>
        </w:rPr>
        <w:t>工程师</w:t>
      </w:r>
      <w:r>
        <w:rPr>
          <w:rFonts w:hint="eastAsia" w:ascii="宋体" w:hAnsi="宋体" w:eastAsia="宋体"/>
          <w:b w:val="0"/>
          <w:sz w:val="24"/>
          <w:szCs w:val="24"/>
          <w:highlight w:val="none"/>
        </w:rPr>
        <w:t>站</w:t>
      </w:r>
      <w:r>
        <w:rPr>
          <w:rFonts w:hint="eastAsia" w:ascii="宋体" w:hAnsi="宋体"/>
          <w:b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/>
          <w:b w:val="0"/>
          <w:sz w:val="24"/>
          <w:szCs w:val="24"/>
          <w:highlight w:val="none"/>
          <w:lang w:val="en-US" w:eastAsia="zh-CN"/>
        </w:rPr>
        <w:t>操作站</w:t>
      </w:r>
      <w:r>
        <w:rPr>
          <w:rFonts w:hint="eastAsia" w:ascii="宋体" w:hAnsi="宋体"/>
          <w:b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/>
          <w:b w:val="0"/>
          <w:sz w:val="24"/>
          <w:szCs w:val="24"/>
          <w:highlight w:val="none"/>
        </w:rPr>
        <w:t>的 USB 口及外设接口应能通过软件进行禁闭。每个</w:t>
      </w:r>
      <w:r>
        <w:rPr>
          <w:rFonts w:hint="eastAsia" w:ascii="宋体" w:hAnsi="宋体"/>
          <w:b w:val="0"/>
          <w:sz w:val="24"/>
          <w:szCs w:val="24"/>
          <w:highlight w:val="none"/>
          <w:lang w:val="en-US" w:eastAsia="zh-CN"/>
        </w:rPr>
        <w:t>工程师</w:t>
      </w:r>
      <w:r>
        <w:rPr>
          <w:rFonts w:hint="eastAsia" w:ascii="宋体" w:hAnsi="宋体" w:eastAsia="宋体"/>
          <w:b w:val="0"/>
          <w:sz w:val="24"/>
          <w:szCs w:val="24"/>
          <w:highlight w:val="none"/>
        </w:rPr>
        <w:t>站</w:t>
      </w:r>
      <w:r>
        <w:rPr>
          <w:rFonts w:hint="eastAsia" w:ascii="宋体" w:hAnsi="宋体"/>
          <w:b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/>
          <w:b w:val="0"/>
          <w:sz w:val="24"/>
          <w:szCs w:val="24"/>
          <w:highlight w:val="none"/>
          <w:lang w:val="en-US" w:eastAsia="zh-CN"/>
        </w:rPr>
        <w:t>操作站</w:t>
      </w:r>
      <w:r>
        <w:rPr>
          <w:rFonts w:hint="eastAsia" w:ascii="宋体" w:hAnsi="宋体"/>
          <w:b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/>
          <w:b w:val="0"/>
          <w:sz w:val="24"/>
          <w:szCs w:val="24"/>
          <w:highlight w:val="none"/>
        </w:rPr>
        <w:t>都应配备双屏 LED（24 英寸）彩色显示器、操作员键盘、声卡、鼠标。 LED 分辨率至少为 1920*1080。带有图形加速器的显示驱动卡。</w:t>
      </w:r>
    </w:p>
    <w:p w14:paraId="261BF08D">
      <w:pPr>
        <w:adjustRightInd w:val="0"/>
        <w:snapToGrid w:val="0"/>
        <w:spacing w:line="360" w:lineRule="exact"/>
        <w:ind w:right="420" w:rightChars="200"/>
        <w:rPr>
          <w:rFonts w:hint="eastAsia" w:ascii="宋体" w:hAnsi="宋体" w:eastAsia="宋体"/>
          <w:sz w:val="24"/>
          <w:szCs w:val="24"/>
        </w:rPr>
      </w:pPr>
    </w:p>
    <w:p w14:paraId="3AEA8DA3">
      <w:pPr>
        <w:ind w:firstLine="210" w:firstLineChars="100"/>
        <w:rPr>
          <w:rFonts w:hint="eastAsia"/>
          <w:sz w:val="24"/>
          <w:szCs w:val="24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4 </w:t>
      </w:r>
      <w:bookmarkStart w:id="23" w:name="_Toc156209070"/>
      <w:bookmarkStart w:id="24" w:name="_Toc155942765"/>
      <w:r>
        <w:rPr>
          <w:rFonts w:hint="eastAsia"/>
          <w:sz w:val="24"/>
          <w:szCs w:val="24"/>
        </w:rPr>
        <w:t>与其它系统的通讯连接</w:t>
      </w:r>
      <w:bookmarkEnd w:id="23"/>
      <w:bookmarkEnd w:id="24"/>
    </w:p>
    <w:p w14:paraId="243A093E">
      <w:pPr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GDS应配备与DCS的冗余通讯接口，还应配备标准串行和并行通讯接口，以方便与其它系统通讯。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应在</w:t>
      </w: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文件中说明其通讯方案、通讯协议，并应提供软、硬件的详细技术资料和说明。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负责实现全部所需连接的数据通讯，负责全部的通讯调试。</w:t>
      </w:r>
    </w:p>
    <w:p w14:paraId="1BF83210">
      <w:pPr>
        <w:ind w:firstLine="210" w:firstLineChars="100"/>
        <w:rPr>
          <w:rFonts w:hint="eastAsia"/>
          <w:strike/>
          <w:sz w:val="24"/>
          <w:szCs w:val="24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5 </w:t>
      </w:r>
      <w:bookmarkStart w:id="25" w:name="_Toc155942766"/>
      <w:bookmarkStart w:id="26" w:name="_Toc156209071"/>
      <w:r>
        <w:rPr>
          <w:rFonts w:hint="eastAsia"/>
          <w:sz w:val="24"/>
          <w:szCs w:val="24"/>
        </w:rPr>
        <w:t>机柜</w:t>
      </w:r>
      <w:r>
        <w:rPr>
          <w:rFonts w:hint="eastAsia"/>
          <w:strike/>
          <w:sz w:val="24"/>
          <w:szCs w:val="24"/>
        </w:rPr>
        <w:t>及操作台</w:t>
      </w:r>
      <w:bookmarkEnd w:id="25"/>
      <w:bookmarkEnd w:id="26"/>
    </w:p>
    <w:p w14:paraId="6B97554F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本项目配置系统机柜1面，用于安装控制站及卡件和继电器等辅助设备。</w:t>
      </w:r>
    </w:p>
    <w:p w14:paraId="27B09CC8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机柜应为优质品牌的标准机柜，前后单开门，其尺寸统一为2100mm（高）×800mm（宽）×800mm（深）（包括底座），颜色色标为RAL7035。机柜门内带A3横向聚苯乙烯电路图盒（带自粘固定带）。机柜门上带编号及前后标签。</w:t>
      </w:r>
    </w:p>
    <w:p w14:paraId="3D7B597B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机柜应留有20％以上的备用安装空间。</w:t>
      </w:r>
    </w:p>
    <w:p w14:paraId="580F4B9A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技术文件应提供机柜的外形尺寸、基础尺寸、材质、质量和颜色标志等技术规格。</w:t>
      </w:r>
    </w:p>
    <w:p w14:paraId="761705CA">
      <w:pPr>
        <w:adjustRightInd w:val="0"/>
        <w:snapToGrid w:val="0"/>
        <w:spacing w:line="360" w:lineRule="exact"/>
        <w:ind w:right="420" w:rightChars="200"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6 电缆及连接配件</w:t>
      </w:r>
    </w:p>
    <w:p w14:paraId="2F0C1519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系统内部连接电缆、通讯电缆及连接配件由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供货，并应留有足够的长度。包括空分装置GDS报警控制器到机柜间（间距500米）的RS-485通讯电缆；机柜间到操作室（间距850米）的单模光缆，等等。</w:t>
      </w:r>
    </w:p>
    <w:p w14:paraId="7D9238CB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端子排应选用防腐型，端子上或引线处应注明位号，内部连接电缆两端应注明柜号及电缆编号。</w:t>
      </w:r>
    </w:p>
    <w:p w14:paraId="4B435E3A">
      <w:pPr>
        <w:adjustRightInd w:val="0"/>
        <w:snapToGrid w:val="0"/>
        <w:spacing w:line="360" w:lineRule="exact"/>
        <w:ind w:right="420" w:rightChars="200"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7 电源</w:t>
      </w:r>
    </w:p>
    <w:p w14:paraId="3F5B0EE3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提供</w:t>
      </w:r>
      <w:r>
        <w:rPr>
          <w:rFonts w:hint="eastAsia" w:ascii="宋体" w:hAnsi="宋体" w:eastAsia="宋体"/>
          <w:b w:val="0"/>
          <w:color w:val="auto"/>
          <w:sz w:val="24"/>
          <w:szCs w:val="24"/>
        </w:rPr>
        <w:t>220VAC±10%，50Hz±1HZ 双路UPS 供电</w:t>
      </w:r>
      <w:r>
        <w:rPr>
          <w:rFonts w:hint="eastAsia" w:ascii="宋体" w:hAnsi="宋体" w:eastAsia="宋体"/>
          <w:sz w:val="24"/>
          <w:szCs w:val="24"/>
        </w:rPr>
        <w:t>，GDS各用电单元必须适合此电源规格。</w:t>
      </w:r>
    </w:p>
    <w:p w14:paraId="2FD784EF">
      <w:pPr>
        <w:adjustRightInd w:val="0"/>
        <w:snapToGrid w:val="0"/>
        <w:spacing w:line="360" w:lineRule="exact"/>
        <w:ind w:right="420" w:rightChars="200"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必须配备独立冗余的稳压电源为气体探测器提供所需的24VDC电源，各供电回路应配备单路保险，以便于气体探测器的检修更换。</w:t>
      </w:r>
    </w:p>
    <w:p w14:paraId="22B9A71E">
      <w:pPr>
        <w:ind w:firstLine="240" w:firstLineChars="100"/>
        <w:rPr>
          <w:rFonts w:hint="default"/>
          <w:sz w:val="24"/>
          <w:szCs w:val="24"/>
          <w:lang w:val="en-US" w:eastAsia="zh-CN"/>
        </w:rPr>
      </w:pPr>
    </w:p>
    <w:p w14:paraId="074AAB67">
      <w:pPr>
        <w:pStyle w:val="2"/>
        <w:tabs>
          <w:tab w:val="left" w:pos="420"/>
        </w:tabs>
        <w:ind w:right="315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</w:t>
      </w:r>
      <w:r>
        <w:rPr>
          <w:rFonts w:hint="eastAsia"/>
          <w:b w:val="0"/>
          <w:bCs w:val="0"/>
          <w:lang w:val="en-US" w:eastAsia="zh-CN"/>
        </w:rPr>
        <w:t>.</w:t>
      </w:r>
      <w:bookmarkStart w:id="27" w:name="_Toc156209074"/>
      <w:bookmarkStart w:id="28" w:name="_Toc155942769"/>
      <w:r>
        <w:rPr>
          <w:rFonts w:hint="eastAsia"/>
        </w:rPr>
        <w:t>软件配置要求</w:t>
      </w:r>
      <w:bookmarkEnd w:id="27"/>
      <w:bookmarkEnd w:id="28"/>
    </w:p>
    <w:p w14:paraId="4111A042">
      <w:pPr>
        <w:pStyle w:val="3"/>
        <w:ind w:left="0" w:leftChars="0" w:right="315" w:firstLine="240" w:firstLineChars="100"/>
      </w:pPr>
      <w:r>
        <w:rPr>
          <w:rFonts w:hint="eastAsia"/>
        </w:rPr>
        <w:t>4.1</w:t>
      </w:r>
      <w:bookmarkStart w:id="29" w:name="_Toc156209075"/>
      <w:bookmarkStart w:id="30" w:name="_Toc155942770"/>
      <w:r>
        <w:rPr>
          <w:rFonts w:hint="eastAsia"/>
        </w:rPr>
        <w:t>软件种类</w:t>
      </w:r>
      <w:bookmarkEnd w:id="29"/>
      <w:bookmarkEnd w:id="30"/>
    </w:p>
    <w:p w14:paraId="397C558C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必须提供全套的操作系统软件、过程控制及检测软件、数据处理与记录软件、组态软件、生产报表软件等基本软件，软件应是最新版本。</w:t>
      </w:r>
    </w:p>
    <w:p w14:paraId="71EABA31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组态软件应具备在线修改和下装组态数据的功能。</w:t>
      </w:r>
    </w:p>
    <w:p w14:paraId="54F5DDF0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应提供通用的高级语言、数据库管理、电子表格、网络管理等工具软件，如果需要，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还应列出可选择的其他工具软件。</w:t>
      </w:r>
    </w:p>
    <w:p w14:paraId="77502F01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还应根据硬件配置及实际需要，配置计算机接口或网络接口软件。</w:t>
      </w:r>
    </w:p>
    <w:p w14:paraId="06841A0B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</w:p>
    <w:p w14:paraId="5A282C01">
      <w:pPr>
        <w:pStyle w:val="3"/>
        <w:ind w:left="0" w:leftChars="0" w:right="315" w:firstLine="240" w:firstLineChars="100"/>
      </w:pPr>
      <w:r>
        <w:rPr>
          <w:rFonts w:hint="eastAsia"/>
        </w:rPr>
        <w:t>4.2</w:t>
      </w:r>
      <w:bookmarkStart w:id="31" w:name="_Toc156209076"/>
      <w:bookmarkStart w:id="32" w:name="_Toc155942771"/>
      <w:r>
        <w:rPr>
          <w:rFonts w:hint="eastAsia"/>
        </w:rPr>
        <w:t>软件的版本更新</w:t>
      </w:r>
      <w:bookmarkEnd w:id="31"/>
      <w:bookmarkEnd w:id="32"/>
    </w:p>
    <w:p w14:paraId="4A471698">
      <w:pPr>
        <w:pStyle w:val="2"/>
        <w:spacing w:line="400" w:lineRule="exact"/>
        <w:ind w:right="535" w:rightChars="255" w:firstLine="480" w:firstLineChars="200"/>
        <w:rPr>
          <w:rFonts w:hint="eastAsia"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在合同保证期及以后1年内，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应免费提供最新版本的各类软件及升级服务。</w:t>
      </w:r>
    </w:p>
    <w:p w14:paraId="786C0ABF">
      <w:pPr>
        <w:rPr>
          <w:rFonts w:hint="eastAsia" w:ascii="宋体" w:hAnsi="宋体" w:eastAsia="宋体"/>
          <w:b w:val="0"/>
          <w:sz w:val="24"/>
          <w:szCs w:val="24"/>
        </w:rPr>
      </w:pPr>
    </w:p>
    <w:p w14:paraId="243AA654">
      <w:pPr>
        <w:pStyle w:val="2"/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文件资料</w:t>
      </w:r>
    </w:p>
    <w:p w14:paraId="4C0AC283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应提供完整的中文工程设计文件资料及电子文件（均为可编辑版），资料的交付时间、份数在工程会议上确定。资料至少应包括：</w:t>
      </w:r>
    </w:p>
    <w:p w14:paraId="53D4FFB1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－系统总说明书及配置图；</w:t>
      </w:r>
    </w:p>
    <w:p w14:paraId="2D621CEB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－机柜布置图、接线图；</w:t>
      </w:r>
    </w:p>
    <w:p w14:paraId="27FC2143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－系统供电及接地图；</w:t>
      </w:r>
    </w:p>
    <w:p w14:paraId="0E94E288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－输入输出卡件及接线端子布置图、接线图；</w:t>
      </w:r>
    </w:p>
    <w:p w14:paraId="00C3310F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－系统供电及接地图；</w:t>
      </w:r>
    </w:p>
    <w:p w14:paraId="5B3DC206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－系统内部电缆接线图；</w:t>
      </w:r>
    </w:p>
    <w:p w14:paraId="6B493526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－操作站、机柜、机架详细尺寸图；</w:t>
      </w:r>
    </w:p>
    <w:p w14:paraId="7288D75B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－远程I/O卡件及端子布置图、接线图；</w:t>
      </w:r>
    </w:p>
    <w:p w14:paraId="06BAB546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—仪表回路图。</w:t>
      </w:r>
    </w:p>
    <w:p w14:paraId="43C8F19B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还应提供完整的使用手册文件资料，资料至少应包括：</w:t>
      </w:r>
    </w:p>
    <w:p w14:paraId="0EE9A379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－各种设备的技术说明书；</w:t>
      </w:r>
    </w:p>
    <w:p w14:paraId="34311C78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－系统配电及接地工程手册；</w:t>
      </w:r>
    </w:p>
    <w:p w14:paraId="5B1DF452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－各种过程I/O端子接线图；</w:t>
      </w:r>
    </w:p>
    <w:p w14:paraId="2732C7A1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－系统软件使用手册；</w:t>
      </w:r>
    </w:p>
    <w:p w14:paraId="62213D29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－系统维护手册；</w:t>
      </w:r>
    </w:p>
    <w:p w14:paraId="2123B260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－配套设备的样本或使用说明书等。</w:t>
      </w:r>
    </w:p>
    <w:p w14:paraId="53D12495">
      <w:pPr>
        <w:adjustRightInd w:val="0"/>
        <w:snapToGrid w:val="0"/>
        <w:spacing w:line="360" w:lineRule="exact"/>
        <w:ind w:right="420" w:rightChars="200" w:firstLine="240" w:firstLineChars="100"/>
        <w:rPr>
          <w:rFonts w:hint="eastAsia" w:ascii="宋体" w:hAnsi="宋体" w:eastAsia="宋体"/>
          <w:sz w:val="24"/>
          <w:szCs w:val="24"/>
        </w:rPr>
      </w:pPr>
    </w:p>
    <w:p w14:paraId="044CF4EB">
      <w:pPr>
        <w:numPr>
          <w:ilvl w:val="0"/>
          <w:numId w:val="2"/>
        </w:numPr>
        <w:adjustRightInd w:val="0"/>
        <w:snapToGrid w:val="0"/>
        <w:spacing w:line="360" w:lineRule="exact"/>
        <w:ind w:left="0" w:leftChars="0" w:right="420" w:rightChars="200" w:firstLine="0" w:firstLineChars="0"/>
        <w:rPr>
          <w:rFonts w:hint="eastAsia"/>
          <w:b/>
          <w:bCs/>
          <w:sz w:val="28"/>
          <w:szCs w:val="28"/>
        </w:rPr>
      </w:pPr>
      <w:bookmarkStart w:id="33" w:name="_Toc155942773"/>
      <w:bookmarkStart w:id="34" w:name="_Toc156209078"/>
      <w:r>
        <w:rPr>
          <w:rFonts w:hint="eastAsia"/>
          <w:b/>
          <w:bCs/>
          <w:sz w:val="28"/>
          <w:szCs w:val="28"/>
        </w:rPr>
        <w:t>技术服务</w:t>
      </w:r>
      <w:bookmarkEnd w:id="33"/>
      <w:bookmarkEnd w:id="34"/>
    </w:p>
    <w:p w14:paraId="175C8A0E">
      <w:pPr>
        <w:numPr>
          <w:ilvl w:val="0"/>
          <w:numId w:val="0"/>
        </w:numPr>
        <w:adjustRightInd w:val="0"/>
        <w:snapToGrid w:val="0"/>
        <w:spacing w:line="360" w:lineRule="exact"/>
        <w:ind w:leftChars="0" w:right="420" w:rightChars="200"/>
        <w:rPr>
          <w:rFonts w:hint="eastAsia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</w:rPr>
        <w:t>6.1概述</w:t>
      </w:r>
    </w:p>
    <w:p w14:paraId="0267010F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应派有经验的技术人员提供优良的项目管理和优质的技术服务。技术服务应包括工厂测试与出厂验收、培训服务、系统组态、到货开箱检查、系统通电、联调试运和投运等。</w:t>
      </w:r>
    </w:p>
    <w:p w14:paraId="5449A833">
      <w:pPr>
        <w:numPr>
          <w:ilvl w:val="0"/>
          <w:numId w:val="0"/>
        </w:numPr>
        <w:adjustRightInd w:val="0"/>
        <w:snapToGrid w:val="0"/>
        <w:spacing w:line="360" w:lineRule="exact"/>
        <w:ind w:leftChars="0"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应在合同签定后的2～4周举行工程条件会议，对系统配置和规格进行详细确认，最终确定本项目的所有供货清单。确定分工界面、文件资料的详细内容及具体的交付时间，并再次确认项目进度。</w:t>
      </w:r>
    </w:p>
    <w:p w14:paraId="563AFC5B">
      <w:pPr>
        <w:pStyle w:val="3"/>
        <w:ind w:left="0" w:leftChars="0" w:right="315" w:firstLine="240" w:firstLineChars="100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>2</w:t>
      </w:r>
      <w:bookmarkStart w:id="35" w:name="_Toc155942775"/>
      <w:bookmarkStart w:id="36" w:name="_Toc156209080"/>
      <w:r>
        <w:rPr>
          <w:rFonts w:hint="eastAsia"/>
        </w:rPr>
        <w:t>培训及组态</w:t>
      </w:r>
      <w:bookmarkEnd w:id="35"/>
      <w:bookmarkEnd w:id="36"/>
    </w:p>
    <w:p w14:paraId="7899D393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6.2.1 技术培训</w:t>
      </w:r>
    </w:p>
    <w:p w14:paraId="28277EFE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系统培训对系统的技术规格、配置的软件功能进行详细介绍，并进行组态培训。培训在GDS生产厂商的培训部门进行，参加人数约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人，时间为1周。</w:t>
      </w:r>
    </w:p>
    <w:p w14:paraId="0E3FAA0C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培训期间，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应为</w:t>
      </w: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提供良好的工作条件。</w:t>
      </w:r>
    </w:p>
    <w:p w14:paraId="46B131BA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6.2.2 组态</w:t>
      </w:r>
    </w:p>
    <w:p w14:paraId="1D36BB81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软件组态由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负责，也可由</w:t>
      </w: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在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技术人员的指导下完成。</w:t>
      </w:r>
    </w:p>
    <w:p w14:paraId="57C3F3BE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如</w:t>
      </w: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参与组态，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应提供良好的工作条件和办公设施。</w:t>
      </w:r>
    </w:p>
    <w:p w14:paraId="56517F8C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6.2.3 维护培训（略）</w:t>
      </w:r>
    </w:p>
    <w:p w14:paraId="7200A93A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6.2.4 操作培训</w:t>
      </w:r>
    </w:p>
    <w:p w14:paraId="78A2FE90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操作培训应为正式的培训课程，地点在</w:t>
      </w: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现场。</w:t>
      </w:r>
    </w:p>
    <w:p w14:paraId="29F1A811">
      <w:pPr>
        <w:pStyle w:val="3"/>
        <w:ind w:left="0" w:leftChars="0" w:right="315" w:firstLine="240" w:firstLineChars="100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>3</w:t>
      </w:r>
      <w:bookmarkStart w:id="37" w:name="_Toc155942776"/>
      <w:bookmarkStart w:id="38" w:name="_Toc156209085"/>
      <w:r>
        <w:rPr>
          <w:rFonts w:hint="eastAsia"/>
        </w:rPr>
        <w:t>工厂测试与出厂验收</w:t>
      </w:r>
      <w:bookmarkEnd w:id="37"/>
      <w:bookmarkEnd w:id="38"/>
    </w:p>
    <w:p w14:paraId="2861491D">
      <w:pPr>
        <w:pStyle w:val="3"/>
        <w:ind w:left="0" w:leftChars="0" w:right="315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系统在制造组装完成后，</w:t>
      </w:r>
      <w:r>
        <w:rPr>
          <w:rFonts w:hint="eastAsia" w:ascii="宋体" w:hAnsi="宋体" w:eastAsia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有权要求进行工厂测试。</w:t>
      </w:r>
    </w:p>
    <w:p w14:paraId="373EB833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工厂测试验收前，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应提出标准的验收程序和内容，工厂测试在GDS制造厂进行，参加人数2人，时间3日。</w:t>
      </w:r>
    </w:p>
    <w:p w14:paraId="7C2D4E1F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工厂测试由双方技术人员共同执行，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应提供充分的测试用仪器和工具，工厂测试文件由双方代表共同签署。</w:t>
      </w:r>
    </w:p>
    <w:p w14:paraId="4C370282">
      <w:pPr>
        <w:adjustRightInd w:val="0"/>
        <w:snapToGrid w:val="0"/>
        <w:spacing w:line="360" w:lineRule="exact"/>
        <w:ind w:right="420" w:rightChars="200"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>4现场技术服务</w:t>
      </w:r>
    </w:p>
    <w:p w14:paraId="60D12694">
      <w:pPr>
        <w:adjustRightInd w:val="0"/>
        <w:snapToGrid w:val="0"/>
        <w:spacing w:line="360" w:lineRule="exact"/>
        <w:ind w:right="420" w:rightChars="200" w:firstLine="500" w:firstLineChars="200"/>
        <w:rPr>
          <w:rFonts w:hint="default"/>
          <w:lang w:val="en-US" w:eastAsia="zh-CN"/>
        </w:rPr>
      </w:pPr>
      <w:r>
        <w:rPr>
          <w:rFonts w:ascii="宋体" w:hAnsi="宋体" w:eastAsia="宋体" w:cs="宋体"/>
          <w:spacing w:val="5"/>
          <w:sz w:val="24"/>
          <w:szCs w:val="24"/>
        </w:rPr>
        <w:t>现场技术服务按照承包商或工程设计单位及工作区分期进行，</w:t>
      </w:r>
      <w:r>
        <w:rPr>
          <w:rFonts w:hint="eastAsia" w:ascii="宋体" w:hAnsi="宋体" w:eastAsia="宋体" w:cs="宋体"/>
          <w:spacing w:val="5"/>
          <w:sz w:val="24"/>
          <w:szCs w:val="24"/>
          <w:lang w:val="en-US" w:eastAsia="zh-CN"/>
        </w:rPr>
        <w:t>供货</w:t>
      </w:r>
      <w:r>
        <w:rPr>
          <w:rFonts w:hint="eastAsia" w:ascii="宋体" w:hAnsi="宋体" w:eastAsia="宋体" w:cs="宋体"/>
          <w:spacing w:val="5"/>
          <w:sz w:val="24"/>
          <w:szCs w:val="24"/>
          <w:lang w:eastAsia="zh-CN"/>
        </w:rPr>
        <w:t>方</w:t>
      </w:r>
      <w:r>
        <w:rPr>
          <w:rFonts w:ascii="宋体" w:hAnsi="宋体" w:eastAsia="宋体" w:cs="宋体"/>
          <w:spacing w:val="5"/>
          <w:sz w:val="24"/>
          <w:szCs w:val="24"/>
        </w:rPr>
        <w:t>应根据合</w:t>
      </w:r>
      <w:r>
        <w:rPr>
          <w:rFonts w:ascii="宋体" w:hAnsi="宋体" w:eastAsia="宋体" w:cs="宋体"/>
          <w:spacing w:val="8"/>
          <w:sz w:val="24"/>
          <w:szCs w:val="24"/>
        </w:rPr>
        <w:t>同规定派遣有经验的技术人员到达现场提供技术服务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在质保期内，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供货方提供现场技术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服务</w:t>
      </w:r>
      <w:r>
        <w:rPr>
          <w:rFonts w:hint="eastAsia" w:ascii="宋体" w:hAnsi="宋体" w:eastAsia="宋体" w:cs="宋体"/>
          <w:spacing w:val="8"/>
          <w:sz w:val="24"/>
          <w:szCs w:val="24"/>
          <w:highlight w:val="yellow"/>
          <w:lang w:val="en-US" w:eastAsia="zh-CN"/>
        </w:rPr>
        <w:t>没有</w:t>
      </w:r>
      <w:r>
        <w:rPr>
          <w:rFonts w:hint="eastAsia" w:ascii="宋体" w:hAnsi="宋体" w:eastAsia="宋体" w:cs="宋体"/>
          <w:spacing w:val="8"/>
          <w:sz w:val="24"/>
          <w:szCs w:val="24"/>
          <w:highlight w:val="yellow"/>
        </w:rPr>
        <w:t>时间限制</w:t>
      </w:r>
      <w:r>
        <w:rPr>
          <w:rFonts w:hint="eastAsia" w:ascii="宋体" w:hAnsi="宋体" w:cs="宋体"/>
          <w:spacing w:val="8"/>
          <w:sz w:val="24"/>
          <w:szCs w:val="24"/>
          <w:lang w:eastAsia="zh-CN"/>
        </w:rPr>
        <w:t>。</w:t>
      </w:r>
    </w:p>
    <w:p w14:paraId="5022DD09">
      <w:pPr>
        <w:adjustRightInd w:val="0"/>
        <w:snapToGrid w:val="0"/>
        <w:spacing w:line="360" w:lineRule="exact"/>
        <w:ind w:right="420" w:righ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6.4.1 现场安装</w:t>
      </w:r>
    </w:p>
    <w:p w14:paraId="5B38E535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现场安装由</w:t>
      </w: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负责，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对安装工作提供指导和协助服务。</w:t>
      </w:r>
    </w:p>
    <w:p w14:paraId="30BDF8B9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由GDS成套的部分（包括安装、接线等）应由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负责，双方以机柜内接线端子为界线。</w:t>
      </w:r>
    </w:p>
    <w:p w14:paraId="02FB9C37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提供系统电源至机柜，并负责机柜与总接地板的接地连接。</w:t>
      </w:r>
    </w:p>
    <w:p w14:paraId="50BC93DC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其它未尽事宜由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提出，双方友好协商，否则将视为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义务。</w:t>
      </w:r>
    </w:p>
    <w:p w14:paraId="0F7A5921">
      <w:pPr>
        <w:adjustRightInd w:val="0"/>
        <w:snapToGrid w:val="0"/>
        <w:spacing w:line="360" w:lineRule="exact"/>
        <w:ind w:right="420" w:rightChars="20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6.4.2 系统通电</w:t>
      </w:r>
    </w:p>
    <w:p w14:paraId="009701AF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GDS设备在现场安装、接线完毕后，系统通电由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的技术人员负责，通电前由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的技术人员检查系统的安装、接线、电源及接地等情况，然后通电启动。</w:t>
      </w:r>
    </w:p>
    <w:p w14:paraId="3C2850BF">
      <w:pPr>
        <w:keepNext/>
        <w:keepLines/>
        <w:numPr>
          <w:ilvl w:val="0"/>
          <w:numId w:val="0"/>
        </w:numPr>
        <w:tabs>
          <w:tab w:val="left" w:pos="850"/>
        </w:tabs>
        <w:adjustRightInd w:val="0"/>
        <w:snapToGrid w:val="0"/>
        <w:spacing w:line="360" w:lineRule="exact"/>
        <w:ind w:right="420" w:rightChars="200" w:firstLine="480" w:firstLineChars="200"/>
        <w:outlineLvl w:val="2"/>
        <w:rPr>
          <w:rFonts w:hint="eastAsia" w:ascii="宋体" w:hAnsi="宋体" w:eastAsia="宋体"/>
          <w:bCs/>
          <w:sz w:val="24"/>
          <w:szCs w:val="24"/>
        </w:rPr>
      </w:pPr>
      <w:bookmarkStart w:id="39" w:name="_Toc156209089"/>
      <w:r>
        <w:rPr>
          <w:rFonts w:hint="eastAsia" w:ascii="宋体" w:hAnsi="宋体"/>
          <w:bCs/>
          <w:sz w:val="24"/>
          <w:szCs w:val="24"/>
          <w:lang w:val="en-US" w:eastAsia="zh-CN"/>
        </w:rPr>
        <w:t>6.4.3</w:t>
      </w:r>
      <w:r>
        <w:rPr>
          <w:rFonts w:hint="eastAsia" w:ascii="宋体" w:hAnsi="宋体" w:eastAsia="宋体"/>
          <w:bCs/>
          <w:sz w:val="24"/>
          <w:szCs w:val="24"/>
        </w:rPr>
        <w:t>联调试运及现场验收</w:t>
      </w:r>
      <w:bookmarkEnd w:id="39"/>
    </w:p>
    <w:p w14:paraId="71AE8ED6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的技术人员在现场协助</w:t>
      </w: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对系统进行联调试运，使系统各部分处于正常工作状态，完整地投入运行。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应在系统投运前完成</w:t>
      </w:r>
      <w:r>
        <w:rPr>
          <w:rFonts w:hint="eastAsia" w:ascii="宋体" w:hAnsi="宋体"/>
          <w:sz w:val="24"/>
          <w:szCs w:val="24"/>
          <w:lang w:eastAsia="zh-CN"/>
        </w:rPr>
        <w:t>技术说明文件</w:t>
      </w:r>
      <w:r>
        <w:rPr>
          <w:rFonts w:hint="eastAsia" w:ascii="宋体" w:hAnsi="宋体" w:eastAsia="宋体"/>
          <w:sz w:val="24"/>
          <w:szCs w:val="24"/>
        </w:rPr>
        <w:t>所要求负责的与其它系统的通讯调试。</w:t>
      </w:r>
    </w:p>
    <w:p w14:paraId="50AA8D92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现场验收和联调试运可结合进行，现场验收可以参照出厂验收程序及内容，由双方讨论确定。</w:t>
      </w:r>
    </w:p>
    <w:p w14:paraId="3A05EE2F">
      <w:pPr>
        <w:keepNext/>
        <w:keepLines/>
        <w:numPr>
          <w:ilvl w:val="0"/>
          <w:numId w:val="0"/>
        </w:numPr>
        <w:tabs>
          <w:tab w:val="left" w:pos="850"/>
        </w:tabs>
        <w:adjustRightInd w:val="0"/>
        <w:snapToGrid w:val="0"/>
        <w:spacing w:line="360" w:lineRule="exact"/>
        <w:ind w:right="420" w:rightChars="200" w:firstLine="480" w:firstLineChars="200"/>
        <w:outlineLvl w:val="2"/>
        <w:rPr>
          <w:rFonts w:hint="eastAsia" w:ascii="宋体" w:hAnsi="宋体" w:eastAsia="宋体"/>
          <w:bCs/>
          <w:sz w:val="24"/>
          <w:szCs w:val="24"/>
        </w:rPr>
      </w:pPr>
      <w:bookmarkStart w:id="40" w:name="_Toc156209090"/>
      <w:r>
        <w:rPr>
          <w:rFonts w:hint="eastAsia" w:ascii="宋体" w:hAnsi="宋体"/>
          <w:bCs/>
          <w:sz w:val="24"/>
          <w:szCs w:val="24"/>
          <w:lang w:val="en-US" w:eastAsia="zh-CN"/>
        </w:rPr>
        <w:t>6.4.4</w:t>
      </w:r>
      <w:r>
        <w:rPr>
          <w:rFonts w:hint="eastAsia" w:ascii="宋体" w:hAnsi="宋体" w:eastAsia="宋体"/>
          <w:bCs/>
          <w:sz w:val="24"/>
          <w:szCs w:val="24"/>
        </w:rPr>
        <w:t>系统投运</w:t>
      </w:r>
      <w:bookmarkEnd w:id="40"/>
    </w:p>
    <w:p w14:paraId="108F5A3E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系统在投运期间，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应派技术人员到现场，保证投运期间系统工作正常。</w:t>
      </w:r>
    </w:p>
    <w:p w14:paraId="6685B5D7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在系统连续无故障运行72小时后，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将完整的工作系统和资料移交给</w:t>
      </w: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329DF796">
      <w:pPr>
        <w:keepNext/>
        <w:keepLines/>
        <w:numPr>
          <w:ilvl w:val="0"/>
          <w:numId w:val="0"/>
        </w:numPr>
        <w:tabs>
          <w:tab w:val="left" w:pos="850"/>
        </w:tabs>
        <w:adjustRightInd w:val="0"/>
        <w:snapToGrid w:val="0"/>
        <w:spacing w:line="360" w:lineRule="exact"/>
        <w:ind w:right="420" w:rightChars="200" w:firstLine="480" w:firstLineChars="200"/>
        <w:outlineLvl w:val="2"/>
        <w:rPr>
          <w:rFonts w:hint="eastAsia" w:ascii="宋体" w:hAnsi="宋体" w:eastAsia="宋体"/>
          <w:bCs/>
          <w:sz w:val="24"/>
          <w:szCs w:val="24"/>
        </w:rPr>
      </w:pPr>
      <w:bookmarkStart w:id="41" w:name="_Toc156209091"/>
      <w:r>
        <w:rPr>
          <w:rFonts w:hint="eastAsia" w:ascii="宋体" w:hAnsi="宋体"/>
          <w:bCs/>
          <w:sz w:val="24"/>
          <w:szCs w:val="24"/>
          <w:lang w:val="en-US" w:eastAsia="zh-CN"/>
        </w:rPr>
        <w:t>6.4.5</w:t>
      </w:r>
      <w:r>
        <w:rPr>
          <w:rFonts w:hint="eastAsia" w:ascii="宋体" w:hAnsi="宋体" w:eastAsia="宋体"/>
          <w:bCs/>
          <w:sz w:val="24"/>
          <w:szCs w:val="24"/>
        </w:rPr>
        <w:t>服务费用</w:t>
      </w:r>
      <w:bookmarkEnd w:id="41"/>
    </w:p>
    <w:p w14:paraId="71300058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</w:t>
      </w:r>
      <w:r>
        <w:rPr>
          <w:rFonts w:hint="eastAsia" w:ascii="宋体" w:hAnsi="宋体" w:eastAsia="宋体"/>
          <w:sz w:val="24"/>
          <w:szCs w:val="24"/>
        </w:rPr>
        <w:t>技术文件应对以上技术服务分别列出人员工时及费用。</w:t>
      </w:r>
    </w:p>
    <w:p w14:paraId="44D370AD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由于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或系统故障等原因造成现场服务时间增加，其费用由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自行负责。</w:t>
      </w:r>
    </w:p>
    <w:p w14:paraId="0CBD529A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</w:p>
    <w:p w14:paraId="224A9DA2">
      <w:pPr>
        <w:pStyle w:val="3"/>
        <w:ind w:left="0" w:leftChars="0" w:right="315" w:firstLine="480" w:firstLineChars="200"/>
      </w:pPr>
      <w:bookmarkStart w:id="42" w:name="_Toc156209092"/>
      <w:bookmarkStart w:id="43" w:name="_Toc155942778"/>
      <w:r>
        <w:rPr>
          <w:rFonts w:hint="eastAsia"/>
          <w:lang w:val="en-US" w:eastAsia="zh-CN"/>
        </w:rPr>
        <w:t>6.5</w:t>
      </w:r>
      <w:r>
        <w:rPr>
          <w:rFonts w:hint="eastAsia"/>
        </w:rPr>
        <w:t>售后服务与维修</w:t>
      </w:r>
      <w:bookmarkEnd w:id="42"/>
      <w:bookmarkEnd w:id="43"/>
    </w:p>
    <w:p w14:paraId="47707881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应具有系统常用部件的现货储备能力，对</w:t>
      </w:r>
      <w:r>
        <w:rPr>
          <w:rFonts w:hint="eastAsia" w:ascii="宋体" w:hAnsi="宋体"/>
          <w:sz w:val="24"/>
          <w:szCs w:val="24"/>
          <w:lang w:eastAsia="zh-CN"/>
        </w:rPr>
        <w:t>采购方</w:t>
      </w:r>
      <w:r>
        <w:rPr>
          <w:rFonts w:hint="eastAsia" w:ascii="宋体" w:hAnsi="宋体" w:eastAsia="宋体"/>
          <w:sz w:val="24"/>
          <w:szCs w:val="24"/>
        </w:rPr>
        <w:t>所在地的技术与维修支持，需保证在接到通知电话后24小时内作出响应。</w:t>
      </w:r>
    </w:p>
    <w:p w14:paraId="333F5149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</w:p>
    <w:p w14:paraId="6EAD75FC">
      <w:pPr>
        <w:pStyle w:val="2"/>
        <w:ind w:left="0" w:leftChars="0" w:firstLine="0" w:firstLineChars="0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7</w:t>
      </w:r>
      <w:r>
        <w:rPr>
          <w:rFonts w:hint="eastAsia"/>
          <w:b/>
          <w:bCs/>
          <w:lang w:val="en-US" w:eastAsia="zh-CN"/>
        </w:rPr>
        <w:t>.保证期</w:t>
      </w:r>
    </w:p>
    <w:p w14:paraId="2991977E">
      <w:pPr>
        <w:pStyle w:val="3"/>
        <w:ind w:left="0" w:leftChars="0" w:firstLine="240" w:firstLineChars="100"/>
        <w:rPr>
          <w:rFonts w:hint="eastAsia"/>
          <w:lang w:val="en-US" w:eastAsia="zh-CN"/>
        </w:rPr>
      </w:pPr>
      <w:r>
        <w:rPr>
          <w:rFonts w:hint="eastAsia"/>
        </w:rPr>
        <w:t>7.1</w:t>
      </w:r>
      <w:r>
        <w:rPr>
          <w:rFonts w:hint="eastAsia"/>
          <w:lang w:val="en-US" w:eastAsia="zh-CN"/>
        </w:rPr>
        <w:t>保证期</w:t>
      </w:r>
    </w:p>
    <w:p w14:paraId="60E19316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按国际惯例，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必须保证系统所有设备、仪表、部件完好工作，保证期</w:t>
      </w:r>
      <w:r>
        <w:rPr>
          <w:rFonts w:hint="eastAsia" w:ascii="宋体" w:hAnsi="宋体"/>
          <w:sz w:val="24"/>
          <w:szCs w:val="24"/>
          <w:lang w:val="en-US" w:eastAsia="zh-CN"/>
        </w:rPr>
        <w:t>为系统投运</w:t>
      </w:r>
      <w:r>
        <w:rPr>
          <w:rFonts w:hint="eastAsia" w:ascii="宋体" w:hAnsi="宋体" w:eastAsia="宋体"/>
          <w:sz w:val="24"/>
          <w:szCs w:val="24"/>
        </w:rPr>
        <w:t>1年。在保证期内，</w:t>
      </w:r>
      <w:r>
        <w:rPr>
          <w:rFonts w:hint="eastAsia" w:ascii="宋体" w:hAnsi="宋体"/>
          <w:sz w:val="24"/>
          <w:szCs w:val="24"/>
          <w:lang w:eastAsia="zh-CN"/>
        </w:rPr>
        <w:t>供货方</w:t>
      </w:r>
      <w:r>
        <w:rPr>
          <w:rFonts w:hint="eastAsia" w:ascii="宋体" w:hAnsi="宋体" w:eastAsia="宋体"/>
          <w:sz w:val="24"/>
          <w:szCs w:val="24"/>
        </w:rPr>
        <w:t>应保证免费更换发生故障或有缺陷的部件和设备。</w:t>
      </w:r>
    </w:p>
    <w:p w14:paraId="4037F2D7">
      <w:pPr>
        <w:adjustRightInd w:val="0"/>
        <w:snapToGrid w:val="0"/>
        <w:spacing w:line="360" w:lineRule="exact"/>
        <w:ind w:right="420" w:rightChars="200" w:firstLine="210" w:firstLineChars="100"/>
        <w:rPr>
          <w:rFonts w:hint="eastAsia"/>
          <w:lang w:val="en-US" w:eastAsia="zh-CN"/>
        </w:rPr>
      </w:pPr>
      <w:r>
        <w:rPr>
          <w:rFonts w:hint="eastAsia"/>
        </w:rPr>
        <w:t>7.2</w:t>
      </w:r>
      <w:r>
        <w:rPr>
          <w:rFonts w:hint="eastAsia"/>
          <w:lang w:val="en-US" w:eastAsia="zh-CN"/>
        </w:rPr>
        <w:t>备件供应期</w:t>
      </w:r>
    </w:p>
    <w:p w14:paraId="375719A0">
      <w:pPr>
        <w:adjustRightInd w:val="0"/>
        <w:snapToGrid w:val="0"/>
        <w:spacing w:line="360" w:lineRule="exact"/>
        <w:ind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备件应保证10年以上的供应期。在备件供应期内，所有备品备件的价格应保证不高于本次报价中单列价格的15％。</w:t>
      </w:r>
    </w:p>
    <w:p w14:paraId="237EE3F2">
      <w:pPr>
        <w:adjustRightInd w:val="0"/>
        <w:snapToGrid w:val="0"/>
        <w:spacing w:line="360" w:lineRule="exact"/>
        <w:ind w:left="315" w:leftChars="150" w:right="420" w:rightChars="200" w:firstLine="480" w:firstLineChars="200"/>
        <w:rPr>
          <w:rFonts w:hint="eastAsia" w:ascii="宋体" w:hAnsi="宋体" w:eastAsia="宋体"/>
          <w:sz w:val="24"/>
          <w:szCs w:val="24"/>
        </w:rPr>
      </w:pPr>
    </w:p>
    <w:p w14:paraId="4DB43348">
      <w:pPr>
        <w:adjustRightInd w:val="0"/>
        <w:snapToGrid w:val="0"/>
        <w:spacing w:line="360" w:lineRule="exact"/>
        <w:ind w:right="420" w:rightChars="200" w:firstLine="210" w:firstLineChars="100"/>
        <w:rPr>
          <w:rFonts w:hint="default"/>
          <w:lang w:val="en-US" w:eastAsia="zh-CN"/>
        </w:rPr>
      </w:pPr>
    </w:p>
    <w:p w14:paraId="0FFC466D">
      <w:pPr>
        <w:rPr>
          <w:rFonts w:hint="eastAsia"/>
          <w:lang w:val="en-US" w:eastAsia="zh-CN"/>
        </w:rPr>
      </w:pPr>
    </w:p>
    <w:p w14:paraId="06579832">
      <w:pPr>
        <w:rPr>
          <w:rFonts w:hint="eastAsia"/>
          <w:lang w:val="en-US" w:eastAsia="zh-CN"/>
        </w:rPr>
      </w:pPr>
    </w:p>
    <w:p w14:paraId="57E68775">
      <w:pPr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</w:t>
      </w:r>
    </w:p>
    <w:p w14:paraId="0E23FA4A">
      <w:pPr>
        <w:rPr>
          <w:rFonts w:hint="eastAsia" w:ascii="宋体" w:hAnsi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sz w:val="24"/>
          <w:szCs w:val="24"/>
          <w:lang w:val="en-US" w:eastAsia="zh-CN"/>
        </w:rPr>
        <w:t>GDS  IO表</w:t>
      </w:r>
    </w:p>
    <w:p w14:paraId="0117D628">
      <w:pPr>
        <w:rPr>
          <w:rFonts w:hint="default" w:ascii="宋体" w:hAnsi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sz w:val="24"/>
          <w:szCs w:val="24"/>
          <w:lang w:val="en-US" w:eastAsia="zh-CN"/>
        </w:rPr>
        <w:t>GDS  监控数据表</w:t>
      </w:r>
    </w:p>
    <w:p w14:paraId="50DC9AA3">
      <w:pPr>
        <w:numPr>
          <w:ilvl w:val="0"/>
          <w:numId w:val="0"/>
        </w:numPr>
        <w:ind w:leftChars="0"/>
      </w:pPr>
    </w:p>
    <w:p w14:paraId="4A50136B">
      <w:pPr>
        <w:ind w:firstLine="480" w:firstLineChars="200"/>
        <w:rPr>
          <w:rFonts w:hint="eastAsia" w:ascii="宋体" w:hAnsi="宋体" w:eastAsia="宋体"/>
          <w:b w:val="0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924" w:bottom="1440" w:left="873" w:header="851" w:footer="992" w:gutter="567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4982F">
    <w:pPr>
      <w:pStyle w:val="5"/>
      <w:tabs>
        <w:tab w:val="right" w:pos="8306"/>
        <w:tab w:val="clear" w:pos="8299"/>
      </w:tabs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300" cy="131445"/>
              <wp:effectExtent l="0" t="0" r="0" b="0"/>
              <wp:wrapNone/>
              <wp:docPr id="1" name="文本框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6706DF">
                          <w:pPr>
                            <w:pStyle w:val="5"/>
                            <w:tabs>
                              <w:tab w:val="right" w:pos="8306"/>
                              <w:tab w:val="clear" w:pos="8299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\* Arabic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7" o:spid="_x0000_s1026" o:spt="202" type="#_x0000_t202" style="position:absolute;left:0pt;margin-top:0pt;height:10.35pt;width:9pt;mso-position-horizontal:center;mso-position-horizontal-relative:margin;mso-wrap-style:none;z-index:251659264;mso-width-relative:page;mso-height-relative:page;" filled="f" stroked="f" coordsize="21600,21600" o:allowincell="f" o:gfxdata="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L+8ifPAAAAAwEAAA8AAAAAAAAAAQAgAAAAIgAAAGRycy9kb3ducmV2&#10;LnhtbFBLAQIUABQAAAAIAIdO4kBdu3ZwzAEAAJY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86706DF">
                    <w:pPr>
                      <w:pStyle w:val="5"/>
                      <w:tabs>
                        <w:tab w:val="right" w:pos="8306"/>
                        <w:tab w:val="clear" w:pos="8299"/>
                      </w:tabs>
                    </w:pPr>
                    <w:r>
                      <w:fldChar w:fldCharType="begin"/>
                    </w:r>
                    <w:r>
                      <w:instrText xml:space="preserve"> PAGE \* Arabic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0103B">
    <w:pPr>
      <w:pStyle w:val="6"/>
      <w:tabs>
        <w:tab w:val="right" w:pos="8306"/>
        <w:tab w:val="clear" w:pos="8299"/>
      </w:tabs>
    </w:pPr>
    <w:r>
      <w:t xml:space="preserve">   </w:t>
    </w:r>
    <w:r>
      <w:rPr>
        <w:rFonts w:hint="eastAsia" w:ascii="宋体" w:hAnsi="宋体" w:cs="宋体"/>
        <w:sz w:val="15"/>
        <w:szCs w:val="15"/>
      </w:rPr>
      <w:t>江苏索普</w:t>
    </w:r>
    <w:r>
      <w:rPr>
        <w:rFonts w:hint="eastAsia" w:ascii="宋体" w:hAnsi="宋体" w:cs="宋体"/>
        <w:sz w:val="15"/>
        <w:szCs w:val="15"/>
        <w:lang w:val="en-US" w:eastAsia="zh-CN"/>
      </w:rPr>
      <w:t>工程</w:t>
    </w:r>
    <w:r>
      <w:rPr>
        <w:rFonts w:hint="eastAsia" w:ascii="宋体" w:hAnsi="宋体" w:cs="宋体"/>
        <w:sz w:val="15"/>
        <w:szCs w:val="15"/>
      </w:rPr>
      <w:t>有限</w:t>
    </w:r>
    <w:r>
      <w:rPr>
        <w:rFonts w:hint="eastAsia" w:ascii="宋体" w:hAnsi="宋体" w:cs="宋体"/>
        <w:sz w:val="15"/>
        <w:szCs w:val="15"/>
        <w:lang w:val="en-US" w:eastAsia="zh-CN"/>
      </w:rPr>
      <w:t>公司</w:t>
    </w:r>
    <w:r>
      <w:rPr>
        <w:rFonts w:hint="eastAsia"/>
        <w:sz w:val="15"/>
        <w:szCs w:val="15"/>
        <w:lang w:val="en-US" w:eastAsia="zh-CN"/>
      </w:rPr>
      <w:t>新材料80万吨硫酸</w:t>
    </w:r>
    <w:r>
      <w:rPr>
        <w:rFonts w:hint="eastAsia"/>
        <w:sz w:val="15"/>
        <w:szCs w:val="15"/>
      </w:rPr>
      <w:t>项目</w:t>
    </w:r>
    <w:r>
      <w:rPr>
        <w:rFonts w:hint="eastAsia"/>
        <w:sz w:val="15"/>
        <w:szCs w:val="15"/>
        <w:lang w:val="en-US" w:eastAsia="zh-CN"/>
      </w:rPr>
      <w:t>本气体检测系统（</w:t>
    </w:r>
    <w:r>
      <w:rPr>
        <w:rFonts w:hint="eastAsia" w:ascii="宋体" w:hAnsi="宋体" w:eastAsia="宋体"/>
        <w:b w:val="0"/>
        <w:sz w:val="15"/>
        <w:szCs w:val="15"/>
      </w:rPr>
      <w:t>简称</w:t>
    </w:r>
    <w:r>
      <w:rPr>
        <w:rFonts w:hint="eastAsia" w:ascii="宋体" w:hAnsi="宋体"/>
        <w:b w:val="0"/>
        <w:sz w:val="15"/>
        <w:szCs w:val="15"/>
        <w:lang w:val="en-US" w:eastAsia="zh-CN"/>
      </w:rPr>
      <w:t>GD</w:t>
    </w:r>
    <w:r>
      <w:rPr>
        <w:rFonts w:hint="eastAsia" w:ascii="宋体" w:hAnsi="宋体" w:eastAsia="宋体"/>
        <w:b w:val="0"/>
        <w:sz w:val="15"/>
        <w:szCs w:val="15"/>
      </w:rPr>
      <w:t>S</w:t>
    </w:r>
    <w:r>
      <w:rPr>
        <w:rFonts w:hint="eastAsia"/>
        <w:sz w:val="15"/>
        <w:szCs w:val="15"/>
        <w:lang w:val="en-US" w:eastAsia="zh-CN"/>
      </w:rPr>
      <w:t>）采购</w:t>
    </w:r>
    <w:r>
      <w:rPr>
        <w:sz w:val="15"/>
        <w:szCs w:val="15"/>
      </w:rPr>
      <w:t>——</w:t>
    </w:r>
    <w:r>
      <w:rPr>
        <w:rFonts w:hint="eastAsia"/>
        <w:sz w:val="15"/>
        <w:szCs w:val="15"/>
        <w:lang w:val="en-US" w:eastAsia="zh-CN"/>
      </w:rPr>
      <w:t>技术说明</w:t>
    </w:r>
    <w:r>
      <w:rPr>
        <w:rFonts w:hint="eastAsia"/>
        <w:sz w:val="15"/>
        <w:szCs w:val="15"/>
      </w:rPr>
      <w:t>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559C2C"/>
    <w:multiLevelType w:val="singleLevel"/>
    <w:tmpl w:val="D8559C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14B7E06"/>
    <w:multiLevelType w:val="singleLevel"/>
    <w:tmpl w:val="F14B7E06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2MDllYmJiNTJjNWU0NjVmYzQ5YmRkNDJiMWEzZGIifQ=="/>
  </w:docVars>
  <w:rsids>
    <w:rsidRoot w:val="00823963"/>
    <w:rsid w:val="000033C9"/>
    <w:rsid w:val="000051A7"/>
    <w:rsid w:val="000119CA"/>
    <w:rsid w:val="00012506"/>
    <w:rsid w:val="00026DA9"/>
    <w:rsid w:val="00026DAB"/>
    <w:rsid w:val="000311E2"/>
    <w:rsid w:val="00035178"/>
    <w:rsid w:val="000414D4"/>
    <w:rsid w:val="00044017"/>
    <w:rsid w:val="000465B9"/>
    <w:rsid w:val="0004731A"/>
    <w:rsid w:val="000519BF"/>
    <w:rsid w:val="0005321B"/>
    <w:rsid w:val="00056487"/>
    <w:rsid w:val="000579E0"/>
    <w:rsid w:val="000651AC"/>
    <w:rsid w:val="00076C98"/>
    <w:rsid w:val="00081F4F"/>
    <w:rsid w:val="0008270A"/>
    <w:rsid w:val="000842E7"/>
    <w:rsid w:val="00090970"/>
    <w:rsid w:val="00091A5E"/>
    <w:rsid w:val="0009252A"/>
    <w:rsid w:val="000A2110"/>
    <w:rsid w:val="000A7134"/>
    <w:rsid w:val="000B0419"/>
    <w:rsid w:val="000B45A2"/>
    <w:rsid w:val="000B5F14"/>
    <w:rsid w:val="000B7134"/>
    <w:rsid w:val="000B73B9"/>
    <w:rsid w:val="000C6B2E"/>
    <w:rsid w:val="000C7EBB"/>
    <w:rsid w:val="000D5C0C"/>
    <w:rsid w:val="000D7C21"/>
    <w:rsid w:val="000E27E6"/>
    <w:rsid w:val="000E4F52"/>
    <w:rsid w:val="000E77D8"/>
    <w:rsid w:val="000F45A9"/>
    <w:rsid w:val="000F4F9D"/>
    <w:rsid w:val="000F5997"/>
    <w:rsid w:val="00101A03"/>
    <w:rsid w:val="00102FBE"/>
    <w:rsid w:val="0010415A"/>
    <w:rsid w:val="00106F82"/>
    <w:rsid w:val="00107D91"/>
    <w:rsid w:val="00120635"/>
    <w:rsid w:val="00124B85"/>
    <w:rsid w:val="00137EC6"/>
    <w:rsid w:val="00145544"/>
    <w:rsid w:val="001458BE"/>
    <w:rsid w:val="001470E9"/>
    <w:rsid w:val="00160640"/>
    <w:rsid w:val="0016327F"/>
    <w:rsid w:val="00164F88"/>
    <w:rsid w:val="00170064"/>
    <w:rsid w:val="00170FDC"/>
    <w:rsid w:val="00173680"/>
    <w:rsid w:val="00175521"/>
    <w:rsid w:val="001818F7"/>
    <w:rsid w:val="0018327A"/>
    <w:rsid w:val="00183BB0"/>
    <w:rsid w:val="001863E2"/>
    <w:rsid w:val="00190764"/>
    <w:rsid w:val="0019169D"/>
    <w:rsid w:val="0019513A"/>
    <w:rsid w:val="001A2639"/>
    <w:rsid w:val="001A41D8"/>
    <w:rsid w:val="001B2D5C"/>
    <w:rsid w:val="001B3EC8"/>
    <w:rsid w:val="001B49F3"/>
    <w:rsid w:val="001B61EE"/>
    <w:rsid w:val="001C3ED4"/>
    <w:rsid w:val="001C52F3"/>
    <w:rsid w:val="001D45AA"/>
    <w:rsid w:val="001E5D06"/>
    <w:rsid w:val="001E68DF"/>
    <w:rsid w:val="001E7BDA"/>
    <w:rsid w:val="001F2294"/>
    <w:rsid w:val="001F3D85"/>
    <w:rsid w:val="001F65B8"/>
    <w:rsid w:val="00215395"/>
    <w:rsid w:val="002164FA"/>
    <w:rsid w:val="00220AFA"/>
    <w:rsid w:val="002248F0"/>
    <w:rsid w:val="00227B1D"/>
    <w:rsid w:val="002308B7"/>
    <w:rsid w:val="0023226C"/>
    <w:rsid w:val="00236AD8"/>
    <w:rsid w:val="002402F8"/>
    <w:rsid w:val="002413A8"/>
    <w:rsid w:val="002535C5"/>
    <w:rsid w:val="00255ED5"/>
    <w:rsid w:val="00257119"/>
    <w:rsid w:val="00262D94"/>
    <w:rsid w:val="00264DC5"/>
    <w:rsid w:val="00267506"/>
    <w:rsid w:val="00273A41"/>
    <w:rsid w:val="00293142"/>
    <w:rsid w:val="00294CFE"/>
    <w:rsid w:val="0029558C"/>
    <w:rsid w:val="002A49C9"/>
    <w:rsid w:val="002A73EA"/>
    <w:rsid w:val="002B0C41"/>
    <w:rsid w:val="002B6502"/>
    <w:rsid w:val="002C6FF3"/>
    <w:rsid w:val="002D33FB"/>
    <w:rsid w:val="002D3A5B"/>
    <w:rsid w:val="002D5FBB"/>
    <w:rsid w:val="002E166D"/>
    <w:rsid w:val="002E3F44"/>
    <w:rsid w:val="002E5DB2"/>
    <w:rsid w:val="002E5F14"/>
    <w:rsid w:val="002E5FC3"/>
    <w:rsid w:val="002E65DB"/>
    <w:rsid w:val="002E6D48"/>
    <w:rsid w:val="002F6116"/>
    <w:rsid w:val="0030416A"/>
    <w:rsid w:val="00305B9C"/>
    <w:rsid w:val="00310438"/>
    <w:rsid w:val="00325397"/>
    <w:rsid w:val="00325540"/>
    <w:rsid w:val="00326B57"/>
    <w:rsid w:val="0033566A"/>
    <w:rsid w:val="00340357"/>
    <w:rsid w:val="0034080C"/>
    <w:rsid w:val="00342741"/>
    <w:rsid w:val="00344457"/>
    <w:rsid w:val="003460C5"/>
    <w:rsid w:val="003503E2"/>
    <w:rsid w:val="003535A2"/>
    <w:rsid w:val="0036130B"/>
    <w:rsid w:val="00365D65"/>
    <w:rsid w:val="00366C58"/>
    <w:rsid w:val="003706B6"/>
    <w:rsid w:val="003716CA"/>
    <w:rsid w:val="00375A78"/>
    <w:rsid w:val="00386FA4"/>
    <w:rsid w:val="00390421"/>
    <w:rsid w:val="003940AC"/>
    <w:rsid w:val="00395473"/>
    <w:rsid w:val="003A6D5A"/>
    <w:rsid w:val="003B0FF2"/>
    <w:rsid w:val="003B6C5B"/>
    <w:rsid w:val="003C04E1"/>
    <w:rsid w:val="003C36D7"/>
    <w:rsid w:val="003C7B0C"/>
    <w:rsid w:val="003D06FF"/>
    <w:rsid w:val="003D0978"/>
    <w:rsid w:val="003E6975"/>
    <w:rsid w:val="003F3176"/>
    <w:rsid w:val="003F425C"/>
    <w:rsid w:val="003F7AC7"/>
    <w:rsid w:val="00402948"/>
    <w:rsid w:val="00402ED1"/>
    <w:rsid w:val="00407DD7"/>
    <w:rsid w:val="00421726"/>
    <w:rsid w:val="0043077C"/>
    <w:rsid w:val="00432333"/>
    <w:rsid w:val="004334CC"/>
    <w:rsid w:val="004365A0"/>
    <w:rsid w:val="00443042"/>
    <w:rsid w:val="00443437"/>
    <w:rsid w:val="00452BB7"/>
    <w:rsid w:val="00455E61"/>
    <w:rsid w:val="00455E9D"/>
    <w:rsid w:val="00460BCA"/>
    <w:rsid w:val="00462D36"/>
    <w:rsid w:val="0046309A"/>
    <w:rsid w:val="00464C62"/>
    <w:rsid w:val="004728DE"/>
    <w:rsid w:val="004761C3"/>
    <w:rsid w:val="00476823"/>
    <w:rsid w:val="00477706"/>
    <w:rsid w:val="00481027"/>
    <w:rsid w:val="00484C8D"/>
    <w:rsid w:val="00486F30"/>
    <w:rsid w:val="00487560"/>
    <w:rsid w:val="00492766"/>
    <w:rsid w:val="00495606"/>
    <w:rsid w:val="00496995"/>
    <w:rsid w:val="004A39AF"/>
    <w:rsid w:val="004B3993"/>
    <w:rsid w:val="004B5226"/>
    <w:rsid w:val="004C568F"/>
    <w:rsid w:val="004D3C28"/>
    <w:rsid w:val="004D7932"/>
    <w:rsid w:val="004E1EB7"/>
    <w:rsid w:val="004E381F"/>
    <w:rsid w:val="00501FC8"/>
    <w:rsid w:val="00504E66"/>
    <w:rsid w:val="0051206D"/>
    <w:rsid w:val="00512A6D"/>
    <w:rsid w:val="00513192"/>
    <w:rsid w:val="00526F50"/>
    <w:rsid w:val="00527878"/>
    <w:rsid w:val="00532387"/>
    <w:rsid w:val="0053324C"/>
    <w:rsid w:val="00541BCE"/>
    <w:rsid w:val="00542B4E"/>
    <w:rsid w:val="0054559F"/>
    <w:rsid w:val="00546269"/>
    <w:rsid w:val="005519B3"/>
    <w:rsid w:val="00552152"/>
    <w:rsid w:val="00571220"/>
    <w:rsid w:val="005773E8"/>
    <w:rsid w:val="00585D2B"/>
    <w:rsid w:val="005939DB"/>
    <w:rsid w:val="00594606"/>
    <w:rsid w:val="0059486B"/>
    <w:rsid w:val="00596034"/>
    <w:rsid w:val="005B3603"/>
    <w:rsid w:val="005B44CC"/>
    <w:rsid w:val="005B51A2"/>
    <w:rsid w:val="005B7D96"/>
    <w:rsid w:val="005C1689"/>
    <w:rsid w:val="005D1127"/>
    <w:rsid w:val="005D23A4"/>
    <w:rsid w:val="005D4CE3"/>
    <w:rsid w:val="005D7DFD"/>
    <w:rsid w:val="005E0934"/>
    <w:rsid w:val="005E222C"/>
    <w:rsid w:val="005F344D"/>
    <w:rsid w:val="006034C2"/>
    <w:rsid w:val="006079FC"/>
    <w:rsid w:val="006241ED"/>
    <w:rsid w:val="00634336"/>
    <w:rsid w:val="00637FDF"/>
    <w:rsid w:val="0064182D"/>
    <w:rsid w:val="0064533C"/>
    <w:rsid w:val="00657EBC"/>
    <w:rsid w:val="00660B99"/>
    <w:rsid w:val="00667287"/>
    <w:rsid w:val="00683D2A"/>
    <w:rsid w:val="006845AE"/>
    <w:rsid w:val="00684E59"/>
    <w:rsid w:val="006962FE"/>
    <w:rsid w:val="006A00F1"/>
    <w:rsid w:val="006A149E"/>
    <w:rsid w:val="006A48E2"/>
    <w:rsid w:val="006A4956"/>
    <w:rsid w:val="006B1BA6"/>
    <w:rsid w:val="006B2F67"/>
    <w:rsid w:val="006B34DB"/>
    <w:rsid w:val="006B62FA"/>
    <w:rsid w:val="006C678B"/>
    <w:rsid w:val="006C71AD"/>
    <w:rsid w:val="006D3D03"/>
    <w:rsid w:val="006D6E75"/>
    <w:rsid w:val="006E31B2"/>
    <w:rsid w:val="006E35F2"/>
    <w:rsid w:val="006E4530"/>
    <w:rsid w:val="006F1112"/>
    <w:rsid w:val="006F1751"/>
    <w:rsid w:val="006F3F7B"/>
    <w:rsid w:val="006F46E4"/>
    <w:rsid w:val="006F6F41"/>
    <w:rsid w:val="0070322A"/>
    <w:rsid w:val="00703C1B"/>
    <w:rsid w:val="0070459C"/>
    <w:rsid w:val="00706B0B"/>
    <w:rsid w:val="00712E11"/>
    <w:rsid w:val="007164F5"/>
    <w:rsid w:val="007177E0"/>
    <w:rsid w:val="00725CAF"/>
    <w:rsid w:val="00725D4A"/>
    <w:rsid w:val="00732666"/>
    <w:rsid w:val="00735B98"/>
    <w:rsid w:val="00736CF5"/>
    <w:rsid w:val="00740090"/>
    <w:rsid w:val="00750236"/>
    <w:rsid w:val="00751D91"/>
    <w:rsid w:val="00757402"/>
    <w:rsid w:val="007576D9"/>
    <w:rsid w:val="007619F7"/>
    <w:rsid w:val="00763D24"/>
    <w:rsid w:val="007673CB"/>
    <w:rsid w:val="007755C7"/>
    <w:rsid w:val="007757E1"/>
    <w:rsid w:val="007757FD"/>
    <w:rsid w:val="00775A01"/>
    <w:rsid w:val="00777F1C"/>
    <w:rsid w:val="0078198B"/>
    <w:rsid w:val="00781A14"/>
    <w:rsid w:val="00783837"/>
    <w:rsid w:val="0079279A"/>
    <w:rsid w:val="007A0644"/>
    <w:rsid w:val="007A079D"/>
    <w:rsid w:val="007A67B6"/>
    <w:rsid w:val="007B008C"/>
    <w:rsid w:val="007B011A"/>
    <w:rsid w:val="007B2DBB"/>
    <w:rsid w:val="007B36D1"/>
    <w:rsid w:val="007B58CE"/>
    <w:rsid w:val="007C2BBF"/>
    <w:rsid w:val="007C5D65"/>
    <w:rsid w:val="007C60AA"/>
    <w:rsid w:val="007C71F0"/>
    <w:rsid w:val="007C7A76"/>
    <w:rsid w:val="007D210C"/>
    <w:rsid w:val="007D4E04"/>
    <w:rsid w:val="007E014B"/>
    <w:rsid w:val="007F3185"/>
    <w:rsid w:val="007F43CB"/>
    <w:rsid w:val="00805A3E"/>
    <w:rsid w:val="00807F16"/>
    <w:rsid w:val="0081047A"/>
    <w:rsid w:val="0081223C"/>
    <w:rsid w:val="00812DE7"/>
    <w:rsid w:val="00815852"/>
    <w:rsid w:val="00815B61"/>
    <w:rsid w:val="00820A8A"/>
    <w:rsid w:val="00823963"/>
    <w:rsid w:val="008307FD"/>
    <w:rsid w:val="00830F8F"/>
    <w:rsid w:val="00832114"/>
    <w:rsid w:val="00833A74"/>
    <w:rsid w:val="008354E9"/>
    <w:rsid w:val="00844B06"/>
    <w:rsid w:val="00845ECA"/>
    <w:rsid w:val="00853C96"/>
    <w:rsid w:val="008548E9"/>
    <w:rsid w:val="00854F3E"/>
    <w:rsid w:val="008703F1"/>
    <w:rsid w:val="008754A4"/>
    <w:rsid w:val="008805E7"/>
    <w:rsid w:val="00881058"/>
    <w:rsid w:val="00881C46"/>
    <w:rsid w:val="00881F5B"/>
    <w:rsid w:val="008925C4"/>
    <w:rsid w:val="00892F8B"/>
    <w:rsid w:val="008A062B"/>
    <w:rsid w:val="008A676A"/>
    <w:rsid w:val="008A72DC"/>
    <w:rsid w:val="008B141D"/>
    <w:rsid w:val="008B17FA"/>
    <w:rsid w:val="008B68F6"/>
    <w:rsid w:val="008C5CFD"/>
    <w:rsid w:val="008C6A8A"/>
    <w:rsid w:val="008C7B4C"/>
    <w:rsid w:val="008D10DB"/>
    <w:rsid w:val="008D18DF"/>
    <w:rsid w:val="008D28DA"/>
    <w:rsid w:val="008D31E4"/>
    <w:rsid w:val="008D5DB9"/>
    <w:rsid w:val="008E1E65"/>
    <w:rsid w:val="008E7738"/>
    <w:rsid w:val="008F09D2"/>
    <w:rsid w:val="009031B4"/>
    <w:rsid w:val="009058BE"/>
    <w:rsid w:val="00914025"/>
    <w:rsid w:val="009155F3"/>
    <w:rsid w:val="009164B2"/>
    <w:rsid w:val="00922C30"/>
    <w:rsid w:val="00923204"/>
    <w:rsid w:val="00923EFA"/>
    <w:rsid w:val="00925889"/>
    <w:rsid w:val="009362E7"/>
    <w:rsid w:val="00945EB0"/>
    <w:rsid w:val="009534C3"/>
    <w:rsid w:val="0096260F"/>
    <w:rsid w:val="00966C48"/>
    <w:rsid w:val="00971318"/>
    <w:rsid w:val="009779FE"/>
    <w:rsid w:val="00985B09"/>
    <w:rsid w:val="009901FB"/>
    <w:rsid w:val="00993ABE"/>
    <w:rsid w:val="00996A71"/>
    <w:rsid w:val="00996E65"/>
    <w:rsid w:val="00996F0C"/>
    <w:rsid w:val="009A2DBC"/>
    <w:rsid w:val="009A3ACC"/>
    <w:rsid w:val="009B6585"/>
    <w:rsid w:val="009B7F50"/>
    <w:rsid w:val="009C353C"/>
    <w:rsid w:val="009C7103"/>
    <w:rsid w:val="009D3438"/>
    <w:rsid w:val="009E5048"/>
    <w:rsid w:val="009F2C62"/>
    <w:rsid w:val="009F39C7"/>
    <w:rsid w:val="009F6047"/>
    <w:rsid w:val="00A02635"/>
    <w:rsid w:val="00A10CCD"/>
    <w:rsid w:val="00A11F37"/>
    <w:rsid w:val="00A146EE"/>
    <w:rsid w:val="00A208F7"/>
    <w:rsid w:val="00A21B0B"/>
    <w:rsid w:val="00A248D4"/>
    <w:rsid w:val="00A251F7"/>
    <w:rsid w:val="00A2600D"/>
    <w:rsid w:val="00A2605D"/>
    <w:rsid w:val="00A26FEA"/>
    <w:rsid w:val="00A3255B"/>
    <w:rsid w:val="00A34747"/>
    <w:rsid w:val="00A37EEA"/>
    <w:rsid w:val="00A44B8A"/>
    <w:rsid w:val="00A543C9"/>
    <w:rsid w:val="00A55A7C"/>
    <w:rsid w:val="00A56E72"/>
    <w:rsid w:val="00A570BB"/>
    <w:rsid w:val="00A61515"/>
    <w:rsid w:val="00A6161B"/>
    <w:rsid w:val="00A6193B"/>
    <w:rsid w:val="00A633E8"/>
    <w:rsid w:val="00A67B3D"/>
    <w:rsid w:val="00A759B2"/>
    <w:rsid w:val="00A76A90"/>
    <w:rsid w:val="00A77356"/>
    <w:rsid w:val="00A8156F"/>
    <w:rsid w:val="00A8196F"/>
    <w:rsid w:val="00A81FBD"/>
    <w:rsid w:val="00A83A59"/>
    <w:rsid w:val="00A849BD"/>
    <w:rsid w:val="00A87009"/>
    <w:rsid w:val="00A95BAE"/>
    <w:rsid w:val="00AA0604"/>
    <w:rsid w:val="00AA0699"/>
    <w:rsid w:val="00AA0799"/>
    <w:rsid w:val="00AA57A2"/>
    <w:rsid w:val="00AA6275"/>
    <w:rsid w:val="00AB0637"/>
    <w:rsid w:val="00AB79B9"/>
    <w:rsid w:val="00AC2553"/>
    <w:rsid w:val="00AC6446"/>
    <w:rsid w:val="00AC6A8E"/>
    <w:rsid w:val="00AC6CF9"/>
    <w:rsid w:val="00AD756E"/>
    <w:rsid w:val="00AE1999"/>
    <w:rsid w:val="00AE60D0"/>
    <w:rsid w:val="00AF313C"/>
    <w:rsid w:val="00AF5F19"/>
    <w:rsid w:val="00B00766"/>
    <w:rsid w:val="00B0292C"/>
    <w:rsid w:val="00B1011D"/>
    <w:rsid w:val="00B134C3"/>
    <w:rsid w:val="00B206D9"/>
    <w:rsid w:val="00B20C37"/>
    <w:rsid w:val="00B401F5"/>
    <w:rsid w:val="00B52893"/>
    <w:rsid w:val="00B53EDA"/>
    <w:rsid w:val="00B55BD4"/>
    <w:rsid w:val="00B5638E"/>
    <w:rsid w:val="00B66229"/>
    <w:rsid w:val="00B66B24"/>
    <w:rsid w:val="00B746FB"/>
    <w:rsid w:val="00B762A8"/>
    <w:rsid w:val="00B83BFC"/>
    <w:rsid w:val="00B84221"/>
    <w:rsid w:val="00B84EE7"/>
    <w:rsid w:val="00B87032"/>
    <w:rsid w:val="00B87EEA"/>
    <w:rsid w:val="00B9399F"/>
    <w:rsid w:val="00BA12A4"/>
    <w:rsid w:val="00BA2D6D"/>
    <w:rsid w:val="00BA41C7"/>
    <w:rsid w:val="00BB2BC5"/>
    <w:rsid w:val="00BB3FF5"/>
    <w:rsid w:val="00BB4105"/>
    <w:rsid w:val="00BB565D"/>
    <w:rsid w:val="00BC09E3"/>
    <w:rsid w:val="00BC7A3E"/>
    <w:rsid w:val="00BD1A3D"/>
    <w:rsid w:val="00BD270F"/>
    <w:rsid w:val="00BD304E"/>
    <w:rsid w:val="00BD5DD1"/>
    <w:rsid w:val="00BE317A"/>
    <w:rsid w:val="00BE4924"/>
    <w:rsid w:val="00BE7B7E"/>
    <w:rsid w:val="00BF0494"/>
    <w:rsid w:val="00BF4FCF"/>
    <w:rsid w:val="00C04AC9"/>
    <w:rsid w:val="00C05870"/>
    <w:rsid w:val="00C10E03"/>
    <w:rsid w:val="00C20F17"/>
    <w:rsid w:val="00C22C24"/>
    <w:rsid w:val="00C2497F"/>
    <w:rsid w:val="00C33A2A"/>
    <w:rsid w:val="00C33FE6"/>
    <w:rsid w:val="00C37D82"/>
    <w:rsid w:val="00C5531C"/>
    <w:rsid w:val="00C553EE"/>
    <w:rsid w:val="00C60663"/>
    <w:rsid w:val="00C65316"/>
    <w:rsid w:val="00C65840"/>
    <w:rsid w:val="00C72FB0"/>
    <w:rsid w:val="00C73A36"/>
    <w:rsid w:val="00C77138"/>
    <w:rsid w:val="00C775C2"/>
    <w:rsid w:val="00C8011F"/>
    <w:rsid w:val="00C80EAF"/>
    <w:rsid w:val="00C8449D"/>
    <w:rsid w:val="00C935A2"/>
    <w:rsid w:val="00C95714"/>
    <w:rsid w:val="00C9615B"/>
    <w:rsid w:val="00C96FF4"/>
    <w:rsid w:val="00CA085C"/>
    <w:rsid w:val="00CA0A7D"/>
    <w:rsid w:val="00CA4DF5"/>
    <w:rsid w:val="00CA50C5"/>
    <w:rsid w:val="00CA740C"/>
    <w:rsid w:val="00CA7BCD"/>
    <w:rsid w:val="00CB0E3C"/>
    <w:rsid w:val="00CB783D"/>
    <w:rsid w:val="00CC22A3"/>
    <w:rsid w:val="00CC6149"/>
    <w:rsid w:val="00CC6B20"/>
    <w:rsid w:val="00CC6C39"/>
    <w:rsid w:val="00CC74D1"/>
    <w:rsid w:val="00CD0EE4"/>
    <w:rsid w:val="00CD1F90"/>
    <w:rsid w:val="00CD45FD"/>
    <w:rsid w:val="00CD56FD"/>
    <w:rsid w:val="00CD58FB"/>
    <w:rsid w:val="00CD7CD4"/>
    <w:rsid w:val="00CE63B3"/>
    <w:rsid w:val="00CF012B"/>
    <w:rsid w:val="00CF29F5"/>
    <w:rsid w:val="00CF46BF"/>
    <w:rsid w:val="00CF7DFE"/>
    <w:rsid w:val="00D00A5E"/>
    <w:rsid w:val="00D03A33"/>
    <w:rsid w:val="00D07A74"/>
    <w:rsid w:val="00D1137C"/>
    <w:rsid w:val="00D1352A"/>
    <w:rsid w:val="00D175BE"/>
    <w:rsid w:val="00D20D9B"/>
    <w:rsid w:val="00D22522"/>
    <w:rsid w:val="00D25885"/>
    <w:rsid w:val="00D278EB"/>
    <w:rsid w:val="00D27BC5"/>
    <w:rsid w:val="00D5125A"/>
    <w:rsid w:val="00D55618"/>
    <w:rsid w:val="00D61349"/>
    <w:rsid w:val="00D63709"/>
    <w:rsid w:val="00D63A4A"/>
    <w:rsid w:val="00D64814"/>
    <w:rsid w:val="00D7116D"/>
    <w:rsid w:val="00D71A6C"/>
    <w:rsid w:val="00D8417A"/>
    <w:rsid w:val="00D85174"/>
    <w:rsid w:val="00D9062D"/>
    <w:rsid w:val="00D90962"/>
    <w:rsid w:val="00D92088"/>
    <w:rsid w:val="00D9751C"/>
    <w:rsid w:val="00D97EC8"/>
    <w:rsid w:val="00DA41E8"/>
    <w:rsid w:val="00DB1037"/>
    <w:rsid w:val="00DB2461"/>
    <w:rsid w:val="00DB5691"/>
    <w:rsid w:val="00DB6EC4"/>
    <w:rsid w:val="00DC1C84"/>
    <w:rsid w:val="00DC7009"/>
    <w:rsid w:val="00DC71ED"/>
    <w:rsid w:val="00DD0071"/>
    <w:rsid w:val="00DD2944"/>
    <w:rsid w:val="00DD3C97"/>
    <w:rsid w:val="00DD54F3"/>
    <w:rsid w:val="00DE2E08"/>
    <w:rsid w:val="00DE37B5"/>
    <w:rsid w:val="00DE63E3"/>
    <w:rsid w:val="00DE78D7"/>
    <w:rsid w:val="00E0515D"/>
    <w:rsid w:val="00E11140"/>
    <w:rsid w:val="00E1178C"/>
    <w:rsid w:val="00E12A5F"/>
    <w:rsid w:val="00E15125"/>
    <w:rsid w:val="00E1619B"/>
    <w:rsid w:val="00E16B0A"/>
    <w:rsid w:val="00E21441"/>
    <w:rsid w:val="00E21741"/>
    <w:rsid w:val="00E23E9F"/>
    <w:rsid w:val="00E311EC"/>
    <w:rsid w:val="00E40F8A"/>
    <w:rsid w:val="00E432A8"/>
    <w:rsid w:val="00E44B2C"/>
    <w:rsid w:val="00E45485"/>
    <w:rsid w:val="00E479C5"/>
    <w:rsid w:val="00E518D9"/>
    <w:rsid w:val="00E57DD6"/>
    <w:rsid w:val="00E712D5"/>
    <w:rsid w:val="00E716E4"/>
    <w:rsid w:val="00E71FBF"/>
    <w:rsid w:val="00E772C4"/>
    <w:rsid w:val="00E82F08"/>
    <w:rsid w:val="00E83AA0"/>
    <w:rsid w:val="00E84766"/>
    <w:rsid w:val="00E86352"/>
    <w:rsid w:val="00E94E75"/>
    <w:rsid w:val="00EA50D1"/>
    <w:rsid w:val="00EA673E"/>
    <w:rsid w:val="00EA7C0D"/>
    <w:rsid w:val="00EB03E1"/>
    <w:rsid w:val="00EB0F4A"/>
    <w:rsid w:val="00EB5E11"/>
    <w:rsid w:val="00EB5EB5"/>
    <w:rsid w:val="00EC01A6"/>
    <w:rsid w:val="00ED5251"/>
    <w:rsid w:val="00EE1BE6"/>
    <w:rsid w:val="00EE21BA"/>
    <w:rsid w:val="00EE3C13"/>
    <w:rsid w:val="00EF47DF"/>
    <w:rsid w:val="00EF5040"/>
    <w:rsid w:val="00EF6303"/>
    <w:rsid w:val="00F009AB"/>
    <w:rsid w:val="00F0359A"/>
    <w:rsid w:val="00F053E2"/>
    <w:rsid w:val="00F05FD0"/>
    <w:rsid w:val="00F10197"/>
    <w:rsid w:val="00F108F0"/>
    <w:rsid w:val="00F1432D"/>
    <w:rsid w:val="00F14BBC"/>
    <w:rsid w:val="00F223E9"/>
    <w:rsid w:val="00F2296D"/>
    <w:rsid w:val="00F2337A"/>
    <w:rsid w:val="00F357CE"/>
    <w:rsid w:val="00F37D27"/>
    <w:rsid w:val="00F4101E"/>
    <w:rsid w:val="00F60D60"/>
    <w:rsid w:val="00F67E1C"/>
    <w:rsid w:val="00F73613"/>
    <w:rsid w:val="00F74363"/>
    <w:rsid w:val="00F77151"/>
    <w:rsid w:val="00F806C9"/>
    <w:rsid w:val="00F84503"/>
    <w:rsid w:val="00F849E3"/>
    <w:rsid w:val="00F85313"/>
    <w:rsid w:val="00F8726C"/>
    <w:rsid w:val="00F94D03"/>
    <w:rsid w:val="00FA383D"/>
    <w:rsid w:val="00FA78F7"/>
    <w:rsid w:val="00FA7BE0"/>
    <w:rsid w:val="00FB06CC"/>
    <w:rsid w:val="00FC0125"/>
    <w:rsid w:val="00FC1253"/>
    <w:rsid w:val="00FC23A3"/>
    <w:rsid w:val="00FD1F2D"/>
    <w:rsid w:val="00FD33D4"/>
    <w:rsid w:val="00FD4606"/>
    <w:rsid w:val="00FD4C62"/>
    <w:rsid w:val="00FD665A"/>
    <w:rsid w:val="00FE7B5F"/>
    <w:rsid w:val="00FF2B67"/>
    <w:rsid w:val="00FF3896"/>
    <w:rsid w:val="00FF49EE"/>
    <w:rsid w:val="00FF4CA8"/>
    <w:rsid w:val="00FF7FDE"/>
    <w:rsid w:val="061E175F"/>
    <w:rsid w:val="08D10C62"/>
    <w:rsid w:val="094B0229"/>
    <w:rsid w:val="0E9F2A4D"/>
    <w:rsid w:val="15FA0CAA"/>
    <w:rsid w:val="186B66C7"/>
    <w:rsid w:val="18D57180"/>
    <w:rsid w:val="19FA5532"/>
    <w:rsid w:val="1A713F4F"/>
    <w:rsid w:val="1CBE2D52"/>
    <w:rsid w:val="20207DEE"/>
    <w:rsid w:val="20350F4A"/>
    <w:rsid w:val="27C22525"/>
    <w:rsid w:val="2C0B6259"/>
    <w:rsid w:val="33A373E1"/>
    <w:rsid w:val="36B814BF"/>
    <w:rsid w:val="3AC75471"/>
    <w:rsid w:val="3BA72627"/>
    <w:rsid w:val="41A771E2"/>
    <w:rsid w:val="4D8A5E6B"/>
    <w:rsid w:val="50075989"/>
    <w:rsid w:val="5B837BFC"/>
    <w:rsid w:val="6B2E582E"/>
    <w:rsid w:val="6E4A09EF"/>
    <w:rsid w:val="752B0C21"/>
    <w:rsid w:val="7A133232"/>
    <w:rsid w:val="7D6357B2"/>
    <w:rsid w:val="7ED702F8"/>
    <w:rsid w:val="7EF6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9"/>
    <w:pPr>
      <w:keepNext/>
      <w:keepLines/>
      <w:spacing w:line="480" w:lineRule="auto"/>
      <w:ind w:firstLine="100" w:firstLineChars="100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unhideWhenUsed/>
    <w:qFormat/>
    <w:locked/>
    <w:uiPriority w:val="9"/>
    <w:pPr>
      <w:keepNext/>
      <w:keepLines/>
      <w:spacing w:line="360" w:lineRule="auto"/>
      <w:ind w:right="210" w:rightChars="100" w:firstLine="560" w:firstLineChars="200"/>
      <w:jc w:val="left"/>
      <w:outlineLvl w:val="1"/>
    </w:pPr>
    <w:rPr>
      <w:rFonts w:asciiTheme="majorHAnsi" w:hAnsiTheme="majorHAnsi" w:eastAsiaTheme="majorEastAsia" w:cstheme="majorBidi"/>
      <w:bCs/>
      <w:sz w:val="24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299"/>
      </w:tabs>
      <w:jc w:val="left"/>
    </w:pPr>
    <w:rPr>
      <w:kern w:val="1"/>
      <w:sz w:val="18"/>
    </w:rPr>
  </w:style>
  <w:style w:type="paragraph" w:styleId="6">
    <w:name w:val="header"/>
    <w:basedOn w:val="1"/>
    <w:link w:val="11"/>
    <w:qFormat/>
    <w:uiPriority w:val="99"/>
    <w:pPr>
      <w:pBdr>
        <w:bottom w:val="single" w:color="000000" w:sz="6" w:space="1"/>
      </w:pBdr>
      <w:tabs>
        <w:tab w:val="center" w:pos="4153"/>
        <w:tab w:val="right" w:pos="8299"/>
      </w:tabs>
      <w:jc w:val="center"/>
    </w:pPr>
    <w:rPr>
      <w:kern w:val="1"/>
      <w:sz w:val="18"/>
    </w:rPr>
  </w:style>
  <w:style w:type="table" w:styleId="8">
    <w:name w:val="Table Grid"/>
    <w:basedOn w:val="7"/>
    <w:qFormat/>
    <w:locked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脚 Char"/>
    <w:basedOn w:val="9"/>
    <w:link w:val="5"/>
    <w:qFormat/>
    <w:locked/>
    <w:uiPriority w:val="99"/>
    <w:rPr>
      <w:rFonts w:ascii="Times New Roman" w:hAnsi="Times New Roman" w:eastAsia="宋体" w:cs="Times New Roman"/>
      <w:color w:val="000000"/>
      <w:kern w:val="1"/>
      <w:sz w:val="20"/>
      <w:szCs w:val="20"/>
    </w:rPr>
  </w:style>
  <w:style w:type="character" w:customStyle="1" w:styleId="11">
    <w:name w:val="页眉 Char"/>
    <w:basedOn w:val="9"/>
    <w:link w:val="6"/>
    <w:qFormat/>
    <w:locked/>
    <w:uiPriority w:val="99"/>
    <w:rPr>
      <w:rFonts w:ascii="Times New Roman" w:hAnsi="Times New Roman" w:eastAsia="宋体" w:cs="Times New Roman"/>
      <w:color w:val="000000"/>
      <w:kern w:val="1"/>
      <w:sz w:val="20"/>
      <w:szCs w:val="20"/>
    </w:rPr>
  </w:style>
  <w:style w:type="character" w:customStyle="1" w:styleId="12">
    <w:name w:val="批注框文本 Char"/>
    <w:basedOn w:val="9"/>
    <w:link w:val="4"/>
    <w:semiHidden/>
    <w:qFormat/>
    <w:locked/>
    <w:uiPriority w:val="99"/>
    <w:rPr>
      <w:rFonts w:ascii="Times New Roman" w:hAnsi="Times New Roman" w:eastAsia="宋体" w:cs="Times New Roman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6272</Words>
  <Characters>6761</Characters>
  <Lines>29</Lines>
  <Paragraphs>8</Paragraphs>
  <TotalTime>9</TotalTime>
  <ScaleCrop>false</ScaleCrop>
  <LinksUpToDate>false</LinksUpToDate>
  <CharactersWithSpaces>6872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2022-02-22T07:27:00Z</dcterms:created>
  <dc:creator>张余乾</dc:creator>
  <cp:lastModifiedBy>清风细雨</cp:lastModifiedBy>
  <dcterms:modified xsi:type="dcterms:W3CDTF">2026-06-11T07:46:04Z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eyJoZGlkIjoiOTFjNDVkOTBjYzRiMWFmM2FiYTE2ZGVjMjRhY2FkMDgiLCJ1c2VySWQiOiI1MDg4MjgyNjQifQ==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957F3A46C5F74EAB9E76ACB4F3A61754_13</vt:lpwstr>
  </property>
</Properties>
</file>