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A28B">
      <w:pPr>
        <w:adjustRightInd w:val="0"/>
        <w:snapToGrid w:val="0"/>
        <w:jc w:val="center"/>
        <w:rPr>
          <w:rFonts w:hint="eastAsia" w:ascii="方正小标宋简体" w:hAnsi="方正小标宋简体" w:eastAsia="方正小标宋简体" w:cs="方正小标宋简体"/>
          <w:bCs/>
          <w:kern w:val="1"/>
          <w:sz w:val="44"/>
          <w:szCs w:val="44"/>
          <w:lang w:val="en-US" w:eastAsia="zh-CN"/>
        </w:rPr>
      </w:pPr>
      <w:r>
        <w:rPr>
          <w:rFonts w:hint="eastAsia" w:ascii="方正小标宋简体" w:hAnsi="方正小标宋简体" w:eastAsia="方正小标宋简体" w:cs="方正小标宋简体"/>
          <w:bCs/>
          <w:kern w:val="1"/>
          <w:sz w:val="44"/>
          <w:szCs w:val="44"/>
        </w:rPr>
        <w:t>江苏索普（集团）有限公司</w:t>
      </w:r>
      <w:r>
        <w:rPr>
          <w:rFonts w:hint="eastAsia" w:ascii="方正小标宋简体" w:hAnsi="方正小标宋简体" w:eastAsia="方正小标宋简体" w:cs="方正小标宋简体"/>
          <w:bCs/>
          <w:kern w:val="1"/>
          <w:sz w:val="44"/>
          <w:szCs w:val="44"/>
          <w:lang w:val="en-US" w:eastAsia="zh-CN"/>
        </w:rPr>
        <w:t>公开</w:t>
      </w:r>
    </w:p>
    <w:p w14:paraId="7988A1C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34B7060D">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7A856C77">
      <w:pPr>
        <w:keepNext w:val="0"/>
        <w:keepLines w:val="0"/>
        <w:pageBreakBefore w:val="0"/>
        <w:widowControl w:val="0"/>
        <w:kinsoku/>
        <w:overflowPunct/>
        <w:topLinePunct w:val="0"/>
        <w:autoSpaceDE/>
        <w:autoSpaceDN/>
        <w:bidi w:val="0"/>
        <w:adjustRightInd w:val="0"/>
        <w:snapToGrid w:val="0"/>
        <w:spacing w:line="600" w:lineRule="exact"/>
        <w:ind w:right="0" w:rightChars="0" w:firstLine="480"/>
        <w:jc w:val="left"/>
        <w:textAlignment w:val="auto"/>
        <w:outlineLvl w:val="9"/>
        <w:rPr>
          <w:rFonts w:hint="eastAsia" w:ascii="仿宋" w:hAnsi="仿宋" w:eastAsia="仿宋" w:cs="仿宋"/>
          <w:bCs/>
          <w:sz w:val="30"/>
          <w:szCs w:val="30"/>
          <w:lang w:val="en-US" w:eastAsia="zh-CN"/>
        </w:rPr>
      </w:pPr>
      <w:r>
        <w:rPr>
          <w:rFonts w:hint="eastAsia" w:ascii="仿宋" w:hAnsi="仿宋" w:eastAsia="仿宋" w:cs="仿宋"/>
          <w:bCs/>
          <w:sz w:val="30"/>
          <w:szCs w:val="30"/>
        </w:rPr>
        <w:t>我公司</w:t>
      </w:r>
      <w:r>
        <w:rPr>
          <w:rFonts w:hint="eastAsia" w:ascii="仿宋" w:hAnsi="仿宋" w:eastAsia="仿宋" w:cs="仿宋"/>
          <w:bCs/>
          <w:sz w:val="30"/>
          <w:szCs w:val="30"/>
          <w:lang w:val="en-US" w:eastAsia="zh-CN"/>
        </w:rPr>
        <w:t>拟转让资产涉及固定资产及土地使用权，现需进行资产价值评估</w:t>
      </w:r>
      <w:r>
        <w:rPr>
          <w:rFonts w:hint="eastAsia" w:ascii="仿宋" w:hAnsi="仿宋" w:eastAsia="仿宋" w:cs="仿宋"/>
          <w:bCs/>
          <w:sz w:val="30"/>
          <w:szCs w:val="30"/>
          <w:lang w:eastAsia="zh-CN"/>
        </w:rPr>
        <w:t>，</w:t>
      </w:r>
      <w:r>
        <w:rPr>
          <w:rFonts w:hint="eastAsia" w:ascii="仿宋" w:hAnsi="仿宋" w:eastAsia="仿宋" w:cs="仿宋"/>
          <w:bCs/>
          <w:sz w:val="30"/>
          <w:szCs w:val="30"/>
        </w:rPr>
        <w:t>采用公开采购的方式选定供应商，特邀请贵单位参与报价。</w:t>
      </w:r>
    </w:p>
    <w:p w14:paraId="797A2C0F">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w:t>
      </w:r>
      <w:r>
        <w:rPr>
          <w:rFonts w:hint="eastAsia" w:ascii="仿宋" w:hAnsi="仿宋" w:eastAsia="仿宋" w:cs="仿宋"/>
          <w:b/>
          <w:sz w:val="30"/>
          <w:szCs w:val="30"/>
          <w:lang w:val="en-US" w:eastAsia="zh-CN"/>
        </w:rPr>
        <w:t>采购</w:t>
      </w:r>
      <w:r>
        <w:rPr>
          <w:rFonts w:hint="eastAsia" w:ascii="仿宋" w:hAnsi="仿宋" w:eastAsia="仿宋" w:cs="仿宋"/>
          <w:b/>
          <w:sz w:val="30"/>
          <w:szCs w:val="30"/>
        </w:rPr>
        <w:t>概况：</w:t>
      </w:r>
    </w:p>
    <w:p w14:paraId="03C6BE6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lang w:val="en-US" w:eastAsia="zh-CN"/>
        </w:rPr>
        <w:t>索普集团拟转让固定资产及土地使用权评估项目</w:t>
      </w:r>
      <w:r>
        <w:rPr>
          <w:rFonts w:hint="eastAsia" w:ascii="仿宋" w:hAnsi="仿宋" w:eastAsia="仿宋" w:cs="仿宋"/>
          <w:bCs/>
          <w:sz w:val="30"/>
          <w:szCs w:val="30"/>
        </w:rPr>
        <w:t>；</w:t>
      </w:r>
    </w:p>
    <w:p w14:paraId="7BC59C02">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时间</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2026年8月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26866553">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地点</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203727DF">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截止时间</w:t>
      </w:r>
      <w:r>
        <w:rPr>
          <w:rFonts w:hint="eastAsia" w:ascii="仿宋" w:hAnsi="仿宋" w:eastAsia="仿宋" w:cs="仿宋"/>
          <w:bCs/>
          <w:color w:val="auto"/>
          <w:sz w:val="30"/>
          <w:szCs w:val="30"/>
          <w:u w:val="none"/>
          <w:lang w:eastAsia="zh-CN"/>
        </w:rPr>
        <w:t>及</w:t>
      </w:r>
      <w:r>
        <w:rPr>
          <w:rFonts w:hint="eastAsia" w:ascii="仿宋" w:hAnsi="仿宋" w:eastAsia="仿宋" w:cs="仿宋"/>
          <w:bCs/>
          <w:color w:val="auto"/>
          <w:sz w:val="30"/>
          <w:szCs w:val="30"/>
          <w:u w:val="none"/>
          <w:lang w:val="en-US" w:eastAsia="zh-CN"/>
        </w:rPr>
        <w:t>评审</w:t>
      </w:r>
      <w:r>
        <w:rPr>
          <w:rFonts w:hint="eastAsia" w:ascii="仿宋" w:hAnsi="仿宋" w:eastAsia="仿宋" w:cs="仿宋"/>
          <w:bCs/>
          <w:color w:val="auto"/>
          <w:sz w:val="30"/>
          <w:szCs w:val="30"/>
          <w:u w:val="none"/>
          <w:lang w:eastAsia="zh-CN"/>
        </w:rPr>
        <w:t>时间</w:t>
      </w:r>
      <w:r>
        <w:rPr>
          <w:rFonts w:hint="eastAsia" w:ascii="仿宋" w:hAnsi="仿宋" w:eastAsia="仿宋" w:cs="仿宋"/>
          <w:bCs/>
          <w:color w:val="auto"/>
          <w:sz w:val="30"/>
          <w:szCs w:val="30"/>
          <w:lang w:val="en-US" w:eastAsia="zh-CN"/>
        </w:rPr>
        <w:t>2026</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7</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6</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9:30</w:t>
      </w:r>
      <w:r>
        <w:rPr>
          <w:rFonts w:hint="eastAsia" w:ascii="仿宋" w:hAnsi="仿宋" w:eastAsia="仿宋" w:cs="仿宋"/>
          <w:bCs/>
          <w:color w:val="auto"/>
          <w:sz w:val="30"/>
          <w:szCs w:val="30"/>
        </w:rPr>
        <w:t>时（北京时间）；</w:t>
      </w:r>
    </w:p>
    <w:p w14:paraId="152548B2">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u w:val="single"/>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地点：江苏索普(集团)有限公司</w:t>
      </w:r>
      <w:r>
        <w:rPr>
          <w:rFonts w:hint="eastAsia" w:ascii="仿宋_GB2312" w:hAnsi="仿宋_GB2312" w:eastAsia="仿宋_GB2312" w:cs="仿宋_GB2312"/>
          <w:bCs/>
          <w:color w:val="auto"/>
          <w:kern w:val="1"/>
          <w:sz w:val="30"/>
          <w:szCs w:val="30"/>
          <w:u w:val="single"/>
          <w:lang w:val="en-US" w:eastAsia="zh-CN"/>
        </w:rPr>
        <w:t>公共采购平台工作室</w:t>
      </w:r>
      <w:r>
        <w:rPr>
          <w:rFonts w:hint="eastAsia" w:ascii="仿宋_GB2312" w:hAnsi="仿宋_GB2312" w:eastAsia="仿宋_GB2312" w:cs="仿宋_GB2312"/>
          <w:bCs/>
          <w:color w:val="auto"/>
          <w:kern w:val="1"/>
          <w:sz w:val="30"/>
          <w:szCs w:val="30"/>
          <w:u w:val="single"/>
        </w:rPr>
        <w:t>；</w:t>
      </w:r>
    </w:p>
    <w:p w14:paraId="0A19AE2F">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5E8E224E">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69096697">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lang w:val="en-US" w:eastAsia="zh-CN"/>
        </w:rPr>
      </w:pPr>
      <w:r>
        <w:rPr>
          <w:rFonts w:hint="eastAsia" w:ascii="仿宋" w:hAnsi="仿宋" w:eastAsia="仿宋" w:cs="仿宋"/>
          <w:bCs/>
          <w:color w:val="auto"/>
          <w:kern w:val="1"/>
          <w:sz w:val="30"/>
          <w:szCs w:val="30"/>
          <w:u w:val="none"/>
          <w:lang w:val="en-US" w:eastAsia="zh-CN"/>
        </w:rPr>
        <w:t>本项目主要涉及两处地块及地面建筑物、厂房、设备资产等，</w:t>
      </w:r>
      <w:r>
        <w:rPr>
          <w:rFonts w:hint="eastAsia" w:ascii="仿宋" w:hAnsi="仿宋" w:eastAsia="仿宋" w:cs="仿宋"/>
          <w:sz w:val="30"/>
          <w:szCs w:val="30"/>
          <w:highlight w:val="none"/>
          <w:lang w:val="en-US" w:eastAsia="zh-CN"/>
        </w:rPr>
        <w:t>地块一为镇国用（2002）第1124206号（面积73550.4平方米，需分割）；地块二镇国用（京2001）第0210067号（面积</w:t>
      </w:r>
      <w:r>
        <w:rPr>
          <w:rFonts w:hint="eastAsia" w:ascii="仿宋_GB2312" w:hAnsi="仿宋_GB2312" w:eastAsia="仿宋_GB2312" w:cs="仿宋_GB2312"/>
          <w:sz w:val="32"/>
          <w:szCs w:val="32"/>
          <w:highlight w:val="none"/>
          <w:lang w:val="en-US" w:eastAsia="zh-CN"/>
        </w:rPr>
        <w:t>57932.3平方米</w:t>
      </w:r>
      <w:r>
        <w:rPr>
          <w:rFonts w:hint="eastAsia" w:ascii="仿宋" w:hAnsi="仿宋" w:eastAsia="仿宋" w:cs="仿宋"/>
          <w:sz w:val="30"/>
          <w:szCs w:val="30"/>
          <w:highlight w:val="none"/>
          <w:lang w:val="en-US" w:eastAsia="zh-CN"/>
        </w:rPr>
        <w:t>），</w:t>
      </w:r>
      <w:r>
        <w:rPr>
          <w:rFonts w:hint="eastAsia" w:ascii="仿宋" w:hAnsi="仿宋" w:eastAsia="仿宋" w:cs="仿宋"/>
          <w:bCs/>
          <w:color w:val="auto"/>
          <w:kern w:val="1"/>
          <w:sz w:val="30"/>
          <w:szCs w:val="30"/>
          <w:u w:val="none"/>
          <w:lang w:val="en-US" w:eastAsia="zh-CN"/>
        </w:rPr>
        <w:t>具体详见附件。</w:t>
      </w:r>
      <w:bookmarkStart w:id="0" w:name="_GoBack"/>
      <w:bookmarkEnd w:id="0"/>
    </w:p>
    <w:p w14:paraId="4CB63172">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4C424D22">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lang w:val="en-US" w:eastAsia="zh-CN"/>
        </w:rPr>
        <w:t>项目基准日： 2026 年6月30日</w:t>
      </w:r>
    </w:p>
    <w:p w14:paraId="06E96F1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lang w:val="en-US" w:eastAsia="zh-CN"/>
        </w:rPr>
        <w:t xml:space="preserve">本项目需出具两份正式评估报告，其中报告1评估范围为附件资产清单中序号1-76；报告2为附件资产清单中序号77。资产评估报告需经我司报镇江市国资委审核备案后，视为验收合格。 </w:t>
      </w:r>
    </w:p>
    <w:p w14:paraId="3B777475">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三、</w:t>
      </w:r>
      <w:r>
        <w:rPr>
          <w:rFonts w:hint="eastAsia" w:ascii="仿宋" w:hAnsi="仿宋" w:eastAsia="仿宋" w:cs="仿宋"/>
          <w:b/>
          <w:color w:val="auto"/>
          <w:sz w:val="30"/>
          <w:szCs w:val="30"/>
          <w:lang w:val="en-US" w:eastAsia="zh-CN"/>
        </w:rPr>
        <w:t>报价</w:t>
      </w:r>
      <w:r>
        <w:rPr>
          <w:rFonts w:hint="eastAsia" w:ascii="仿宋" w:hAnsi="仿宋" w:eastAsia="仿宋" w:cs="仿宋"/>
          <w:b/>
          <w:color w:val="auto"/>
          <w:sz w:val="30"/>
          <w:szCs w:val="30"/>
        </w:rPr>
        <w:t>人资质与要求：</w:t>
      </w:r>
    </w:p>
    <w:p w14:paraId="54612B71">
      <w:pPr>
        <w:pStyle w:val="4"/>
        <w:keepNext w:val="0"/>
        <w:keepLines w:val="0"/>
        <w:pageBreakBefore w:val="0"/>
        <w:widowControl w:val="0"/>
        <w:kinsoku/>
        <w:overflowPunct/>
        <w:topLinePunct w:val="0"/>
        <w:autoSpaceDE/>
        <w:autoSpaceDN/>
        <w:bidi w:val="0"/>
        <w:adjustRightInd w:val="0"/>
        <w:snapToGrid w:val="0"/>
        <w:spacing w:after="0" w:line="600" w:lineRule="exact"/>
        <w:ind w:right="0" w:rightChars="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 xml:space="preserve">    </w:t>
      </w:r>
      <w:r>
        <w:rPr>
          <w:rFonts w:hint="eastAsia" w:ascii="仿宋_GB2312" w:hAnsi="仿宋_GB2312" w:eastAsia="仿宋_GB2312" w:cs="仿宋_GB2312"/>
          <w:bCs/>
          <w:color w:val="auto"/>
          <w:sz w:val="30"/>
          <w:szCs w:val="30"/>
        </w:rPr>
        <w:t>（一）</w:t>
      </w:r>
      <w:r>
        <w:rPr>
          <w:rFonts w:hint="eastAsia" w:ascii="仿宋_GB2312" w:hAnsi="仿宋_GB2312" w:eastAsia="仿宋_GB2312" w:cs="仿宋_GB2312"/>
          <w:bCs/>
          <w:color w:val="auto"/>
          <w:sz w:val="30"/>
          <w:szCs w:val="30"/>
          <w:lang w:val="en-US" w:eastAsia="zh-CN"/>
        </w:rPr>
        <w:t>报价人必须具备中华人民共和国境内生产或经营应具备的合法资质，且在财政部完成资产评估机构备案</w:t>
      </w:r>
      <w:r>
        <w:rPr>
          <w:rFonts w:hint="eastAsia" w:ascii="仿宋_GB2312" w:hAnsi="仿宋_GB2312" w:eastAsia="仿宋_GB2312" w:cs="仿宋_GB2312"/>
          <w:bCs/>
          <w:color w:val="auto"/>
          <w:sz w:val="30"/>
          <w:szCs w:val="30"/>
        </w:rPr>
        <w:t>；</w:t>
      </w:r>
    </w:p>
    <w:p w14:paraId="507861A9">
      <w:pPr>
        <w:keepNext w:val="0"/>
        <w:keepLines w:val="0"/>
        <w:pageBreakBefore w:val="0"/>
        <w:widowControl w:val="0"/>
        <w:kinsoku/>
        <w:overflowPunct/>
        <w:topLinePunct w:val="0"/>
        <w:autoSpaceDE/>
        <w:autoSpaceDN/>
        <w:bidi w:val="0"/>
        <w:adjustRightInd w:val="0"/>
        <w:snapToGrid w:val="0"/>
        <w:spacing w:line="600" w:lineRule="exact"/>
        <w:ind w:right="0" w:rightChars="0" w:firstLine="579" w:firstLineChars="193"/>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w:t>
      </w:r>
    </w:p>
    <w:p w14:paraId="61164BCB">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kern w:val="1"/>
          <w:sz w:val="30"/>
          <w:szCs w:val="30"/>
        </w:rPr>
        <w:t>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lang w:val="en-US" w:eastAsia="zh-CN"/>
        </w:rPr>
        <w:t>24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14:paraId="0EB778A4">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报价需具备化工设备资产评估业绩（提供营业执照、资产评估机构备案公告，化工设备评估项目业绩表，合同复印件等）；</w:t>
      </w:r>
    </w:p>
    <w:p w14:paraId="27491E28">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 xml:space="preserve">    （五）不接受被列入索普集团供应商负面清单中的单位报价；</w:t>
      </w:r>
    </w:p>
    <w:p w14:paraId="68DAFBDA">
      <w:pPr>
        <w:keepNext w:val="0"/>
        <w:keepLines w:val="0"/>
        <w:pageBreakBefore w:val="0"/>
        <w:widowControl w:val="0"/>
        <w:kinsoku/>
        <w:overflowPunct/>
        <w:topLinePunct w:val="0"/>
        <w:autoSpaceDE/>
        <w:autoSpaceDN/>
        <w:bidi w:val="0"/>
        <w:adjustRightInd w:val="0"/>
        <w:snapToGrid w:val="0"/>
        <w:spacing w:line="600" w:lineRule="exact"/>
        <w:ind w:right="0" w:rightChars="0" w:firstLine="480"/>
        <w:textAlignment w:val="auto"/>
        <w:outlineLvl w:val="9"/>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w:t>
      </w:r>
      <w:r>
        <w:rPr>
          <w:rFonts w:hint="eastAsia" w:ascii="仿宋" w:hAnsi="仿宋" w:eastAsia="仿宋" w:cs="仿宋"/>
          <w:b/>
          <w:color w:val="auto"/>
          <w:kern w:val="2"/>
          <w:sz w:val="30"/>
          <w:szCs w:val="30"/>
          <w:lang w:val="en-US" w:eastAsia="zh-CN"/>
        </w:rPr>
        <w:t>报价</w:t>
      </w:r>
      <w:r>
        <w:rPr>
          <w:rFonts w:hint="eastAsia" w:ascii="仿宋" w:hAnsi="仿宋" w:eastAsia="仿宋" w:cs="仿宋"/>
          <w:b/>
          <w:color w:val="auto"/>
          <w:kern w:val="2"/>
          <w:sz w:val="30"/>
          <w:szCs w:val="30"/>
        </w:rPr>
        <w:t>：</w:t>
      </w:r>
    </w:p>
    <w:p w14:paraId="47252247">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报价需列出费用明细</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。如国家税率调整，按合同含税价格/（1+合同约定税率）*（1+国家规定的新税率）调整合同价格开具发票；</w:t>
      </w:r>
    </w:p>
    <w:p w14:paraId="4BAF6D60">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p>
    <w:p w14:paraId="47BDDEA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公司取得上海证券交易所批文后，</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30</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w:t>
      </w:r>
    </w:p>
    <w:p w14:paraId="56D18859">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报价为含税价，如有不同请注明。</w:t>
      </w:r>
    </w:p>
    <w:p w14:paraId="31EC1CC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val="en-US" w:eastAsia="zh-CN"/>
        </w:rPr>
        <w:t>报价需以</w:t>
      </w:r>
      <w:r>
        <w:rPr>
          <w:rFonts w:hint="eastAsia" w:ascii="仿宋" w:hAnsi="仿宋" w:eastAsia="仿宋" w:cs="仿宋"/>
          <w:bCs/>
          <w:color w:val="auto"/>
          <w:kern w:val="1"/>
          <w:sz w:val="30"/>
          <w:szCs w:val="30"/>
        </w:rPr>
        <w:t>线下式进行：</w:t>
      </w:r>
    </w:p>
    <w:p w14:paraId="1351BEB9">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采用线下</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应</w:t>
      </w:r>
      <w:r>
        <w:rPr>
          <w:rFonts w:hint="eastAsia" w:ascii="仿宋" w:hAnsi="仿宋" w:eastAsia="仿宋" w:cs="仿宋"/>
          <w:bCs/>
          <w:color w:val="auto"/>
          <w:sz w:val="30"/>
          <w:szCs w:val="30"/>
        </w:rPr>
        <w:t>将报价</w:t>
      </w:r>
      <w:r>
        <w:rPr>
          <w:rFonts w:hint="eastAsia" w:ascii="仿宋" w:hAnsi="仿宋" w:eastAsia="仿宋" w:cs="仿宋"/>
          <w:bCs/>
          <w:color w:val="auto"/>
          <w:sz w:val="30"/>
          <w:szCs w:val="30"/>
          <w:lang w:val="en-US" w:eastAsia="zh-CN"/>
        </w:rPr>
        <w:t>文件</w:t>
      </w:r>
      <w:r>
        <w:rPr>
          <w:rFonts w:hint="eastAsia" w:ascii="仿宋" w:hAnsi="仿宋" w:eastAsia="仿宋" w:cs="仿宋"/>
          <w:bCs/>
          <w:color w:val="auto"/>
          <w:sz w:val="30"/>
          <w:szCs w:val="30"/>
        </w:rPr>
        <w:t>及相关资料以标袋形式送达，标袋外包装必须用“封条”密封，封条“格式自定”，另需加盖公章、法人章，填写密封日期；在标袋封面上需注明“</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项目名称，</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名称、地址、联系人、联系电话”等；</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截止日之前送达，逾期将作为作</w:t>
      </w:r>
      <w:r>
        <w:rPr>
          <w:rFonts w:hint="eastAsia" w:ascii="仿宋_GB2312" w:hAnsi="仿宋_GB2312" w:eastAsia="仿宋_GB2312" w:cs="仿宋_GB2312"/>
          <w:color w:val="auto"/>
          <w:kern w:val="1"/>
          <w:sz w:val="30"/>
          <w:szCs w:val="30"/>
          <w:lang w:val="en-US" w:eastAsia="zh-CN"/>
        </w:rPr>
        <w:t>无效报价</w:t>
      </w:r>
      <w:r>
        <w:rPr>
          <w:rFonts w:hint="eastAsia" w:ascii="仿宋_GB2312" w:hAnsi="仿宋_GB2312" w:eastAsia="仿宋_GB2312" w:cs="仿宋_GB2312"/>
          <w:color w:val="auto"/>
          <w:kern w:val="1"/>
          <w:sz w:val="30"/>
          <w:szCs w:val="30"/>
        </w:rPr>
        <w:t>处理。</w:t>
      </w:r>
    </w:p>
    <w:p w14:paraId="50123102">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有关的一切往来通讯请密封寄：</w:t>
      </w:r>
    </w:p>
    <w:p w14:paraId="210C74D5">
      <w:pPr>
        <w:pStyle w:val="13"/>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公司：江苏索普（集团）有限公司</w:t>
      </w:r>
    </w:p>
    <w:p w14:paraId="362C549E">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14:paraId="7B25B62C">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1DA38D33">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 xml:space="preserve">贾瑞玲 </w:t>
      </w:r>
    </w:p>
    <w:p w14:paraId="67349AB3">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13655296778</w:t>
      </w:r>
    </w:p>
    <w:p w14:paraId="4ED99C6F">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文件条款有疑义的，请在</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前按以下方式联系：</w:t>
      </w:r>
    </w:p>
    <w:p w14:paraId="26C14F57">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 xml:space="preserve">    联系单位：江苏索普</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集团</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有限公司</w:t>
      </w:r>
    </w:p>
    <w:p w14:paraId="655FD24E">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地址：江苏省镇江市京口区丹徒长岗村，邮编：212006</w:t>
      </w:r>
    </w:p>
    <w:p w14:paraId="045F79A5">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 xml:space="preserve">    联系人：</w:t>
      </w:r>
      <w:r>
        <w:rPr>
          <w:rFonts w:hint="eastAsia" w:ascii="仿宋" w:hAnsi="仿宋" w:eastAsia="仿宋" w:cs="仿宋"/>
          <w:bCs/>
          <w:color w:val="auto"/>
          <w:kern w:val="1"/>
          <w:sz w:val="30"/>
          <w:szCs w:val="30"/>
          <w:lang w:val="en-US" w:eastAsia="zh-CN"/>
        </w:rPr>
        <w:t>贾瑞玲 13655296778</w:t>
      </w:r>
    </w:p>
    <w:p w14:paraId="3BA7FD9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杨秋生 0511-88995039</w:t>
      </w:r>
    </w:p>
    <w:p w14:paraId="0187985A">
      <w:pPr>
        <w:keepNext w:val="0"/>
        <w:keepLines w:val="0"/>
        <w:pageBreakBefore w:val="0"/>
        <w:widowControl w:val="0"/>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w:t>
      </w:r>
      <w:r>
        <w:rPr>
          <w:rFonts w:hint="eastAsia" w:ascii="仿宋" w:hAnsi="仿宋" w:eastAsia="仿宋" w:cs="仿宋"/>
          <w:b/>
          <w:color w:val="auto"/>
          <w:kern w:val="1"/>
          <w:sz w:val="30"/>
          <w:szCs w:val="30"/>
          <w:lang w:val="en-US" w:eastAsia="zh-CN"/>
        </w:rPr>
        <w:t>评审流程</w:t>
      </w:r>
      <w:r>
        <w:rPr>
          <w:rFonts w:hint="eastAsia" w:ascii="仿宋" w:hAnsi="仿宋" w:eastAsia="仿宋" w:cs="仿宋"/>
          <w:b/>
          <w:color w:val="auto"/>
          <w:kern w:val="1"/>
          <w:sz w:val="30"/>
          <w:szCs w:val="30"/>
        </w:rPr>
        <w:t>：</w:t>
      </w:r>
    </w:p>
    <w:p w14:paraId="684E32F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val="en-US" w:eastAsia="zh-CN"/>
        </w:rPr>
        <w:t>评审</w:t>
      </w:r>
    </w:p>
    <w:p w14:paraId="3D67D5C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人组织</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小组负责</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工作，确定最终中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w:t>
      </w:r>
    </w:p>
    <w:p w14:paraId="19F72497">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（二）评</w:t>
      </w:r>
      <w:r>
        <w:rPr>
          <w:rFonts w:hint="eastAsia" w:ascii="仿宋" w:hAnsi="仿宋" w:eastAsia="仿宋" w:cs="仿宋"/>
          <w:bCs/>
          <w:color w:val="auto"/>
          <w:kern w:val="1"/>
          <w:sz w:val="30"/>
          <w:szCs w:val="30"/>
          <w:lang w:val="en-US" w:eastAsia="zh-CN"/>
        </w:rPr>
        <w:t>定</w:t>
      </w:r>
    </w:p>
    <w:p w14:paraId="322DBCC6">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w:t>
      </w:r>
      <w:r>
        <w:rPr>
          <w:rFonts w:hint="eastAsia" w:ascii="仿宋_GB2312" w:hAnsi="宋体" w:eastAsia="仿宋_GB2312" w:cs="‹ÎSå"/>
          <w:color w:val="auto"/>
          <w:kern w:val="1"/>
          <w:sz w:val="30"/>
          <w:szCs w:val="30"/>
          <w:lang w:val="en-US" w:eastAsia="zh-CN"/>
        </w:rPr>
        <w:t>采购</w:t>
      </w:r>
      <w:r>
        <w:rPr>
          <w:rFonts w:hint="eastAsia" w:ascii="仿宋_GB2312" w:hAnsi="宋体" w:eastAsia="仿宋_GB2312" w:cs="‹ÎSå"/>
          <w:color w:val="auto"/>
          <w:kern w:val="1"/>
          <w:sz w:val="30"/>
          <w:szCs w:val="30"/>
        </w:rPr>
        <w:t>人技术要求及供货期要求的</w:t>
      </w:r>
      <w:r>
        <w:rPr>
          <w:rFonts w:hint="eastAsia" w:ascii="仿宋_GB2312" w:hAnsi="宋体" w:eastAsia="仿宋_GB2312" w:cs="‹ÎSå"/>
          <w:color w:val="auto"/>
          <w:kern w:val="1"/>
          <w:sz w:val="30"/>
          <w:szCs w:val="30"/>
          <w:lang w:val="en-US" w:eastAsia="zh-CN"/>
        </w:rPr>
        <w:t>报价</w:t>
      </w:r>
      <w:r>
        <w:rPr>
          <w:rFonts w:hint="eastAsia" w:ascii="仿宋_GB2312" w:hAnsi="宋体" w:eastAsia="仿宋_GB2312" w:cs="‹ÎSå"/>
          <w:color w:val="auto"/>
          <w:kern w:val="1"/>
          <w:sz w:val="30"/>
          <w:szCs w:val="30"/>
        </w:rPr>
        <w:t>人中选择</w:t>
      </w:r>
      <w:r>
        <w:rPr>
          <w:rFonts w:hint="eastAsia" w:ascii="仿宋_GB2312" w:hAnsi="宋体" w:eastAsia="仿宋_GB2312" w:cs="‹ÎSå"/>
          <w:b/>
          <w:bCs/>
          <w:color w:val="auto"/>
          <w:kern w:val="1"/>
          <w:sz w:val="30"/>
          <w:szCs w:val="30"/>
        </w:rPr>
        <w:t>总价最低</w:t>
      </w:r>
      <w:r>
        <w:rPr>
          <w:rFonts w:hint="eastAsia" w:ascii="仿宋_GB2312" w:hAnsi="宋体" w:eastAsia="仿宋_GB2312" w:cs="‹ÎSå"/>
          <w:color w:val="auto"/>
          <w:kern w:val="1"/>
          <w:sz w:val="30"/>
          <w:szCs w:val="30"/>
        </w:rPr>
        <w:t>的一家作为中</w:t>
      </w:r>
      <w:r>
        <w:rPr>
          <w:rFonts w:hint="eastAsia" w:ascii="仿宋_GB2312" w:hAnsi="宋体" w:eastAsia="仿宋_GB2312" w:cs="‹ÎSå"/>
          <w:color w:val="auto"/>
          <w:kern w:val="1"/>
          <w:sz w:val="30"/>
          <w:szCs w:val="30"/>
          <w:lang w:val="en-US" w:eastAsia="zh-CN"/>
        </w:rPr>
        <w:t>选</w:t>
      </w:r>
      <w:r>
        <w:rPr>
          <w:rFonts w:hint="eastAsia" w:ascii="仿宋_GB2312" w:hAnsi="宋体" w:eastAsia="仿宋_GB2312" w:cs="‹ÎSå"/>
          <w:color w:val="auto"/>
          <w:kern w:val="1"/>
          <w:sz w:val="30"/>
          <w:szCs w:val="30"/>
        </w:rPr>
        <w:t>候选人。</w:t>
      </w:r>
    </w:p>
    <w:p w14:paraId="33B90869">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人保持通讯畅通，便于</w:t>
      </w:r>
      <w:r>
        <w:rPr>
          <w:rFonts w:hint="eastAsia" w:ascii="仿宋_GB2312" w:hAnsi="宋体" w:eastAsia="仿宋_GB2312" w:cs="‹ÎSå"/>
          <w:color w:val="auto"/>
          <w:kern w:val="1"/>
          <w:sz w:val="30"/>
          <w:szCs w:val="30"/>
        </w:rPr>
        <w:t>评</w:t>
      </w:r>
      <w:r>
        <w:rPr>
          <w:rFonts w:hint="eastAsia" w:ascii="仿宋_GB2312" w:hAnsi="宋体" w:eastAsia="仿宋_GB2312" w:cs="‹ÎSå"/>
          <w:color w:val="auto"/>
          <w:kern w:val="1"/>
          <w:sz w:val="30"/>
          <w:szCs w:val="30"/>
          <w:lang w:val="en-US" w:eastAsia="zh-CN"/>
        </w:rPr>
        <w:t>审</w:t>
      </w:r>
      <w:r>
        <w:rPr>
          <w:rFonts w:hint="eastAsia" w:ascii="仿宋_GB2312" w:hAnsi="宋体" w:eastAsia="仿宋_GB2312" w:cs="‹ÎSå"/>
          <w:color w:val="auto"/>
          <w:kern w:val="1"/>
          <w:sz w:val="30"/>
          <w:szCs w:val="30"/>
        </w:rPr>
        <w:t>小组在</w:t>
      </w:r>
      <w:r>
        <w:rPr>
          <w:rFonts w:hint="eastAsia" w:ascii="仿宋_GB2312" w:hAnsi="宋体" w:eastAsia="仿宋_GB2312" w:cs="‹ÎSå"/>
          <w:color w:val="auto"/>
          <w:kern w:val="1"/>
          <w:sz w:val="30"/>
          <w:szCs w:val="30"/>
          <w:lang w:val="en-US" w:eastAsia="zh-CN"/>
        </w:rPr>
        <w:t>评审</w:t>
      </w:r>
      <w:r>
        <w:rPr>
          <w:rFonts w:hint="eastAsia" w:ascii="仿宋_GB2312" w:hAnsi="宋体" w:eastAsia="仿宋_GB2312" w:cs="‹ÎSå"/>
          <w:color w:val="auto"/>
          <w:kern w:val="1"/>
          <w:sz w:val="30"/>
          <w:szCs w:val="30"/>
        </w:rPr>
        <w:t>现场电话联系</w:t>
      </w:r>
      <w:r>
        <w:rPr>
          <w:rFonts w:hint="eastAsia" w:ascii="仿宋" w:hAnsi="仿宋" w:eastAsia="仿宋" w:cs="仿宋"/>
          <w:bCs/>
          <w:color w:val="auto"/>
          <w:kern w:val="1"/>
          <w:sz w:val="30"/>
          <w:szCs w:val="30"/>
        </w:rPr>
        <w:t>。</w:t>
      </w:r>
    </w:p>
    <w:p w14:paraId="203FB62C">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小组不得泄露各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 xml:space="preserve">人的报价。                                    </w:t>
      </w:r>
    </w:p>
    <w:p w14:paraId="00FB34F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FF0000"/>
          <w:kern w:val="1"/>
          <w:sz w:val="30"/>
          <w:szCs w:val="30"/>
          <w:lang w:val="en-US" w:eastAsia="zh-CN"/>
        </w:rPr>
      </w:pPr>
      <w:r>
        <w:rPr>
          <w:rFonts w:hint="eastAsia" w:ascii="仿宋" w:hAnsi="仿宋" w:eastAsia="仿宋" w:cs="仿宋"/>
          <w:bCs/>
          <w:color w:val="FF0000"/>
          <w:kern w:val="1"/>
          <w:sz w:val="30"/>
          <w:szCs w:val="30"/>
        </w:rPr>
        <w:t>（三）</w:t>
      </w:r>
      <w:r>
        <w:rPr>
          <w:rFonts w:hint="eastAsia" w:ascii="仿宋" w:hAnsi="仿宋" w:eastAsia="仿宋" w:cs="仿宋"/>
          <w:bCs/>
          <w:color w:val="FF0000"/>
          <w:kern w:val="1"/>
          <w:sz w:val="30"/>
          <w:szCs w:val="30"/>
          <w:lang w:val="en-US" w:eastAsia="zh-CN"/>
        </w:rPr>
        <w:t>无效报价</w:t>
      </w:r>
    </w:p>
    <w:p w14:paraId="6593977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过程中</w:t>
      </w:r>
      <w:r>
        <w:rPr>
          <w:rFonts w:hint="eastAsia" w:ascii="仿宋" w:hAnsi="仿宋" w:eastAsia="仿宋" w:cs="仿宋"/>
          <w:bCs/>
          <w:color w:val="auto"/>
          <w:kern w:val="1"/>
          <w:sz w:val="30"/>
          <w:szCs w:val="30"/>
          <w:lang w:val="en-US" w:eastAsia="zh-CN"/>
        </w:rPr>
        <w:t>如有</w:t>
      </w:r>
      <w:r>
        <w:rPr>
          <w:rFonts w:hint="eastAsia" w:ascii="仿宋" w:hAnsi="仿宋" w:eastAsia="仿宋" w:cs="仿宋"/>
          <w:bCs/>
          <w:color w:val="auto"/>
          <w:kern w:val="1"/>
          <w:sz w:val="30"/>
          <w:szCs w:val="30"/>
        </w:rPr>
        <w:t>任何试图通过不正当手段影响</w:t>
      </w:r>
      <w:r>
        <w:rPr>
          <w:rFonts w:hint="eastAsia" w:ascii="仿宋" w:hAnsi="仿宋" w:eastAsia="仿宋" w:cs="仿宋"/>
          <w:bCs/>
          <w:color w:val="auto"/>
          <w:kern w:val="1"/>
          <w:sz w:val="30"/>
          <w:szCs w:val="30"/>
          <w:lang w:val="en-US" w:eastAsia="zh-CN"/>
        </w:rPr>
        <w:t>比</w:t>
      </w:r>
      <w:r>
        <w:rPr>
          <w:rFonts w:hint="eastAsia" w:ascii="仿宋" w:hAnsi="仿宋" w:eastAsia="仿宋" w:cs="仿宋"/>
          <w:bCs/>
          <w:color w:val="auto"/>
          <w:kern w:val="1"/>
          <w:sz w:val="30"/>
          <w:szCs w:val="30"/>
        </w:rPr>
        <w:t>价结果的行为（如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之间私下协商报价、与采购方串通等扰乱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处理，并可将相关</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方列入供应商负面清单，一年内不再接受参与</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w:t>
      </w:r>
    </w:p>
    <w:p w14:paraId="3533884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凡</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人不具备生产经营资质的，或</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文件填写不完整、</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有空项的，或不符合技术要求条款的，或者存在其他不符合</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人有关要求的问题，经评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w:t>
      </w:r>
    </w:p>
    <w:p w14:paraId="2922113D">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FF0000"/>
          <w:kern w:val="1"/>
          <w:sz w:val="30"/>
          <w:szCs w:val="30"/>
        </w:rPr>
      </w:pPr>
      <w:r>
        <w:rPr>
          <w:rFonts w:hint="eastAsia" w:ascii="仿宋" w:hAnsi="仿宋" w:eastAsia="仿宋" w:cs="仿宋"/>
          <w:bCs/>
          <w:color w:val="FF0000"/>
          <w:kern w:val="1"/>
          <w:sz w:val="30"/>
          <w:szCs w:val="30"/>
          <w:lang w:val="en-US" w:eastAsia="zh-CN"/>
        </w:rPr>
        <w:t xml:space="preserve">    3、报价</w:t>
      </w:r>
      <w:r>
        <w:rPr>
          <w:rFonts w:hint="eastAsia" w:ascii="仿宋" w:hAnsi="仿宋" w:eastAsia="仿宋" w:cs="仿宋"/>
          <w:bCs/>
          <w:color w:val="FF0000"/>
          <w:kern w:val="1"/>
          <w:sz w:val="30"/>
          <w:szCs w:val="30"/>
        </w:rPr>
        <w:t>人应</w:t>
      </w:r>
      <w:r>
        <w:rPr>
          <w:rFonts w:hint="eastAsia" w:ascii="仿宋" w:hAnsi="仿宋" w:eastAsia="仿宋" w:cs="仿宋"/>
          <w:bCs/>
          <w:color w:val="FF0000"/>
          <w:kern w:val="1"/>
          <w:sz w:val="30"/>
          <w:szCs w:val="30"/>
          <w:lang w:eastAsia="zh-CN"/>
        </w:rPr>
        <w:t>如实</w:t>
      </w:r>
      <w:r>
        <w:rPr>
          <w:rFonts w:hint="eastAsia" w:ascii="仿宋" w:hAnsi="仿宋" w:eastAsia="仿宋" w:cs="仿宋"/>
          <w:bCs/>
          <w:color w:val="FF0000"/>
          <w:kern w:val="1"/>
          <w:sz w:val="30"/>
          <w:szCs w:val="30"/>
        </w:rPr>
        <w:t>提供</w:t>
      </w:r>
      <w:r>
        <w:rPr>
          <w:rFonts w:hint="eastAsia" w:ascii="仿宋" w:hAnsi="仿宋" w:eastAsia="仿宋" w:cs="仿宋"/>
          <w:bCs/>
          <w:color w:val="FF0000"/>
          <w:kern w:val="1"/>
          <w:sz w:val="30"/>
          <w:szCs w:val="30"/>
          <w:lang w:eastAsia="zh-CN"/>
        </w:rPr>
        <w:t>符合市场规律和自身成本的合理报价</w:t>
      </w:r>
      <w:r>
        <w:rPr>
          <w:rFonts w:hint="eastAsia" w:ascii="仿宋" w:hAnsi="仿宋" w:eastAsia="仿宋" w:cs="仿宋"/>
          <w:bCs/>
          <w:color w:val="FF0000"/>
          <w:kern w:val="1"/>
          <w:sz w:val="30"/>
          <w:szCs w:val="30"/>
        </w:rPr>
        <w:t>。如果</w:t>
      </w:r>
      <w:r>
        <w:rPr>
          <w:rFonts w:hint="eastAsia" w:ascii="仿宋" w:hAnsi="仿宋" w:eastAsia="仿宋" w:cs="仿宋"/>
          <w:bCs/>
          <w:color w:val="FF0000"/>
          <w:kern w:val="1"/>
          <w:sz w:val="30"/>
          <w:szCs w:val="30"/>
          <w:lang w:val="en-US" w:eastAsia="zh-CN"/>
        </w:rPr>
        <w:t>报价</w:t>
      </w:r>
      <w:r>
        <w:rPr>
          <w:rFonts w:hint="eastAsia" w:ascii="仿宋" w:hAnsi="仿宋" w:eastAsia="仿宋" w:cs="仿宋"/>
          <w:bCs/>
          <w:color w:val="FF0000"/>
          <w:kern w:val="1"/>
          <w:sz w:val="30"/>
          <w:szCs w:val="30"/>
        </w:rPr>
        <w:t>人的报价与市场价格明显偏离</w:t>
      </w:r>
      <w:r>
        <w:rPr>
          <w:rFonts w:hint="eastAsia" w:ascii="仿宋" w:hAnsi="仿宋" w:eastAsia="仿宋" w:cs="仿宋"/>
          <w:bCs/>
          <w:color w:val="FF0000"/>
          <w:kern w:val="1"/>
          <w:sz w:val="30"/>
          <w:szCs w:val="30"/>
          <w:lang w:eastAsia="zh-CN"/>
        </w:rPr>
        <w:t>并因此影响了</w:t>
      </w:r>
      <w:r>
        <w:rPr>
          <w:rFonts w:hint="eastAsia" w:ascii="仿宋" w:hAnsi="仿宋" w:eastAsia="仿宋" w:cs="仿宋"/>
          <w:bCs/>
          <w:color w:val="FF0000"/>
          <w:kern w:val="1"/>
          <w:sz w:val="30"/>
          <w:szCs w:val="30"/>
          <w:lang w:val="en-US" w:eastAsia="zh-CN"/>
        </w:rPr>
        <w:t>采购</w:t>
      </w:r>
      <w:r>
        <w:rPr>
          <w:rFonts w:hint="eastAsia" w:ascii="仿宋" w:hAnsi="仿宋" w:eastAsia="仿宋" w:cs="仿宋"/>
          <w:bCs/>
          <w:color w:val="FF0000"/>
          <w:kern w:val="1"/>
          <w:sz w:val="30"/>
          <w:szCs w:val="30"/>
          <w:lang w:eastAsia="zh-CN"/>
        </w:rPr>
        <w:t>活动的公正合理性，损害了</w:t>
      </w:r>
      <w:r>
        <w:rPr>
          <w:rFonts w:hint="eastAsia" w:ascii="仿宋" w:hAnsi="仿宋" w:eastAsia="仿宋" w:cs="仿宋"/>
          <w:bCs/>
          <w:color w:val="FF0000"/>
          <w:kern w:val="1"/>
          <w:sz w:val="30"/>
          <w:szCs w:val="30"/>
          <w:lang w:val="en-US" w:eastAsia="zh-CN"/>
        </w:rPr>
        <w:t>采购</w:t>
      </w:r>
      <w:r>
        <w:rPr>
          <w:rFonts w:hint="eastAsia" w:ascii="仿宋" w:hAnsi="仿宋" w:eastAsia="仿宋" w:cs="仿宋"/>
          <w:bCs/>
          <w:color w:val="FF0000"/>
          <w:kern w:val="1"/>
          <w:sz w:val="30"/>
          <w:szCs w:val="30"/>
          <w:lang w:eastAsia="zh-CN"/>
        </w:rPr>
        <w:t>人的正当利益，经</w:t>
      </w:r>
      <w:r>
        <w:rPr>
          <w:rFonts w:hint="eastAsia" w:ascii="仿宋" w:hAnsi="仿宋" w:eastAsia="仿宋" w:cs="仿宋"/>
          <w:bCs/>
          <w:color w:val="FF0000"/>
          <w:kern w:val="1"/>
          <w:sz w:val="30"/>
          <w:szCs w:val="30"/>
          <w:lang w:val="en-US" w:eastAsia="zh-CN"/>
        </w:rPr>
        <w:t>采购</w:t>
      </w:r>
      <w:r>
        <w:rPr>
          <w:rFonts w:hint="eastAsia" w:ascii="仿宋" w:hAnsi="仿宋" w:eastAsia="仿宋" w:cs="仿宋"/>
          <w:bCs/>
          <w:color w:val="FF0000"/>
          <w:kern w:val="1"/>
          <w:sz w:val="30"/>
          <w:szCs w:val="30"/>
          <w:lang w:eastAsia="zh-CN"/>
        </w:rPr>
        <w:t>人评</w:t>
      </w:r>
      <w:r>
        <w:rPr>
          <w:rFonts w:hint="eastAsia" w:ascii="仿宋" w:hAnsi="仿宋" w:eastAsia="仿宋" w:cs="仿宋"/>
          <w:bCs/>
          <w:color w:val="FF0000"/>
          <w:kern w:val="1"/>
          <w:sz w:val="30"/>
          <w:szCs w:val="30"/>
          <w:lang w:val="en-US" w:eastAsia="zh-CN"/>
        </w:rPr>
        <w:t>审</w:t>
      </w:r>
      <w:r>
        <w:rPr>
          <w:rFonts w:hint="eastAsia" w:ascii="仿宋" w:hAnsi="仿宋" w:eastAsia="仿宋" w:cs="仿宋"/>
          <w:bCs/>
          <w:color w:val="FF0000"/>
          <w:kern w:val="1"/>
          <w:sz w:val="30"/>
          <w:szCs w:val="30"/>
          <w:lang w:eastAsia="zh-CN"/>
        </w:rPr>
        <w:t>小组评定，可作</w:t>
      </w:r>
      <w:r>
        <w:rPr>
          <w:rFonts w:hint="eastAsia" w:ascii="仿宋" w:hAnsi="仿宋" w:eastAsia="仿宋" w:cs="仿宋"/>
          <w:bCs/>
          <w:color w:val="FF0000"/>
          <w:kern w:val="1"/>
          <w:sz w:val="30"/>
          <w:szCs w:val="30"/>
          <w:lang w:val="en-US" w:eastAsia="zh-CN"/>
        </w:rPr>
        <w:t>无效报价</w:t>
      </w:r>
      <w:r>
        <w:rPr>
          <w:rFonts w:hint="eastAsia" w:ascii="仿宋" w:hAnsi="仿宋" w:eastAsia="仿宋" w:cs="仿宋"/>
          <w:bCs/>
          <w:color w:val="FF0000"/>
          <w:kern w:val="1"/>
          <w:sz w:val="30"/>
          <w:szCs w:val="30"/>
          <w:lang w:eastAsia="zh-CN"/>
        </w:rPr>
        <w:t>处理</w:t>
      </w:r>
      <w:r>
        <w:rPr>
          <w:rFonts w:hint="eastAsia" w:ascii="仿宋" w:hAnsi="仿宋" w:eastAsia="仿宋" w:cs="仿宋"/>
          <w:bCs/>
          <w:color w:val="FF0000"/>
          <w:kern w:val="1"/>
          <w:sz w:val="30"/>
          <w:szCs w:val="30"/>
        </w:rPr>
        <w:t>。</w:t>
      </w:r>
    </w:p>
    <w:p w14:paraId="29DE0BB9">
      <w:pPr>
        <w:keepNext w:val="0"/>
        <w:keepLines w:val="0"/>
        <w:pageBreakBefore w:val="0"/>
        <w:widowControl w:val="0"/>
        <w:numPr>
          <w:ilvl w:val="0"/>
          <w:numId w:val="1"/>
        </w:numPr>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5230F81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58B85FD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w:t>
      </w:r>
      <w:r>
        <w:rPr>
          <w:rFonts w:hint="eastAsia" w:ascii="仿宋" w:hAnsi="仿宋" w:eastAsia="仿宋" w:cs="仿宋"/>
          <w:bCs/>
          <w:color w:val="auto"/>
          <w:kern w:val="1"/>
          <w:sz w:val="30"/>
          <w:szCs w:val="30"/>
          <w:lang w:eastAsia="zh-CN"/>
        </w:rPr>
        <w:t>须</w:t>
      </w:r>
      <w:r>
        <w:rPr>
          <w:rFonts w:hint="eastAsia" w:ascii="仿宋" w:hAnsi="仿宋" w:eastAsia="仿宋" w:cs="仿宋"/>
          <w:bCs/>
          <w:color w:val="auto"/>
          <w:kern w:val="1"/>
          <w:sz w:val="30"/>
          <w:szCs w:val="30"/>
        </w:rPr>
        <w:t>支付违约金，违约金从货款中扣除，迟交货物或未提供服务的违约金逾期每日按合同总金额的1%计收。迟交货物或未提供服务超过20日，买受人有权解除合同,</w:t>
      </w:r>
      <w:r>
        <w:rPr>
          <w:rFonts w:hint="eastAsia" w:ascii="仿宋" w:hAnsi="仿宋" w:eastAsia="仿宋" w:cs="仿宋"/>
          <w:bCs/>
          <w:color w:val="auto"/>
          <w:kern w:val="1"/>
          <w:sz w:val="30"/>
          <w:szCs w:val="30"/>
          <w:lang w:eastAsia="zh-CN"/>
        </w:rPr>
        <w:t>买受人可要求</w:t>
      </w:r>
      <w:r>
        <w:rPr>
          <w:rFonts w:hint="eastAsia" w:ascii="仿宋" w:hAnsi="仿宋" w:eastAsia="仿宋" w:cs="仿宋"/>
          <w:bCs/>
          <w:color w:val="auto"/>
          <w:kern w:val="1"/>
          <w:sz w:val="30"/>
          <w:szCs w:val="30"/>
        </w:rPr>
        <w:t>出卖人</w:t>
      </w:r>
      <w:r>
        <w:rPr>
          <w:rFonts w:hint="eastAsia" w:ascii="仿宋" w:hAnsi="仿宋" w:eastAsia="仿宋" w:cs="仿宋"/>
          <w:bCs/>
          <w:color w:val="auto"/>
          <w:kern w:val="1"/>
          <w:sz w:val="30"/>
          <w:szCs w:val="30"/>
          <w:lang w:eastAsia="zh-CN"/>
        </w:rPr>
        <w:t>于</w:t>
      </w:r>
      <w:r>
        <w:rPr>
          <w:rFonts w:hint="eastAsia" w:ascii="仿宋" w:hAnsi="仿宋" w:eastAsia="仿宋" w:cs="仿宋"/>
          <w:bCs/>
          <w:color w:val="auto"/>
          <w:kern w:val="1"/>
          <w:sz w:val="30"/>
          <w:szCs w:val="30"/>
        </w:rPr>
        <w:t>五个工作日内返还买受人合同货款并按合同总额</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20%</w:t>
      </w:r>
      <w:r>
        <w:rPr>
          <w:rFonts w:hint="eastAsia" w:ascii="仿宋" w:hAnsi="仿宋" w:eastAsia="仿宋" w:cs="仿宋"/>
          <w:bCs/>
          <w:color w:val="auto"/>
          <w:kern w:val="1"/>
          <w:sz w:val="30"/>
          <w:szCs w:val="30"/>
          <w:lang w:eastAsia="zh-CN"/>
        </w:rPr>
        <w:t>承担</w:t>
      </w:r>
      <w:r>
        <w:rPr>
          <w:rFonts w:hint="eastAsia" w:ascii="仿宋" w:hAnsi="仿宋" w:eastAsia="仿宋" w:cs="仿宋"/>
          <w:bCs/>
          <w:color w:val="auto"/>
          <w:kern w:val="1"/>
          <w:sz w:val="30"/>
          <w:szCs w:val="30"/>
        </w:rPr>
        <w:t>违约责任。</w:t>
      </w:r>
    </w:p>
    <w:p w14:paraId="1C2E64A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1D5C6ED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14:paraId="36EF254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14:paraId="3EA1811A">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以后应严格按照</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约定与</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方签定供需合同，并按合同约定做好物资供应和服务工作。对中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人所有违背</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及合同约定的行为，</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人均可持续保留与</w:t>
      </w:r>
      <w:r>
        <w:rPr>
          <w:rFonts w:hint="eastAsia" w:ascii="仿宋" w:hAnsi="仿宋" w:eastAsia="仿宋" w:cs="仿宋"/>
          <w:bCs/>
          <w:color w:val="auto"/>
          <w:kern w:val="1"/>
          <w:sz w:val="30"/>
          <w:szCs w:val="30"/>
          <w:lang w:val="en-US" w:eastAsia="zh-CN"/>
        </w:rPr>
        <w:t>中选</w:t>
      </w:r>
      <w:r>
        <w:rPr>
          <w:rFonts w:hint="eastAsia" w:ascii="仿宋" w:hAnsi="仿宋" w:eastAsia="仿宋" w:cs="仿宋"/>
          <w:bCs/>
          <w:color w:val="auto"/>
          <w:kern w:val="1"/>
          <w:sz w:val="30"/>
          <w:szCs w:val="30"/>
        </w:rPr>
        <w:t>方中止合作的一切权利。　</w:t>
      </w:r>
    </w:p>
    <w:p w14:paraId="2617795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三</w:t>
      </w:r>
      <w:r>
        <w:rPr>
          <w:rFonts w:hint="eastAsia" w:ascii="仿宋" w:hAnsi="仿宋" w:eastAsia="仿宋" w:cs="仿宋"/>
          <w:bCs/>
          <w:color w:val="auto"/>
          <w:kern w:val="1"/>
          <w:sz w:val="30"/>
          <w:szCs w:val="30"/>
        </w:rPr>
        <w:t>）对需检验的品种，经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人检验部门检验合格后方能收货，否则做退、换货处理；长期合约的中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人如出现三次产品质量不合格的情况，视为中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人无能力保障产品质量，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人有权终止此次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合同的执行。</w:t>
      </w:r>
    </w:p>
    <w:p w14:paraId="51B14CA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）对不合格货品</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人应及时通知中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人，如有异议双方可协商解决；如需仲裁，应按合同约定在规定时间内按《产品质量仲裁检验和产品质量鉴定管理办法》执行。仲裁期间中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人应保证</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人供应，不影响</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人正常生产运行。</w:t>
      </w:r>
    </w:p>
    <w:p w14:paraId="07FAEA5E">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人不能正常履约，对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人生产经营活动造成影响的，根据《索普集团供应商负面清单管理规定(202</w:t>
      </w:r>
      <w:r>
        <w:rPr>
          <w:rFonts w:hint="eastAsia" w:ascii="仿宋" w:hAnsi="仿宋" w:eastAsia="仿宋" w:cs="仿宋"/>
          <w:bCs/>
          <w:color w:val="auto"/>
          <w:kern w:val="1"/>
          <w:sz w:val="30"/>
          <w:szCs w:val="30"/>
          <w:lang w:val="en-US" w:eastAsia="zh-CN"/>
        </w:rPr>
        <w:t>5</w:t>
      </w:r>
      <w:r>
        <w:rPr>
          <w:rFonts w:hint="eastAsia" w:ascii="仿宋" w:hAnsi="仿宋" w:eastAsia="仿宋" w:cs="仿宋"/>
          <w:bCs/>
          <w:color w:val="auto"/>
          <w:kern w:val="1"/>
          <w:sz w:val="30"/>
          <w:szCs w:val="30"/>
        </w:rPr>
        <w:t>年修订版)》（详见附件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14:paraId="5192CDF2">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六</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人对所供产品所引起的知识产权方面的纠纷，由</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人承担一切后果，</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人不承担任何责任。</w:t>
      </w:r>
    </w:p>
    <w:p w14:paraId="316B09C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人应详细阅读本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，参与报价即视为对本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所列之条款均表示接受。</w:t>
      </w:r>
    </w:p>
    <w:p w14:paraId="76C78C2F">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解释权归江苏索普（集团）有限公司商务合作部所有</w:t>
      </w:r>
      <w:r>
        <w:rPr>
          <w:rFonts w:hint="eastAsia" w:ascii="仿宋" w:hAnsi="仿宋" w:eastAsia="仿宋" w:cs="仿宋"/>
          <w:bCs/>
          <w:color w:val="auto"/>
          <w:kern w:val="2"/>
          <w:sz w:val="30"/>
          <w:szCs w:val="30"/>
        </w:rPr>
        <w:t>。</w:t>
      </w:r>
    </w:p>
    <w:p w14:paraId="55D3B38D">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eastAsia="zh-CN"/>
        </w:rPr>
        <w:t>九</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中</w:t>
      </w:r>
      <w:r>
        <w:rPr>
          <w:rFonts w:hint="eastAsia" w:ascii="仿宋" w:hAnsi="仿宋" w:eastAsia="仿宋" w:cs="仿宋"/>
          <w:bCs/>
          <w:color w:val="auto"/>
          <w:kern w:val="1"/>
          <w:sz w:val="30"/>
          <w:szCs w:val="30"/>
          <w:lang w:val="en-US" w:eastAsia="zh-CN"/>
        </w:rPr>
        <w:t>选</w:t>
      </w:r>
      <w:r>
        <w:rPr>
          <w:rFonts w:hint="eastAsia" w:ascii="仿宋" w:hAnsi="仿宋" w:eastAsia="仿宋" w:cs="仿宋"/>
          <w:bCs/>
          <w:color w:val="auto"/>
          <w:kern w:val="1"/>
          <w:sz w:val="30"/>
          <w:szCs w:val="30"/>
        </w:rPr>
        <w:t>信息公示网</w:t>
      </w:r>
      <w:r>
        <w:rPr>
          <w:rFonts w:hint="eastAsia" w:ascii="仿宋" w:hAnsi="仿宋" w:eastAsia="仿宋" w:cs="仿宋"/>
          <w:bCs/>
          <w:color w:val="auto"/>
          <w:kern w:val="1"/>
          <w:sz w:val="30"/>
          <w:szCs w:val="30"/>
          <w:lang w:eastAsia="zh-CN"/>
        </w:rPr>
        <w:t>址</w:t>
      </w:r>
      <w:r>
        <w:rPr>
          <w:rFonts w:hint="eastAsia" w:ascii="仿宋" w:hAnsi="仿宋" w:eastAsia="仿宋" w:cs="仿宋"/>
          <w:bCs/>
          <w:color w:val="auto"/>
          <w:kern w:val="1"/>
          <w:sz w:val="30"/>
          <w:szCs w:val="30"/>
        </w:rPr>
        <w:t>：</w:t>
      </w:r>
      <w:r>
        <w:rPr>
          <w:rFonts w:ascii="仿宋" w:hAnsi="仿宋" w:eastAsia="仿宋" w:cs="仿宋"/>
          <w:bCs/>
          <w:color w:val="auto"/>
          <w:kern w:val="1"/>
          <w:sz w:val="30"/>
          <w:szCs w:val="30"/>
          <w:u w:val="none"/>
        </w:rPr>
        <w:fldChar w:fldCharType="begin"/>
      </w:r>
      <w:r>
        <w:rPr>
          <w:rFonts w:ascii="仿宋" w:hAnsi="仿宋" w:eastAsia="仿宋" w:cs="仿宋"/>
          <w:bCs/>
          <w:color w:val="auto"/>
          <w:kern w:val="1"/>
          <w:sz w:val="30"/>
          <w:szCs w:val="30"/>
          <w:u w:val="none"/>
        </w:rPr>
        <w:instrText xml:space="preserve"> HYPERLINK "http://www.sopo.com.cn/list/91-93.html。" </w:instrText>
      </w:r>
      <w:r>
        <w:rPr>
          <w:rFonts w:ascii="仿宋" w:hAnsi="仿宋" w:eastAsia="仿宋" w:cs="仿宋"/>
          <w:bCs/>
          <w:color w:val="auto"/>
          <w:kern w:val="1"/>
          <w:sz w:val="30"/>
          <w:szCs w:val="30"/>
          <w:u w:val="none"/>
        </w:rPr>
        <w:fldChar w:fldCharType="separate"/>
      </w:r>
      <w:r>
        <w:rPr>
          <w:rStyle w:val="12"/>
          <w:rFonts w:ascii="仿宋" w:hAnsi="仿宋" w:eastAsia="仿宋" w:cs="仿宋"/>
          <w:bCs/>
          <w:color w:val="auto"/>
          <w:kern w:val="1"/>
          <w:sz w:val="30"/>
          <w:szCs w:val="30"/>
          <w:u w:val="none"/>
        </w:rPr>
        <w:t>http://www.sopo.com.cn/list/91-93.html</w:t>
      </w:r>
      <w:r>
        <w:rPr>
          <w:rStyle w:val="12"/>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u w:val="none"/>
        </w:rPr>
        <w:fldChar w:fldCharType="end"/>
      </w:r>
    </w:p>
    <w:p w14:paraId="002195B5">
      <w:pPr>
        <w:rPr>
          <w:rFonts w:hint="eastAsia"/>
        </w:rPr>
      </w:pPr>
    </w:p>
    <w:p w14:paraId="43628812">
      <w:pPr>
        <w:pStyle w:val="2"/>
        <w:pageBreakBefore/>
        <w:spacing w:line="579" w:lineRule="auto"/>
        <w:jc w:val="center"/>
      </w:pPr>
      <w:r>
        <w:rPr>
          <w:rFonts w:hint="eastAsia" w:ascii="黑体" w:hAnsi="黑体" w:eastAsia="黑体" w:cs="黑体"/>
        </w:rPr>
        <w:t>报价函</w:t>
      </w:r>
    </w:p>
    <w:p w14:paraId="2697D156">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14:paraId="6C5AA6FB">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w:t>
      </w:r>
      <w:r>
        <w:rPr>
          <w:rFonts w:hint="eastAsia" w:ascii="仿宋_GB2312" w:hAnsi="仿宋_GB2312" w:eastAsia="仿宋_GB2312" w:cs="仿宋_GB2312"/>
          <w:color w:val="auto"/>
          <w:kern w:val="1"/>
          <w:sz w:val="30"/>
          <w:szCs w:val="30"/>
          <w:u w:val="single"/>
          <w:lang w:val="en-US" w:eastAsia="zh-CN"/>
        </w:rPr>
        <w:t>报价</w:t>
      </w:r>
      <w:r>
        <w:rPr>
          <w:rFonts w:hint="eastAsia" w:ascii="仿宋_GB2312" w:hAnsi="仿宋_GB2312" w:eastAsia="仿宋_GB2312" w:cs="仿宋_GB2312"/>
          <w:color w:val="auto"/>
          <w:kern w:val="1"/>
          <w:sz w:val="30"/>
          <w:szCs w:val="30"/>
          <w:u w:val="single"/>
        </w:rPr>
        <w:t>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有关活动，并对该项目进行</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w:t>
      </w:r>
    </w:p>
    <w:p w14:paraId="3590273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bCs/>
          <w:color w:val="auto"/>
          <w:kern w:val="1"/>
          <w:sz w:val="30"/>
          <w:szCs w:val="30"/>
        </w:rPr>
      </w:pPr>
      <w:r>
        <w:rPr>
          <w:rFonts w:hint="eastAsia" w:ascii="仿宋_GB2312" w:hAnsi="仿宋_GB2312" w:eastAsia="仿宋_GB2312" w:cs="仿宋_GB2312"/>
          <w:color w:val="auto"/>
          <w:kern w:val="1"/>
          <w:sz w:val="30"/>
          <w:szCs w:val="30"/>
        </w:rPr>
        <w:t>1、</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项目的总价（含税）为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b/>
          <w:bCs/>
          <w:color w:val="auto"/>
          <w:kern w:val="1"/>
          <w:sz w:val="30"/>
          <w:szCs w:val="30"/>
        </w:rPr>
        <w:t>如有分项报价，请另附分项报价清单；</w:t>
      </w:r>
    </w:p>
    <w:p w14:paraId="03400DB0">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文件中的全部规定；</w:t>
      </w:r>
    </w:p>
    <w:p w14:paraId="7F22FBE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14:paraId="09B954D9">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文件，包括</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文件所有条款。如果</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文件有相互矛盾之处，我方同意按</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方的解释处理；</w:t>
      </w:r>
    </w:p>
    <w:p w14:paraId="742FC571">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14:paraId="4FA94211">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0" w:firstLineChars="2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w:t>
      </w:r>
      <w:r>
        <w:rPr>
          <w:rFonts w:hint="eastAsia" w:ascii="仿宋_GB2312" w:hAnsi="仿宋_GB2312" w:eastAsia="仿宋_GB2312" w:cs="仿宋_GB2312"/>
          <w:color w:val="auto"/>
          <w:sz w:val="30"/>
          <w:szCs w:val="30"/>
          <w:shd w:val="clear" w:color="auto" w:fill="FFFFFF"/>
          <w:lang w:val="en-US" w:eastAsia="zh-CN"/>
        </w:rPr>
        <w:t>采购</w:t>
      </w:r>
      <w:r>
        <w:rPr>
          <w:rFonts w:hint="eastAsia" w:ascii="仿宋_GB2312" w:hAnsi="仿宋_GB2312" w:eastAsia="仿宋_GB2312" w:cs="仿宋_GB2312"/>
          <w:color w:val="auto"/>
          <w:sz w:val="30"/>
          <w:szCs w:val="30"/>
          <w:shd w:val="clear" w:color="auto" w:fill="FFFFFF"/>
        </w:rPr>
        <w:t>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14:paraId="09B572C3">
      <w:pPr>
        <w:pStyle w:val="4"/>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14:paraId="7D402A79">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14:paraId="2B4E4250">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14:paraId="0064EF45">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单位（盖章）：</w:t>
      </w:r>
    </w:p>
    <w:p w14:paraId="6A9B8148">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14:paraId="00E351BC">
      <w:pPr>
        <w:spacing w:line="360" w:lineRule="auto"/>
        <w:jc w:val="left"/>
        <w:rPr>
          <w:rFonts w:hint="eastAsia" w:ascii="仿宋_GB2312" w:eastAsia="仿宋_GB2312" w:cs="‹ÎSå"/>
          <w:bCs/>
          <w:kern w:val="1"/>
          <w:sz w:val="24"/>
        </w:rPr>
      </w:pPr>
    </w:p>
    <w:p w14:paraId="41825032">
      <w:pPr>
        <w:spacing w:line="360" w:lineRule="auto"/>
        <w:jc w:val="left"/>
        <w:rPr>
          <w:rFonts w:hint="eastAsia" w:ascii="仿宋_GB2312" w:eastAsia="仿宋_GB2312" w:cs="‹ÎSå"/>
          <w:bCs/>
          <w:kern w:val="1"/>
          <w:sz w:val="24"/>
        </w:rPr>
      </w:pPr>
    </w:p>
    <w:p w14:paraId="44DE11C5">
      <w:pPr>
        <w:widowControl/>
        <w:jc w:val="left"/>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14:paraId="68C07369">
      <w:pPr>
        <w:keepNext w:val="0"/>
        <w:keepLines w:val="0"/>
        <w:widowControl/>
        <w:suppressLineNumbers w:val="0"/>
        <w:spacing w:before="0" w:beforeLines="0" w:beforeAutospacing="0" w:after="0" w:afterLines="0" w:afterAutospacing="0" w:line="600" w:lineRule="exact"/>
        <w:ind w:left="0" w:right="0"/>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bidi="ar"/>
        </w:rPr>
        <w:t xml:space="preserve"> </w:t>
      </w:r>
    </w:p>
    <w:p w14:paraId="4B2BDE3D">
      <w:pPr>
        <w:keepNext w:val="0"/>
        <w:keepLines w:val="0"/>
        <w:widowControl/>
        <w:suppressLineNumbers w:val="0"/>
        <w:spacing w:before="0" w:beforeLines="0" w:beforeAutospacing="0" w:after="0" w:afterLines="0" w:afterAutospacing="0" w:line="600" w:lineRule="exact"/>
        <w:ind w:left="0" w:right="0"/>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bidi="ar"/>
        </w:rPr>
        <w:t>索普集团供应商负面清单管理规定</w:t>
      </w:r>
    </w:p>
    <w:p w14:paraId="00FD542F">
      <w:pPr>
        <w:keepNext w:val="0"/>
        <w:keepLines w:val="0"/>
        <w:widowControl/>
        <w:suppressLineNumbers w:val="0"/>
        <w:spacing w:before="0" w:beforeLines="0" w:beforeAutospacing="0" w:after="0" w:afterLines="0" w:afterAutospacing="0" w:line="600" w:lineRule="exact"/>
        <w:ind w:left="0" w:right="0"/>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lang w:val="en-US" w:eastAsia="zh-CN" w:bidi="ar"/>
        </w:rPr>
        <w:t>（2025年修订版）</w:t>
      </w:r>
    </w:p>
    <w:p w14:paraId="3C09FE4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right="0" w:rightChars="0"/>
        <w:jc w:val="both"/>
        <w:rPr>
          <w:rFonts w:hint="eastAsia" w:ascii="黑体" w:hAnsi="宋体" w:eastAsia="黑体" w:cs="黑体"/>
          <w:b w:val="0"/>
          <w:bCs/>
          <w:kern w:val="2"/>
          <w:sz w:val="34"/>
          <w:szCs w:val="34"/>
        </w:rPr>
      </w:pPr>
      <w:r>
        <w:rPr>
          <w:rFonts w:hint="eastAsia" w:ascii="黑体" w:hAnsi="宋体" w:eastAsia="黑体" w:cs="黑体"/>
          <w:b w:val="0"/>
          <w:bCs/>
          <w:kern w:val="2"/>
          <w:sz w:val="34"/>
          <w:szCs w:val="34"/>
          <w:lang w:val="en-US" w:eastAsia="zh-CN" w:bidi="ar"/>
        </w:rPr>
        <w:t xml:space="preserve"> </w:t>
      </w:r>
    </w:p>
    <w:p w14:paraId="768CE526">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jc w:val="center"/>
        <w:rPr>
          <w:rFonts w:hint="eastAsia" w:ascii="仿宋_GB2312" w:hAnsi="仿宋" w:eastAsia="黑体" w:cs="黑体"/>
          <w:b w:val="0"/>
          <w:bCs/>
          <w:kern w:val="2"/>
          <w:sz w:val="34"/>
          <w:szCs w:val="34"/>
        </w:rPr>
      </w:pPr>
      <w:r>
        <w:rPr>
          <w:rFonts w:hint="eastAsia" w:ascii="黑体" w:hAnsi="宋体" w:eastAsia="黑体" w:cs="黑体"/>
          <w:b w:val="0"/>
          <w:bCs/>
          <w:kern w:val="2"/>
          <w:sz w:val="34"/>
          <w:szCs w:val="34"/>
          <w:lang w:val="en-US" w:eastAsia="zh-CN" w:bidi="ar"/>
        </w:rPr>
        <w:t>第一章 总 则</w:t>
      </w:r>
    </w:p>
    <w:p w14:paraId="5C9B0F88">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eastAsia" w:ascii="仿宋_GB2312" w:hAnsi="仿宋" w:eastAsia="仿宋_GB2312" w:cs="仿宋_GB2312"/>
          <w:b w:val="0"/>
          <w:bCs/>
          <w:kern w:val="2"/>
          <w:sz w:val="34"/>
          <w:szCs w:val="34"/>
        </w:rPr>
      </w:pPr>
      <w:r>
        <w:rPr>
          <w:rFonts w:hint="eastAsia" w:ascii="仿宋_GB2312" w:hAnsi="楷体" w:eastAsia="仿宋_GB2312" w:cs="仿宋_GB2312"/>
          <w:b/>
          <w:bCs w:val="0"/>
          <w:kern w:val="2"/>
          <w:sz w:val="34"/>
          <w:szCs w:val="34"/>
          <w:lang w:val="en-US" w:eastAsia="zh-CN" w:bidi="ar"/>
        </w:rPr>
        <w:t>第一条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凡按国家标准及相关准则或规定组织生产销售的产品供应商及承包商，证照齐全且资质满足公司采购要求的，均可参与公司组织的公开采购商务活动。</w:t>
      </w:r>
    </w:p>
    <w:p w14:paraId="2F4C6363">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left"/>
        <w:rPr>
          <w:rFonts w:hint="eastAsia" w:ascii="黑体" w:hAnsi="宋体" w:eastAsia="黑体" w:cs="黑体"/>
          <w:b w:val="0"/>
          <w:bCs/>
          <w:kern w:val="2"/>
          <w:sz w:val="34"/>
          <w:szCs w:val="34"/>
        </w:rPr>
      </w:pPr>
      <w:r>
        <w:rPr>
          <w:rFonts w:hint="eastAsia" w:ascii="仿宋_GB2312" w:hAnsi="楷体" w:eastAsia="仿宋_GB2312" w:cs="仿宋_GB2312"/>
          <w:b/>
          <w:bCs w:val="0"/>
          <w:kern w:val="2"/>
          <w:sz w:val="34"/>
          <w:szCs w:val="34"/>
          <w:lang w:val="en-US" w:eastAsia="zh-CN" w:bidi="ar"/>
        </w:rPr>
        <w:t>第二条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Times New Roman" w:eastAsia="仿宋_GB2312" w:cs="仿宋_GB2312"/>
          <w:b w:val="0"/>
          <w:bCs/>
          <w:kern w:val="2"/>
          <w:sz w:val="34"/>
          <w:szCs w:val="34"/>
          <w:lang w:val="en-US" w:eastAsia="zh-CN" w:bidi="ar"/>
        </w:rPr>
        <w:t>本制度适用于索普集团本部各部门，同时也对各直属单位有明确的指导和约束作用。</w:t>
      </w:r>
      <w:r>
        <w:rPr>
          <w:rFonts w:hint="eastAsia" w:ascii="黑体" w:hAnsi="宋体" w:eastAsia="黑体" w:cs="黑体"/>
          <w:b w:val="0"/>
          <w:bCs/>
          <w:kern w:val="2"/>
          <w:sz w:val="34"/>
          <w:szCs w:val="34"/>
          <w:lang w:val="en-US" w:eastAsia="zh-CN" w:bidi="ar"/>
        </w:rPr>
        <w:t xml:space="preserve"> </w:t>
      </w:r>
    </w:p>
    <w:p w14:paraId="47C19AE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default" w:ascii="Segoe UI" w:hAnsi="Segoe UI" w:eastAsia="Segoe UI" w:cs="Segoe UI"/>
          <w:i w:val="0"/>
          <w:iCs w:val="0"/>
          <w:caps w:val="0"/>
          <w:spacing w:val="0"/>
          <w:kern w:val="2"/>
          <w:sz w:val="34"/>
          <w:szCs w:val="34"/>
          <w:shd w:val="clear" w:color="auto" w:fill="FDFDFE"/>
        </w:rPr>
      </w:pPr>
      <w:r>
        <w:rPr>
          <w:rFonts w:hint="eastAsia" w:ascii="仿宋_GB2312" w:hAnsi="楷体" w:eastAsia="仿宋_GB2312" w:cs="仿宋_GB2312"/>
          <w:b/>
          <w:bCs w:val="0"/>
          <w:kern w:val="2"/>
          <w:sz w:val="34"/>
          <w:szCs w:val="34"/>
          <w:lang w:val="en-US" w:eastAsia="zh-CN" w:bidi="ar"/>
        </w:rPr>
        <w:t>第三条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Cs/>
          <w:i w:val="0"/>
          <w:iCs w:val="0"/>
          <w:caps w:val="0"/>
          <w:spacing w:val="0"/>
          <w:kern w:val="2"/>
          <w:sz w:val="34"/>
          <w:szCs w:val="34"/>
          <w:lang w:val="en-US" w:eastAsia="zh-CN" w:bidi="ar"/>
        </w:rPr>
        <w:t>集团供应商负面清单管理采取共享机制，由全集团共同参与构建并统一使用，确保全集团采购活动中负面清单供应商范围一致。</w:t>
      </w:r>
    </w:p>
    <w:p w14:paraId="60943425">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jc w:val="center"/>
        <w:rPr>
          <w:rFonts w:hint="eastAsia" w:ascii="仿宋_GB2312" w:hAnsi="仿宋" w:eastAsia="仿宋_GB2312" w:cs="Times New Roman"/>
          <w:b w:val="0"/>
          <w:bCs/>
          <w:kern w:val="2"/>
          <w:sz w:val="34"/>
          <w:szCs w:val="34"/>
        </w:rPr>
      </w:pPr>
      <w:r>
        <w:rPr>
          <w:rFonts w:hint="eastAsia" w:ascii="黑体" w:hAnsi="宋体" w:eastAsia="黑体" w:cs="黑体"/>
          <w:b w:val="0"/>
          <w:bCs/>
          <w:kern w:val="2"/>
          <w:sz w:val="34"/>
          <w:szCs w:val="34"/>
          <w:lang w:val="en-US" w:eastAsia="zh-CN" w:bidi="ar"/>
        </w:rPr>
        <w:t>第二章</w:t>
      </w:r>
      <w:r>
        <w:rPr>
          <w:rFonts w:hint="eastAsia" w:ascii="黑体" w:hAnsi="宋体" w:eastAsia="黑体" w:cs="Times New Roman"/>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管理职责</w:t>
      </w:r>
    </w:p>
    <w:p w14:paraId="5C0D085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eastAsia" w:ascii="仿宋_GB2312" w:hAnsi="仿宋" w:eastAsia="仿宋_GB2312" w:cs="Times New Roman"/>
          <w:bCs/>
          <w:i w:val="0"/>
          <w:iCs w:val="0"/>
          <w:caps w:val="0"/>
          <w:spacing w:val="0"/>
          <w:kern w:val="2"/>
          <w:sz w:val="34"/>
          <w:szCs w:val="34"/>
        </w:rPr>
      </w:pPr>
      <w:r>
        <w:rPr>
          <w:rFonts w:hint="eastAsia" w:ascii="仿宋_GB2312" w:hAnsi="楷体" w:eastAsia="仿宋_GB2312" w:cs="仿宋_GB2312"/>
          <w:b/>
          <w:bCs w:val="0"/>
          <w:kern w:val="2"/>
          <w:sz w:val="34"/>
          <w:szCs w:val="34"/>
          <w:lang w:val="en-US" w:eastAsia="zh-CN" w:bidi="ar"/>
        </w:rPr>
        <w:t>第四条</w:t>
      </w:r>
      <w:r>
        <w:rPr>
          <w:rFonts w:hint="eastAsia" w:ascii="仿宋_GB2312" w:hAnsi="仿宋" w:eastAsia="仿宋_GB2312" w:cs="Times New Roman"/>
          <w:bCs/>
          <w:i w:val="0"/>
          <w:iCs w:val="0"/>
          <w:caps w:val="0"/>
          <w:spacing w:val="0"/>
          <w:kern w:val="2"/>
          <w:sz w:val="34"/>
          <w:szCs w:val="34"/>
          <w:lang w:val="en-US" w:eastAsia="zh-CN" w:bidi="ar"/>
        </w:rPr>
        <w:t xml:space="preserve"> </w:t>
      </w:r>
      <w:r>
        <w:rPr>
          <w:rFonts w:hint="eastAsia" w:ascii="仿宋_GB2312" w:hAnsi="仿宋" w:eastAsia="仿宋_GB2312" w:cs="仿宋_GB2312"/>
          <w:bCs/>
          <w:i w:val="0"/>
          <w:iCs w:val="0"/>
          <w:caps w:val="0"/>
          <w:spacing w:val="0"/>
          <w:kern w:val="2"/>
          <w:sz w:val="34"/>
          <w:szCs w:val="34"/>
          <w:lang w:val="en-US" w:eastAsia="zh-CN" w:bidi="ar"/>
        </w:rPr>
        <w:t>集团本部及各单位拥有对负面清单供应商进行考核评价及解除的权限，负面清单供应商的增减变动须报集团商务合作部公示后生效执行。</w:t>
      </w:r>
    </w:p>
    <w:p w14:paraId="0723463B">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rightChars="0" w:firstLine="683" w:firstLineChars="200"/>
        <w:jc w:val="both"/>
        <w:rPr>
          <w:rFonts w:hint="eastAsia" w:ascii="仿宋" w:hAnsi="仿宋" w:eastAsia="仿宋" w:cs="仿宋"/>
          <w:b w:val="0"/>
          <w:bCs/>
          <w:kern w:val="2"/>
          <w:sz w:val="34"/>
          <w:szCs w:val="34"/>
        </w:rPr>
      </w:pPr>
      <w:r>
        <w:rPr>
          <w:rFonts w:hint="eastAsia" w:ascii="仿宋_GB2312" w:hAnsi="楷体" w:eastAsia="仿宋_GB2312" w:cs="仿宋_GB2312"/>
          <w:b/>
          <w:bCs w:val="0"/>
          <w:kern w:val="2"/>
          <w:sz w:val="34"/>
          <w:szCs w:val="34"/>
          <w:lang w:val="en-US" w:eastAsia="zh-CN" w:bidi="ar"/>
        </w:rPr>
        <w:t>第五条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Cs/>
          <w:i w:val="0"/>
          <w:iCs w:val="0"/>
          <w:caps w:val="0"/>
          <w:spacing w:val="0"/>
          <w:kern w:val="2"/>
          <w:sz w:val="34"/>
          <w:szCs w:val="34"/>
          <w:lang w:val="en-US" w:eastAsia="zh-CN" w:bidi="ar"/>
        </w:rPr>
        <w:t>集团本部的负面清单管理工作由集团商务合作部直接负责，集团各部门在采购、合同履约、物资使用等环节中产生的供应商考核意见，须实时报送集团商务合作部汇总管理，确保清单动态更新与信息共享。</w:t>
      </w:r>
    </w:p>
    <w:p w14:paraId="60226656">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center"/>
        <w:rPr>
          <w:rFonts w:hint="eastAsia" w:ascii="黑体" w:hAnsi="宋体" w:eastAsia="黑体" w:cs="Times New Roman"/>
          <w:b w:val="0"/>
          <w:bCs/>
          <w:kern w:val="2"/>
          <w:sz w:val="34"/>
          <w:szCs w:val="34"/>
        </w:rPr>
      </w:pPr>
      <w:r>
        <w:rPr>
          <w:rFonts w:hint="eastAsia" w:ascii="黑体" w:hAnsi="宋体" w:eastAsia="黑体" w:cs="黑体"/>
          <w:b w:val="0"/>
          <w:bCs/>
          <w:kern w:val="2"/>
          <w:sz w:val="34"/>
          <w:szCs w:val="34"/>
          <w:lang w:val="en-US" w:eastAsia="zh-CN" w:bidi="ar"/>
        </w:rPr>
        <w:t>第三章 供应商分级管理</w:t>
      </w:r>
    </w:p>
    <w:p w14:paraId="1A6542D8">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第六条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根据考核扣分及违规严重性，将供应商分为以下三类管理：</w:t>
      </w:r>
    </w:p>
    <w:p w14:paraId="22F3EF2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（一）合格供应商</w:t>
      </w:r>
    </w:p>
    <w:p w14:paraId="1CA64A4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1.考核标准：</w:t>
      </w:r>
      <w:r>
        <w:rPr>
          <w:rFonts w:hint="eastAsia" w:ascii="仿宋_GB2312" w:hAnsi="楷体" w:eastAsia="仿宋_GB2312" w:cs="仿宋_GB2312"/>
          <w:bCs/>
          <w:i w:val="0"/>
          <w:iCs w:val="0"/>
          <w:caps w:val="0"/>
          <w:spacing w:val="0"/>
          <w:kern w:val="2"/>
          <w:sz w:val="34"/>
          <w:szCs w:val="34"/>
          <w:lang w:val="en-US" w:eastAsia="zh-CN" w:bidi="ar"/>
        </w:rPr>
        <w:t>滚动周期</w:t>
      </w:r>
      <w:r>
        <w:rPr>
          <w:rFonts w:hint="eastAsia" w:ascii="仿宋_GB2312" w:hAnsi="楷体" w:eastAsia="仿宋_GB2312" w:cs="仿宋_GB2312"/>
          <w:b w:val="0"/>
          <w:bCs/>
          <w:kern w:val="2"/>
          <w:sz w:val="34"/>
          <w:szCs w:val="34"/>
          <w:lang w:val="en-US" w:eastAsia="zh-CN" w:bidi="ar"/>
        </w:rPr>
        <w:t>扣分（一年内）＜10分。</w:t>
      </w:r>
    </w:p>
    <w:p w14:paraId="001F0E1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2.管理措施：可正常参与公司公开采购及合作，扣分自首次扣除满一年自动清零。</w:t>
      </w:r>
    </w:p>
    <w:p w14:paraId="08120252">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（二）暂停合作供应商</w:t>
      </w:r>
    </w:p>
    <w:p w14:paraId="047C09D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1.考核标准：同一</w:t>
      </w:r>
      <w:r>
        <w:rPr>
          <w:rFonts w:hint="eastAsia" w:ascii="仿宋_GB2312" w:hAnsi="仿宋" w:eastAsia="仿宋_GB2312" w:cs="仿宋_GB2312"/>
          <w:b w:val="0"/>
          <w:bCs/>
          <w:kern w:val="2"/>
          <w:sz w:val="34"/>
          <w:szCs w:val="34"/>
          <w:lang w:val="en-US" w:eastAsia="zh-CN" w:bidi="ar"/>
        </w:rPr>
        <w:t>单位对同一供应商一年内的考核扣分累计</w:t>
      </w:r>
      <w:r>
        <w:rPr>
          <w:rFonts w:hint="eastAsia" w:ascii="仿宋_GB2312" w:hAnsi="楷体" w:eastAsia="仿宋_GB2312" w:cs="仿宋_GB2312"/>
          <w:b w:val="0"/>
          <w:bCs/>
          <w:kern w:val="2"/>
          <w:sz w:val="34"/>
          <w:szCs w:val="34"/>
          <w:lang w:val="en-US" w:eastAsia="zh-CN" w:bidi="ar"/>
        </w:rPr>
        <w:t>≥10分；</w:t>
      </w:r>
      <w:r>
        <w:rPr>
          <w:rFonts w:hint="eastAsia" w:ascii="仿宋_GB2312" w:hAnsi="仿宋" w:eastAsia="仿宋_GB2312" w:cs="仿宋_GB2312"/>
          <w:b w:val="0"/>
          <w:bCs/>
          <w:kern w:val="2"/>
          <w:sz w:val="34"/>
          <w:szCs w:val="34"/>
          <w:lang w:val="en-US" w:eastAsia="zh-CN" w:bidi="ar"/>
        </w:rPr>
        <w:t>不同单位对同一供应商一年内的考核扣分累计</w:t>
      </w:r>
      <w:r>
        <w:rPr>
          <w:rFonts w:hint="eastAsia" w:ascii="仿宋_GB2312" w:hAnsi="楷体" w:eastAsia="仿宋_GB2312" w:cs="仿宋_GB2312"/>
          <w:b w:val="0"/>
          <w:bCs/>
          <w:kern w:val="2"/>
          <w:sz w:val="34"/>
          <w:szCs w:val="34"/>
          <w:lang w:val="en-US" w:eastAsia="zh-CN" w:bidi="ar"/>
        </w:rPr>
        <w:t>≥15分。</w:t>
      </w:r>
    </w:p>
    <w:p w14:paraId="76EB571C">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default" w:ascii="Times New Roman" w:hAnsi="Times New Roman" w:eastAsia="宋体" w:cs="Times New Roman"/>
          <w:kern w:val="2"/>
          <w:sz w:val="34"/>
          <w:szCs w:val="34"/>
        </w:rPr>
      </w:pPr>
      <w:r>
        <w:rPr>
          <w:rFonts w:hint="eastAsia" w:ascii="仿宋_GB2312" w:hAnsi="楷体" w:eastAsia="仿宋_GB2312" w:cs="仿宋_GB2312"/>
          <w:b w:val="0"/>
          <w:bCs/>
          <w:kern w:val="2"/>
          <w:sz w:val="34"/>
          <w:szCs w:val="34"/>
          <w:lang w:val="en-US" w:eastAsia="zh-CN" w:bidi="ar"/>
        </w:rPr>
        <w:t>2.管理措施：一年内停止与其产生新的合作。建立到期提示机制，到期前一个月内考核部门应主动告知相应供应商，并同步开放整改材料提交通道。</w:t>
      </w:r>
    </w:p>
    <w:p w14:paraId="21261B1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3.评审优先级：在采购评审过程中，同等情况下应优先选择未曾被列入暂停合作供应商清单的供应商。</w:t>
      </w:r>
    </w:p>
    <w:p w14:paraId="24DC47A8">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（三）禁止合作供应商</w:t>
      </w:r>
    </w:p>
    <w:p w14:paraId="11DA22D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1.考核标准：供应商发生以下恶意行为的，将直接列入禁止合作供应商清单：</w:t>
      </w:r>
    </w:p>
    <w:p w14:paraId="5C67AFB2">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（1）主观恶意且对公司生产经营活动造成重大损害的；</w:t>
      </w:r>
    </w:p>
    <w:p w14:paraId="6BCAA97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Cs/>
          <w:i w:val="0"/>
          <w:iCs w:val="0"/>
          <w:caps w:val="0"/>
          <w:spacing w:val="0"/>
          <w:kern w:val="2"/>
          <w:sz w:val="34"/>
          <w:szCs w:val="34"/>
          <w:lang w:val="en-US" w:eastAsia="zh-CN" w:bidi="ar"/>
        </w:rPr>
        <w:t>（2）</w:t>
      </w:r>
      <w:r>
        <w:rPr>
          <w:rFonts w:hint="eastAsia" w:ascii="仿宋_GB2312" w:hAnsi="仿宋" w:eastAsia="仿宋_GB2312" w:cs="仿宋_GB2312"/>
          <w:b w:val="0"/>
          <w:bCs/>
          <w:kern w:val="2"/>
          <w:sz w:val="34"/>
          <w:szCs w:val="34"/>
          <w:lang w:val="en-US" w:eastAsia="zh-CN" w:bidi="ar"/>
        </w:rPr>
        <w:t>恶意法律诉讼起诉我公司最终被法院裁定为败诉的；</w:t>
      </w:r>
    </w:p>
    <w:p w14:paraId="19816F0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w:t>
      </w:r>
      <w:r>
        <w:rPr>
          <w:rFonts w:hint="eastAsia" w:ascii="仿宋_GB2312" w:hAnsi="楷体" w:eastAsia="仿宋_GB2312" w:cs="仿宋_GB2312"/>
          <w:b w:val="0"/>
          <w:bCs/>
          <w:kern w:val="2"/>
          <w:sz w:val="34"/>
          <w:szCs w:val="34"/>
          <w:lang w:val="en-US" w:eastAsia="zh-CN" w:bidi="ar"/>
        </w:rPr>
        <w:t>两次列入暂停合作供应商的；</w:t>
      </w:r>
    </w:p>
    <w:p w14:paraId="3F365BF3">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（4）</w:t>
      </w:r>
      <w:r>
        <w:rPr>
          <w:rFonts w:hint="eastAsia" w:ascii="仿宋_GB2312" w:hAnsi="仿宋" w:eastAsia="仿宋_GB2312" w:cs="仿宋_GB2312"/>
          <w:b w:val="0"/>
          <w:bCs/>
          <w:kern w:val="2"/>
          <w:sz w:val="34"/>
          <w:szCs w:val="34"/>
          <w:lang w:val="en-US" w:eastAsia="zh-CN" w:bidi="ar"/>
        </w:rPr>
        <w:t>违反廉政协议，滋生腐败现象的；</w:t>
      </w:r>
    </w:p>
    <w:p w14:paraId="2BDB04A6">
      <w:pPr>
        <w:pStyle w:val="3"/>
        <w:keepNext w:val="0"/>
        <w:keepLines w:val="0"/>
        <w:widowControl/>
        <w:suppressLineNumbers w:val="0"/>
        <w:autoSpaceDE w:val="0"/>
        <w:autoSpaceDN/>
        <w:adjustRightInd w:val="0"/>
        <w:snapToGrid w:val="0"/>
        <w:spacing w:beforeLines="0" w:beforeAutospacing="0" w:afterLines="0" w:afterAutospacing="0" w:line="600" w:lineRule="exact"/>
        <w:ind w:left="0" w:leftChars="0" w:firstLine="680" w:firstLineChars="200"/>
        <w:rPr>
          <w:rFonts w:hint="eastAsia" w:ascii="宋体" w:hAnsi="宋体" w:eastAsia="宋体" w:cs="Times New Roman"/>
          <w:b/>
          <w:bCs w:val="0"/>
          <w:kern w:val="0"/>
          <w:sz w:val="34"/>
          <w:szCs w:val="34"/>
        </w:rPr>
      </w:pPr>
      <w:r>
        <w:rPr>
          <w:rFonts w:hint="eastAsia" w:ascii="仿宋_GB2312" w:hAnsi="楷体" w:eastAsia="仿宋_GB2312" w:cs="仿宋_GB2312"/>
          <w:b w:val="0"/>
          <w:bCs/>
          <w:kern w:val="0"/>
          <w:sz w:val="34"/>
          <w:szCs w:val="34"/>
        </w:rPr>
        <w:t>（5）存在其他严重侵害公司利益行为的。</w:t>
      </w:r>
    </w:p>
    <w:p w14:paraId="089A4139">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0"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val="0"/>
          <w:bCs/>
          <w:kern w:val="2"/>
          <w:sz w:val="34"/>
          <w:szCs w:val="34"/>
          <w:lang w:val="en-US" w:eastAsia="zh-CN" w:bidi="ar"/>
        </w:rPr>
        <w:t>2.管理措施：原则上</w:t>
      </w:r>
      <w:r>
        <w:rPr>
          <w:rFonts w:hint="eastAsia" w:ascii="仿宋_GB2312" w:hAnsi="楷体" w:eastAsia="仿宋_GB2312" w:cs="仿宋_GB2312"/>
          <w:bCs/>
          <w:i w:val="0"/>
          <w:iCs w:val="0"/>
          <w:caps w:val="0"/>
          <w:spacing w:val="0"/>
          <w:kern w:val="2"/>
          <w:sz w:val="34"/>
          <w:szCs w:val="34"/>
          <w:lang w:val="en-US" w:eastAsia="zh-CN" w:bidi="ar"/>
        </w:rPr>
        <w:t>永久禁止合作。</w:t>
      </w:r>
    </w:p>
    <w:p w14:paraId="16C044C9">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center"/>
        <w:rPr>
          <w:rFonts w:hint="eastAsia" w:ascii="黑体" w:hAnsi="宋体" w:eastAsia="黑体" w:cs="Times New Roman"/>
          <w:b w:val="0"/>
          <w:bCs/>
          <w:kern w:val="2"/>
          <w:sz w:val="34"/>
          <w:szCs w:val="34"/>
        </w:rPr>
      </w:pPr>
      <w:r>
        <w:rPr>
          <w:rFonts w:hint="eastAsia" w:ascii="黑体" w:hAnsi="宋体" w:eastAsia="黑体" w:cs="黑体"/>
          <w:b w:val="0"/>
          <w:bCs/>
          <w:kern w:val="2"/>
          <w:sz w:val="34"/>
          <w:szCs w:val="34"/>
          <w:lang w:val="en-US" w:eastAsia="zh-CN" w:bidi="ar"/>
        </w:rPr>
        <w:t>第四章</w:t>
      </w:r>
      <w:r>
        <w:rPr>
          <w:rFonts w:hint="eastAsia" w:ascii="黑体" w:hAnsi="宋体" w:eastAsia="黑体" w:cs="Times New Roman"/>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积分考核细则</w:t>
      </w:r>
    </w:p>
    <w:p w14:paraId="0034BE5B">
      <w:pPr>
        <w:keepNext w:val="0"/>
        <w:keepLines w:val="0"/>
        <w:widowControl/>
        <w:suppressLineNumbers w:val="0"/>
        <w:autoSpaceDE w:val="0"/>
        <w:autoSpaceDN/>
        <w:spacing w:before="0" w:beforeLines="0" w:beforeAutospacing="0" w:after="0" w:afterLines="0" w:afterAutospacing="0" w:line="600" w:lineRule="exact"/>
        <w:ind w:left="0" w:leftChars="0" w:right="0" w:firstLine="683" w:firstLineChars="200"/>
        <w:jc w:val="both"/>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第七条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供应商的积分考核主要包括供货质量、交货周期、售后服务、资质信誉等方面，每项各10分，各相关部门均可提出书面考核意见。商务合作部负责对各相关部门提出的考核意见进行收集汇总，并及时公示。</w:t>
      </w:r>
    </w:p>
    <w:p w14:paraId="1DFFA2B3">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 xml:space="preserve">  （一）质量方面</w:t>
      </w:r>
    </w:p>
    <w:p w14:paraId="60202C6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1.所供产品出现质量问题，未对公司造成影响，单次扣1-3分。</w:t>
      </w:r>
    </w:p>
    <w:p w14:paraId="7500C742">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 xml:space="preserve">  2.所供产品出现质量问题，对公司造成了一定影响，单次扣3-5分。</w:t>
      </w:r>
    </w:p>
    <w:p w14:paraId="5BEF40A1">
      <w:pPr>
        <w:keepNext w:val="0"/>
        <w:keepLines w:val="0"/>
        <w:widowControl/>
        <w:suppressLineNumbers w:val="0"/>
        <w:autoSpaceDE w:val="0"/>
        <w:autoSpaceDN/>
        <w:spacing w:before="0" w:beforeLines="0" w:beforeAutospacing="0" w:after="0" w:afterLines="0" w:afterAutospacing="0" w:line="600" w:lineRule="exact"/>
        <w:ind w:left="0" w:leftChars="0" w:right="0" w:firstLine="68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3.所供产品出现质量问题，对公司造成了严重影响，单次扣5-10分。</w:t>
      </w:r>
    </w:p>
    <w:p w14:paraId="5B43C574">
      <w:pPr>
        <w:keepNext w:val="0"/>
        <w:keepLines w:val="0"/>
        <w:widowControl/>
        <w:suppressLineNumbers w:val="0"/>
        <w:autoSpaceDE w:val="0"/>
        <w:autoSpaceDN/>
        <w:spacing w:before="0" w:beforeLines="0" w:beforeAutospacing="0" w:after="0" w:afterLines="0" w:afterAutospacing="0" w:line="600" w:lineRule="exact"/>
        <w:ind w:left="0" w:leftChars="0" w:right="0" w:firstLine="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4.所供产品故意隐瞒质量缺陷或以次充好，单次扣10分。</w:t>
      </w:r>
    </w:p>
    <w:p w14:paraId="33F38DBC">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 xml:space="preserve">  （二）交货方面</w:t>
      </w:r>
    </w:p>
    <w:p w14:paraId="7125E6C4">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1.交货时无质检报告或合格证等必要资料的，单次扣1-3分。</w:t>
      </w:r>
    </w:p>
    <w:p w14:paraId="45A6BD95">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2.交货时未按规定包装的，单次扣1-3分。</w:t>
      </w:r>
    </w:p>
    <w:p w14:paraId="081EAEF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3.延期交货，但未对公司造成影响，单次扣1-3分；造成一定影响，单次扣3-5分；造成严重影响，单次扣5-10分。</w:t>
      </w:r>
    </w:p>
    <w:p w14:paraId="6BE767C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（三）售后方面</w:t>
      </w:r>
    </w:p>
    <w:p w14:paraId="3EFE8210">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1.对我公司的售后服务要求不能及时响应，单次扣1-3分；已造成一定影响，单次扣3-5分；造成严重影响，单次扣5-10分。</w:t>
      </w:r>
    </w:p>
    <w:p w14:paraId="64FBB6F3">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2.售后人员不能及时解决问题，单次扣1-3分。</w:t>
      </w:r>
    </w:p>
    <w:p w14:paraId="262CC932">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3.在质保期之内，拒绝按合同提供售后服务，单次扣5-10分。</w:t>
      </w:r>
    </w:p>
    <w:p w14:paraId="171AAD6B">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（四）资信方面</w:t>
      </w:r>
    </w:p>
    <w:p w14:paraId="38310F0A">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 xml:space="preserve">1.未提供询价书要求的资质文件、不满足询价书资质要求、报价与技术要求不符等，单次扣1～3 分。   </w:t>
      </w:r>
    </w:p>
    <w:p w14:paraId="509C40F7">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2.中选之后因报价、参数错误等原因，报价人放弃成交，单次扣3-5分。</w:t>
      </w:r>
    </w:p>
    <w:p w14:paraId="29B6F38D">
      <w:pPr>
        <w:keepNext w:val="0"/>
        <w:keepLines w:val="0"/>
        <w:widowControl/>
        <w:suppressLineNumbers w:val="0"/>
        <w:autoSpaceDE w:val="0"/>
        <w:autoSpaceDN/>
        <w:spacing w:before="0" w:beforeLines="0" w:beforeAutospacing="0" w:after="0" w:afterLines="0" w:afterAutospacing="0" w:line="600" w:lineRule="exact"/>
        <w:ind w:left="0" w:leftChars="0" w:right="0" w:firstLine="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3.中选之后拒绝签订合同或拒绝履行合同，单次扣5-10分。</w:t>
      </w:r>
    </w:p>
    <w:p w14:paraId="74543B9A">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4.无正当理由未及时开具发票给我方或未按合同约定价格开票，单次扣1-3分。</w:t>
      </w:r>
    </w:p>
    <w:p w14:paraId="6FC0C1D5">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5.未按照《江苏索普(集团)有限公司工程造价审计管理制度》要求提供工程结算资料，或未按规定进行工程结算确认的，单次扣1-3分。</w:t>
      </w:r>
    </w:p>
    <w:p w14:paraId="58FED782">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6.报价人经核实资质造假或因知识产权引起纠纷，单次扣6-10分。</w:t>
      </w:r>
    </w:p>
    <w:p w14:paraId="051C4442">
      <w:pPr>
        <w:keepNext w:val="0"/>
        <w:keepLines w:val="0"/>
        <w:widowControl/>
        <w:suppressLineNumbers w:val="0"/>
        <w:autoSpaceDE w:val="0"/>
        <w:autoSpaceDN/>
        <w:spacing w:before="0" w:beforeLines="0" w:beforeAutospacing="0" w:after="0" w:afterLines="0" w:afterAutospacing="0" w:line="600" w:lineRule="exact"/>
        <w:ind w:left="0" w:leftChars="0" w:right="0" w:firstLine="680"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7.</w:t>
      </w:r>
      <w:r>
        <w:rPr>
          <w:rFonts w:hint="eastAsia" w:ascii="仿宋_GB2312" w:hAnsi="仿宋" w:eastAsia="仿宋_GB2312" w:cs="仿宋_GB2312"/>
          <w:bCs/>
          <w:i w:val="0"/>
          <w:iCs w:val="0"/>
          <w:caps w:val="0"/>
          <w:spacing w:val="0"/>
          <w:kern w:val="2"/>
          <w:sz w:val="34"/>
          <w:szCs w:val="34"/>
          <w:lang w:val="en-US" w:eastAsia="zh-CN" w:bidi="ar"/>
        </w:rPr>
        <w:t>报价低于成本价且无合理说明</w:t>
      </w:r>
      <w:r>
        <w:rPr>
          <w:rFonts w:hint="eastAsia" w:ascii="仿宋_GB2312" w:hAnsi="仿宋" w:eastAsia="仿宋_GB2312" w:cs="仿宋_GB2312"/>
          <w:b w:val="0"/>
          <w:bCs/>
          <w:kern w:val="2"/>
          <w:sz w:val="34"/>
          <w:szCs w:val="34"/>
          <w:lang w:val="en-US" w:eastAsia="zh-CN" w:bidi="ar"/>
        </w:rPr>
        <w:t>扰乱公开采购秩序,单次扣10 分。</w:t>
      </w:r>
    </w:p>
    <w:p w14:paraId="0E948C58">
      <w:pPr>
        <w:keepNext w:val="0"/>
        <w:keepLines w:val="0"/>
        <w:widowControl/>
        <w:suppressLineNumbers w:val="0"/>
        <w:autoSpaceDE w:val="0"/>
        <w:autoSpaceDN/>
        <w:spacing w:before="0" w:beforeLines="0" w:beforeAutospacing="0" w:after="0" w:afterLines="0" w:afterAutospacing="0" w:line="600" w:lineRule="exact"/>
        <w:ind w:left="0" w:leftChars="0" w:right="0" w:firstLine="642" w:firstLineChars="0"/>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第八条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关于无效投诉的处理办法。</w:t>
      </w:r>
    </w:p>
    <w:p w14:paraId="1301CD9B">
      <w:pPr>
        <w:keepNext w:val="0"/>
        <w:keepLines w:val="0"/>
        <w:widowControl/>
        <w:suppressLineNumbers w:val="0"/>
        <w:autoSpaceDE w:val="0"/>
        <w:autoSpaceDN/>
        <w:spacing w:before="0" w:beforeLines="0" w:beforeAutospacing="0" w:after="0" w:afterLines="0" w:afterAutospacing="0" w:line="600" w:lineRule="exact"/>
        <w:ind w:left="0" w:leftChars="0" w:right="0" w:firstLine="641" w:firstLineChars="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val="0"/>
          <w:bCs/>
          <w:kern w:val="2"/>
          <w:sz w:val="34"/>
          <w:szCs w:val="34"/>
          <w:lang w:val="en-US" w:eastAsia="zh-CN" w:bidi="ar"/>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676C716B">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210" w:rightChars="100"/>
        <w:jc w:val="center"/>
        <w:rPr>
          <w:rFonts w:hint="eastAsia" w:ascii="黑体" w:hAnsi="宋体" w:eastAsia="黑体" w:cs="仿宋"/>
          <w:b w:val="0"/>
          <w:bCs/>
          <w:kern w:val="2"/>
          <w:sz w:val="34"/>
          <w:szCs w:val="34"/>
        </w:rPr>
      </w:pPr>
      <w:r>
        <w:rPr>
          <w:rFonts w:hint="eastAsia" w:ascii="黑体" w:hAnsi="宋体" w:eastAsia="黑体" w:cs="黑体"/>
          <w:b w:val="0"/>
          <w:bCs/>
          <w:kern w:val="2"/>
          <w:sz w:val="34"/>
          <w:szCs w:val="34"/>
          <w:lang w:val="en-US" w:eastAsia="zh-CN" w:bidi="ar"/>
        </w:rPr>
        <w:t>第五章</w:t>
      </w:r>
      <w:r>
        <w:rPr>
          <w:rFonts w:hint="eastAsia" w:ascii="黑体" w:hAnsi="宋体" w:eastAsia="黑体" w:cs="仿宋"/>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重要事项</w:t>
      </w:r>
    </w:p>
    <w:p w14:paraId="1134DA65">
      <w:pPr>
        <w:pStyle w:val="3"/>
        <w:keepNext w:val="0"/>
        <w:keepLines w:val="0"/>
        <w:widowControl/>
        <w:suppressLineNumbers w:val="0"/>
        <w:autoSpaceDE w:val="0"/>
        <w:autoSpaceDN/>
        <w:adjustRightInd w:val="0"/>
        <w:snapToGrid w:val="0"/>
        <w:spacing w:beforeLines="0" w:beforeAutospacing="0" w:afterLines="0" w:afterAutospacing="0" w:line="600" w:lineRule="exact"/>
        <w:ind w:left="0" w:leftChars="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rPr>
        <w:t>第九条</w:t>
      </w:r>
      <w:r>
        <w:rPr>
          <w:rFonts w:hint="eastAsia" w:ascii="仿宋_GB2312" w:hAnsi="仿宋" w:eastAsia="仿宋_GB2312" w:cs="Times New Roman"/>
          <w:b w:val="0"/>
          <w:bCs/>
          <w:kern w:val="2"/>
          <w:sz w:val="34"/>
          <w:szCs w:val="34"/>
        </w:rPr>
        <w:t xml:space="preserve"> </w:t>
      </w:r>
      <w:r>
        <w:rPr>
          <w:rFonts w:hint="eastAsia" w:ascii="仿宋_GB2312" w:hAnsi="仿宋" w:eastAsia="仿宋_GB2312" w:cs="仿宋_GB2312"/>
          <w:b w:val="0"/>
          <w:bCs/>
          <w:kern w:val="2"/>
          <w:sz w:val="34"/>
          <w:szCs w:val="34"/>
        </w:rPr>
        <w:t>为确保集团内部供应商管理的一致性和高效性，各部门应统一按照集团公司制定的供应商管理要求严格执行。</w:t>
      </w:r>
    </w:p>
    <w:p w14:paraId="62683A44">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各部门将供应商纳入负面清单时应秉持审慎原则，需建立在事实调查与证据收集基础之上，确保决定的合理性与公正性。</w:t>
      </w:r>
    </w:p>
    <w:p w14:paraId="02C7B046">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第十一条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原则上不得与禁止合作的供应商恢复合作关系。如确因生产需要恢复合作的，须经相关审批流程后方可实施。</w:t>
      </w:r>
    </w:p>
    <w:p w14:paraId="58BD3A0A">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第十二条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暂停合作供应商考核满一年后，经审议符合移出暂停合作清单条件的，各部门无正当理由不得拒绝或拖延将其移出负面清单。</w:t>
      </w:r>
    </w:p>
    <w:p w14:paraId="61753AE1">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第十三条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如果被暂停合作供应商在收到我司到期告知后三个月内未能提供有效整改材料或一年内不能完成整改的，相关单位可将其列入禁止合作供应商清单，不再与其开展合作。</w:t>
      </w:r>
    </w:p>
    <w:p w14:paraId="6771B90E">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第十四条</w:t>
      </w:r>
      <w:r>
        <w:rPr>
          <w:rFonts w:hint="eastAsia" w:ascii="仿宋_GB2312" w:hAnsi="仿宋"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各单位、各部门需真实、准确地记录供应商的考核结果，并按照要求及时报送供应商考核信息至集团商务合作部，确保信息及时、透明。</w:t>
      </w:r>
    </w:p>
    <w:p w14:paraId="0CB86250">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0" w:firstLine="683" w:firstLineChars="200"/>
        <w:jc w:val="both"/>
        <w:rPr>
          <w:rFonts w:hint="eastAsia" w:ascii="仿宋_GB2312" w:hAnsi="仿宋" w:eastAsia="仿宋_GB2312" w:cs="Times New Roman"/>
          <w:b w:val="0"/>
          <w:bCs/>
          <w:kern w:val="2"/>
          <w:sz w:val="34"/>
          <w:szCs w:val="34"/>
        </w:rPr>
      </w:pPr>
      <w:r>
        <w:rPr>
          <w:rFonts w:hint="eastAsia" w:ascii="仿宋_GB2312" w:hAnsi="仿宋" w:eastAsia="仿宋_GB2312" w:cs="仿宋_GB2312"/>
          <w:b/>
          <w:bCs w:val="0"/>
          <w:kern w:val="2"/>
          <w:sz w:val="34"/>
          <w:szCs w:val="34"/>
          <w:lang w:val="en-US" w:eastAsia="zh-CN" w:bidi="ar"/>
        </w:rPr>
        <w:t>第十五条</w:t>
      </w:r>
      <w:r>
        <w:rPr>
          <w:rFonts w:hint="eastAsia" w:ascii="仿宋_GB2312" w:hAnsi="仿宋"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对于严重侵害我公司利益的供应商，除按照供应商管理制度进行正常考核外，对于存在违法违规行为的供应商，应依法追究其法律责任，包括但不限于通过法律途径索赔、向相关监管机构举报等。</w:t>
      </w:r>
    </w:p>
    <w:p w14:paraId="06B21666">
      <w:pPr>
        <w:keepNext w:val="0"/>
        <w:keepLines w:val="0"/>
        <w:widowControl/>
        <w:suppressLineNumbers w:val="0"/>
        <w:autoSpaceDE w:val="0"/>
        <w:autoSpaceDN/>
        <w:adjustRightInd w:val="0"/>
        <w:snapToGrid w:val="0"/>
        <w:spacing w:before="0" w:beforeLines="0" w:beforeAutospacing="0" w:after="0" w:afterLines="0" w:afterAutospacing="0" w:line="600" w:lineRule="exact"/>
        <w:ind w:left="0" w:leftChars="0" w:right="210" w:rightChars="100"/>
        <w:jc w:val="center"/>
        <w:rPr>
          <w:rFonts w:hint="eastAsia" w:ascii="黑体" w:hAnsi="宋体" w:eastAsia="黑体" w:cs="仿宋"/>
          <w:b w:val="0"/>
          <w:bCs/>
          <w:kern w:val="2"/>
          <w:sz w:val="34"/>
          <w:szCs w:val="34"/>
        </w:rPr>
      </w:pPr>
      <w:r>
        <w:rPr>
          <w:rFonts w:hint="eastAsia" w:ascii="黑体" w:hAnsi="宋体" w:eastAsia="黑体" w:cs="黑体"/>
          <w:b w:val="0"/>
          <w:bCs/>
          <w:kern w:val="2"/>
          <w:sz w:val="34"/>
          <w:szCs w:val="34"/>
          <w:lang w:val="en-US" w:eastAsia="zh-CN" w:bidi="ar"/>
        </w:rPr>
        <w:t>第六章</w:t>
      </w:r>
      <w:r>
        <w:rPr>
          <w:rFonts w:hint="eastAsia" w:ascii="黑体" w:hAnsi="宋体" w:eastAsia="黑体" w:cs="仿宋"/>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附</w:t>
      </w:r>
      <w:r>
        <w:rPr>
          <w:rFonts w:hint="eastAsia" w:ascii="黑体" w:hAnsi="宋体" w:eastAsia="黑体" w:cs="仿宋"/>
          <w:b w:val="0"/>
          <w:bCs/>
          <w:kern w:val="2"/>
          <w:sz w:val="34"/>
          <w:szCs w:val="34"/>
          <w:lang w:val="en-US" w:eastAsia="zh-CN" w:bidi="ar"/>
        </w:rPr>
        <w:t xml:space="preserve"> </w:t>
      </w:r>
      <w:r>
        <w:rPr>
          <w:rFonts w:hint="eastAsia" w:ascii="黑体" w:hAnsi="宋体" w:eastAsia="黑体" w:cs="黑体"/>
          <w:b w:val="0"/>
          <w:bCs/>
          <w:kern w:val="2"/>
          <w:sz w:val="34"/>
          <w:szCs w:val="34"/>
          <w:lang w:val="en-US" w:eastAsia="zh-CN" w:bidi="ar"/>
        </w:rPr>
        <w:t>则</w:t>
      </w:r>
    </w:p>
    <w:p w14:paraId="71BBCA9F">
      <w:pPr>
        <w:keepNext w:val="0"/>
        <w:keepLines w:val="0"/>
        <w:widowControl/>
        <w:suppressLineNumbers w:val="0"/>
        <w:autoSpaceDE w:val="0"/>
        <w:autoSpaceDN/>
        <w:spacing w:before="0" w:beforeLines="0" w:beforeAutospacing="0" w:after="0" w:afterLines="0" w:afterAutospacing="0" w:line="600" w:lineRule="exact"/>
        <w:ind w:left="0" w:leftChars="0" w:right="0" w:firstLine="642"/>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第十六条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各部门、各单位应努力按照公开、公平、公正的原则，做好供应商负面清单的考核和管理工作。</w:t>
      </w:r>
    </w:p>
    <w:p w14:paraId="13729716">
      <w:pPr>
        <w:keepNext w:val="0"/>
        <w:keepLines w:val="0"/>
        <w:widowControl/>
        <w:suppressLineNumbers w:val="0"/>
        <w:autoSpaceDE w:val="0"/>
        <w:autoSpaceDN/>
        <w:spacing w:before="0" w:beforeLines="0" w:beforeAutospacing="0" w:after="0" w:afterLines="0" w:afterAutospacing="0" w:line="600" w:lineRule="exact"/>
        <w:ind w:left="0" w:leftChars="0" w:right="0" w:firstLine="642"/>
        <w:jc w:val="both"/>
        <w:rPr>
          <w:rFonts w:hint="eastAsia" w:ascii="仿宋_GB2312" w:hAnsi="仿宋"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第十七条</w:t>
      </w:r>
      <w:r>
        <w:rPr>
          <w:rFonts w:hint="eastAsia" w:ascii="仿宋_GB2312" w:hAnsi="楷体" w:eastAsia="仿宋_GB2312" w:cs="Times New Roman"/>
          <w:b/>
          <w:bCs w:val="0"/>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不同单位对同一供应商12个月内的考核扣分累计达到15分及以上的，由集团商务合作部将其列为暂停合作供应商。</w:t>
      </w:r>
    </w:p>
    <w:p w14:paraId="1CBE99BA">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683" w:firstLineChars="200"/>
        <w:jc w:val="left"/>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第十八条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自然人、废旧物资处置单位参照本制度进行管理。</w:t>
      </w:r>
    </w:p>
    <w:p w14:paraId="318FB4BA">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683" w:firstLineChars="200"/>
        <w:jc w:val="left"/>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第十九条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如某一实际控制人所控制的公司被列入负面清单，该实控人直接或间接控制的所有相关公司也视同列入负面清单。</w:t>
      </w:r>
    </w:p>
    <w:p w14:paraId="523BFE02">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683" w:firstLineChars="200"/>
        <w:jc w:val="left"/>
        <w:rPr>
          <w:rFonts w:hint="eastAsia" w:ascii="仿宋_GB2312" w:hAnsi="楷体" w:eastAsia="仿宋_GB2312" w:cs="Times New Roman"/>
          <w:b w:val="0"/>
          <w:bCs/>
          <w:kern w:val="2"/>
          <w:sz w:val="34"/>
          <w:szCs w:val="34"/>
        </w:rPr>
      </w:pPr>
      <w:r>
        <w:rPr>
          <w:rFonts w:hint="eastAsia" w:ascii="仿宋_GB2312" w:hAnsi="楷体" w:eastAsia="仿宋_GB2312" w:cs="仿宋_GB2312"/>
          <w:b/>
          <w:bCs w:val="0"/>
          <w:kern w:val="2"/>
          <w:sz w:val="34"/>
          <w:szCs w:val="34"/>
          <w:lang w:val="en-US" w:eastAsia="zh-CN" w:bidi="ar"/>
        </w:rPr>
        <w:t>第二十条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楷体" w:eastAsia="仿宋_GB2312" w:cs="仿宋_GB2312"/>
          <w:b w:val="0"/>
          <w:bCs/>
          <w:kern w:val="2"/>
          <w:sz w:val="34"/>
          <w:szCs w:val="34"/>
          <w:lang w:val="en-US" w:eastAsia="zh-CN" w:bidi="ar"/>
        </w:rPr>
        <w:t>集团公司开发供应商管理信息系统，实现扣分、清单更新、公示全流程线上化，并与采购系统联动拦截违规供应商。</w:t>
      </w:r>
    </w:p>
    <w:p w14:paraId="0C167FD1">
      <w:pPr>
        <w:keepNext w:val="0"/>
        <w:keepLines w:val="0"/>
        <w:widowControl/>
        <w:suppressLineNumbers w:val="0"/>
        <w:autoSpaceDE w:val="0"/>
        <w:autoSpaceDN/>
        <w:spacing w:before="0" w:beforeLines="0" w:beforeAutospacing="0" w:after="0" w:afterLines="0" w:afterAutospacing="0" w:line="600" w:lineRule="exact"/>
        <w:ind w:left="0" w:leftChars="0" w:right="0" w:rightChars="0" w:firstLine="0" w:firstLineChars="0"/>
        <w:jc w:val="left"/>
      </w:pPr>
      <w:r>
        <w:rPr>
          <w:rFonts w:hint="eastAsia" w:ascii="仿宋_GB2312" w:hAnsi="楷体" w:eastAsia="仿宋_GB2312" w:cs="仿宋_GB2312"/>
          <w:b w:val="0"/>
          <w:bCs/>
          <w:kern w:val="2"/>
          <w:sz w:val="34"/>
          <w:szCs w:val="34"/>
          <w:lang w:val="en-US" w:eastAsia="zh-CN" w:bidi="ar"/>
        </w:rPr>
        <w:t xml:space="preserve"> </w:t>
      </w:r>
      <w:r>
        <w:rPr>
          <w:rFonts w:hint="eastAsia" w:ascii="仿宋_GB2312" w:hAnsi="楷体" w:eastAsia="仿宋_GB2312" w:cs="仿宋_GB2312"/>
          <w:b/>
          <w:bCs w:val="0"/>
          <w:kern w:val="2"/>
          <w:sz w:val="34"/>
          <w:szCs w:val="34"/>
          <w:lang w:val="en-US" w:eastAsia="zh-CN" w:bidi="ar"/>
        </w:rPr>
        <w:t xml:space="preserve"> 第二十一条</w:t>
      </w:r>
      <w:r>
        <w:rPr>
          <w:rFonts w:hint="eastAsia" w:ascii="仿宋_GB2312" w:hAnsi="楷体" w:eastAsia="仿宋_GB2312" w:cs="Times New Roman"/>
          <w:b w:val="0"/>
          <w:bCs/>
          <w:kern w:val="2"/>
          <w:sz w:val="34"/>
          <w:szCs w:val="34"/>
          <w:lang w:val="en-US" w:eastAsia="zh-CN" w:bidi="ar"/>
        </w:rPr>
        <w:t xml:space="preserve"> </w:t>
      </w:r>
      <w:r>
        <w:rPr>
          <w:rFonts w:hint="eastAsia" w:ascii="仿宋_GB2312" w:hAnsi="仿宋" w:eastAsia="仿宋_GB2312" w:cs="仿宋_GB2312"/>
          <w:b w:val="0"/>
          <w:bCs/>
          <w:kern w:val="2"/>
          <w:sz w:val="34"/>
          <w:szCs w:val="34"/>
          <w:lang w:val="en-US" w:eastAsia="zh-CN" w:bidi="ar"/>
        </w:rPr>
        <w:t>本规定自颁发之日起生效，由集团商务合作部负责解释，</w:t>
      </w:r>
      <w:r>
        <w:rPr>
          <w:rFonts w:hint="eastAsia" w:ascii="仿宋_GB2312" w:hAnsi="宋体" w:eastAsia="仿宋_GB2312" w:cs="仿宋_GB2312"/>
          <w:b w:val="0"/>
          <w:bCs/>
          <w:kern w:val="0"/>
          <w:sz w:val="34"/>
          <w:szCs w:val="34"/>
          <w:lang w:val="en-US" w:eastAsia="zh-CN" w:bidi="ar"/>
        </w:rPr>
        <w:t>原《索普集团供应商负面清单管理规定（试行）》</w:t>
      </w:r>
      <w:r>
        <w:rPr>
          <w:rFonts w:hint="eastAsia" w:ascii="仿宋_GB2312" w:hAnsi="Times New Roman" w:eastAsia="仿宋_GB2312" w:cs="仿宋_GB2312"/>
          <w:b w:val="0"/>
          <w:bCs/>
          <w:kern w:val="2"/>
          <w:sz w:val="34"/>
          <w:szCs w:val="34"/>
          <w:lang w:val="en-US" w:eastAsia="zh-CN" w:bidi="ar"/>
        </w:rPr>
        <w:t>（苏索企字〔2023〕90号）同时废止。</w:t>
      </w:r>
    </w:p>
    <w:p w14:paraId="2B5F9635">
      <w:pPr>
        <w:widowControl/>
        <w:jc w:val="left"/>
        <w:rPr>
          <w:rFonts w:hint="eastAsia" w:ascii="黑体" w:hAnsi="黑体" w:eastAsia="黑体" w:cs="黑体"/>
          <w:b w:val="0"/>
          <w:bCs/>
          <w:color w:val="auto"/>
          <w:kern w:val="0"/>
          <w:sz w:val="34"/>
          <w:szCs w:val="34"/>
        </w:rPr>
      </w:pPr>
    </w:p>
    <w:p w14:paraId="3F98B379">
      <w:pPr>
        <w:widowControl/>
        <w:jc w:val="left"/>
        <w:rPr>
          <w:rFonts w:hint="eastAsia" w:ascii="黑体" w:hAnsi="黑体" w:eastAsia="黑体" w:cs="黑体"/>
          <w:b w:val="0"/>
          <w:bCs/>
          <w:color w:val="auto"/>
          <w:kern w:val="0"/>
          <w:sz w:val="34"/>
          <w:szCs w:val="34"/>
        </w:rPr>
      </w:pPr>
    </w:p>
    <w:p w14:paraId="386A2C40">
      <w:pPr>
        <w:widowControl/>
        <w:jc w:val="left"/>
        <w:rPr>
          <w:rFonts w:hint="eastAsia" w:ascii="黑体" w:hAnsi="黑体" w:eastAsia="黑体" w:cs="黑体"/>
          <w:b w:val="0"/>
          <w:bCs/>
          <w:color w:val="auto"/>
          <w:kern w:val="0"/>
          <w:sz w:val="34"/>
          <w:szCs w:val="34"/>
        </w:rPr>
      </w:pPr>
    </w:p>
    <w:p w14:paraId="4F643832">
      <w:pPr>
        <w:widowControl/>
        <w:jc w:val="left"/>
        <w:rPr>
          <w:rFonts w:hint="eastAsia" w:ascii="黑体" w:hAnsi="黑体" w:eastAsia="黑体" w:cs="黑体"/>
          <w:b w:val="0"/>
          <w:bCs/>
          <w:color w:val="auto"/>
          <w:kern w:val="0"/>
          <w:sz w:val="34"/>
          <w:szCs w:val="34"/>
        </w:rPr>
      </w:pPr>
    </w:p>
    <w:p w14:paraId="1F9015D4">
      <w:pPr>
        <w:widowControl/>
        <w:jc w:val="left"/>
        <w:rPr>
          <w:rFonts w:hint="eastAsia" w:ascii="黑体" w:hAnsi="黑体" w:eastAsia="黑体" w:cs="黑体"/>
          <w:b w:val="0"/>
          <w:bCs/>
          <w:color w:val="auto"/>
          <w:kern w:val="0"/>
          <w:sz w:val="34"/>
          <w:szCs w:val="34"/>
        </w:rPr>
      </w:pPr>
    </w:p>
    <w:p w14:paraId="6E1F6191">
      <w:pPr>
        <w:widowControl/>
        <w:jc w:val="left"/>
        <w:rPr>
          <w:rFonts w:hint="eastAsia" w:ascii="黑体" w:hAnsi="黑体" w:eastAsia="黑体" w:cs="黑体"/>
          <w:b w:val="0"/>
          <w:bCs/>
          <w:color w:val="auto"/>
          <w:kern w:val="0"/>
          <w:sz w:val="34"/>
          <w:szCs w:val="34"/>
        </w:rPr>
      </w:pPr>
    </w:p>
    <w:p w14:paraId="3A31029D">
      <w:pPr>
        <w:widowControl/>
        <w:jc w:val="left"/>
        <w:rPr>
          <w:rFonts w:hint="eastAsia" w:ascii="黑体" w:hAnsi="黑体" w:eastAsia="黑体" w:cs="黑体"/>
          <w:b w:val="0"/>
          <w:bCs/>
          <w:color w:val="auto"/>
          <w:kern w:val="0"/>
          <w:sz w:val="34"/>
          <w:szCs w:val="34"/>
        </w:rPr>
      </w:pPr>
    </w:p>
    <w:p w14:paraId="28DD0035">
      <w:pPr>
        <w:widowControl/>
        <w:jc w:val="left"/>
        <w:rPr>
          <w:rFonts w:hint="eastAsia" w:ascii="黑体" w:hAnsi="黑体" w:eastAsia="黑体" w:cs="黑体"/>
          <w:b w:val="0"/>
          <w:bCs/>
          <w:color w:val="auto"/>
          <w:kern w:val="0"/>
          <w:sz w:val="34"/>
          <w:szCs w:val="34"/>
        </w:rPr>
      </w:pPr>
    </w:p>
    <w:p w14:paraId="012F5358">
      <w:pPr>
        <w:widowControl/>
        <w:jc w:val="left"/>
        <w:rPr>
          <w:rFonts w:hint="eastAsia" w:ascii="黑体" w:hAnsi="黑体" w:eastAsia="黑体" w:cs="黑体"/>
          <w:b w:val="0"/>
          <w:bCs/>
          <w:color w:val="auto"/>
          <w:kern w:val="0"/>
          <w:sz w:val="34"/>
          <w:szCs w:val="34"/>
        </w:rPr>
      </w:pPr>
    </w:p>
    <w:p w14:paraId="07A8C918">
      <w:pPr>
        <w:widowControl/>
        <w:jc w:val="left"/>
        <w:rPr>
          <w:rFonts w:hint="eastAsia" w:ascii="黑体" w:hAnsi="黑体" w:eastAsia="黑体" w:cs="黑体"/>
          <w:b w:val="0"/>
          <w:bCs/>
          <w:color w:val="auto"/>
          <w:kern w:val="0"/>
          <w:sz w:val="34"/>
          <w:szCs w:val="34"/>
        </w:rPr>
      </w:pPr>
    </w:p>
    <w:p w14:paraId="6EB08AC0">
      <w:pPr>
        <w:widowControl/>
        <w:jc w:val="left"/>
        <w:rPr>
          <w:rFonts w:hint="eastAsia" w:ascii="黑体" w:hAnsi="黑体" w:eastAsia="黑体" w:cs="黑体"/>
          <w:b w:val="0"/>
          <w:bCs/>
          <w:color w:val="auto"/>
          <w:kern w:val="0"/>
          <w:sz w:val="34"/>
          <w:szCs w:val="34"/>
        </w:rPr>
      </w:pPr>
    </w:p>
    <w:p w14:paraId="69BB8530">
      <w:pPr>
        <w:widowControl/>
        <w:jc w:val="left"/>
        <w:rPr>
          <w:rFonts w:hint="eastAsia" w:ascii="黑体" w:hAnsi="黑体" w:eastAsia="黑体" w:cs="黑体"/>
          <w:b w:val="0"/>
          <w:bCs/>
          <w:color w:val="auto"/>
          <w:kern w:val="0"/>
          <w:sz w:val="34"/>
          <w:szCs w:val="34"/>
        </w:rPr>
      </w:pPr>
    </w:p>
    <w:p w14:paraId="30FBCE38">
      <w:pPr>
        <w:widowControl/>
        <w:jc w:val="left"/>
        <w:rPr>
          <w:rFonts w:hint="eastAsia" w:ascii="黑体" w:hAnsi="黑体" w:eastAsia="黑体" w:cs="黑体"/>
          <w:b w:val="0"/>
          <w:bCs/>
          <w:color w:val="auto"/>
          <w:kern w:val="0"/>
          <w:sz w:val="34"/>
          <w:szCs w:val="34"/>
        </w:rPr>
      </w:pPr>
    </w:p>
    <w:p w14:paraId="01FFE7C2">
      <w:pPr>
        <w:widowControl/>
        <w:jc w:val="left"/>
        <w:rPr>
          <w:rFonts w:hint="eastAsia" w:ascii="黑体" w:hAnsi="黑体" w:eastAsia="黑体" w:cs="黑体"/>
          <w:b w:val="0"/>
          <w:bCs/>
          <w:color w:val="auto"/>
          <w:kern w:val="0"/>
          <w:sz w:val="34"/>
          <w:szCs w:val="34"/>
        </w:rPr>
      </w:pPr>
    </w:p>
    <w:p w14:paraId="596FF5E0">
      <w:pPr>
        <w:spacing w:line="360" w:lineRule="auto"/>
        <w:jc w:val="left"/>
        <w:rPr>
          <w:rFonts w:hint="eastAsia" w:ascii="仿宋_GB2312" w:eastAsia="仿宋_GB2312" w:cs="‹ÎSå"/>
          <w:bCs/>
          <w:kern w:val="1"/>
          <w:sz w:val="24"/>
        </w:rPr>
      </w:pPr>
    </w:p>
    <w:p w14:paraId="317AFF36"/>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0487">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0F56">
    <w:pPr>
      <w:pStyle w:val="6"/>
      <w:framePr w:wrap="around" w:vAnchor="text" w:hAnchor="margin" w:xAlign="right" w:y="1"/>
      <w:rPr>
        <w:rStyle w:val="11"/>
      </w:rPr>
    </w:pPr>
    <w:r>
      <w:fldChar w:fldCharType="begin"/>
    </w:r>
    <w:r>
      <w:rPr>
        <w:rStyle w:val="11"/>
      </w:rPr>
      <w:instrText xml:space="preserve">PAGE  </w:instrText>
    </w:r>
    <w:r>
      <w:fldChar w:fldCharType="end"/>
    </w:r>
  </w:p>
  <w:p w14:paraId="4E284227">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16D5">
    <w:pPr>
      <w:pStyle w:val="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C7951"/>
    <w:rsid w:val="0006115B"/>
    <w:rsid w:val="007C6275"/>
    <w:rsid w:val="00962CAF"/>
    <w:rsid w:val="00BD299F"/>
    <w:rsid w:val="011A6E4B"/>
    <w:rsid w:val="014C1306"/>
    <w:rsid w:val="01D623C4"/>
    <w:rsid w:val="01E11849"/>
    <w:rsid w:val="0224711C"/>
    <w:rsid w:val="027A38B4"/>
    <w:rsid w:val="02AD3A22"/>
    <w:rsid w:val="02AD3CB9"/>
    <w:rsid w:val="031F70E8"/>
    <w:rsid w:val="0397373C"/>
    <w:rsid w:val="039C0A84"/>
    <w:rsid w:val="03E4497B"/>
    <w:rsid w:val="04164CFE"/>
    <w:rsid w:val="04584D46"/>
    <w:rsid w:val="04802720"/>
    <w:rsid w:val="052D3CA4"/>
    <w:rsid w:val="067A2389"/>
    <w:rsid w:val="07653406"/>
    <w:rsid w:val="08D82C31"/>
    <w:rsid w:val="0AF31F04"/>
    <w:rsid w:val="0B470F1F"/>
    <w:rsid w:val="0BA028ED"/>
    <w:rsid w:val="0BE60C49"/>
    <w:rsid w:val="0BE7716A"/>
    <w:rsid w:val="0C4D460F"/>
    <w:rsid w:val="0CF53EA6"/>
    <w:rsid w:val="0D94647C"/>
    <w:rsid w:val="0DD71FE7"/>
    <w:rsid w:val="0E2D7096"/>
    <w:rsid w:val="0E663F01"/>
    <w:rsid w:val="0E9D267D"/>
    <w:rsid w:val="0F9E6FF3"/>
    <w:rsid w:val="0FFB014E"/>
    <w:rsid w:val="1072014C"/>
    <w:rsid w:val="10861A54"/>
    <w:rsid w:val="10BF4133"/>
    <w:rsid w:val="11AA45E0"/>
    <w:rsid w:val="11D12332"/>
    <w:rsid w:val="12012194"/>
    <w:rsid w:val="12B719FE"/>
    <w:rsid w:val="12F72B59"/>
    <w:rsid w:val="13347F14"/>
    <w:rsid w:val="137B4198"/>
    <w:rsid w:val="13D44659"/>
    <w:rsid w:val="145A2699"/>
    <w:rsid w:val="153F082A"/>
    <w:rsid w:val="15862AC0"/>
    <w:rsid w:val="15982953"/>
    <w:rsid w:val="15CF61E1"/>
    <w:rsid w:val="16224F3D"/>
    <w:rsid w:val="17414175"/>
    <w:rsid w:val="176C0A35"/>
    <w:rsid w:val="179A5796"/>
    <w:rsid w:val="17CE03F6"/>
    <w:rsid w:val="18175E98"/>
    <w:rsid w:val="186E4053"/>
    <w:rsid w:val="18DB4933"/>
    <w:rsid w:val="196D556A"/>
    <w:rsid w:val="1A1179B9"/>
    <w:rsid w:val="1B07323F"/>
    <w:rsid w:val="1B9C608A"/>
    <w:rsid w:val="1C1B27A2"/>
    <w:rsid w:val="1D087C96"/>
    <w:rsid w:val="1D923527"/>
    <w:rsid w:val="1DF0733C"/>
    <w:rsid w:val="1DF373C7"/>
    <w:rsid w:val="1F0F116F"/>
    <w:rsid w:val="1F1C0F54"/>
    <w:rsid w:val="1FBD36DB"/>
    <w:rsid w:val="20211DCF"/>
    <w:rsid w:val="210D1D9E"/>
    <w:rsid w:val="21112CCB"/>
    <w:rsid w:val="21564EBA"/>
    <w:rsid w:val="218E69E0"/>
    <w:rsid w:val="21BE33CC"/>
    <w:rsid w:val="21D909FA"/>
    <w:rsid w:val="221534AF"/>
    <w:rsid w:val="22B433A4"/>
    <w:rsid w:val="22B93D79"/>
    <w:rsid w:val="23750BFF"/>
    <w:rsid w:val="239B4880"/>
    <w:rsid w:val="23FF73C0"/>
    <w:rsid w:val="249B693B"/>
    <w:rsid w:val="24A22CA7"/>
    <w:rsid w:val="24DF4501"/>
    <w:rsid w:val="27434C5C"/>
    <w:rsid w:val="288415BE"/>
    <w:rsid w:val="28C82585"/>
    <w:rsid w:val="298E37B8"/>
    <w:rsid w:val="2A401ED7"/>
    <w:rsid w:val="2A7953E6"/>
    <w:rsid w:val="2C364DA8"/>
    <w:rsid w:val="2D1E508F"/>
    <w:rsid w:val="2D986F8D"/>
    <w:rsid w:val="2DDC61C7"/>
    <w:rsid w:val="2E357A49"/>
    <w:rsid w:val="2E392BD7"/>
    <w:rsid w:val="2E3C3791"/>
    <w:rsid w:val="2E632643"/>
    <w:rsid w:val="2E754EEF"/>
    <w:rsid w:val="2F17705C"/>
    <w:rsid w:val="2FF962F5"/>
    <w:rsid w:val="317E449D"/>
    <w:rsid w:val="324B6316"/>
    <w:rsid w:val="332A199C"/>
    <w:rsid w:val="33A004C9"/>
    <w:rsid w:val="33E21F94"/>
    <w:rsid w:val="34D60157"/>
    <w:rsid w:val="34F955D6"/>
    <w:rsid w:val="35242BB9"/>
    <w:rsid w:val="356C70D4"/>
    <w:rsid w:val="36117F4C"/>
    <w:rsid w:val="36A5324E"/>
    <w:rsid w:val="36C92E30"/>
    <w:rsid w:val="36F87E3A"/>
    <w:rsid w:val="37230D25"/>
    <w:rsid w:val="37297F3F"/>
    <w:rsid w:val="37573455"/>
    <w:rsid w:val="383421C7"/>
    <w:rsid w:val="389D64AA"/>
    <w:rsid w:val="395610D9"/>
    <w:rsid w:val="395851B2"/>
    <w:rsid w:val="39B05D07"/>
    <w:rsid w:val="39D125D1"/>
    <w:rsid w:val="3A912CB0"/>
    <w:rsid w:val="3AE95DA1"/>
    <w:rsid w:val="3B2E0298"/>
    <w:rsid w:val="3CD84F88"/>
    <w:rsid w:val="3D843E76"/>
    <w:rsid w:val="3D855A40"/>
    <w:rsid w:val="3DBB325E"/>
    <w:rsid w:val="3EE65646"/>
    <w:rsid w:val="3FB36422"/>
    <w:rsid w:val="3FB71CAE"/>
    <w:rsid w:val="401E7666"/>
    <w:rsid w:val="405A491A"/>
    <w:rsid w:val="4092680B"/>
    <w:rsid w:val="412A32BC"/>
    <w:rsid w:val="416679E6"/>
    <w:rsid w:val="41CF7A91"/>
    <w:rsid w:val="42155E3A"/>
    <w:rsid w:val="42452939"/>
    <w:rsid w:val="4249363D"/>
    <w:rsid w:val="42B70C91"/>
    <w:rsid w:val="42F005C7"/>
    <w:rsid w:val="43392493"/>
    <w:rsid w:val="441E4D3A"/>
    <w:rsid w:val="45260ECE"/>
    <w:rsid w:val="452C67F3"/>
    <w:rsid w:val="45E60CF2"/>
    <w:rsid w:val="46BA72C5"/>
    <w:rsid w:val="46DC3073"/>
    <w:rsid w:val="47812258"/>
    <w:rsid w:val="47D20936"/>
    <w:rsid w:val="484D2F44"/>
    <w:rsid w:val="48A347F3"/>
    <w:rsid w:val="497C7951"/>
    <w:rsid w:val="49A40B61"/>
    <w:rsid w:val="49D95672"/>
    <w:rsid w:val="4AAD19C1"/>
    <w:rsid w:val="4B965397"/>
    <w:rsid w:val="4BAB636C"/>
    <w:rsid w:val="4CE51E15"/>
    <w:rsid w:val="4D3D12FA"/>
    <w:rsid w:val="4D443BF9"/>
    <w:rsid w:val="4FD15301"/>
    <w:rsid w:val="50317F66"/>
    <w:rsid w:val="514409A7"/>
    <w:rsid w:val="515767A3"/>
    <w:rsid w:val="52C42EE3"/>
    <w:rsid w:val="52D64C79"/>
    <w:rsid w:val="534134E9"/>
    <w:rsid w:val="53D82C23"/>
    <w:rsid w:val="54616E82"/>
    <w:rsid w:val="5483392B"/>
    <w:rsid w:val="55B61317"/>
    <w:rsid w:val="57A04866"/>
    <w:rsid w:val="57F15888"/>
    <w:rsid w:val="5897353B"/>
    <w:rsid w:val="58BA1AE9"/>
    <w:rsid w:val="58D04E53"/>
    <w:rsid w:val="58D56DA2"/>
    <w:rsid w:val="59C56056"/>
    <w:rsid w:val="5A4D7677"/>
    <w:rsid w:val="5AF308FE"/>
    <w:rsid w:val="5B1042D2"/>
    <w:rsid w:val="5C2F2AAA"/>
    <w:rsid w:val="5C405AC3"/>
    <w:rsid w:val="5C533158"/>
    <w:rsid w:val="5CD33FC0"/>
    <w:rsid w:val="5E8955AF"/>
    <w:rsid w:val="5EA41F96"/>
    <w:rsid w:val="5ED5528D"/>
    <w:rsid w:val="5F395A58"/>
    <w:rsid w:val="5FBA24EE"/>
    <w:rsid w:val="5FE20019"/>
    <w:rsid w:val="5FEF3EBA"/>
    <w:rsid w:val="60EE278F"/>
    <w:rsid w:val="61407403"/>
    <w:rsid w:val="61642EAE"/>
    <w:rsid w:val="61B21A80"/>
    <w:rsid w:val="62395435"/>
    <w:rsid w:val="63155421"/>
    <w:rsid w:val="631A298D"/>
    <w:rsid w:val="6393113D"/>
    <w:rsid w:val="63A41167"/>
    <w:rsid w:val="646D1DA7"/>
    <w:rsid w:val="64893C60"/>
    <w:rsid w:val="64AF5208"/>
    <w:rsid w:val="64BE33D4"/>
    <w:rsid w:val="64C63539"/>
    <w:rsid w:val="65406C2A"/>
    <w:rsid w:val="65A652A9"/>
    <w:rsid w:val="65FF744F"/>
    <w:rsid w:val="660F5B8E"/>
    <w:rsid w:val="67E0660F"/>
    <w:rsid w:val="687935B6"/>
    <w:rsid w:val="687E5A69"/>
    <w:rsid w:val="68F76B9E"/>
    <w:rsid w:val="68FB2708"/>
    <w:rsid w:val="69613755"/>
    <w:rsid w:val="696E33BE"/>
    <w:rsid w:val="69A82570"/>
    <w:rsid w:val="6A5524E4"/>
    <w:rsid w:val="6B0F7C61"/>
    <w:rsid w:val="6B9938FD"/>
    <w:rsid w:val="6C411DBB"/>
    <w:rsid w:val="6C4E5180"/>
    <w:rsid w:val="6CAE2657"/>
    <w:rsid w:val="6D580C50"/>
    <w:rsid w:val="6D5A36E2"/>
    <w:rsid w:val="6D755F34"/>
    <w:rsid w:val="6D95288D"/>
    <w:rsid w:val="6EEC3FEF"/>
    <w:rsid w:val="6F232EDD"/>
    <w:rsid w:val="6F85130B"/>
    <w:rsid w:val="71053EC4"/>
    <w:rsid w:val="718D1674"/>
    <w:rsid w:val="72150843"/>
    <w:rsid w:val="726100E9"/>
    <w:rsid w:val="733A46DB"/>
    <w:rsid w:val="73B33DF3"/>
    <w:rsid w:val="73EA2C84"/>
    <w:rsid w:val="74383382"/>
    <w:rsid w:val="74B55BE1"/>
    <w:rsid w:val="74BF7FC1"/>
    <w:rsid w:val="74DD35D8"/>
    <w:rsid w:val="75D41ACC"/>
    <w:rsid w:val="76D61391"/>
    <w:rsid w:val="76FE6B09"/>
    <w:rsid w:val="773C0EA8"/>
    <w:rsid w:val="79C43FFD"/>
    <w:rsid w:val="7B925832"/>
    <w:rsid w:val="7B981BE1"/>
    <w:rsid w:val="7BD22BD7"/>
    <w:rsid w:val="7D2106C8"/>
    <w:rsid w:val="7D4C4896"/>
    <w:rsid w:val="7D4E43A1"/>
    <w:rsid w:val="7D9D08D8"/>
    <w:rsid w:val="7DF122CE"/>
    <w:rsid w:val="7E05125D"/>
    <w:rsid w:val="7E9F468C"/>
    <w:rsid w:val="7EEA1CE9"/>
    <w:rsid w:val="7FC83A77"/>
    <w:rsid w:val="7FE7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5400</Words>
  <Characters>5617</Characters>
  <Lines>0</Lines>
  <Paragraphs>0</Paragraphs>
  <TotalTime>11</TotalTime>
  <ScaleCrop>false</ScaleCrop>
  <LinksUpToDate>false</LinksUpToDate>
  <CharactersWithSpaces>5978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2026-04-30T05:49:00Z</dcterms:created>
  <dc:creator>贾瑞玲</dc:creator>
  <cp:lastModifiedBy>贾瑞玲</cp:lastModifiedBy>
  <dcterms:modified xsi:type="dcterms:W3CDTF">2026-06-24T01:42:46Z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DCF340896A154CC2A69F402B0C432BDA_13</vt:lpwstr>
  </property>
  <property fmtid="{D5CDD505-2E9C-101B-9397-08002B2CF9AE}" pid="4" name="KSOTemplateDocerSaveRecord">
    <vt:lpwstr>eyJoZGlkIjoiYTU3YWMzOTExNzg5ODYwNTAyOGViMDI0MWYzZjU3NzAiLCJ1c2VySWQiOiIzMjM1Mjg2MDgifQ==</vt:lpwstr>
  </property>
</Properties>
</file>