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  <w:rPr>
          <w:color w:val="auto"/>
        </w:rPr>
      </w:pPr>
      <w:r>
        <w:rPr>
          <w:color w:val="auto"/>
        </w:rP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一、项目概况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1.</w:t>
      </w:r>
      <w:r>
        <w:rPr>
          <w:b/>
          <w:color w:val="auto"/>
        </w:rPr>
        <w:t>项目名称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绿色甲醇</w:t>
      </w:r>
      <w:r>
        <w:rPr>
          <w:rFonts w:hint="eastAsia"/>
          <w:color w:val="auto"/>
        </w:rPr>
        <w:t>认证</w:t>
      </w:r>
      <w:r>
        <w:rPr>
          <w:rFonts w:hint="eastAsia"/>
          <w:color w:val="auto"/>
          <w:lang w:val="en-US" w:eastAsia="zh-CN"/>
        </w:rPr>
        <w:t>服务</w:t>
      </w:r>
    </w:p>
    <w:p w14:paraId="2B555F9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eastAsia="宋体"/>
          <w:color w:val="auto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2.</w:t>
      </w:r>
      <w:r>
        <w:rPr>
          <w:b/>
          <w:color w:val="auto"/>
        </w:rPr>
        <w:t>采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购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：江苏索普化工股份有限公司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3.</w:t>
      </w:r>
      <w:r>
        <w:rPr>
          <w:rFonts w:hint="eastAsia"/>
          <w:b/>
          <w:bCs/>
          <w:color w:val="auto"/>
          <w:lang w:val="en-US" w:eastAsia="zh-CN"/>
        </w:rPr>
        <w:t>报价截止与评审时间</w:t>
      </w:r>
      <w:r>
        <w:rPr>
          <w:rFonts w:hint="eastAsia"/>
          <w:color w:val="auto"/>
          <w:lang w:val="en-US" w:eastAsia="zh-CN"/>
        </w:rPr>
        <w:t>：2026年7月15日14:00（北京时间）</w:t>
      </w:r>
    </w:p>
    <w:p w14:paraId="696D82A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4.</w:t>
      </w:r>
      <w:r>
        <w:rPr>
          <w:rFonts w:hint="eastAsia"/>
          <w:b/>
          <w:bCs/>
          <w:color w:val="auto"/>
          <w:lang w:val="en-US" w:eastAsia="zh-CN"/>
        </w:rPr>
        <w:t>评审地点</w:t>
      </w:r>
      <w:r>
        <w:rPr>
          <w:rFonts w:hint="eastAsia"/>
          <w:color w:val="auto"/>
          <w:lang w:val="en-US" w:eastAsia="zh-CN"/>
        </w:rPr>
        <w:t>：江苏索普（集团）有限公司评审中心</w:t>
      </w:r>
    </w:p>
    <w:p w14:paraId="57A490E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5.</w:t>
      </w:r>
      <w:r>
        <w:rPr>
          <w:rFonts w:hint="eastAsia"/>
          <w:b/>
          <w:color w:val="auto"/>
          <w:lang w:val="en-US" w:eastAsia="zh-CN"/>
        </w:rPr>
        <w:t>公示</w:t>
      </w:r>
      <w:r>
        <w:rPr>
          <w:b/>
          <w:color w:val="auto"/>
        </w:rPr>
        <w:t>查询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ww</w:t>
      </w:r>
      <w:r>
        <w:rPr>
          <w:color w:val="auto"/>
        </w:rPr>
        <w:t>w.sopo.com.cn</w:t>
      </w:r>
    </w:p>
    <w:p w14:paraId="7682109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二、采购</w:t>
      </w:r>
      <w:r>
        <w:rPr>
          <w:rFonts w:hint="eastAsia"/>
          <w:color w:val="auto"/>
          <w:lang w:val="en-US" w:eastAsia="zh-CN"/>
        </w:rPr>
        <w:t>服务</w:t>
      </w:r>
      <w:r>
        <w:rPr>
          <w:color w:val="auto"/>
        </w:rPr>
        <w:t>内容及要求</w:t>
      </w:r>
    </w:p>
    <w:p w14:paraId="15B938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（一）采购项目内容及范围    </w:t>
      </w:r>
    </w:p>
    <w:p w14:paraId="68E165B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本项目的采购内容包含了ISCC认证，包括但不限于：</w:t>
      </w:r>
    </w:p>
    <w:p w14:paraId="3337E59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1.江苏索普化工股份有限公司绿色甲醇生产的认证；</w:t>
      </w:r>
    </w:p>
    <w:p w14:paraId="43D7E0E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.服务期：合同签订日起—取证—</w:t>
      </w:r>
      <w:r>
        <w:rPr>
          <w:rFonts w:hint="eastAsia" w:cs="Times New Roman"/>
          <w:color w:val="auto"/>
          <w:lang w:val="en-US" w:eastAsia="zh-CN"/>
        </w:rPr>
        <w:t>半年监督审核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。</w:t>
      </w:r>
    </w:p>
    <w:p w14:paraId="2C0077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.服务地点：</w:t>
      </w:r>
      <w:r>
        <w:rPr>
          <w:rFonts w:hint="eastAsia" w:cs="Times New Roman"/>
          <w:color w:val="auto"/>
          <w:lang w:val="en-US" w:eastAsia="zh-CN"/>
        </w:rPr>
        <w:t>江苏镇江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。</w:t>
      </w:r>
    </w:p>
    <w:p w14:paraId="4EB6064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4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.质量要求或服务标准：满足ISCC中的标准及要求。</w:t>
      </w:r>
    </w:p>
    <w:p w14:paraId="189070C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default" w:ascii="Times New Roman" w:hAnsi="Times New Roman" w:cs="Times New Roman"/>
          <w:b/>
          <w:bCs/>
          <w:color w:val="auto"/>
          <w:lang w:val="en-US" w:eastAsia="zh-CN"/>
        </w:rPr>
      </w:pPr>
      <w:r>
        <w:rPr>
          <w:rFonts w:hint="eastAsia" w:cs="Times New Roman"/>
          <w:b/>
          <w:bCs/>
          <w:color w:val="auto"/>
          <w:lang w:val="en-US" w:eastAsia="zh-CN"/>
        </w:rPr>
        <w:t>注：鉴于该项目在</w:t>
      </w: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ISCC</w:t>
      </w:r>
      <w:r>
        <w:rPr>
          <w:rFonts w:hint="eastAsia" w:cs="Times New Roman"/>
          <w:b/>
          <w:bCs/>
          <w:color w:val="auto"/>
          <w:lang w:val="en-US" w:eastAsia="zh-CN"/>
        </w:rPr>
        <w:t>属于首次，需试点审核，报价人应先与采购人了解情况后再报价。</w:t>
      </w:r>
    </w:p>
    <w:p w14:paraId="3C06393A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 w:eastAsia="宋体"/>
          <w:color w:val="auto"/>
          <w:lang w:val="en-US" w:eastAsia="zh-CN"/>
        </w:rPr>
        <w:t>三、报价</w:t>
      </w:r>
      <w:r>
        <w:rPr>
          <w:color w:val="auto"/>
        </w:rPr>
        <w:t>资质</w:t>
      </w:r>
      <w:r>
        <w:rPr>
          <w:rFonts w:hint="eastAsia" w:eastAsia="宋体"/>
          <w:color w:val="auto"/>
          <w:lang w:val="en-US" w:eastAsia="zh-CN"/>
        </w:rPr>
        <w:t>要求</w:t>
      </w:r>
    </w:p>
    <w:p w14:paraId="19503D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（一）报价人必须具有合法的在有效期内的营业执照（提供营业执照复印件并加盖报价人单位公章）；营业执照范围需包含</w:t>
      </w:r>
      <w:r>
        <w:rPr>
          <w:rFonts w:hint="eastAsia" w:cs="Times New Roman"/>
          <w:color w:val="auto"/>
          <w:lang w:val="en-US" w:eastAsia="zh-CN"/>
        </w:rPr>
        <w:t>认证服务等</w:t>
      </w:r>
      <w:r>
        <w:rPr>
          <w:rFonts w:hint="eastAsia"/>
          <w:color w:val="auto"/>
          <w:lang w:val="en-US" w:eastAsia="zh-CN"/>
        </w:rPr>
        <w:t>相关资格。</w:t>
      </w:r>
    </w:p>
    <w:p w14:paraId="3A1EDB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（二）报价人近3年内无重大违法违规记录，未被列入失信被执行人、重大税收违法失信主体及严重违法失信企业名单。（需提供近期信用查询截图）</w:t>
      </w:r>
    </w:p>
    <w:p w14:paraId="73E2F6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（三）其他资质要求：</w:t>
      </w:r>
    </w:p>
    <w:p w14:paraId="5EC48B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1．报价人须提供2022年以来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ISCC</w:t>
      </w:r>
      <w:r>
        <w:rPr>
          <w:rFonts w:hint="eastAsia" w:cs="Times New Roman"/>
          <w:color w:val="auto"/>
          <w:lang w:val="en-US" w:eastAsia="zh-CN"/>
        </w:rPr>
        <w:t>审核</w:t>
      </w:r>
      <w:r>
        <w:rPr>
          <w:rFonts w:hint="eastAsia"/>
          <w:color w:val="auto"/>
          <w:lang w:val="en-US" w:eastAsia="zh-CN"/>
        </w:rPr>
        <w:t>认证通过企业的业绩不少于1个以及对应佐证材料。</w:t>
      </w:r>
    </w:p>
    <w:p w14:paraId="6F8BBD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2.项目团队要求</w:t>
      </w:r>
    </w:p>
    <w:p w14:paraId="3C22759B">
      <w:pPr>
        <w:widowControl/>
        <w:numPr>
          <w:ilvl w:val="0"/>
          <w:numId w:val="0"/>
        </w:numPr>
        <w:spacing w:line="360" w:lineRule="auto"/>
        <w:ind w:firstLine="420" w:firstLineChars="200"/>
        <w:rPr>
          <w:rFonts w:hint="default" w:eastAsia="宋体" w:cs="方正仿宋简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方正仿宋简体"/>
          <w:color w:val="auto"/>
          <w:sz w:val="21"/>
          <w:szCs w:val="21"/>
          <w:highlight w:val="none"/>
          <w:lang w:val="en-US"/>
        </w:rPr>
        <w:t>（1）</w:t>
      </w:r>
      <w:r>
        <w:rPr>
          <w:rFonts w:hint="eastAsia" w:cs="方正仿宋简体"/>
          <w:color w:val="auto"/>
          <w:sz w:val="21"/>
          <w:szCs w:val="21"/>
          <w:highlight w:val="none"/>
          <w:lang w:val="en-US" w:eastAsia="zh-CN"/>
        </w:rPr>
        <w:t>提供人员清单，并提供人员与本项目相关的学历证明、资质证书、服务业绩。</w:t>
      </w:r>
      <w:r>
        <w:rPr>
          <w:rFonts w:asciiTheme="minorEastAsia" w:hAnsiTheme="minorEastAsia" w:eastAsiaTheme="minorEastAsia"/>
          <w:color w:val="auto"/>
          <w:spacing w:val="-3"/>
          <w:sz w:val="21"/>
          <w:szCs w:val="21"/>
          <w:highlight w:val="none"/>
        </w:rPr>
        <w:t>应依法设立且具备承担本采购项目的资质条件、能力和信誉：</w:t>
      </w:r>
    </w:p>
    <w:p w14:paraId="5E8E55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2）本项目公开采购环节审定通过的项目组人员名单，须与项目实际执行团队完全一致，未经采购方书面同意，报价人不得擅自更换任何项目成员；所有项目组成员必须为报价人的正式在职员工，报价文件中须一并提供2026年1月至2026年5月的社保缴纳证明材料，作为人员归属的有效佐证。若确需更换，替换人员资质不得低于原人员，且需经采购方书面同意。</w:t>
      </w:r>
    </w:p>
    <w:p w14:paraId="62E4E45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cs="方正仿宋简体"/>
          <w:color w:val="auto"/>
          <w:kern w:val="2"/>
          <w:sz w:val="21"/>
          <w:szCs w:val="21"/>
          <w:highlight w:val="none"/>
          <w:lang w:val="en-US" w:eastAsia="zh-CN"/>
        </w:rPr>
        <w:t>3.供应商应有CNCA认证资质（提供相关证明）。</w:t>
      </w:r>
    </w:p>
    <w:p w14:paraId="722A7ED3">
      <w:pPr>
        <w:widowControl/>
        <w:numPr>
          <w:ilvl w:val="0"/>
          <w:numId w:val="0"/>
        </w:numPr>
        <w:spacing w:line="360" w:lineRule="auto"/>
        <w:ind w:firstLine="420" w:firstLineChars="200"/>
        <w:rPr>
          <w:rFonts w:hint="eastAsia" w:cs="方正仿宋简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方正仿宋简体"/>
          <w:color w:val="auto"/>
          <w:sz w:val="21"/>
          <w:szCs w:val="21"/>
          <w:highlight w:val="none"/>
          <w:lang w:val="en-US" w:eastAsia="zh-CN"/>
        </w:rPr>
        <w:t>4.供应商承诺认证服务遵循ISCC官网发布的相关体系相关的最新版文件。</w:t>
      </w:r>
    </w:p>
    <w:p w14:paraId="7977E550">
      <w:pPr>
        <w:pStyle w:val="7"/>
        <w:ind w:firstLine="210" w:firstLineChars="1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（四）不接受被列入失信被执行人、重大违法案件当事人报价。</w:t>
      </w:r>
    </w:p>
    <w:p w14:paraId="056745CE">
      <w:pPr>
        <w:pStyle w:val="7"/>
        <w:ind w:firstLine="210" w:firstLineChars="1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（五）报价人所提供服务引起的知识产权方面的纠纷，由报价人承担一切后果，采购人不承担任何责任。</w:t>
      </w:r>
    </w:p>
    <w:p w14:paraId="0C4EDDFE">
      <w:pPr>
        <w:pStyle w:val="7"/>
        <w:ind w:firstLine="210" w:firstLineChars="1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（六）本项目不允许任何形式的分包。</w:t>
      </w:r>
    </w:p>
    <w:p w14:paraId="61078CBC">
      <w:pPr>
        <w:pStyle w:val="7"/>
        <w:ind w:firstLine="210" w:firstLineChars="1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（七）本项目不接受联合体报价。</w:t>
      </w:r>
    </w:p>
    <w:p w14:paraId="7E91D10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 w:ascii="Times New Roman" w:hAnsi="Times New Roman" w:eastAsia="‹ÎSå" w:cs="Times New Roman"/>
          <w:b/>
          <w:color w:val="auto"/>
          <w:sz w:val="32"/>
          <w:szCs w:val="32"/>
          <w:lang w:val="en-US" w:eastAsia="zh-CN" w:bidi="ar-SA"/>
        </w:rPr>
        <w:t>四、</w:t>
      </w:r>
      <w:r>
        <w:rPr>
          <w:color w:val="auto"/>
        </w:rPr>
        <w:t>报价要求</w:t>
      </w:r>
    </w:p>
    <w:p w14:paraId="7466212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（一）报价方式</w:t>
      </w:r>
    </w:p>
    <w:p w14:paraId="7FE3353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1.报价为含增值税价。如国家税率调整，按合同含税价格/（1+合同约定税率）*（1+国家规定的新税率）调整合同价格开具发票；</w:t>
      </w:r>
    </w:p>
    <w:p w14:paraId="62D57275">
      <w:pPr>
        <w:pStyle w:val="14"/>
        <w:rPr>
          <w:rFonts w:hint="eastAsia" w:eastAsia="宋体" w:cs="Times New Roman"/>
          <w:b/>
          <w:bCs/>
          <w:color w:val="auto"/>
          <w:sz w:val="21"/>
          <w:szCs w:val="24"/>
          <w:lang w:val="en-US" w:eastAsia="zh-CN" w:bidi="ar-SA"/>
        </w:rPr>
      </w:pPr>
      <w:r>
        <w:rPr>
          <w:rFonts w:hint="eastAsia" w:cs="Times New Roman"/>
          <w:b w:val="0"/>
          <w:color w:val="auto"/>
          <w:sz w:val="21"/>
          <w:szCs w:val="24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.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本项目报价格式自拟。报价人提供绿色甲醇产品审核认证费报价表，报价表需清晰罗列各项支出，包括半年的监督审核相关费用明细，若存在其他费用，可根据实际情况补充列入清单。</w:t>
      </w:r>
      <w:r>
        <w:rPr>
          <w:rFonts w:hint="eastAsia" w:eastAsia="宋体" w:cs="Times New Roman"/>
          <w:b/>
          <w:bCs/>
          <w:color w:val="auto"/>
          <w:sz w:val="21"/>
          <w:szCs w:val="24"/>
          <w:lang w:val="en-US" w:eastAsia="zh-CN" w:bidi="ar-SA"/>
        </w:rPr>
        <w:t>报价应包含本次认证所有费用，如有遗漏，不予增补。</w:t>
      </w:r>
    </w:p>
    <w:p w14:paraId="6E64C763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（二）付款方式</w:t>
      </w:r>
    </w:p>
    <w:p w14:paraId="050D75B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default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1.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采购人收到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开具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的相应增值税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专用发票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（不包含半年的监督审核相关费用），30天内安排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支付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相关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费用，收到款后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报价人应在14天内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安排审核时间。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首次认证通过后，在半年监督审核前，报价人开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具半年监督审核费用相关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增值税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专用发票，采购人在30天内安排支付相关费用，收到款后报价人应按照ISCC审核要求安排审核时间。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（注：上述费用是总打包费用，不接受按实际结算）</w:t>
      </w:r>
    </w:p>
    <w:p w14:paraId="20C1683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2.成交总价10万元以上付承兑；成交总价10万元以下付现汇。</w:t>
      </w:r>
    </w:p>
    <w:p w14:paraId="25BBE6EE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3.如报价人不接受询价人提出的付款方式，可在线下报价书中明确能够接受的付款方式及付款时间，评审时作为参考。报价为含税价，如有不同请注明。如付款方式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涉及到预付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款，报价人必须在报价书中提供评审前3个月内中国人民银行征信中心出具的企业信用报告并加盖企业公章。</w:t>
      </w:r>
    </w:p>
    <w:p w14:paraId="0CBFDEEF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firstLine="422" w:firstLineChars="200"/>
        <w:textAlignment w:val="auto"/>
        <w:rPr>
          <w:color w:val="auto"/>
        </w:rPr>
      </w:pPr>
      <w:r>
        <w:rPr>
          <w:b/>
          <w:color w:val="auto"/>
        </w:rPr>
        <w:t>线下报价</w:t>
      </w:r>
      <w:r>
        <w:rPr>
          <w:color w:val="auto"/>
        </w:rPr>
        <w:t>：密封送达</w:t>
      </w:r>
      <w:r>
        <w:rPr>
          <w:rFonts w:hint="eastAsia"/>
          <w:color w:val="auto"/>
          <w:lang w:val="en-US" w:eastAsia="zh-CN"/>
        </w:rPr>
        <w:t>或邮寄送达</w:t>
      </w:r>
      <w:r>
        <w:rPr>
          <w:color w:val="auto"/>
        </w:rPr>
        <w:t>（封条需加盖公章、法人章并注明密封日期；封面注明项目名称、供应商信息、联系方式），</w:t>
      </w:r>
      <w:r>
        <w:rPr>
          <w:rFonts w:hint="eastAsia"/>
          <w:color w:val="auto"/>
          <w:lang w:val="en-US" w:eastAsia="zh-CN"/>
        </w:rPr>
        <w:t>邮寄送达需电联报价联系人告知快递单号，逾期无效</w:t>
      </w:r>
      <w:r>
        <w:rPr>
          <w:color w:val="auto"/>
        </w:rPr>
        <w:t>。</w:t>
      </w:r>
    </w:p>
    <w:p w14:paraId="7C743C1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（四）送达地址及联系方式</w:t>
      </w:r>
    </w:p>
    <w:p w14:paraId="218DD9A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收件单位</w:t>
      </w:r>
      <w:r>
        <w:rPr>
          <w:color w:val="auto"/>
        </w:rPr>
        <w:t>：江苏索普化工股份有限公司</w:t>
      </w:r>
    </w:p>
    <w:p w14:paraId="09A9996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地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址</w:t>
      </w:r>
      <w:r>
        <w:rPr>
          <w:color w:val="auto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b/>
          <w:color w:val="auto"/>
        </w:rPr>
        <w:t>联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系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张非</w:t>
      </w:r>
      <w:r>
        <w:rPr>
          <w:color w:val="auto"/>
        </w:rPr>
        <w:t>，电话：</w:t>
      </w:r>
      <w:r>
        <w:rPr>
          <w:rFonts w:hint="eastAsia"/>
          <w:color w:val="auto"/>
          <w:lang w:val="en-US" w:eastAsia="zh-CN"/>
        </w:rPr>
        <w:t>15805288780</w:t>
      </w:r>
    </w:p>
    <w:p w14:paraId="46E1F8B6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报价</w:t>
      </w:r>
      <w:r>
        <w:rPr>
          <w:b/>
          <w:color w:val="auto"/>
        </w:rPr>
        <w:t>联系人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张非     15805288780</w:t>
      </w:r>
    </w:p>
    <w:p w14:paraId="7A111C8A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b/>
          <w:color w:val="auto"/>
          <w:lang w:val="en-US" w:eastAsia="zh-CN"/>
        </w:rPr>
        <w:t>部门负责人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郭如涛   13952813406</w:t>
      </w:r>
    </w:p>
    <w:p w14:paraId="14247E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color w:val="auto"/>
        </w:rPr>
        <w:t>、评审流程</w:t>
      </w:r>
    </w:p>
    <w:p w14:paraId="31F18230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评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审</w:t>
      </w:r>
      <w:r>
        <w:rPr>
          <w:color w:val="auto"/>
        </w:rPr>
        <w:t>：采购人组织评审小组，</w:t>
      </w:r>
      <w:r>
        <w:rPr>
          <w:rFonts w:hint="eastAsia"/>
          <w:color w:val="auto"/>
          <w:lang w:val="en-US" w:eastAsia="zh-CN"/>
        </w:rPr>
        <w:t>评审</w:t>
      </w:r>
      <w:r>
        <w:rPr>
          <w:color w:val="auto"/>
        </w:rPr>
        <w:t>供应商报价，供应商需保持通讯畅通。</w:t>
      </w:r>
    </w:p>
    <w:p w14:paraId="0F994B82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评定标准</w:t>
      </w:r>
      <w:r>
        <w:rPr>
          <w:color w:val="auto"/>
        </w:rPr>
        <w:t>：满足技术及</w:t>
      </w:r>
      <w:r>
        <w:rPr>
          <w:rFonts w:hint="eastAsia"/>
          <w:color w:val="auto"/>
          <w:lang w:val="en-US" w:eastAsia="zh-CN"/>
        </w:rPr>
        <w:t>服务</w:t>
      </w:r>
      <w:r>
        <w:rPr>
          <w:color w:val="auto"/>
        </w:rPr>
        <w:t>期要求的供应商中，</w:t>
      </w:r>
      <w:r>
        <w:rPr>
          <w:rFonts w:hint="eastAsia"/>
          <w:color w:val="auto"/>
          <w:lang w:val="en-US" w:eastAsia="zh-CN"/>
        </w:rPr>
        <w:t>得分最高</w:t>
      </w:r>
      <w:r>
        <w:rPr>
          <w:color w:val="auto"/>
        </w:rPr>
        <w:t>者为成交候选人。</w:t>
      </w:r>
    </w:p>
    <w:p w14:paraId="3F9E105C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询价废止</w:t>
      </w:r>
      <w:r>
        <w:rPr>
          <w:color w:val="auto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无效报价</w:t>
      </w:r>
      <w:r>
        <w:rPr>
          <w:color w:val="auto"/>
        </w:rPr>
        <w:t>：资质不全、报价空项、不符合技术要求、</w:t>
      </w:r>
      <w:r>
        <w:rPr>
          <w:rFonts w:hint="eastAsia"/>
          <w:color w:val="auto"/>
          <w:lang w:val="en-US" w:eastAsia="zh-CN"/>
        </w:rPr>
        <w:t>不满足服务要求、</w:t>
      </w:r>
      <w:r>
        <w:rPr>
          <w:color w:val="auto"/>
        </w:rPr>
        <w:t>价格明显偏离市场的，作无效处理。</w:t>
      </w:r>
    </w:p>
    <w:p w14:paraId="57A33ED2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评分细则如下：</w:t>
      </w:r>
    </w:p>
    <w:p w14:paraId="20ECFDF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jc w:val="both"/>
        <w:textAlignment w:val="auto"/>
        <w:rPr>
          <w:color w:val="auto"/>
        </w:rPr>
      </w:pPr>
    </w:p>
    <w:p w14:paraId="5B80CCA6">
      <w:pPr>
        <w:pStyle w:val="14"/>
        <w:rPr>
          <w:color w:val="auto"/>
        </w:rPr>
      </w:pPr>
    </w:p>
    <w:tbl>
      <w:tblPr>
        <w:tblStyle w:val="12"/>
        <w:tblpPr w:leftFromText="180" w:rightFromText="180" w:vertAnchor="page" w:horzAnchor="page" w:tblpX="1561" w:tblpY="1832"/>
        <w:tblOverlap w:val="never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166"/>
        <w:gridCol w:w="550"/>
        <w:gridCol w:w="6472"/>
      </w:tblGrid>
      <w:tr w14:paraId="4335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72" w:type="dxa"/>
            <w:noWrap w:val="0"/>
            <w:vAlign w:val="top"/>
          </w:tcPr>
          <w:p w14:paraId="32C928DB">
            <w:pPr>
              <w:widowControl w:val="0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166" w:type="dxa"/>
            <w:noWrap w:val="0"/>
            <w:vAlign w:val="top"/>
          </w:tcPr>
          <w:p w14:paraId="1E80F8DE">
            <w:pPr>
              <w:widowControl w:val="0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评分项目</w:t>
            </w:r>
          </w:p>
        </w:tc>
        <w:tc>
          <w:tcPr>
            <w:tcW w:w="550" w:type="dxa"/>
            <w:noWrap w:val="0"/>
            <w:vAlign w:val="top"/>
          </w:tcPr>
          <w:p w14:paraId="4E9E1634">
            <w:pPr>
              <w:widowControl w:val="0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分值</w:t>
            </w:r>
          </w:p>
        </w:tc>
        <w:tc>
          <w:tcPr>
            <w:tcW w:w="6472" w:type="dxa"/>
            <w:noWrap w:val="0"/>
            <w:vAlign w:val="top"/>
          </w:tcPr>
          <w:p w14:paraId="63BFC7FF">
            <w:pPr>
              <w:widowControl w:val="0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评分细则</w:t>
            </w:r>
          </w:p>
        </w:tc>
      </w:tr>
      <w:tr w14:paraId="344E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572" w:type="dxa"/>
            <w:noWrap w:val="0"/>
            <w:vAlign w:val="center"/>
          </w:tcPr>
          <w:p w14:paraId="0591C591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5931D99D">
            <w:pPr>
              <w:widowControl w:val="0"/>
              <w:ind w:firstLine="211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37AC2727">
            <w:pPr>
              <w:widowControl w:val="0"/>
              <w:ind w:firstLine="211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5BF5D666">
            <w:pPr>
              <w:widowControl w:val="0"/>
              <w:ind w:firstLine="211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166" w:type="dxa"/>
            <w:noWrap w:val="0"/>
            <w:vAlign w:val="center"/>
          </w:tcPr>
          <w:p w14:paraId="1C8F3990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</w:pPr>
          </w:p>
          <w:p w14:paraId="2865ADE0">
            <w:pPr>
              <w:widowControl w:val="0"/>
              <w:ind w:firstLine="211"/>
              <w:jc w:val="center"/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</w:pPr>
          </w:p>
          <w:p w14:paraId="138E36E2">
            <w:pPr>
              <w:widowControl w:val="0"/>
              <w:ind w:firstLine="211"/>
              <w:jc w:val="center"/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</w:pPr>
          </w:p>
          <w:p w14:paraId="77EDC271">
            <w:pPr>
              <w:widowControl w:val="0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项目报价</w:t>
            </w:r>
          </w:p>
        </w:tc>
        <w:tc>
          <w:tcPr>
            <w:tcW w:w="550" w:type="dxa"/>
            <w:noWrap w:val="0"/>
            <w:vAlign w:val="center"/>
          </w:tcPr>
          <w:p w14:paraId="6915B20C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2B0F6E03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235A69AD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3DBAC9B4">
            <w:pPr>
              <w:widowControl w:val="0"/>
              <w:jc w:val="center"/>
              <w:rPr>
                <w:rFonts w:hint="default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50</w:t>
            </w:r>
          </w:p>
        </w:tc>
        <w:tc>
          <w:tcPr>
            <w:tcW w:w="6472" w:type="dxa"/>
            <w:noWrap w:val="0"/>
            <w:vAlign w:val="center"/>
          </w:tcPr>
          <w:p w14:paraId="4CB7A4F7">
            <w:pPr>
              <w:jc w:val="center"/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选聘基准价：所有报价单位项目报价的算术平均值。</w:t>
            </w:r>
          </w:p>
          <w:p w14:paraId="46F4270C">
            <w:pPr>
              <w:jc w:val="center"/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当报价人的报价等于基准价时，得满分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50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分。</w:t>
            </w:r>
          </w:p>
          <w:p w14:paraId="031C939F">
            <w:pPr>
              <w:jc w:val="center"/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服务费用报价得分=（1-|选聘基准价-服务费用报价|/选聘基准价）*服务费用报价要素所占权重分值</w:t>
            </w:r>
          </w:p>
          <w:p w14:paraId="164114C6">
            <w:pPr>
              <w:pStyle w:val="7"/>
              <w:widowControl w:val="0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（注：评分所用报价均为含税价）</w:t>
            </w:r>
          </w:p>
        </w:tc>
      </w:tr>
      <w:tr w14:paraId="675A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572" w:type="dxa"/>
            <w:noWrap w:val="0"/>
            <w:vAlign w:val="center"/>
          </w:tcPr>
          <w:p w14:paraId="69F14120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20338EFB">
            <w:pPr>
              <w:widowControl w:val="0"/>
              <w:ind w:firstLine="211" w:firstLineChars="10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2</w:t>
            </w:r>
          </w:p>
          <w:p w14:paraId="2335D727">
            <w:pPr>
              <w:widowControl w:val="0"/>
              <w:ind w:firstLine="211"/>
              <w:jc w:val="center"/>
              <w:rPr>
                <w:rFonts w:hint="eastAsia" w:eastAsia="宋体"/>
                <w:b/>
                <w:bCs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13E20CC1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</w:pPr>
          </w:p>
          <w:p w14:paraId="63155344">
            <w:pPr>
              <w:jc w:val="center"/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  <w:t>经验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eastAsia="zh-CN"/>
              </w:rPr>
              <w:t>业绩</w:t>
            </w:r>
          </w:p>
        </w:tc>
        <w:tc>
          <w:tcPr>
            <w:tcW w:w="550" w:type="dxa"/>
            <w:noWrap w:val="0"/>
            <w:vAlign w:val="center"/>
          </w:tcPr>
          <w:p w14:paraId="0A77EADB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06721842">
            <w:pPr>
              <w:widowControl w:val="0"/>
              <w:jc w:val="center"/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40</w:t>
            </w:r>
          </w:p>
        </w:tc>
        <w:tc>
          <w:tcPr>
            <w:tcW w:w="6472" w:type="dxa"/>
            <w:noWrap w:val="0"/>
            <w:vAlign w:val="center"/>
          </w:tcPr>
          <w:p w14:paraId="0C4A0529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报价人2022年1月1日至应答截止日（以合同签订日期为准）至少有1家ISCC审核认证通过企业的合同业绩。提供1项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CNCA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认证业绩凭证的得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分，每增加1项业绩加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提供1项ISCC审核业绩凭证的得5分，每增加1项业绩加5分，超过40分按40分计算。</w:t>
            </w:r>
          </w:p>
          <w:p w14:paraId="5F74A8D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527D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572" w:type="dxa"/>
            <w:noWrap w:val="0"/>
            <w:vAlign w:val="center"/>
          </w:tcPr>
          <w:p w14:paraId="100ED17B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447473D5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16969EC3">
            <w:pPr>
              <w:widowControl w:val="0"/>
              <w:jc w:val="center"/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166" w:type="dxa"/>
            <w:noWrap w:val="0"/>
            <w:vAlign w:val="center"/>
          </w:tcPr>
          <w:p w14:paraId="402AC029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eastAsia="zh-CN"/>
              </w:rPr>
            </w:pPr>
          </w:p>
          <w:p w14:paraId="20AFDBC1">
            <w:pPr>
              <w:jc w:val="center"/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  <w:t>报价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eastAsia="zh-CN"/>
              </w:rPr>
              <w:t>人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</w:rPr>
              <w:t>综合实力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eastAsia="zh-CN"/>
              </w:rPr>
              <w:t>、项目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  <w:t>服务能力及人员配置情况</w:t>
            </w:r>
          </w:p>
        </w:tc>
        <w:tc>
          <w:tcPr>
            <w:tcW w:w="550" w:type="dxa"/>
            <w:noWrap w:val="0"/>
            <w:vAlign w:val="center"/>
          </w:tcPr>
          <w:p w14:paraId="61AB3EBB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5D71D875">
            <w:pPr>
              <w:widowControl w:val="0"/>
              <w:jc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 w14:paraId="2DD9422D">
            <w:pPr>
              <w:widowControl w:val="0"/>
              <w:jc w:val="center"/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6472" w:type="dxa"/>
            <w:noWrap w:val="0"/>
            <w:vAlign w:val="center"/>
          </w:tcPr>
          <w:p w14:paraId="67664DEC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eastAsia="zh-CN"/>
              </w:rPr>
              <w:t>根据</w:t>
            </w:r>
            <w:r>
              <w:rPr>
                <w:rFonts w:hint="eastAsia" w:ascii="宋体" w:hAnsi="宋体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eastAsia="zh-CN"/>
              </w:rPr>
              <w:t>人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eastAsia="zh-CN"/>
              </w:rPr>
              <w:t>资质、技术人员数量、人员技术力量等情况，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以及安排认定项目组成员的情况，</w:t>
            </w:r>
            <w:r>
              <w:rPr>
                <w:rFonts w:hint="eastAsia" w:ascii="宋体" w:hAnsi="宋体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按照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eastAsia="zh-CN"/>
              </w:rPr>
              <w:t>综合评审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给予1-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eastAsia="宋体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03C5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572" w:type="dxa"/>
            <w:noWrap w:val="0"/>
            <w:vAlign w:val="center"/>
          </w:tcPr>
          <w:p w14:paraId="543CC84C">
            <w:pPr>
              <w:jc w:val="center"/>
              <w:rPr>
                <w:rFonts w:hint="eastAsia" w:ascii="Calibri" w:hAnsi="Calibri" w:eastAsia="宋体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166" w:type="dxa"/>
            <w:noWrap w:val="0"/>
            <w:vAlign w:val="center"/>
          </w:tcPr>
          <w:p w14:paraId="5E78C616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</w:rPr>
            </w:pPr>
          </w:p>
          <w:p w14:paraId="2FF3AB0F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highlight w:val="none"/>
              </w:rPr>
              <w:t>商务响应</w:t>
            </w:r>
          </w:p>
        </w:tc>
        <w:tc>
          <w:tcPr>
            <w:tcW w:w="550" w:type="dxa"/>
            <w:noWrap w:val="0"/>
            <w:vAlign w:val="center"/>
          </w:tcPr>
          <w:p w14:paraId="50C49866">
            <w:pPr>
              <w:widowControl w:val="0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  <w:p w14:paraId="59EFDEB2">
            <w:pPr>
              <w:widowControl w:val="0"/>
              <w:jc w:val="center"/>
              <w:rPr>
                <w:rFonts w:hint="eastAsia" w:ascii="Calibri" w:hAnsi="Calibri" w:eastAsia="宋体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6472" w:type="dxa"/>
            <w:noWrap w:val="0"/>
            <w:vAlign w:val="center"/>
          </w:tcPr>
          <w:p w14:paraId="264959DC">
            <w:pPr>
              <w:jc w:val="center"/>
              <w:rPr>
                <w:rFonts w:hint="eastAsia" w:ascii="Calibri" w:hAnsi="Calibr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/>
                <w:color w:val="auto"/>
                <w:kern w:val="2"/>
                <w:highlight w:val="none"/>
              </w:rPr>
              <w:t>根据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  <w:lang w:eastAsia="zh-CN"/>
              </w:rPr>
              <w:t>报价人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</w:rPr>
              <w:t>针对本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  <w:lang w:eastAsia="zh-CN"/>
              </w:rPr>
              <w:t>采购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</w:rPr>
              <w:t>书内容的响应程度及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  <w:lang w:eastAsia="zh-CN"/>
              </w:rPr>
              <w:t>采购</w:t>
            </w:r>
            <w:r>
              <w:rPr>
                <w:rFonts w:hint="eastAsia" w:ascii="Calibri" w:hAnsi="Calibri"/>
                <w:color w:val="auto"/>
                <w:kern w:val="2"/>
                <w:highlight w:val="none"/>
              </w:rPr>
              <w:t>文件的质量进行横向比较，响应程度较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</w:rPr>
              <w:t>好的得</w:t>
            </w:r>
            <w:r>
              <w:rPr>
                <w:rFonts w:hint="eastAsia" w:ascii="Calibri" w:hAnsi="Calibri" w:cs="Times New Roman"/>
                <w:color w:val="auto"/>
                <w:kern w:val="2"/>
                <w:highlight w:val="none"/>
                <w:lang w:val="en-US" w:eastAsia="zh-CN"/>
              </w:rPr>
              <w:t>4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</w:rPr>
              <w:t>-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  <w:lang w:val="en-US" w:eastAsia="zh-CN"/>
              </w:rPr>
              <w:t>5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</w:rPr>
              <w:t>分，有偏离的得1</w:t>
            </w:r>
            <w:r>
              <w:rPr>
                <w:rFonts w:hint="eastAsia" w:ascii="Calibri" w:hAnsi="Calibri" w:cs="Times New Roman"/>
                <w:color w:val="auto"/>
                <w:kern w:val="2"/>
                <w:highlight w:val="none"/>
                <w:lang w:val="en-US" w:eastAsia="zh-CN"/>
              </w:rPr>
              <w:t>-3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</w:rPr>
              <w:t>分或不得分。（本项最多得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  <w:lang w:val="en-US" w:eastAsia="zh-CN"/>
              </w:rPr>
              <w:t>5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highlight w:val="none"/>
              </w:rPr>
              <w:t>分）</w:t>
            </w:r>
          </w:p>
        </w:tc>
      </w:tr>
      <w:tr w14:paraId="1810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72" w:type="dxa"/>
            <w:noWrap w:val="0"/>
            <w:vAlign w:val="top"/>
          </w:tcPr>
          <w:p w14:paraId="0025923D">
            <w:pPr>
              <w:widowControl w:val="0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noWrap w:val="0"/>
            <w:vAlign w:val="top"/>
          </w:tcPr>
          <w:p w14:paraId="236DD85C">
            <w:pPr>
              <w:widowControl w:val="0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总分</w:t>
            </w:r>
          </w:p>
        </w:tc>
        <w:tc>
          <w:tcPr>
            <w:tcW w:w="550" w:type="dxa"/>
            <w:noWrap w:val="0"/>
            <w:vAlign w:val="top"/>
          </w:tcPr>
          <w:p w14:paraId="470D5AAF">
            <w:pPr>
              <w:widowControl w:val="0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100</w:t>
            </w:r>
          </w:p>
        </w:tc>
        <w:tc>
          <w:tcPr>
            <w:tcW w:w="6472" w:type="dxa"/>
            <w:noWrap w:val="0"/>
            <w:vAlign w:val="top"/>
          </w:tcPr>
          <w:p w14:paraId="68B30B00">
            <w:pPr>
              <w:widowControl w:val="0"/>
              <w:jc w:val="both"/>
              <w:rPr>
                <w:rFonts w:hint="eastAsia" w:eastAsia="宋体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797A2A8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/>
          <w:color w:val="auto"/>
          <w:lang w:val="en-US" w:eastAsia="zh-CN"/>
        </w:rPr>
        <w:t>六</w:t>
      </w:r>
      <w:r>
        <w:rPr>
          <w:color w:val="auto"/>
        </w:rPr>
        <w:t>、违约责任</w:t>
      </w:r>
    </w:p>
    <w:p w14:paraId="7673E5B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  <w:t>1.违约责任：如成交人没有按照规定的时间提供服务，成交人将支付违约金，违约金逾期每日应按合同总金额的1%计收。但未提供服务超过5日，采购人有权解除合同,并按合同总额20%追究成交人违约责任。</w:t>
      </w:r>
    </w:p>
    <w:p w14:paraId="1CACA1D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  <w:t>2.成交人应严格按照采购询价书约定与采购人签订供需合同，并按合同约定做好服务工作。对成交人所有违背报价书及合同约定的行为，采购人均可持续保留与成交人中止合作的一切权利。　</w:t>
      </w:r>
    </w:p>
    <w:p w14:paraId="1A94C3D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/>
          <w:color w:val="auto"/>
          <w:lang w:val="en-US" w:eastAsia="zh-CN"/>
        </w:rPr>
        <w:t>七</w:t>
      </w:r>
      <w:r>
        <w:rPr>
          <w:color w:val="auto"/>
        </w:rPr>
        <w:t>、其他事项</w:t>
      </w:r>
    </w:p>
    <w:p w14:paraId="32900D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26" w:leftChars="0" w:hanging="363" w:firstLineChars="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1.成交人须按询价书签订合同，违约将面临中止合作风险。</w:t>
      </w:r>
      <w:bookmarkStart w:id="0" w:name="_GoBack"/>
      <w:bookmarkEnd w:id="0"/>
    </w:p>
    <w:p w14:paraId="1E0C3D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26" w:leftChars="0" w:hanging="363" w:firstLineChars="0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sz w:val="21"/>
          <w:szCs w:val="24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.违规供应商将列入负面清单，解释权归江苏索普化工股份有限公司</w:t>
      </w:r>
      <w:r>
        <w:rPr>
          <w:rFonts w:hint="eastAsia"/>
          <w:color w:val="auto"/>
          <w:lang w:val="en-US" w:eastAsia="zh-CN"/>
        </w:rPr>
        <w:t>战略发展部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。</w:t>
      </w:r>
    </w:p>
    <w:p w14:paraId="1D48D955">
      <w:pPr>
        <w:jc w:val="right"/>
        <w:rPr>
          <w:color w:val="auto"/>
        </w:rPr>
      </w:pPr>
    </w:p>
    <w:p w14:paraId="754D2544">
      <w:pPr>
        <w:jc w:val="right"/>
        <w:rPr>
          <w:rFonts w:hint="eastAsia"/>
          <w:color w:val="auto"/>
          <w:lang w:val="en-US" w:eastAsia="zh-CN"/>
        </w:rPr>
      </w:pPr>
    </w:p>
    <w:p w14:paraId="7F5142DD">
      <w:pPr>
        <w:jc w:val="right"/>
        <w:rPr>
          <w:color w:val="auto"/>
        </w:rPr>
      </w:pPr>
      <w:r>
        <w:rPr>
          <w:color w:val="auto"/>
        </w:rPr>
        <w:t>江苏索普化工股份有限公司</w:t>
      </w:r>
      <w:r>
        <w:rPr>
          <w:rFonts w:hint="eastAsia"/>
          <w:color w:val="auto"/>
          <w:lang w:val="en-US" w:eastAsia="zh-CN"/>
        </w:rPr>
        <w:t>战略发展部</w:t>
      </w:r>
    </w:p>
    <w:p w14:paraId="26E9FD79">
      <w:pPr>
        <w:jc w:val="right"/>
        <w:rPr>
          <w:color w:val="auto"/>
        </w:rPr>
      </w:pPr>
      <w:r>
        <w:rPr>
          <w:color w:val="auto"/>
        </w:rPr>
        <w:t>日期：</w:t>
      </w:r>
      <w:r>
        <w:rPr>
          <w:rFonts w:hint="eastAsia"/>
          <w:color w:val="auto"/>
          <w:lang w:val="en-US" w:eastAsia="zh-CN"/>
        </w:rPr>
        <w:t>2026</w:t>
      </w:r>
      <w:r>
        <w:rPr>
          <w:color w:val="auto"/>
        </w:rPr>
        <w:t>年</w:t>
      </w:r>
      <w:r>
        <w:rPr>
          <w:rFonts w:hint="eastAsia"/>
          <w:color w:val="auto"/>
          <w:lang w:val="en-US" w:eastAsia="zh-CN"/>
        </w:rPr>
        <w:t>6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25</w:t>
      </w:r>
      <w:r>
        <w:rPr>
          <w:color w:val="auto"/>
        </w:rPr>
        <w:t>日</w:t>
      </w:r>
    </w:p>
    <w:p w14:paraId="3A4F3A57">
      <w:pPr>
        <w:jc w:val="right"/>
        <w:rPr>
          <w:color w:val="auto"/>
        </w:rPr>
      </w:pPr>
      <w:r>
        <w:rPr>
          <w:color w:val="auto"/>
        </w:rPr>
        <w:br w:type="page"/>
      </w:r>
    </w:p>
    <w:p w14:paraId="2E629C24">
      <w:pPr>
        <w:pStyle w:val="3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附件1</w:t>
      </w:r>
    </w:p>
    <w:p w14:paraId="756083B5">
      <w:pPr>
        <w:pStyle w:val="3"/>
        <w:jc w:val="center"/>
        <w:rPr>
          <w:color w:val="auto"/>
        </w:rPr>
      </w:pPr>
      <w:r>
        <w:rPr>
          <w:color w:val="auto"/>
        </w:rPr>
        <w:t>报价函</w:t>
      </w:r>
    </w:p>
    <w:p w14:paraId="58D07B85">
      <w:pPr>
        <w:rPr>
          <w:color w:val="auto"/>
        </w:rPr>
      </w:pPr>
      <w:r>
        <w:rPr>
          <w:b/>
          <w:color w:val="auto"/>
        </w:rPr>
        <w:t>江苏索普化工股份有限公司：</w:t>
      </w:r>
    </w:p>
    <w:p w14:paraId="03DF583E">
      <w:pPr>
        <w:rPr>
          <w:color w:val="auto"/>
        </w:rPr>
      </w:pPr>
      <w:r>
        <w:rPr>
          <w:color w:val="auto"/>
        </w:rPr>
        <w:t>（报价单位全称）授权（全权代表姓名、职务）为全权代表，参加贵方公开询比价活动，报价如下：</w:t>
      </w:r>
    </w:p>
    <w:p w14:paraId="3203191D">
      <w:pPr>
        <w:numPr>
          <w:ilvl w:val="0"/>
          <w:numId w:val="0"/>
        </w:numPr>
        <w:shd w:val="clear"/>
        <w:ind w:firstLine="420" w:firstLineChars="200"/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>1.</w:t>
      </w:r>
      <w:r>
        <w:rPr>
          <w:rFonts w:hint="eastAsia" w:cs="Times New Roman"/>
          <w:color w:val="auto"/>
          <w:kern w:val="0"/>
          <w:sz w:val="21"/>
          <w:szCs w:val="24"/>
          <w:lang w:val="en-US" w:eastAsia="zh-CN" w:bidi="ar-SA"/>
        </w:rPr>
        <w:t>绿色甲醇产品审核认证费报价表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>（含税）为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  <w:softHyphen/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  <w:t xml:space="preserve">          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 xml:space="preserve"> (大写)：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  <w:t xml:space="preserve">            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>元人民币；税率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  <w:t xml:space="preserve">      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>%。</w:t>
      </w:r>
    </w:p>
    <w:p w14:paraId="1C731650">
      <w:pPr>
        <w:pStyle w:val="14"/>
        <w:rPr>
          <w:rFonts w:hint="eastAsia" w:ascii="宋体" w:hAnsi="宋体" w:eastAsia="宋体" w:cs="宋体"/>
          <w:b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费用清单需清晰罗列各项支出，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其中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半年的监督审核费用明细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咨询费、评估费应单独列项；若存在其他费用，可根据实际情况补充列入清单。</w:t>
      </w:r>
    </w:p>
    <w:p w14:paraId="7C177DF4">
      <w:pPr>
        <w:pStyle w:val="8"/>
        <w:rPr>
          <w:rFonts w:hint="eastAsia"/>
          <w:color w:val="auto"/>
          <w:lang w:val="en-US" w:eastAsia="zh-CN"/>
        </w:rPr>
      </w:pPr>
    </w:p>
    <w:p w14:paraId="30A1172E">
      <w:pPr>
        <w:pStyle w:val="8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注：上述价格是打包确定的总价（包含注册、证书、审核、人员的差旅等）</w:t>
      </w:r>
    </w:p>
    <w:p w14:paraId="2D647E10">
      <w:pPr>
        <w:pStyle w:val="8"/>
        <w:spacing w:line="520" w:lineRule="exact"/>
        <w:ind w:firstLine="420" w:firstLineChars="200"/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0"/>
          <w:sz w:val="21"/>
          <w:szCs w:val="24"/>
          <w:lang w:val="en-US" w:eastAsia="zh-CN" w:bidi="ar-SA"/>
        </w:rPr>
        <w:t>2.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lang w:val="en-US" w:eastAsia="zh-CN" w:bidi="ar-SA"/>
        </w:rPr>
        <w:t>项目完成时间：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4"/>
          <w:u w:val="single"/>
          <w:lang w:val="en-US" w:eastAsia="zh-CN" w:bidi="ar-SA"/>
        </w:rPr>
        <w:t xml:space="preserve">               </w:t>
      </w:r>
    </w:p>
    <w:p w14:paraId="7E6B970D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3.</w:t>
      </w:r>
      <w:r>
        <w:rPr>
          <w:color w:val="auto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4.</w:t>
      </w:r>
      <w:r>
        <w:rPr>
          <w:color w:val="auto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0"/>
        </w:numPr>
        <w:spacing w:before="0" w:beforeAutospacing="1" w:after="0" w:afterAutospacing="1"/>
        <w:ind w:firstLine="422" w:firstLineChars="20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5.</w:t>
      </w:r>
      <w:r>
        <w:rPr>
          <w:b/>
          <w:color w:val="auto"/>
        </w:rPr>
        <w:t>不接受项</w:t>
      </w:r>
      <w:r>
        <w:rPr>
          <w:color w:val="auto"/>
        </w:rPr>
        <w:t>：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                                 </w:t>
      </w:r>
      <w:r>
        <w:rPr>
          <w:color w:val="auto"/>
        </w:rPr>
        <w:t>。</w:t>
      </w:r>
    </w:p>
    <w:p w14:paraId="1D8C735C">
      <w:pPr>
        <w:rPr>
          <w:color w:val="auto"/>
        </w:rPr>
      </w:pPr>
      <w:r>
        <w:rPr>
          <w:b/>
          <w:color w:val="auto"/>
        </w:rPr>
        <w:t>承诺</w:t>
      </w:r>
      <w:r>
        <w:rPr>
          <w:color w:val="auto"/>
        </w:rPr>
        <w:t>：遵守询价书规定，及时签订合同并履行责任；</w:t>
      </w:r>
      <w:r>
        <w:rPr>
          <w:rFonts w:hint="eastAsia"/>
          <w:color w:val="auto"/>
          <w:lang w:val="en-US" w:eastAsia="zh-CN"/>
        </w:rPr>
        <w:t>不串通报价</w:t>
      </w:r>
      <w:r>
        <w:rPr>
          <w:color w:val="auto"/>
        </w:rPr>
        <w:t>，信息真实有效；接受贵方核查与审计。如违反，承担法律责任及相关处理。</w:t>
      </w:r>
    </w:p>
    <w:p w14:paraId="0F58C863">
      <w:pPr>
        <w:rPr>
          <w:color w:val="auto"/>
        </w:rPr>
      </w:pPr>
    </w:p>
    <w:p w14:paraId="151D0406">
      <w:pPr>
        <w:rPr>
          <w:color w:val="auto"/>
        </w:rPr>
      </w:pPr>
    </w:p>
    <w:p w14:paraId="0F5911FA">
      <w:pPr>
        <w:rPr>
          <w:rFonts w:hint="default" w:eastAsia="宋体"/>
          <w:color w:val="auto"/>
          <w:lang w:val="en-US" w:eastAsia="zh-CN"/>
        </w:rPr>
      </w:pPr>
      <w:r>
        <w:rPr>
          <w:color w:val="auto"/>
        </w:rPr>
        <w:t>全权代表（签字）：________ 联系电话：</w:t>
      </w:r>
      <w:r>
        <w:rPr>
          <w:rFonts w:hint="eastAsia"/>
          <w:color w:val="auto"/>
          <w:u w:val="single"/>
          <w:lang w:val="en-US" w:eastAsia="zh-CN"/>
        </w:rPr>
        <w:t xml:space="preserve">               </w:t>
      </w:r>
    </w:p>
    <w:p w14:paraId="3AFB065B">
      <w:pPr>
        <w:rPr>
          <w:color w:val="auto"/>
        </w:rPr>
      </w:pPr>
    </w:p>
    <w:p w14:paraId="3F8B5B67">
      <w:pPr>
        <w:rPr>
          <w:color w:val="auto"/>
        </w:rPr>
      </w:pPr>
    </w:p>
    <w:p w14:paraId="00829DAD">
      <w:pPr>
        <w:rPr>
          <w:color w:val="auto"/>
        </w:rPr>
      </w:pPr>
      <w:r>
        <w:rPr>
          <w:color w:val="auto"/>
        </w:rPr>
        <w:t>报价单位（盖章）：________ 日期：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___</w:t>
      </w:r>
      <w:r>
        <w:rPr>
          <w:color w:val="auto"/>
        </w:rPr>
        <w:t>年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</w:t>
      </w:r>
      <w:r>
        <w:rPr>
          <w:color w:val="auto"/>
        </w:rPr>
        <w:t>月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</w:t>
      </w:r>
      <w:r>
        <w:rPr>
          <w:color w:val="auto"/>
        </w:rPr>
        <w:t>日</w:t>
      </w:r>
    </w:p>
    <w:p w14:paraId="57580ADE">
      <w:pPr>
        <w:pStyle w:val="15"/>
        <w:rPr>
          <w:color w:val="auto"/>
        </w:rPr>
      </w:pPr>
    </w:p>
    <w:p w14:paraId="7CC6AC9C">
      <w:pPr>
        <w:rPr>
          <w:rFonts w:hint="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6D64"/>
    <w:rsid w:val="018D3590"/>
    <w:rsid w:val="019C2F1C"/>
    <w:rsid w:val="01C43C76"/>
    <w:rsid w:val="01E82BE0"/>
    <w:rsid w:val="02005B8D"/>
    <w:rsid w:val="02043728"/>
    <w:rsid w:val="02870FE9"/>
    <w:rsid w:val="03661A20"/>
    <w:rsid w:val="038D038B"/>
    <w:rsid w:val="04350FF4"/>
    <w:rsid w:val="045F303F"/>
    <w:rsid w:val="047D34C5"/>
    <w:rsid w:val="04870970"/>
    <w:rsid w:val="051536FE"/>
    <w:rsid w:val="05C375FE"/>
    <w:rsid w:val="06110369"/>
    <w:rsid w:val="06775EF1"/>
    <w:rsid w:val="06C27A72"/>
    <w:rsid w:val="06E009B8"/>
    <w:rsid w:val="0818674D"/>
    <w:rsid w:val="08234384"/>
    <w:rsid w:val="0828199A"/>
    <w:rsid w:val="08626C5A"/>
    <w:rsid w:val="091D7025"/>
    <w:rsid w:val="09292DA4"/>
    <w:rsid w:val="096013B9"/>
    <w:rsid w:val="0A486323"/>
    <w:rsid w:val="0A634F0B"/>
    <w:rsid w:val="0B1408EB"/>
    <w:rsid w:val="0C526FE5"/>
    <w:rsid w:val="0CB170AE"/>
    <w:rsid w:val="0E1C78AB"/>
    <w:rsid w:val="0E3A41D5"/>
    <w:rsid w:val="0E791F56"/>
    <w:rsid w:val="0EEB5082"/>
    <w:rsid w:val="10AF0EAA"/>
    <w:rsid w:val="11AE3182"/>
    <w:rsid w:val="12922C84"/>
    <w:rsid w:val="134678C7"/>
    <w:rsid w:val="142A108C"/>
    <w:rsid w:val="147931F1"/>
    <w:rsid w:val="148F359A"/>
    <w:rsid w:val="14D05D11"/>
    <w:rsid w:val="15386004"/>
    <w:rsid w:val="154E0FD9"/>
    <w:rsid w:val="15857A3E"/>
    <w:rsid w:val="15924BCE"/>
    <w:rsid w:val="15F1304B"/>
    <w:rsid w:val="17920BDE"/>
    <w:rsid w:val="181400AB"/>
    <w:rsid w:val="18DB52A6"/>
    <w:rsid w:val="196654A0"/>
    <w:rsid w:val="19E219A9"/>
    <w:rsid w:val="1A9A04D5"/>
    <w:rsid w:val="1AB96767"/>
    <w:rsid w:val="1AE259D8"/>
    <w:rsid w:val="1B4F7841"/>
    <w:rsid w:val="1C0D408C"/>
    <w:rsid w:val="1C8D2BE4"/>
    <w:rsid w:val="1D0F08AC"/>
    <w:rsid w:val="1D7C655F"/>
    <w:rsid w:val="1DD27F86"/>
    <w:rsid w:val="1E340C41"/>
    <w:rsid w:val="1E937E31"/>
    <w:rsid w:val="20196340"/>
    <w:rsid w:val="202C0E96"/>
    <w:rsid w:val="228D7161"/>
    <w:rsid w:val="247C629F"/>
    <w:rsid w:val="24960418"/>
    <w:rsid w:val="24E05525"/>
    <w:rsid w:val="256B4F5E"/>
    <w:rsid w:val="257465B4"/>
    <w:rsid w:val="262477ED"/>
    <w:rsid w:val="26252083"/>
    <w:rsid w:val="27B45173"/>
    <w:rsid w:val="27CC0772"/>
    <w:rsid w:val="27E2170E"/>
    <w:rsid w:val="287B25CD"/>
    <w:rsid w:val="28D8600F"/>
    <w:rsid w:val="29303A5B"/>
    <w:rsid w:val="293D4E4D"/>
    <w:rsid w:val="29B669AE"/>
    <w:rsid w:val="2A226935"/>
    <w:rsid w:val="2B094D4A"/>
    <w:rsid w:val="2B095688"/>
    <w:rsid w:val="2B0C2F93"/>
    <w:rsid w:val="2B21100C"/>
    <w:rsid w:val="2B6007A2"/>
    <w:rsid w:val="2B8C00D9"/>
    <w:rsid w:val="2D2500D2"/>
    <w:rsid w:val="2D6D29C6"/>
    <w:rsid w:val="2D7D3E53"/>
    <w:rsid w:val="2E3A7D7C"/>
    <w:rsid w:val="2E730AF8"/>
    <w:rsid w:val="2E8250B1"/>
    <w:rsid w:val="2ED60E69"/>
    <w:rsid w:val="2EEE0779"/>
    <w:rsid w:val="30DA11D4"/>
    <w:rsid w:val="316B2774"/>
    <w:rsid w:val="31992E3D"/>
    <w:rsid w:val="32597B75"/>
    <w:rsid w:val="331309CD"/>
    <w:rsid w:val="33A81274"/>
    <w:rsid w:val="346C2A8B"/>
    <w:rsid w:val="35B41300"/>
    <w:rsid w:val="365B4DB3"/>
    <w:rsid w:val="37743447"/>
    <w:rsid w:val="37E312B6"/>
    <w:rsid w:val="389E4F4F"/>
    <w:rsid w:val="39BA4298"/>
    <w:rsid w:val="39FA0695"/>
    <w:rsid w:val="3A1052D9"/>
    <w:rsid w:val="3A105C66"/>
    <w:rsid w:val="3A606BEE"/>
    <w:rsid w:val="3AAB143A"/>
    <w:rsid w:val="3B421FAF"/>
    <w:rsid w:val="3BE5642F"/>
    <w:rsid w:val="3BF52B59"/>
    <w:rsid w:val="3C4E1893"/>
    <w:rsid w:val="3E0A2E40"/>
    <w:rsid w:val="3E391C30"/>
    <w:rsid w:val="40694322"/>
    <w:rsid w:val="418C651A"/>
    <w:rsid w:val="41A25E6D"/>
    <w:rsid w:val="42A7679F"/>
    <w:rsid w:val="42D81056"/>
    <w:rsid w:val="43476B9D"/>
    <w:rsid w:val="43F46B21"/>
    <w:rsid w:val="445C3E94"/>
    <w:rsid w:val="44FC5765"/>
    <w:rsid w:val="450364A8"/>
    <w:rsid w:val="462F3918"/>
    <w:rsid w:val="465D0485"/>
    <w:rsid w:val="471825FE"/>
    <w:rsid w:val="47CC3F0F"/>
    <w:rsid w:val="4842770F"/>
    <w:rsid w:val="48B85AD9"/>
    <w:rsid w:val="499C12C5"/>
    <w:rsid w:val="4AA30AF1"/>
    <w:rsid w:val="4AC251FD"/>
    <w:rsid w:val="4AE1260F"/>
    <w:rsid w:val="4B2C48CA"/>
    <w:rsid w:val="4BD96800"/>
    <w:rsid w:val="4BE0663F"/>
    <w:rsid w:val="4C3A6B73"/>
    <w:rsid w:val="4C5B5467"/>
    <w:rsid w:val="4D2E4F0D"/>
    <w:rsid w:val="4D3F440D"/>
    <w:rsid w:val="4D45144F"/>
    <w:rsid w:val="4DAE5A6A"/>
    <w:rsid w:val="4E355844"/>
    <w:rsid w:val="4EB42C0C"/>
    <w:rsid w:val="4F8A27C1"/>
    <w:rsid w:val="4FE614EB"/>
    <w:rsid w:val="50B21740"/>
    <w:rsid w:val="50D41344"/>
    <w:rsid w:val="511B3417"/>
    <w:rsid w:val="513A2283"/>
    <w:rsid w:val="515B4796"/>
    <w:rsid w:val="51B46EF1"/>
    <w:rsid w:val="52923265"/>
    <w:rsid w:val="52E77A54"/>
    <w:rsid w:val="52F37FDC"/>
    <w:rsid w:val="53760A56"/>
    <w:rsid w:val="53B447E3"/>
    <w:rsid w:val="54880DC3"/>
    <w:rsid w:val="55D30457"/>
    <w:rsid w:val="564B19BA"/>
    <w:rsid w:val="58113834"/>
    <w:rsid w:val="58505B73"/>
    <w:rsid w:val="591946E0"/>
    <w:rsid w:val="59FD3B96"/>
    <w:rsid w:val="5A702373"/>
    <w:rsid w:val="5B9B1B71"/>
    <w:rsid w:val="5C881239"/>
    <w:rsid w:val="5D5006C5"/>
    <w:rsid w:val="5E3307F9"/>
    <w:rsid w:val="5EF26EAF"/>
    <w:rsid w:val="5FED582A"/>
    <w:rsid w:val="60681AA9"/>
    <w:rsid w:val="608A4F08"/>
    <w:rsid w:val="60956BA0"/>
    <w:rsid w:val="626F711E"/>
    <w:rsid w:val="62DD677E"/>
    <w:rsid w:val="62E84689"/>
    <w:rsid w:val="6326564D"/>
    <w:rsid w:val="63860E8D"/>
    <w:rsid w:val="63D27965"/>
    <w:rsid w:val="63F87D96"/>
    <w:rsid w:val="6424218B"/>
    <w:rsid w:val="644665A5"/>
    <w:rsid w:val="64B90B25"/>
    <w:rsid w:val="64EE14FB"/>
    <w:rsid w:val="650D466E"/>
    <w:rsid w:val="6517321B"/>
    <w:rsid w:val="669B6734"/>
    <w:rsid w:val="6830241D"/>
    <w:rsid w:val="68B13297"/>
    <w:rsid w:val="694037F5"/>
    <w:rsid w:val="696F5C56"/>
    <w:rsid w:val="69D87C9F"/>
    <w:rsid w:val="6AD3740D"/>
    <w:rsid w:val="6B090119"/>
    <w:rsid w:val="6B515669"/>
    <w:rsid w:val="6BC3466E"/>
    <w:rsid w:val="6BD26725"/>
    <w:rsid w:val="6DD76B71"/>
    <w:rsid w:val="6EE3511C"/>
    <w:rsid w:val="6F124001"/>
    <w:rsid w:val="6F5D1867"/>
    <w:rsid w:val="6F920B8C"/>
    <w:rsid w:val="704F7FA8"/>
    <w:rsid w:val="708A48C4"/>
    <w:rsid w:val="71296F3C"/>
    <w:rsid w:val="72037883"/>
    <w:rsid w:val="7215431A"/>
    <w:rsid w:val="723B701D"/>
    <w:rsid w:val="72424D2E"/>
    <w:rsid w:val="730731B7"/>
    <w:rsid w:val="748527D2"/>
    <w:rsid w:val="74CB5C46"/>
    <w:rsid w:val="75956A44"/>
    <w:rsid w:val="766F1A66"/>
    <w:rsid w:val="78C71F36"/>
    <w:rsid w:val="78E73A5B"/>
    <w:rsid w:val="78FA2DA2"/>
    <w:rsid w:val="79224A93"/>
    <w:rsid w:val="79E96551"/>
    <w:rsid w:val="7A61631D"/>
    <w:rsid w:val="7A995229"/>
    <w:rsid w:val="7AB638D0"/>
    <w:rsid w:val="7B106F4E"/>
    <w:rsid w:val="7C105AF1"/>
    <w:rsid w:val="7C261436"/>
    <w:rsid w:val="7CE73E14"/>
    <w:rsid w:val="7D230DDA"/>
    <w:rsid w:val="7D5176F5"/>
    <w:rsid w:val="7D9D293A"/>
    <w:rsid w:val="7DBE565E"/>
    <w:rsid w:val="7DC26844"/>
    <w:rsid w:val="7DDF2F52"/>
    <w:rsid w:val="7EFF2F10"/>
    <w:rsid w:val="7F2037D3"/>
    <w:rsid w:val="7F2903A8"/>
    <w:rsid w:val="7F8C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12" w:lineRule="atLeast"/>
      <w:ind w:firstLine="420"/>
      <w:textAlignment w:val="baseline"/>
    </w:pPr>
    <w:rPr>
      <w:color w:val="auto"/>
      <w:kern w:val="2"/>
    </w:rPr>
  </w:style>
  <w:style w:type="paragraph" w:styleId="6">
    <w:name w:val="annotation text"/>
    <w:basedOn w:val="1"/>
    <w:qFormat/>
    <w:uiPriority w:val="0"/>
    <w:pPr>
      <w:jc w:val="left"/>
    </w:pPr>
    <w:rPr>
      <w:color w:val="auto"/>
      <w:kern w:val="2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styleId="8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9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Normal Indent1"/>
    <w:basedOn w:val="1"/>
    <w:qFormat/>
    <w:uiPriority w:val="0"/>
    <w:pPr>
      <w:ind w:firstLine="420"/>
    </w:pPr>
    <w:rPr>
      <w:rFonts w:eastAsia="FangSong_GB2312"/>
      <w:sz w:val="24"/>
    </w:rPr>
  </w:style>
  <w:style w:type="paragraph" w:customStyle="1" w:styleId="15">
    <w:name w:val="List Paragraph"/>
    <w:basedOn w:val="1"/>
    <w:qFormat/>
    <w:uiPriority w:val="99"/>
    <w:pPr>
      <w:ind w:left="495" w:firstLine="211"/>
    </w:pPr>
    <w:rPr>
      <w:rFonts w:ascii="宋体" w:hAnsi="宋体" w:cs="宋体"/>
      <w:lang w:val="zh-CN" w:bidi="zh-CN"/>
    </w:rPr>
  </w:style>
  <w:style w:type="character" w:customStyle="1" w:styleId="16">
    <w:name w:val="font9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7">
    <w:name w:val="font10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8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112"/>
    <w:basedOn w:val="13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20">
    <w:name w:val="font2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2">
    <w:name w:val="font1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3">
    <w:name w:val="font8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2822</Words>
  <Characters>3040</Characters>
  <Lines>0</Lines>
  <Paragraphs>0</Paragraphs>
  <TotalTime>12</TotalTime>
  <ScaleCrop>false</ScaleCrop>
  <LinksUpToDate>false</LinksUpToDate>
  <CharactersWithSpaces>3194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翟海燕</cp:lastModifiedBy>
  <cp:lastPrinted>2026-01-13T08:37:00Z</cp:lastPrinted>
  <dcterms:modified xsi:type="dcterms:W3CDTF">2026-06-25T04:11:39Z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eyJoZGlkIjoiY2U0M2I3NWQxMmQ0YmFkY2M0ZTQ5ZmI1YmVkM2MyMTMiLCJ1c2VySWQiOiI1ODY0NTI4OTAifQ==</vt:lpwstr>
  </property>
  <property fmtid="{D5CDD505-2E9C-101B-9397-08002B2CF9AE}" pid="4" name="ICV">
    <vt:lpwstr>AC08B15DEC824E5996F0D7D741009FFB_12</vt:lpwstr>
  </property>
</Properties>
</file>