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2"/>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HNC202302罐区及船舶发放VOC治理项目（二期船舶尾气治理）电仪设备采购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45</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2026年7月10日上午10:30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2026年7月10日上午10:30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w:t>
      </w:r>
      <w:r>
        <w:rPr>
          <w:rFonts w:hint="eastAsia" w:ascii="方正仿宋简体" w:hAnsi="方正仿宋简体" w:eastAsia="方正仿宋简体" w:cs="方正仿宋简体"/>
          <w:kern w:val="2"/>
          <w:sz w:val="32"/>
          <w:szCs w:val="32"/>
          <w:lang w:val="en-US" w:eastAsia="zh-CN"/>
        </w:rPr>
        <w:t>以及</w:t>
      </w:r>
      <w:r>
        <w:rPr>
          <w:rFonts w:hint="eastAsia" w:ascii="方正仿宋简体" w:hAnsi="方正仿宋简体" w:eastAsia="方正仿宋简体" w:cs="方正仿宋简体"/>
          <w:b w:val="0"/>
          <w:bCs w:val="0"/>
          <w:kern w:val="2"/>
          <w:sz w:val="32"/>
          <w:szCs w:val="32"/>
          <w:lang w:val="en-US" w:eastAsia="zh-CN"/>
        </w:rPr>
        <w:t>仪表数据表</w:t>
      </w:r>
      <w:r>
        <w:rPr>
          <w:rFonts w:hint="eastAsia" w:ascii="方正仿宋简体" w:hAnsi="方正仿宋简体" w:eastAsia="方正仿宋简体" w:cs="方正仿宋简体"/>
          <w:kern w:val="2"/>
          <w:sz w:val="32"/>
          <w:szCs w:val="32"/>
        </w:rPr>
        <w:t>要求</w:t>
      </w:r>
      <w:r>
        <w:rPr>
          <w:rFonts w:hint="eastAsia" w:ascii="方正仿宋简体" w:hAnsi="方正仿宋简体" w:eastAsia="方正仿宋简体" w:cs="方正仿宋简体"/>
          <w:kern w:val="1"/>
          <w:sz w:val="32"/>
          <w:szCs w:val="32"/>
        </w:rPr>
        <w:t>，不符合比选文书要求的按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b/>
          <w:bCs/>
          <w:kern w:val="1"/>
          <w:sz w:val="32"/>
          <w:szCs w:val="32"/>
          <w:highlight w:val="yellow"/>
          <w:u w:val="single"/>
          <w:lang w:val="en-US" w:eastAsia="zh-CN"/>
        </w:rPr>
        <w:t>合同签订生效后，货到现场验收合格且收到</w:t>
      </w:r>
      <w:r>
        <w:rPr>
          <w:rFonts w:hint="eastAsia" w:ascii="方正仿宋简体" w:hAnsi="方正仿宋简体" w:eastAsia="方正仿宋简体" w:cs="方正仿宋简体"/>
          <w:b/>
          <w:bCs/>
          <w:color w:val="FF0000"/>
          <w:kern w:val="1"/>
          <w:sz w:val="32"/>
          <w:szCs w:val="32"/>
          <w:highlight w:val="yellow"/>
          <w:u w:val="single"/>
          <w:lang w:val="en-US" w:eastAsia="zh-CN"/>
        </w:rPr>
        <w:t>全额</w:t>
      </w:r>
      <w:r>
        <w:rPr>
          <w:rFonts w:hint="eastAsia" w:ascii="方正仿宋简体" w:hAnsi="方正仿宋简体" w:eastAsia="方正仿宋简体" w:cs="方正仿宋简体"/>
          <w:b/>
          <w:bCs/>
          <w:kern w:val="1"/>
          <w:sz w:val="32"/>
          <w:szCs w:val="32"/>
          <w:highlight w:val="yellow"/>
          <w:u w:val="single"/>
          <w:lang w:val="en-US" w:eastAsia="zh-CN"/>
        </w:rPr>
        <w:t>增值税专用发票后60日内以银行承兑方式付90%，10%质保金在使</w:t>
      </w:r>
      <w:r>
        <w:rPr>
          <w:rFonts w:hint="eastAsia" w:ascii="方正仿宋简体" w:hAnsi="方正仿宋简体" w:eastAsia="方正仿宋简体" w:cs="方正仿宋简体"/>
          <w:b/>
          <w:bCs/>
          <w:kern w:val="1"/>
          <w:sz w:val="32"/>
          <w:szCs w:val="32"/>
          <w:highlight w:val="yellow"/>
          <w:u w:val="single"/>
        </w:rPr>
        <w:t>用12个月或者货到18个月</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rPr>
        <w:t>先到为准</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lang w:val="en-US" w:eastAsia="zh-CN"/>
        </w:rPr>
        <w:t>，30日内以银行承兑方式一次性付清</w:t>
      </w:r>
      <w:r>
        <w:rPr>
          <w:rFonts w:hint="eastAsia" w:ascii="方正仿宋简体" w:hAnsi="方正仿宋简体" w:eastAsia="方正仿宋简体" w:cs="方正仿宋简体"/>
          <w:b/>
          <w:bCs/>
          <w:kern w:val="1"/>
          <w:sz w:val="32"/>
          <w:szCs w:val="32"/>
          <w:highlight w:val="yellow"/>
          <w:u w:val="single"/>
        </w:rPr>
        <w:t>。</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pPr w:leftFromText="180" w:rightFromText="180" w:vertAnchor="text" w:horzAnchor="page" w:tblpX="794" w:tblpY="611"/>
        <w:tblOverlap w:val="never"/>
        <w:tblW w:w="617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092"/>
        <w:gridCol w:w="2675"/>
        <w:gridCol w:w="1975"/>
        <w:gridCol w:w="550"/>
        <w:gridCol w:w="498"/>
        <w:gridCol w:w="1025"/>
        <w:gridCol w:w="1054"/>
        <w:gridCol w:w="987"/>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320" w:type="pct"/>
            <w:vAlign w:val="center"/>
          </w:tcPr>
          <w:p w14:paraId="5A670995">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518" w:type="pct"/>
            <w:vAlign w:val="center"/>
          </w:tcPr>
          <w:p w14:paraId="3DE77E35">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270" w:type="pct"/>
            <w:vAlign w:val="center"/>
          </w:tcPr>
          <w:p w14:paraId="74E1925D">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规格型号</w:t>
            </w:r>
          </w:p>
        </w:tc>
        <w:tc>
          <w:tcPr>
            <w:tcW w:w="937" w:type="pct"/>
            <w:vAlign w:val="center"/>
          </w:tcPr>
          <w:p w14:paraId="5191DAAE">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kern w:val="0"/>
                <w:sz w:val="16"/>
                <w:szCs w:val="16"/>
                <w:u w:val="none"/>
                <w:lang w:val="en-US" w:eastAsia="zh-CN" w:bidi="ar"/>
              </w:rPr>
            </w:pPr>
            <w:r>
              <w:rPr>
                <w:rFonts w:hint="eastAsia" w:ascii="方正仿宋简体" w:hAnsi="方正仿宋简体" w:eastAsia="方正仿宋简体" w:cs="方正仿宋简体"/>
                <w:szCs w:val="21"/>
                <w:lang w:val="en-US" w:eastAsia="zh-CN"/>
              </w:rPr>
              <w:t>品牌要求</w:t>
            </w:r>
          </w:p>
          <w:p w14:paraId="0CB8F532">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w:t>
            </w:r>
            <w:r>
              <w:rPr>
                <w:rFonts w:hint="eastAsia" w:ascii="宋体" w:hAnsi="宋体" w:eastAsia="宋体" w:cs="宋体"/>
                <w:b/>
                <w:bCs/>
                <w:i w:val="0"/>
                <w:iCs w:val="0"/>
                <w:color w:val="FF0000"/>
                <w:kern w:val="0"/>
                <w:sz w:val="16"/>
                <w:szCs w:val="16"/>
                <w:u w:val="none"/>
                <w:lang w:val="en-US" w:eastAsia="zh-CN" w:bidi="ar"/>
              </w:rPr>
              <w:t>三选一</w:t>
            </w:r>
            <w:r>
              <w:rPr>
                <w:rFonts w:hint="eastAsia" w:ascii="宋体" w:hAnsi="宋体" w:eastAsia="宋体" w:cs="宋体"/>
                <w:i w:val="0"/>
                <w:iCs w:val="0"/>
                <w:color w:val="000000"/>
                <w:kern w:val="0"/>
                <w:sz w:val="16"/>
                <w:szCs w:val="16"/>
                <w:u w:val="none"/>
                <w:lang w:val="en-US" w:eastAsia="zh-CN" w:bidi="ar"/>
              </w:rPr>
              <w:t>）</w:t>
            </w:r>
          </w:p>
        </w:tc>
        <w:tc>
          <w:tcPr>
            <w:tcW w:w="261" w:type="pct"/>
            <w:vAlign w:val="center"/>
          </w:tcPr>
          <w:p w14:paraId="2EA338EF">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36" w:type="pct"/>
            <w:vAlign w:val="center"/>
          </w:tcPr>
          <w:p w14:paraId="46CC0463">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86" w:type="pct"/>
            <w:vAlign w:val="center"/>
          </w:tcPr>
          <w:p w14:paraId="1BD12275">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500" w:type="pct"/>
            <w:vAlign w:val="center"/>
          </w:tcPr>
          <w:p w14:paraId="4123A9D6">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8" w:type="pct"/>
            <w:vAlign w:val="center"/>
          </w:tcPr>
          <w:p w14:paraId="10374D96">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2D17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130686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w:t>
            </w:r>
          </w:p>
        </w:tc>
        <w:tc>
          <w:tcPr>
            <w:tcW w:w="518" w:type="pct"/>
            <w:vAlign w:val="center"/>
          </w:tcPr>
          <w:p w14:paraId="5B1A30A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压力表</w:t>
            </w:r>
          </w:p>
        </w:tc>
        <w:tc>
          <w:tcPr>
            <w:tcW w:w="1270" w:type="pct"/>
            <w:vAlign w:val="center"/>
          </w:tcPr>
          <w:p w14:paraId="2F00555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IP56 刻度范围：0-0.4MPa 测温元件316L弹簧管 精度±1.6% 耐震、带红色可调指针 附数据表</w:t>
            </w:r>
          </w:p>
        </w:tc>
        <w:tc>
          <w:tcPr>
            <w:tcW w:w="937" w:type="pct"/>
            <w:vAlign w:val="center"/>
          </w:tcPr>
          <w:p w14:paraId="7B7FB0A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品牌要求：川仪、上自仪、深圳万讯（三选一）</w:t>
            </w:r>
          </w:p>
        </w:tc>
        <w:tc>
          <w:tcPr>
            <w:tcW w:w="261" w:type="pct"/>
            <w:vAlign w:val="center"/>
          </w:tcPr>
          <w:p w14:paraId="000494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2A1DA1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486" w:type="pct"/>
            <w:vAlign w:val="center"/>
          </w:tcPr>
          <w:p w14:paraId="0BB9D881">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2F8639FB">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13D402BE">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7747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109319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w:t>
            </w:r>
          </w:p>
        </w:tc>
        <w:tc>
          <w:tcPr>
            <w:tcW w:w="518" w:type="pct"/>
            <w:vAlign w:val="center"/>
          </w:tcPr>
          <w:p w14:paraId="0D83CDF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压力表</w:t>
            </w:r>
          </w:p>
        </w:tc>
        <w:tc>
          <w:tcPr>
            <w:tcW w:w="1270" w:type="pct"/>
            <w:vAlign w:val="center"/>
          </w:tcPr>
          <w:p w14:paraId="4C1558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IP56刻度范围：0-1MPa 测温元件316L弹簧管 精度±1.6% 耐震、带红色可调指针 附数据表</w:t>
            </w:r>
          </w:p>
        </w:tc>
        <w:tc>
          <w:tcPr>
            <w:tcW w:w="937" w:type="pct"/>
            <w:vAlign w:val="center"/>
          </w:tcPr>
          <w:p w14:paraId="2B2E7AA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 xml:space="preserve"> 品牌要求：川仪、上自仪、深圳万讯（三选一）</w:t>
            </w:r>
          </w:p>
        </w:tc>
        <w:tc>
          <w:tcPr>
            <w:tcW w:w="261" w:type="pct"/>
            <w:vAlign w:val="center"/>
          </w:tcPr>
          <w:p w14:paraId="62FBA4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07FFB5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86" w:type="pct"/>
            <w:vAlign w:val="center"/>
          </w:tcPr>
          <w:p w14:paraId="3F16D592">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765029BA">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3AB4DAE2">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7EFF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6607F6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w:t>
            </w:r>
          </w:p>
        </w:tc>
        <w:tc>
          <w:tcPr>
            <w:tcW w:w="518" w:type="pct"/>
            <w:vAlign w:val="center"/>
          </w:tcPr>
          <w:p w14:paraId="7C5CDED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转子流量计</w:t>
            </w:r>
          </w:p>
        </w:tc>
        <w:tc>
          <w:tcPr>
            <w:tcW w:w="1270" w:type="pct"/>
            <w:vAlign w:val="center"/>
          </w:tcPr>
          <w:p w14:paraId="67AB6BE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ExdⅡBT4 IP65 测量范围：0.3-3m3/h 精度±1.5% 测量管316L 输出信号4-20mA+HART 底进侧出，线性刻度 附数据表</w:t>
            </w:r>
          </w:p>
        </w:tc>
        <w:tc>
          <w:tcPr>
            <w:tcW w:w="937" w:type="pct"/>
            <w:vAlign w:val="center"/>
          </w:tcPr>
          <w:p w14:paraId="5A16770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品牌要求：川仪、上自仪、深圳万讯（三选一）</w:t>
            </w:r>
          </w:p>
        </w:tc>
        <w:tc>
          <w:tcPr>
            <w:tcW w:w="261" w:type="pct"/>
            <w:vAlign w:val="center"/>
          </w:tcPr>
          <w:p w14:paraId="4D775D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4CF0A5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486" w:type="pct"/>
            <w:vAlign w:val="center"/>
          </w:tcPr>
          <w:p w14:paraId="26CF24F1">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18F90D1B">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19015096">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6BDA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5C1351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518" w:type="pct"/>
            <w:vAlign w:val="center"/>
          </w:tcPr>
          <w:p w14:paraId="2CE6BA9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电磁流量计</w:t>
            </w:r>
          </w:p>
        </w:tc>
        <w:tc>
          <w:tcPr>
            <w:tcW w:w="1270" w:type="pct"/>
            <w:vAlign w:val="center"/>
          </w:tcPr>
          <w:p w14:paraId="441D7DE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ExdⅡBT4 IP65</w:t>
            </w:r>
            <w:r>
              <w:rPr>
                <w:rFonts w:hint="eastAsia" w:ascii="宋体" w:hAnsi="宋体" w:cs="宋体"/>
                <w:i w:val="0"/>
                <w:iCs w:val="0"/>
                <w:color w:val="000000"/>
                <w:kern w:val="0"/>
                <w:sz w:val="16"/>
                <w:szCs w:val="16"/>
                <w:u w:val="none"/>
                <w:lang w:val="en-US" w:eastAsia="zh-CN" w:bidi="ar"/>
              </w:rPr>
              <w:t xml:space="preserve"> </w:t>
            </w:r>
            <w:r>
              <w:rPr>
                <w:rFonts w:hint="eastAsia" w:ascii="宋体" w:hAnsi="宋体" w:eastAsia="宋体" w:cs="宋体"/>
                <w:i w:val="0"/>
                <w:iCs w:val="0"/>
                <w:color w:val="000000"/>
                <w:kern w:val="0"/>
                <w:sz w:val="16"/>
                <w:szCs w:val="16"/>
                <w:u w:val="none"/>
                <w:lang w:val="en-US" w:eastAsia="zh-CN" w:bidi="ar"/>
              </w:rPr>
              <w:t xml:space="preserve"> 1-1/2" 测量范围：0-10m3/h 本体304SS 电极316L 输出信号4-20mA+HART 一体式，带现场显示表 附数据表</w:t>
            </w:r>
          </w:p>
        </w:tc>
        <w:tc>
          <w:tcPr>
            <w:tcW w:w="937" w:type="pct"/>
            <w:vAlign w:val="center"/>
          </w:tcPr>
          <w:p w14:paraId="1674114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FF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品牌要求：川仪、上自仪、深圳万讯（三选一）</w:t>
            </w:r>
          </w:p>
        </w:tc>
        <w:tc>
          <w:tcPr>
            <w:tcW w:w="261" w:type="pct"/>
            <w:vAlign w:val="center"/>
          </w:tcPr>
          <w:p w14:paraId="4771B1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515ABB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86" w:type="pct"/>
            <w:vAlign w:val="center"/>
          </w:tcPr>
          <w:p w14:paraId="22F5382B">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7BB333AE">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4EB4A54F">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5AD5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7C69EA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518" w:type="pct"/>
            <w:vAlign w:val="center"/>
          </w:tcPr>
          <w:p w14:paraId="04E404E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电磁流量计</w:t>
            </w:r>
          </w:p>
        </w:tc>
        <w:tc>
          <w:tcPr>
            <w:tcW w:w="1270" w:type="pct"/>
            <w:vAlign w:val="center"/>
          </w:tcPr>
          <w:p w14:paraId="169FF69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ExdⅡBT4 IP65 </w:t>
            </w:r>
            <w:r>
              <w:rPr>
                <w:rFonts w:hint="eastAsia" w:ascii="宋体" w:hAnsi="宋体" w:cs="宋体"/>
                <w:i w:val="0"/>
                <w:iCs w:val="0"/>
                <w:color w:val="000000"/>
                <w:kern w:val="0"/>
                <w:sz w:val="16"/>
                <w:szCs w:val="16"/>
                <w:u w:val="none"/>
                <w:lang w:val="en-US" w:eastAsia="zh-CN" w:bidi="ar"/>
              </w:rPr>
              <w:t xml:space="preserve"> </w:t>
            </w:r>
            <w:r>
              <w:rPr>
                <w:rFonts w:hint="eastAsia" w:ascii="宋体" w:hAnsi="宋体" w:eastAsia="宋体" w:cs="宋体"/>
                <w:i w:val="0"/>
                <w:iCs w:val="0"/>
                <w:color w:val="000000"/>
                <w:kern w:val="0"/>
                <w:sz w:val="16"/>
                <w:szCs w:val="16"/>
                <w:u w:val="none"/>
                <w:lang w:val="en-US" w:eastAsia="zh-CN" w:bidi="ar"/>
              </w:rPr>
              <w:t>3/8" 测量范围：0-1m3/h 本体304SS 电极316L 输出信号4-20mA+HART 一体式，带现场显示表 附数据表</w:t>
            </w:r>
          </w:p>
        </w:tc>
        <w:tc>
          <w:tcPr>
            <w:tcW w:w="937" w:type="pct"/>
            <w:vAlign w:val="center"/>
          </w:tcPr>
          <w:p w14:paraId="7EB2DA7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FF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品牌要求：川仪、上自仪、深圳万讯（三选一）</w:t>
            </w:r>
          </w:p>
        </w:tc>
        <w:tc>
          <w:tcPr>
            <w:tcW w:w="261" w:type="pct"/>
            <w:vAlign w:val="center"/>
          </w:tcPr>
          <w:p w14:paraId="5120AA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270E8E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86" w:type="pct"/>
            <w:vAlign w:val="center"/>
          </w:tcPr>
          <w:p w14:paraId="3B4C0894">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0B1B987F">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1D89DA89">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481F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766C7C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518" w:type="pct"/>
            <w:vAlign w:val="center"/>
          </w:tcPr>
          <w:p w14:paraId="38F706F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翻板液位计</w:t>
            </w:r>
          </w:p>
        </w:tc>
        <w:tc>
          <w:tcPr>
            <w:tcW w:w="1270" w:type="pct"/>
            <w:vAlign w:val="center"/>
          </w:tcPr>
          <w:p w14:paraId="7903F1E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IP65 侧装式 测量范围：0-2700mm 精度±5mm 浮子316L 本体316L 要附件 附数据表</w:t>
            </w:r>
          </w:p>
        </w:tc>
        <w:tc>
          <w:tcPr>
            <w:tcW w:w="937" w:type="pct"/>
            <w:vAlign w:val="center"/>
          </w:tcPr>
          <w:p w14:paraId="5DA57A6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FF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品牌要求：川仪、上自仪、深圳万讯（三选一）</w:t>
            </w:r>
          </w:p>
        </w:tc>
        <w:tc>
          <w:tcPr>
            <w:tcW w:w="261" w:type="pct"/>
            <w:vAlign w:val="center"/>
          </w:tcPr>
          <w:p w14:paraId="4CF68A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3E6F95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86" w:type="pct"/>
            <w:vAlign w:val="center"/>
          </w:tcPr>
          <w:p w14:paraId="37A352F7">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31496DEA">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47887DBE">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0601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61A928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w:t>
            </w:r>
          </w:p>
        </w:tc>
        <w:tc>
          <w:tcPr>
            <w:tcW w:w="518" w:type="pct"/>
            <w:vAlign w:val="center"/>
          </w:tcPr>
          <w:p w14:paraId="4F59CA9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雷达液位计</w:t>
            </w:r>
          </w:p>
        </w:tc>
        <w:tc>
          <w:tcPr>
            <w:tcW w:w="1270" w:type="pct"/>
            <w:vAlign w:val="center"/>
          </w:tcPr>
          <w:p w14:paraId="0B5BCBB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ExdⅡBT4 IP65 DN80 测量范围：0-2200mm 精度±5mm 输出信号4-20mA+HART 附数据表</w:t>
            </w:r>
          </w:p>
        </w:tc>
        <w:tc>
          <w:tcPr>
            <w:tcW w:w="937" w:type="pct"/>
            <w:vAlign w:val="center"/>
          </w:tcPr>
          <w:p w14:paraId="18133CF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FF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品牌要求：川仪、上自仪、深圳万讯（三选一）</w:t>
            </w:r>
          </w:p>
        </w:tc>
        <w:tc>
          <w:tcPr>
            <w:tcW w:w="261" w:type="pct"/>
            <w:vAlign w:val="center"/>
          </w:tcPr>
          <w:p w14:paraId="33A52D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311022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86" w:type="pct"/>
            <w:vAlign w:val="center"/>
          </w:tcPr>
          <w:p w14:paraId="04E2F6BF">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06AC4582">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540A6E81">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164B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38D2BD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518" w:type="pct"/>
            <w:vAlign w:val="center"/>
          </w:tcPr>
          <w:p w14:paraId="2475419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一体化温度变送器</w:t>
            </w:r>
          </w:p>
        </w:tc>
        <w:tc>
          <w:tcPr>
            <w:tcW w:w="1270" w:type="pct"/>
            <w:vAlign w:val="center"/>
          </w:tcPr>
          <w:p w14:paraId="0D0D7F9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ABB：TTH300 ExdⅡBT4测温范围：0-100℃ 热电阻测温元件 分度号Pt100 精度A级 输出信号4-20mA 附数据表</w:t>
            </w:r>
          </w:p>
        </w:tc>
        <w:tc>
          <w:tcPr>
            <w:tcW w:w="937" w:type="pct"/>
            <w:vAlign w:val="center"/>
          </w:tcPr>
          <w:p w14:paraId="4CB6BC2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FF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 品牌要求：川仪、上自仪、深圳万讯（三选一）</w:t>
            </w:r>
          </w:p>
        </w:tc>
        <w:tc>
          <w:tcPr>
            <w:tcW w:w="261" w:type="pct"/>
            <w:vAlign w:val="center"/>
          </w:tcPr>
          <w:p w14:paraId="0B6CE5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6674CE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86" w:type="pct"/>
            <w:vAlign w:val="center"/>
          </w:tcPr>
          <w:p w14:paraId="2AE237A3">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4028D27D">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062C6851">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1EF4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1745B6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518" w:type="pct"/>
            <w:vAlign w:val="center"/>
          </w:tcPr>
          <w:p w14:paraId="6940488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差压变送器（压力）</w:t>
            </w:r>
          </w:p>
        </w:tc>
        <w:tc>
          <w:tcPr>
            <w:tcW w:w="1270" w:type="pct"/>
            <w:vAlign w:val="center"/>
          </w:tcPr>
          <w:p w14:paraId="7CEDBFB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ExdⅡBT4 IP65 测量范围：-10-10kPa 测温元件316L 精度±0.1% 输出信号4-20mA+HART 附数据表</w:t>
            </w:r>
          </w:p>
        </w:tc>
        <w:tc>
          <w:tcPr>
            <w:tcW w:w="937" w:type="pct"/>
            <w:vAlign w:val="center"/>
          </w:tcPr>
          <w:p w14:paraId="1712F5D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FF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品牌要求：川仪、上自仪、深圳万讯（三选一）</w:t>
            </w:r>
          </w:p>
        </w:tc>
        <w:tc>
          <w:tcPr>
            <w:tcW w:w="261" w:type="pct"/>
            <w:vAlign w:val="center"/>
          </w:tcPr>
          <w:p w14:paraId="23704C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7218E3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86" w:type="pct"/>
            <w:vAlign w:val="center"/>
          </w:tcPr>
          <w:p w14:paraId="53BEADCC">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33239FE6">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352ACA85">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5DA7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3A0080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518" w:type="pct"/>
            <w:vAlign w:val="center"/>
          </w:tcPr>
          <w:p w14:paraId="748B199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差压变送器（压力）</w:t>
            </w:r>
          </w:p>
        </w:tc>
        <w:tc>
          <w:tcPr>
            <w:tcW w:w="1270" w:type="pct"/>
            <w:vAlign w:val="center"/>
          </w:tcPr>
          <w:p w14:paraId="57CB3D9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ExdⅡBT4 IP65 测量范围：0-10kPa 测温元件316L 精度±0.1% 输出信号4-20mA+HART 附数据表</w:t>
            </w:r>
          </w:p>
        </w:tc>
        <w:tc>
          <w:tcPr>
            <w:tcW w:w="937" w:type="pct"/>
            <w:vAlign w:val="center"/>
          </w:tcPr>
          <w:p w14:paraId="11A66CD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FF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品牌要求：川仪、上自仪、深圳万讯（三选一）</w:t>
            </w:r>
          </w:p>
        </w:tc>
        <w:tc>
          <w:tcPr>
            <w:tcW w:w="261" w:type="pct"/>
            <w:vAlign w:val="center"/>
          </w:tcPr>
          <w:p w14:paraId="7B7B32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778C58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86" w:type="pct"/>
            <w:vAlign w:val="center"/>
          </w:tcPr>
          <w:p w14:paraId="66132705">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72BD829C">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3244717F">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1386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5E0640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518" w:type="pct"/>
            <w:vAlign w:val="center"/>
          </w:tcPr>
          <w:p w14:paraId="42474DA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差压变送器（压力）</w:t>
            </w:r>
          </w:p>
        </w:tc>
        <w:tc>
          <w:tcPr>
            <w:tcW w:w="1270" w:type="pct"/>
            <w:vAlign w:val="center"/>
          </w:tcPr>
          <w:p w14:paraId="7A49149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ExdⅡBT4 IP65 测量范围：0-2kPa 测温元件316L 精度±0.1% 输出信号4-20mA+HART 附数据表</w:t>
            </w:r>
          </w:p>
        </w:tc>
        <w:tc>
          <w:tcPr>
            <w:tcW w:w="937" w:type="pct"/>
            <w:vAlign w:val="center"/>
          </w:tcPr>
          <w:p w14:paraId="7CC9215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FF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品牌要求：川仪、上自仪、深圳万讯（三选一）</w:t>
            </w:r>
          </w:p>
        </w:tc>
        <w:tc>
          <w:tcPr>
            <w:tcW w:w="261" w:type="pct"/>
            <w:vAlign w:val="center"/>
          </w:tcPr>
          <w:p w14:paraId="685303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3DD8E9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86" w:type="pct"/>
            <w:vAlign w:val="center"/>
          </w:tcPr>
          <w:p w14:paraId="423A501A">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63A5346E">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6B5442B5">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5ACB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7BE5FC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518" w:type="pct"/>
            <w:vAlign w:val="center"/>
          </w:tcPr>
          <w:p w14:paraId="6DAF9F8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压力变送器</w:t>
            </w:r>
          </w:p>
        </w:tc>
        <w:tc>
          <w:tcPr>
            <w:tcW w:w="1270" w:type="pct"/>
            <w:vAlign w:val="center"/>
          </w:tcPr>
          <w:p w14:paraId="249CAC7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ExdⅡBT4 IP65 测量范围：0-0.4MPa 测温元件316L 精度±0.1% 输出信号4-20mA+HART 附数据表</w:t>
            </w:r>
          </w:p>
        </w:tc>
        <w:tc>
          <w:tcPr>
            <w:tcW w:w="937" w:type="pct"/>
            <w:vAlign w:val="center"/>
          </w:tcPr>
          <w:p w14:paraId="0FEC175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FF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品牌要求：川仪、上自仪、深圳万讯（三选一）</w:t>
            </w:r>
          </w:p>
        </w:tc>
        <w:tc>
          <w:tcPr>
            <w:tcW w:w="261" w:type="pct"/>
            <w:vAlign w:val="center"/>
          </w:tcPr>
          <w:p w14:paraId="4E52FE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4BC71A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486" w:type="pct"/>
            <w:vAlign w:val="center"/>
          </w:tcPr>
          <w:p w14:paraId="52AD4CB5">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1E71A479">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4AF34E06">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4738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7A99BD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w:t>
            </w:r>
          </w:p>
        </w:tc>
        <w:tc>
          <w:tcPr>
            <w:tcW w:w="518" w:type="pct"/>
            <w:vAlign w:val="center"/>
          </w:tcPr>
          <w:p w14:paraId="31E35AC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差压变送器（液位）</w:t>
            </w:r>
          </w:p>
        </w:tc>
        <w:tc>
          <w:tcPr>
            <w:tcW w:w="1270" w:type="pct"/>
            <w:vAlign w:val="center"/>
          </w:tcPr>
          <w:p w14:paraId="4362D87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ExdⅡBT4 IP65 测量范围：0-26.57Kpa 测温元件316L 精度±0.1% 输出信号4-20mA+HART 双法兰 附数据表</w:t>
            </w:r>
          </w:p>
        </w:tc>
        <w:tc>
          <w:tcPr>
            <w:tcW w:w="937" w:type="pct"/>
            <w:vAlign w:val="center"/>
          </w:tcPr>
          <w:p w14:paraId="66C1837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FF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品牌要求：川仪、上自仪、深圳万讯（三选一）</w:t>
            </w:r>
          </w:p>
        </w:tc>
        <w:tc>
          <w:tcPr>
            <w:tcW w:w="261" w:type="pct"/>
            <w:vAlign w:val="center"/>
          </w:tcPr>
          <w:p w14:paraId="31EAEC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36" w:type="pct"/>
            <w:vAlign w:val="center"/>
          </w:tcPr>
          <w:p w14:paraId="31E484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86" w:type="pct"/>
            <w:vAlign w:val="center"/>
          </w:tcPr>
          <w:p w14:paraId="0D933A4B">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57E5CF30">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1D2050E7">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9"/>
            <w:vAlign w:val="center"/>
          </w:tcPr>
          <w:p w14:paraId="37DDFEC0">
            <w:pPr>
              <w:keepNext w:val="0"/>
              <w:keepLines w:val="0"/>
              <w:pageBreakBefore w:val="0"/>
              <w:widowControl/>
              <w:kinsoku/>
              <w:wordWrap/>
              <w:overflowPunct/>
              <w:topLinePunct w:val="0"/>
              <w:autoSpaceDE/>
              <w:autoSpaceDN/>
              <w:bidi w:val="0"/>
              <w:adjustRightInd/>
              <w:snapToGrid/>
              <w:spacing w:line="240" w:lineRule="auto"/>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655253A7">
      <w:pPr>
        <w:spacing w:line="600" w:lineRule="exact"/>
        <w:jc w:val="left"/>
        <w:rPr>
          <w:rFonts w:ascii="方正仿宋简体" w:hAnsi="方正仿宋简体" w:eastAsia="方正仿宋简体" w:cs="方正仿宋简体"/>
          <w:kern w:val="1"/>
          <w:sz w:val="32"/>
          <w:szCs w:val="32"/>
        </w:rPr>
      </w:pPr>
    </w:p>
    <w:p w14:paraId="4F64BCA6">
      <w:pPr>
        <w:spacing w:line="600" w:lineRule="exact"/>
        <w:jc w:val="left"/>
        <w:rPr>
          <w:rFonts w:hint="eastAsia" w:ascii="方正仿宋简体" w:hAnsi="方正仿宋简体" w:eastAsia="方正仿宋简体" w:cs="方正仿宋简体"/>
          <w:kern w:val="1"/>
          <w:sz w:val="32"/>
          <w:szCs w:val="32"/>
          <w:lang w:val="en-US" w:eastAsia="zh-CN"/>
        </w:rPr>
      </w:pPr>
    </w:p>
    <w:p w14:paraId="4039EC91">
      <w:pPr>
        <w:spacing w:line="600" w:lineRule="exact"/>
        <w:jc w:val="left"/>
        <w:rPr>
          <w:rFonts w:hint="eastAsia" w:ascii="方正仿宋简体" w:hAnsi="方正仿宋简体" w:eastAsia="方正仿宋简体" w:cs="方正仿宋简体"/>
          <w:kern w:val="1"/>
          <w:sz w:val="32"/>
          <w:szCs w:val="32"/>
          <w:lang w:val="en-US" w:eastAsia="zh-CN"/>
        </w:rPr>
      </w:pPr>
    </w:p>
    <w:p w14:paraId="2255B7A0">
      <w:pPr>
        <w:spacing w:line="600" w:lineRule="exact"/>
        <w:jc w:val="left"/>
        <w:rPr>
          <w:rFonts w:hint="eastAsia" w:ascii="方正仿宋简体" w:hAnsi="方正仿宋简体" w:eastAsia="方正仿宋简体" w:cs="方正仿宋简体"/>
          <w:kern w:val="1"/>
          <w:sz w:val="32"/>
          <w:szCs w:val="32"/>
          <w:lang w:val="en-US" w:eastAsia="zh-CN"/>
        </w:rPr>
      </w:pPr>
    </w:p>
    <w:p w14:paraId="75914BF5">
      <w:pPr>
        <w:spacing w:line="600" w:lineRule="exact"/>
        <w:jc w:val="left"/>
        <w:rPr>
          <w:rFonts w:hint="eastAsia" w:ascii="方正仿宋简体" w:hAnsi="方正仿宋简体" w:eastAsia="方正仿宋简体" w:cs="方正仿宋简体"/>
          <w:kern w:val="1"/>
          <w:sz w:val="32"/>
          <w:szCs w:val="32"/>
          <w:lang w:val="en-US" w:eastAsia="zh-CN"/>
        </w:rPr>
      </w:pPr>
    </w:p>
    <w:p w14:paraId="2E77D78D">
      <w:pPr>
        <w:spacing w:line="600" w:lineRule="exact"/>
        <w:jc w:val="left"/>
        <w:rPr>
          <w:rFonts w:hint="eastAsia" w:ascii="方正仿宋简体" w:hAnsi="方正仿宋简体" w:eastAsia="方正仿宋简体" w:cs="方正仿宋简体"/>
          <w:kern w:val="1"/>
          <w:sz w:val="32"/>
          <w:szCs w:val="32"/>
          <w:lang w:val="en-US" w:eastAsia="zh-CN"/>
        </w:rPr>
      </w:pPr>
    </w:p>
    <w:p w14:paraId="00C6545E">
      <w:pPr>
        <w:spacing w:line="600" w:lineRule="exact"/>
        <w:jc w:val="left"/>
        <w:rPr>
          <w:rFonts w:hint="eastAsia" w:ascii="方正仿宋简体" w:hAnsi="方正仿宋简体" w:eastAsia="方正仿宋简体" w:cs="方正仿宋简体"/>
          <w:kern w:val="1"/>
          <w:sz w:val="32"/>
          <w:szCs w:val="32"/>
          <w:lang w:val="en-US" w:eastAsia="zh-CN"/>
        </w:rPr>
      </w:pPr>
    </w:p>
    <w:p w14:paraId="7CCF4A48">
      <w:pPr>
        <w:spacing w:line="600" w:lineRule="exact"/>
        <w:jc w:val="left"/>
        <w:rPr>
          <w:rFonts w:hint="eastAsia" w:ascii="方正仿宋简体" w:hAnsi="方正仿宋简体" w:eastAsia="方正仿宋简体" w:cs="方正仿宋简体"/>
          <w:kern w:val="1"/>
          <w:sz w:val="32"/>
          <w:szCs w:val="32"/>
          <w:lang w:val="en-US" w:eastAsia="zh-CN"/>
        </w:rPr>
      </w:pPr>
    </w:p>
    <w:p w14:paraId="49F9C51E">
      <w:pPr>
        <w:spacing w:line="600" w:lineRule="exact"/>
        <w:jc w:val="left"/>
        <w:rPr>
          <w:rFonts w:hint="eastAsia" w:ascii="方正仿宋简体" w:hAnsi="方正仿宋简体" w:eastAsia="方正仿宋简体" w:cs="方正仿宋简体"/>
          <w:kern w:val="1"/>
          <w:sz w:val="32"/>
          <w:szCs w:val="32"/>
          <w:lang w:val="en-US" w:eastAsia="zh-CN"/>
        </w:rPr>
      </w:pPr>
    </w:p>
    <w:p w14:paraId="4FB03C86">
      <w:pPr>
        <w:spacing w:line="600" w:lineRule="exact"/>
        <w:jc w:val="left"/>
        <w:rPr>
          <w:rFonts w:hint="eastAsia" w:ascii="方正仿宋简体" w:hAnsi="方正仿宋简体" w:eastAsia="方正仿宋简体" w:cs="方正仿宋简体"/>
          <w:kern w:val="1"/>
          <w:sz w:val="32"/>
          <w:szCs w:val="32"/>
          <w:lang w:val="en-US" w:eastAsia="zh-CN"/>
        </w:rPr>
      </w:pPr>
    </w:p>
    <w:p w14:paraId="0450D3F9">
      <w:pPr>
        <w:spacing w:line="600" w:lineRule="exact"/>
        <w:jc w:val="left"/>
        <w:rPr>
          <w:rFonts w:hint="eastAsia" w:ascii="方正仿宋简体" w:hAnsi="方正仿宋简体" w:eastAsia="方正仿宋简体" w:cs="方正仿宋简体"/>
          <w:kern w:val="1"/>
          <w:sz w:val="32"/>
          <w:szCs w:val="32"/>
          <w:lang w:val="en-US" w:eastAsia="zh-CN"/>
        </w:rPr>
      </w:pPr>
    </w:p>
    <w:p w14:paraId="61620BD6">
      <w:pPr>
        <w:spacing w:line="600" w:lineRule="exact"/>
        <w:jc w:val="left"/>
        <w:rPr>
          <w:rFonts w:hint="eastAsia" w:ascii="方正仿宋简体" w:hAnsi="方正仿宋简体" w:eastAsia="方正仿宋简体" w:cs="方正仿宋简体"/>
          <w:kern w:val="1"/>
          <w:sz w:val="32"/>
          <w:szCs w:val="32"/>
          <w:lang w:val="en-US" w:eastAsia="zh-CN"/>
        </w:rPr>
      </w:pPr>
    </w:p>
    <w:p w14:paraId="51748600">
      <w:pPr>
        <w:spacing w:line="600" w:lineRule="exact"/>
        <w:jc w:val="left"/>
        <w:rPr>
          <w:rFonts w:hint="eastAsia" w:ascii="方正仿宋简体" w:hAnsi="方正仿宋简体" w:eastAsia="方正仿宋简体" w:cs="方正仿宋简体"/>
          <w:kern w:val="1"/>
          <w:sz w:val="32"/>
          <w:szCs w:val="32"/>
          <w:lang w:val="en-US" w:eastAsia="zh-CN"/>
        </w:rPr>
      </w:pPr>
    </w:p>
    <w:p w14:paraId="581976A0">
      <w:pPr>
        <w:spacing w:line="600" w:lineRule="exact"/>
        <w:jc w:val="left"/>
        <w:rPr>
          <w:rFonts w:hint="eastAsia" w:ascii="方正仿宋简体" w:hAnsi="方正仿宋简体" w:eastAsia="方正仿宋简体" w:cs="方正仿宋简体"/>
          <w:kern w:val="1"/>
          <w:sz w:val="32"/>
          <w:szCs w:val="32"/>
          <w:lang w:val="en-US" w:eastAsia="zh-CN"/>
        </w:rPr>
      </w:pPr>
    </w:p>
    <w:p w14:paraId="4122A6FE">
      <w:pPr>
        <w:spacing w:line="600" w:lineRule="exact"/>
        <w:jc w:val="left"/>
        <w:rPr>
          <w:rFonts w:hint="eastAsia" w:ascii="方正仿宋简体" w:hAnsi="方正仿宋简体" w:eastAsia="方正仿宋简体" w:cs="方正仿宋简体"/>
          <w:kern w:val="1"/>
          <w:sz w:val="32"/>
          <w:szCs w:val="32"/>
          <w:lang w:val="en-US" w:eastAsia="zh-CN"/>
        </w:rPr>
      </w:pPr>
      <w:r>
        <w:rPr>
          <w:rFonts w:hint="eastAsia" w:ascii="方正仿宋简体" w:hAnsi="方正仿宋简体" w:eastAsia="方正仿宋简体" w:cs="方正仿宋简体"/>
          <w:kern w:val="1"/>
          <w:sz w:val="32"/>
          <w:szCs w:val="32"/>
          <w:lang w:val="en-US" w:eastAsia="zh-CN"/>
        </w:rPr>
        <w:t>附：仪表数据表</w:t>
      </w:r>
    </w:p>
    <w:p w14:paraId="1ECF270F">
      <w:pPr>
        <w:spacing w:line="600" w:lineRule="exact"/>
        <w:jc w:val="left"/>
        <w:rPr>
          <w:rFonts w:hint="default" w:ascii="方正仿宋简体" w:hAnsi="方正仿宋简体" w:eastAsia="方正仿宋简体" w:cs="方正仿宋简体"/>
          <w:kern w:val="1"/>
          <w:sz w:val="32"/>
          <w:szCs w:val="32"/>
          <w:lang w:val="en-US" w:eastAsia="zh-CN"/>
        </w:rPr>
      </w:pPr>
    </w:p>
    <w:p w14:paraId="14CA1D5D">
      <w:pPr>
        <w:bidi w:val="0"/>
        <w:jc w:val="left"/>
      </w:pPr>
      <w:r>
        <w:drawing>
          <wp:inline distT="0" distB="0" distL="114300" distR="114300">
            <wp:extent cx="5550535" cy="8632825"/>
            <wp:effectExtent l="0" t="0" r="12065" b="158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5"/>
                    <a:stretch>
                      <a:fillRect/>
                    </a:stretch>
                  </pic:blipFill>
                  <pic:spPr>
                    <a:xfrm>
                      <a:off x="0" y="0"/>
                      <a:ext cx="5550535" cy="8632825"/>
                    </a:xfrm>
                    <a:prstGeom prst="rect">
                      <a:avLst/>
                    </a:prstGeom>
                    <a:noFill/>
                    <a:ln>
                      <a:noFill/>
                    </a:ln>
                  </pic:spPr>
                </pic:pic>
              </a:graphicData>
            </a:graphic>
          </wp:inline>
        </w:drawing>
      </w:r>
    </w:p>
    <w:p w14:paraId="39845585">
      <w:pPr>
        <w:bidi w:val="0"/>
        <w:jc w:val="left"/>
      </w:pPr>
      <w:r>
        <w:drawing>
          <wp:inline distT="0" distB="0" distL="114300" distR="114300">
            <wp:extent cx="5543550" cy="8553450"/>
            <wp:effectExtent l="0" t="0" r="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6"/>
                    <a:stretch>
                      <a:fillRect/>
                    </a:stretch>
                  </pic:blipFill>
                  <pic:spPr>
                    <a:xfrm>
                      <a:off x="0" y="0"/>
                      <a:ext cx="5543550" cy="8553450"/>
                    </a:xfrm>
                    <a:prstGeom prst="rect">
                      <a:avLst/>
                    </a:prstGeom>
                    <a:noFill/>
                    <a:ln>
                      <a:noFill/>
                    </a:ln>
                  </pic:spPr>
                </pic:pic>
              </a:graphicData>
            </a:graphic>
          </wp:inline>
        </w:drawing>
      </w:r>
    </w:p>
    <w:p w14:paraId="129538CF">
      <w:pPr>
        <w:bidi w:val="0"/>
        <w:jc w:val="left"/>
      </w:pPr>
      <w:r>
        <w:drawing>
          <wp:inline distT="0" distB="0" distL="114300" distR="114300">
            <wp:extent cx="5637530" cy="8594090"/>
            <wp:effectExtent l="0" t="0" r="1270" b="1651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7"/>
                    <a:stretch>
                      <a:fillRect/>
                    </a:stretch>
                  </pic:blipFill>
                  <pic:spPr>
                    <a:xfrm>
                      <a:off x="0" y="0"/>
                      <a:ext cx="5637530" cy="8594090"/>
                    </a:xfrm>
                    <a:prstGeom prst="rect">
                      <a:avLst/>
                    </a:prstGeom>
                    <a:noFill/>
                    <a:ln>
                      <a:noFill/>
                    </a:ln>
                  </pic:spPr>
                </pic:pic>
              </a:graphicData>
            </a:graphic>
          </wp:inline>
        </w:drawing>
      </w:r>
    </w:p>
    <w:p w14:paraId="0A53FDFE">
      <w:pPr>
        <w:bidi w:val="0"/>
        <w:jc w:val="left"/>
      </w:pPr>
      <w:r>
        <w:drawing>
          <wp:inline distT="0" distB="0" distL="114300" distR="114300">
            <wp:extent cx="5551805" cy="8724265"/>
            <wp:effectExtent l="0" t="0" r="10795" b="63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8"/>
                    <a:stretch>
                      <a:fillRect/>
                    </a:stretch>
                  </pic:blipFill>
                  <pic:spPr>
                    <a:xfrm>
                      <a:off x="0" y="0"/>
                      <a:ext cx="5551805" cy="8724265"/>
                    </a:xfrm>
                    <a:prstGeom prst="rect">
                      <a:avLst/>
                    </a:prstGeom>
                    <a:noFill/>
                    <a:ln>
                      <a:noFill/>
                    </a:ln>
                  </pic:spPr>
                </pic:pic>
              </a:graphicData>
            </a:graphic>
          </wp:inline>
        </w:drawing>
      </w:r>
    </w:p>
    <w:p w14:paraId="63403E02">
      <w:pPr>
        <w:bidi w:val="0"/>
        <w:jc w:val="left"/>
      </w:pPr>
      <w:r>
        <w:drawing>
          <wp:inline distT="0" distB="0" distL="114300" distR="114300">
            <wp:extent cx="5502910" cy="8570595"/>
            <wp:effectExtent l="0" t="0" r="2540" b="190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9"/>
                    <a:stretch>
                      <a:fillRect/>
                    </a:stretch>
                  </pic:blipFill>
                  <pic:spPr>
                    <a:xfrm>
                      <a:off x="0" y="0"/>
                      <a:ext cx="5502910" cy="8570595"/>
                    </a:xfrm>
                    <a:prstGeom prst="rect">
                      <a:avLst/>
                    </a:prstGeom>
                    <a:noFill/>
                    <a:ln>
                      <a:noFill/>
                    </a:ln>
                  </pic:spPr>
                </pic:pic>
              </a:graphicData>
            </a:graphic>
          </wp:inline>
        </w:drawing>
      </w:r>
    </w:p>
    <w:p w14:paraId="165C56E0">
      <w:pPr>
        <w:bidi w:val="0"/>
        <w:jc w:val="left"/>
      </w:pPr>
      <w:r>
        <w:drawing>
          <wp:inline distT="0" distB="0" distL="114300" distR="114300">
            <wp:extent cx="5501640" cy="8717915"/>
            <wp:effectExtent l="0" t="0" r="3810" b="698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0"/>
                    <a:stretch>
                      <a:fillRect/>
                    </a:stretch>
                  </pic:blipFill>
                  <pic:spPr>
                    <a:xfrm>
                      <a:off x="0" y="0"/>
                      <a:ext cx="5501640" cy="8717915"/>
                    </a:xfrm>
                    <a:prstGeom prst="rect">
                      <a:avLst/>
                    </a:prstGeom>
                    <a:noFill/>
                    <a:ln>
                      <a:noFill/>
                    </a:ln>
                  </pic:spPr>
                </pic:pic>
              </a:graphicData>
            </a:graphic>
          </wp:inline>
        </w:drawing>
      </w:r>
    </w:p>
    <w:p w14:paraId="118BC20F">
      <w:pPr>
        <w:bidi w:val="0"/>
        <w:jc w:val="left"/>
      </w:pPr>
      <w:r>
        <w:drawing>
          <wp:inline distT="0" distB="0" distL="114300" distR="114300">
            <wp:extent cx="5570220" cy="8657590"/>
            <wp:effectExtent l="0" t="0" r="11430" b="1016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a:stretch>
                      <a:fillRect/>
                    </a:stretch>
                  </pic:blipFill>
                  <pic:spPr>
                    <a:xfrm>
                      <a:off x="0" y="0"/>
                      <a:ext cx="5570220" cy="8657590"/>
                    </a:xfrm>
                    <a:prstGeom prst="rect">
                      <a:avLst/>
                    </a:prstGeom>
                    <a:noFill/>
                    <a:ln>
                      <a:noFill/>
                    </a:ln>
                  </pic:spPr>
                </pic:pic>
              </a:graphicData>
            </a:graphic>
          </wp:inline>
        </w:drawing>
      </w:r>
    </w:p>
    <w:p w14:paraId="095B3D58">
      <w:pPr>
        <w:bidi w:val="0"/>
        <w:jc w:val="left"/>
      </w:pPr>
      <w:r>
        <w:drawing>
          <wp:inline distT="0" distB="0" distL="114300" distR="114300">
            <wp:extent cx="5494655" cy="8681085"/>
            <wp:effectExtent l="0" t="0" r="10795" b="571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12"/>
                    <a:stretch>
                      <a:fillRect/>
                    </a:stretch>
                  </pic:blipFill>
                  <pic:spPr>
                    <a:xfrm>
                      <a:off x="0" y="0"/>
                      <a:ext cx="5494655" cy="8681085"/>
                    </a:xfrm>
                    <a:prstGeom prst="rect">
                      <a:avLst/>
                    </a:prstGeom>
                    <a:noFill/>
                    <a:ln>
                      <a:noFill/>
                    </a:ln>
                  </pic:spPr>
                </pic:pic>
              </a:graphicData>
            </a:graphic>
          </wp:inline>
        </w:drawing>
      </w:r>
    </w:p>
    <w:p w14:paraId="6FB1D66A">
      <w:pPr>
        <w:bidi w:val="0"/>
        <w:jc w:val="left"/>
      </w:pPr>
      <w:r>
        <w:drawing>
          <wp:inline distT="0" distB="0" distL="114300" distR="114300">
            <wp:extent cx="5541010" cy="8719185"/>
            <wp:effectExtent l="0" t="0" r="2540" b="5715"/>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13"/>
                    <a:stretch>
                      <a:fillRect/>
                    </a:stretch>
                  </pic:blipFill>
                  <pic:spPr>
                    <a:xfrm>
                      <a:off x="0" y="0"/>
                      <a:ext cx="5541010" cy="8719185"/>
                    </a:xfrm>
                    <a:prstGeom prst="rect">
                      <a:avLst/>
                    </a:prstGeom>
                    <a:noFill/>
                    <a:ln>
                      <a:noFill/>
                    </a:ln>
                  </pic:spPr>
                </pic:pic>
              </a:graphicData>
            </a:graphic>
          </wp:inline>
        </w:drawing>
      </w:r>
    </w:p>
    <w:p w14:paraId="1B3825CE">
      <w:pPr>
        <w:bidi w:val="0"/>
        <w:jc w:val="left"/>
      </w:pPr>
      <w:r>
        <w:drawing>
          <wp:inline distT="0" distB="0" distL="114300" distR="114300">
            <wp:extent cx="5440045" cy="8420735"/>
            <wp:effectExtent l="0" t="0" r="8255" b="18415"/>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14"/>
                    <a:stretch>
                      <a:fillRect/>
                    </a:stretch>
                  </pic:blipFill>
                  <pic:spPr>
                    <a:xfrm>
                      <a:off x="0" y="0"/>
                      <a:ext cx="5440045" cy="8420735"/>
                    </a:xfrm>
                    <a:prstGeom prst="rect">
                      <a:avLst/>
                    </a:prstGeom>
                    <a:noFill/>
                    <a:ln>
                      <a:noFill/>
                    </a:ln>
                  </pic:spPr>
                </pic:pic>
              </a:graphicData>
            </a:graphic>
          </wp:inline>
        </w:drawing>
      </w:r>
    </w:p>
    <w:p w14:paraId="3BAA98A7">
      <w:pPr>
        <w:bidi w:val="0"/>
        <w:jc w:val="left"/>
      </w:pPr>
    </w:p>
    <w:p w14:paraId="36C373FA">
      <w:pPr>
        <w:bidi w:val="0"/>
        <w:jc w:val="left"/>
      </w:pPr>
      <w:r>
        <w:drawing>
          <wp:inline distT="0" distB="0" distL="114300" distR="114300">
            <wp:extent cx="5567045" cy="8623300"/>
            <wp:effectExtent l="0" t="0" r="14605" b="6350"/>
            <wp:docPr id="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15"/>
                    <a:stretch>
                      <a:fillRect/>
                    </a:stretch>
                  </pic:blipFill>
                  <pic:spPr>
                    <a:xfrm>
                      <a:off x="0" y="0"/>
                      <a:ext cx="5567045" cy="8623300"/>
                    </a:xfrm>
                    <a:prstGeom prst="rect">
                      <a:avLst/>
                    </a:prstGeom>
                    <a:noFill/>
                    <a:ln>
                      <a:noFill/>
                    </a:ln>
                  </pic:spPr>
                </pic:pic>
              </a:graphicData>
            </a:graphic>
          </wp:inline>
        </w:drawing>
      </w:r>
    </w:p>
    <w:p w14:paraId="2EB85960">
      <w:pPr>
        <w:jc w:val="left"/>
        <w:rPr>
          <w:rFonts w:ascii="方正黑体_GBK" w:hAnsi="方正黑体_GBK" w:eastAsia="方正黑体_GBK" w:cs="方正黑体_GBK"/>
        </w:rPr>
      </w:pPr>
      <w:r>
        <w:rPr>
          <w:rFonts w:hint="eastAsia" w:ascii="方正仿宋简体" w:hAnsi="方正仿宋简体" w:eastAsia="方正仿宋简体" w:cs="方正仿宋简体"/>
          <w:kern w:val="1"/>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6"/>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0288"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1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6"/>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6"/>
      </w:pPr>
    </w:p>
    <w:p w14:paraId="7833CC61">
      <w:pPr>
        <w:pStyle w:val="7"/>
      </w:pPr>
    </w:p>
    <w:p w14:paraId="7634A609">
      <w:pPr>
        <w:pStyle w:val="7"/>
      </w:pPr>
    </w:p>
    <w:p w14:paraId="5CD2B0C3">
      <w:pPr>
        <w:pStyle w:val="7"/>
      </w:pPr>
    </w:p>
    <w:p w14:paraId="19D40EAC">
      <w:pPr>
        <w:pStyle w:val="7"/>
      </w:pPr>
    </w:p>
    <w:p w14:paraId="77438A30">
      <w:pPr>
        <w:pStyle w:val="7"/>
      </w:pPr>
    </w:p>
    <w:p w14:paraId="75194BFF">
      <w:pPr>
        <w:pStyle w:val="7"/>
      </w:pPr>
    </w:p>
    <w:p w14:paraId="66855984">
      <w:pPr>
        <w:pStyle w:val="7"/>
      </w:pPr>
    </w:p>
    <w:p w14:paraId="24C7FBBD">
      <w:pPr>
        <w:pStyle w:val="7"/>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395B7C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合同签订生效后，货到现场验收合格且收到全额增值税专用发票后60日内以银行承兑方式付90%，10%质保金在使用12个月或者货到18个月（先到为准），30日内以银行承兑方式一次性付清。</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28"/>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8"/>
        <w:ind w:firstLine="560" w:firstLineChars="200"/>
        <w:rPr>
          <w:color w:val="auto"/>
          <w:sz w:val="28"/>
          <w:szCs w:val="28"/>
        </w:rPr>
      </w:pPr>
      <w:r>
        <w:rPr>
          <w:rFonts w:hint="eastAsia"/>
          <w:color w:val="auto"/>
          <w:sz w:val="28"/>
          <w:szCs w:val="28"/>
        </w:rPr>
        <w:t>本授权书于______年____月____日起生效，特此声明。</w:t>
      </w:r>
    </w:p>
    <w:p w14:paraId="19DE24BA">
      <w:pPr>
        <w:pStyle w:val="28"/>
        <w:rPr>
          <w:color w:val="auto"/>
          <w:sz w:val="28"/>
          <w:szCs w:val="28"/>
        </w:rPr>
      </w:pPr>
      <w:r>
        <w:rPr>
          <w:rFonts w:hint="eastAsia"/>
          <w:color w:val="auto"/>
          <w:sz w:val="28"/>
          <w:szCs w:val="28"/>
        </w:rPr>
        <w:t xml:space="preserve">    代理人（被授权人）签字：_______________________</w:t>
      </w:r>
    </w:p>
    <w:p w14:paraId="320ECFD6">
      <w:pPr>
        <w:pStyle w:val="28"/>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8"/>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8"/>
        <w:ind w:firstLine="560" w:firstLineChars="200"/>
        <w:rPr>
          <w:color w:val="auto"/>
          <w:sz w:val="28"/>
          <w:szCs w:val="28"/>
        </w:rPr>
      </w:pPr>
      <w:r>
        <w:rPr>
          <w:rFonts w:hint="eastAsia"/>
          <w:color w:val="auto"/>
          <w:sz w:val="28"/>
          <w:szCs w:val="28"/>
        </w:rPr>
        <w:t>单位名称：_____________________________________</w:t>
      </w:r>
    </w:p>
    <w:p w14:paraId="4497ED6A">
      <w:pPr>
        <w:pStyle w:val="28"/>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8"/>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8"/>
        <w:rPr>
          <w:color w:val="auto"/>
          <w:sz w:val="28"/>
          <w:szCs w:val="28"/>
        </w:rPr>
      </w:pPr>
      <w:r>
        <w:rPr>
          <w:rFonts w:hint="eastAsia"/>
          <w:color w:val="auto"/>
          <w:sz w:val="28"/>
          <w:szCs w:val="28"/>
        </w:rPr>
        <w:t xml:space="preserve">    日期：   年   月   日</w:t>
      </w:r>
    </w:p>
    <w:p w14:paraId="26C26C12">
      <w:pPr>
        <w:pStyle w:val="28"/>
        <w:spacing w:line="440" w:lineRule="exact"/>
        <w:rPr>
          <w:color w:val="auto"/>
          <w:sz w:val="28"/>
          <w:szCs w:val="28"/>
        </w:rPr>
      </w:pPr>
      <w:r>
        <w:rPr>
          <w:rFonts w:hint="eastAsia"/>
          <w:color w:val="auto"/>
          <w:sz w:val="28"/>
          <w:szCs w:val="28"/>
        </w:rPr>
        <w:t xml:space="preserve">                </w:t>
      </w:r>
      <w:bookmarkStart w:id="0" w:name="_Hlt26955070"/>
      <w:bookmarkEnd w:id="0"/>
      <w:bookmarkStart w:id="1" w:name="_Hlt26671380"/>
      <w:bookmarkEnd w:id="1"/>
      <w:bookmarkStart w:id="2" w:name="_格式3__银行出具的资信证明"/>
      <w:bookmarkEnd w:id="2"/>
    </w:p>
    <w:p w14:paraId="0F47A750">
      <w:pPr>
        <w:pStyle w:val="4"/>
        <w:spacing w:line="440" w:lineRule="exact"/>
      </w:pPr>
    </w:p>
    <w:p w14:paraId="0605301D">
      <w:pPr>
        <w:pStyle w:val="4"/>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D652E"/>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3E4C4B"/>
    <w:rsid w:val="02D22031"/>
    <w:rsid w:val="05CA1940"/>
    <w:rsid w:val="05E10B55"/>
    <w:rsid w:val="06954854"/>
    <w:rsid w:val="08826623"/>
    <w:rsid w:val="09234933"/>
    <w:rsid w:val="09E67744"/>
    <w:rsid w:val="0BAB5E45"/>
    <w:rsid w:val="0CCD460E"/>
    <w:rsid w:val="0D8C7E40"/>
    <w:rsid w:val="0F2E3D3A"/>
    <w:rsid w:val="0FA864A5"/>
    <w:rsid w:val="0FEF2520"/>
    <w:rsid w:val="10940BB8"/>
    <w:rsid w:val="11E467E9"/>
    <w:rsid w:val="1294247C"/>
    <w:rsid w:val="12B010AA"/>
    <w:rsid w:val="13A43D78"/>
    <w:rsid w:val="1444244B"/>
    <w:rsid w:val="144753D2"/>
    <w:rsid w:val="14EA645D"/>
    <w:rsid w:val="17244882"/>
    <w:rsid w:val="18025D64"/>
    <w:rsid w:val="18927BC8"/>
    <w:rsid w:val="19181A3A"/>
    <w:rsid w:val="19770A42"/>
    <w:rsid w:val="19D131AD"/>
    <w:rsid w:val="1B253D73"/>
    <w:rsid w:val="1E366767"/>
    <w:rsid w:val="1E6C5CB0"/>
    <w:rsid w:val="203A606B"/>
    <w:rsid w:val="21337E6D"/>
    <w:rsid w:val="214C004F"/>
    <w:rsid w:val="21507B40"/>
    <w:rsid w:val="21621252"/>
    <w:rsid w:val="216E14AA"/>
    <w:rsid w:val="2181419D"/>
    <w:rsid w:val="225D796E"/>
    <w:rsid w:val="228A0257"/>
    <w:rsid w:val="2330653D"/>
    <w:rsid w:val="23AC3027"/>
    <w:rsid w:val="23D06D16"/>
    <w:rsid w:val="24651B54"/>
    <w:rsid w:val="24EC6623"/>
    <w:rsid w:val="26DA6AFE"/>
    <w:rsid w:val="27174C5C"/>
    <w:rsid w:val="272F4FB5"/>
    <w:rsid w:val="28317393"/>
    <w:rsid w:val="28CB3C3A"/>
    <w:rsid w:val="28FD2442"/>
    <w:rsid w:val="29957438"/>
    <w:rsid w:val="2A0C0919"/>
    <w:rsid w:val="2A98798D"/>
    <w:rsid w:val="2B8E5DE7"/>
    <w:rsid w:val="2BBD3669"/>
    <w:rsid w:val="2D892B23"/>
    <w:rsid w:val="2DD51314"/>
    <w:rsid w:val="2E16582B"/>
    <w:rsid w:val="2E4116FA"/>
    <w:rsid w:val="30C16302"/>
    <w:rsid w:val="31262BAF"/>
    <w:rsid w:val="3266422A"/>
    <w:rsid w:val="330F093A"/>
    <w:rsid w:val="34B12734"/>
    <w:rsid w:val="34E37CA8"/>
    <w:rsid w:val="359E47FF"/>
    <w:rsid w:val="35B72FCB"/>
    <w:rsid w:val="35DA3E68"/>
    <w:rsid w:val="36E674AE"/>
    <w:rsid w:val="370C4BC0"/>
    <w:rsid w:val="379A3E49"/>
    <w:rsid w:val="391E61C3"/>
    <w:rsid w:val="3EA439F0"/>
    <w:rsid w:val="3F3441A5"/>
    <w:rsid w:val="3F3D735A"/>
    <w:rsid w:val="40D519B8"/>
    <w:rsid w:val="416D2207"/>
    <w:rsid w:val="42615B77"/>
    <w:rsid w:val="43AC625C"/>
    <w:rsid w:val="43EC12FF"/>
    <w:rsid w:val="44366C11"/>
    <w:rsid w:val="44D426B2"/>
    <w:rsid w:val="44E509D4"/>
    <w:rsid w:val="454A5A23"/>
    <w:rsid w:val="46825CD1"/>
    <w:rsid w:val="48243709"/>
    <w:rsid w:val="48F66D24"/>
    <w:rsid w:val="4ADD1BA1"/>
    <w:rsid w:val="4B0853C3"/>
    <w:rsid w:val="4BA356C8"/>
    <w:rsid w:val="4C574A64"/>
    <w:rsid w:val="4C9D164C"/>
    <w:rsid w:val="4D711CAB"/>
    <w:rsid w:val="4DC0511E"/>
    <w:rsid w:val="4ED8205C"/>
    <w:rsid w:val="4F0022F6"/>
    <w:rsid w:val="4F670AE8"/>
    <w:rsid w:val="4FAC5BC3"/>
    <w:rsid w:val="4FC61FF0"/>
    <w:rsid w:val="50506965"/>
    <w:rsid w:val="50846203"/>
    <w:rsid w:val="50D47596"/>
    <w:rsid w:val="51E90CAA"/>
    <w:rsid w:val="52C27FEE"/>
    <w:rsid w:val="53277E51"/>
    <w:rsid w:val="538763B9"/>
    <w:rsid w:val="540463E4"/>
    <w:rsid w:val="54EA55DA"/>
    <w:rsid w:val="55DC546E"/>
    <w:rsid w:val="56C026EC"/>
    <w:rsid w:val="572A194D"/>
    <w:rsid w:val="579C3951"/>
    <w:rsid w:val="57F90679"/>
    <w:rsid w:val="596D6B7C"/>
    <w:rsid w:val="59906E06"/>
    <w:rsid w:val="59CA13D0"/>
    <w:rsid w:val="59ED3476"/>
    <w:rsid w:val="5AAA0620"/>
    <w:rsid w:val="5C917268"/>
    <w:rsid w:val="5CB112FB"/>
    <w:rsid w:val="5CEC747F"/>
    <w:rsid w:val="5D3970FE"/>
    <w:rsid w:val="5DDA4712"/>
    <w:rsid w:val="5F054B42"/>
    <w:rsid w:val="5F072ED8"/>
    <w:rsid w:val="6074277F"/>
    <w:rsid w:val="611E533D"/>
    <w:rsid w:val="62BB247B"/>
    <w:rsid w:val="62DB5DD2"/>
    <w:rsid w:val="64B42810"/>
    <w:rsid w:val="65103043"/>
    <w:rsid w:val="65183AA3"/>
    <w:rsid w:val="66202ABE"/>
    <w:rsid w:val="66266ED5"/>
    <w:rsid w:val="66441755"/>
    <w:rsid w:val="66CF713B"/>
    <w:rsid w:val="683F6E19"/>
    <w:rsid w:val="68961ACE"/>
    <w:rsid w:val="68BC1A6D"/>
    <w:rsid w:val="69831495"/>
    <w:rsid w:val="69C166FE"/>
    <w:rsid w:val="6AE467D8"/>
    <w:rsid w:val="6BD22052"/>
    <w:rsid w:val="6C272818"/>
    <w:rsid w:val="6CEC2323"/>
    <w:rsid w:val="6D9745DB"/>
    <w:rsid w:val="6E867C52"/>
    <w:rsid w:val="6E8B5CA1"/>
    <w:rsid w:val="6F5830D1"/>
    <w:rsid w:val="70560679"/>
    <w:rsid w:val="710B29FE"/>
    <w:rsid w:val="712900A2"/>
    <w:rsid w:val="726141AB"/>
    <w:rsid w:val="728370A4"/>
    <w:rsid w:val="7406451D"/>
    <w:rsid w:val="756A3232"/>
    <w:rsid w:val="75FE283B"/>
    <w:rsid w:val="77DF544D"/>
    <w:rsid w:val="782F54C8"/>
    <w:rsid w:val="783458C3"/>
    <w:rsid w:val="792B0055"/>
    <w:rsid w:val="7A1E0C67"/>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24"/>
    <w:autoRedefine/>
    <w:qFormat/>
    <w:uiPriority w:val="0"/>
    <w:pPr>
      <w:jc w:val="left"/>
    </w:pPr>
    <w:rPr>
      <w:rFonts w:ascii="Calibri" w:hAnsi="Calibri"/>
      <w:color w:val="FF0000"/>
    </w:rPr>
  </w:style>
  <w:style w:type="paragraph" w:styleId="6">
    <w:name w:val="Body Text"/>
    <w:basedOn w:val="1"/>
    <w:next w:val="7"/>
    <w:link w:val="27"/>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6"/>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5"/>
    <w:next w:val="5"/>
    <w:link w:val="38"/>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paragraph" w:customStyle="1" w:styleId="21">
    <w:name w:val="列出段落11"/>
    <w:basedOn w:val="1"/>
    <w:autoRedefine/>
    <w:qFormat/>
    <w:uiPriority w:val="99"/>
    <w:pPr>
      <w:ind w:firstLine="420" w:firstLineChars="200"/>
    </w:pPr>
  </w:style>
  <w:style w:type="paragraph" w:customStyle="1" w:styleId="22">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3">
    <w:name w:val="列出段落1"/>
    <w:basedOn w:val="1"/>
    <w:autoRedefine/>
    <w:qFormat/>
    <w:uiPriority w:val="34"/>
    <w:pPr>
      <w:ind w:firstLine="420" w:firstLineChars="200"/>
    </w:pPr>
  </w:style>
  <w:style w:type="character" w:customStyle="1" w:styleId="24">
    <w:name w:val="批注文字 字符"/>
    <w:basedOn w:val="18"/>
    <w:link w:val="5"/>
    <w:autoRedefine/>
    <w:qFormat/>
    <w:uiPriority w:val="0"/>
    <w:rPr>
      <w:rFonts w:ascii="Calibri" w:hAnsi="Calibri"/>
      <w:color w:val="FF0000"/>
      <w:kern w:val="2"/>
      <w:sz w:val="21"/>
    </w:rPr>
  </w:style>
  <w:style w:type="character" w:customStyle="1" w:styleId="25">
    <w:name w:val="标题 1 字符"/>
    <w:basedOn w:val="18"/>
    <w:link w:val="2"/>
    <w:autoRedefine/>
    <w:qFormat/>
    <w:uiPriority w:val="99"/>
    <w:rPr>
      <w:rFonts w:cs="Times New Roman"/>
      <w:kern w:val="44"/>
      <w:sz w:val="44"/>
    </w:rPr>
  </w:style>
  <w:style w:type="character" w:customStyle="1" w:styleId="26">
    <w:name w:val="批注框文本 字符"/>
    <w:basedOn w:val="18"/>
    <w:link w:val="9"/>
    <w:autoRedefine/>
    <w:qFormat/>
    <w:uiPriority w:val="0"/>
    <w:rPr>
      <w:rFonts w:ascii="Times New Roman" w:hAnsi="Times New Roman" w:cs="Times New Roman"/>
      <w:kern w:val="2"/>
      <w:sz w:val="18"/>
      <w:szCs w:val="18"/>
    </w:rPr>
  </w:style>
  <w:style w:type="character" w:customStyle="1" w:styleId="27">
    <w:name w:val="正文文本 字符"/>
    <w:basedOn w:val="18"/>
    <w:link w:val="6"/>
    <w:autoRedefine/>
    <w:qFormat/>
    <w:uiPriority w:val="99"/>
    <w:rPr>
      <w:rFonts w:ascii="Times New Roman" w:hAnsi="Times New Roman" w:cs="Times New Roman"/>
      <w:kern w:val="2"/>
      <w:sz w:val="21"/>
    </w:rPr>
  </w:style>
  <w:style w:type="paragraph" w:customStyle="1" w:styleId="28">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9">
    <w:name w:val="font31"/>
    <w:basedOn w:val="18"/>
    <w:qFormat/>
    <w:uiPriority w:val="0"/>
    <w:rPr>
      <w:rFonts w:hint="eastAsia" w:ascii="宋体" w:hAnsi="宋体" w:eastAsia="宋体" w:cs="宋体"/>
      <w:color w:val="FF0000"/>
      <w:sz w:val="16"/>
      <w:szCs w:val="16"/>
      <w:u w:val="none"/>
    </w:rPr>
  </w:style>
  <w:style w:type="character" w:customStyle="1" w:styleId="30">
    <w:name w:val="font21"/>
    <w:basedOn w:val="18"/>
    <w:qFormat/>
    <w:uiPriority w:val="0"/>
    <w:rPr>
      <w:rFonts w:hint="eastAsia" w:ascii="宋体" w:hAnsi="宋体" w:eastAsia="宋体" w:cs="宋体"/>
      <w:color w:val="000000"/>
      <w:sz w:val="16"/>
      <w:szCs w:val="16"/>
      <w:u w:val="none"/>
    </w:rPr>
  </w:style>
  <w:style w:type="character" w:customStyle="1" w:styleId="31">
    <w:name w:val="font01"/>
    <w:basedOn w:val="18"/>
    <w:qFormat/>
    <w:uiPriority w:val="0"/>
    <w:rPr>
      <w:rFonts w:hint="eastAsia" w:ascii="宋体" w:hAnsi="宋体" w:eastAsia="宋体" w:cs="宋体"/>
      <w:color w:val="000000"/>
      <w:sz w:val="24"/>
      <w:szCs w:val="24"/>
      <w:u w:val="none"/>
    </w:rPr>
  </w:style>
  <w:style w:type="character" w:customStyle="1" w:styleId="32">
    <w:name w:val="font61"/>
    <w:basedOn w:val="18"/>
    <w:qFormat/>
    <w:uiPriority w:val="0"/>
    <w:rPr>
      <w:rFonts w:hint="eastAsia" w:ascii="宋体" w:hAnsi="宋体" w:eastAsia="宋体" w:cs="宋体"/>
      <w:color w:val="000000"/>
      <w:sz w:val="20"/>
      <w:szCs w:val="20"/>
      <w:u w:val="none"/>
      <w:vertAlign w:val="superscript"/>
    </w:rPr>
  </w:style>
  <w:style w:type="character" w:customStyle="1" w:styleId="33">
    <w:name w:val="font91"/>
    <w:basedOn w:val="18"/>
    <w:qFormat/>
    <w:uiPriority w:val="0"/>
    <w:rPr>
      <w:rFonts w:hint="default" w:ascii="Times New Roman" w:hAnsi="Times New Roman" w:cs="Times New Roman"/>
      <w:color w:val="000000"/>
      <w:sz w:val="24"/>
      <w:szCs w:val="24"/>
      <w:u w:val="none"/>
    </w:rPr>
  </w:style>
  <w:style w:type="character" w:customStyle="1" w:styleId="34">
    <w:name w:val="font81"/>
    <w:basedOn w:val="18"/>
    <w:qFormat/>
    <w:uiPriority w:val="0"/>
    <w:rPr>
      <w:rFonts w:hint="eastAsia" w:ascii="宋体" w:hAnsi="宋体" w:eastAsia="宋体" w:cs="宋体"/>
      <w:color w:val="000000"/>
      <w:sz w:val="20"/>
      <w:szCs w:val="20"/>
      <w:u w:val="none"/>
      <w:vertAlign w:val="superscript"/>
    </w:rPr>
  </w:style>
  <w:style w:type="character" w:customStyle="1" w:styleId="35">
    <w:name w:val="font101"/>
    <w:basedOn w:val="18"/>
    <w:qFormat/>
    <w:uiPriority w:val="0"/>
    <w:rPr>
      <w:rFonts w:hint="eastAsia" w:ascii="宋体" w:hAnsi="宋体" w:eastAsia="宋体" w:cs="宋体"/>
      <w:color w:val="FF0000"/>
      <w:sz w:val="12"/>
      <w:szCs w:val="12"/>
      <w:u w:val="none"/>
    </w:rPr>
  </w:style>
  <w:style w:type="character" w:customStyle="1" w:styleId="36">
    <w:name w:val="font112"/>
    <w:basedOn w:val="18"/>
    <w:qFormat/>
    <w:uiPriority w:val="0"/>
    <w:rPr>
      <w:rFonts w:hint="eastAsia" w:ascii="宋体" w:hAnsi="宋体" w:eastAsia="宋体" w:cs="宋体"/>
      <w:color w:val="FF0000"/>
      <w:sz w:val="20"/>
      <w:szCs w:val="20"/>
      <w:u w:val="none"/>
    </w:rPr>
  </w:style>
  <w:style w:type="character" w:customStyle="1" w:styleId="37">
    <w:name w:val="font71"/>
    <w:basedOn w:val="18"/>
    <w:qFormat/>
    <w:uiPriority w:val="0"/>
    <w:rPr>
      <w:rFonts w:hint="eastAsia" w:ascii="宋体" w:hAnsi="宋体" w:eastAsia="宋体" w:cs="宋体"/>
      <w:color w:val="3366FF"/>
      <w:sz w:val="20"/>
      <w:szCs w:val="20"/>
      <w:u w:val="none"/>
    </w:rPr>
  </w:style>
  <w:style w:type="character" w:customStyle="1" w:styleId="38">
    <w:name w:val="批注主题 字符"/>
    <w:basedOn w:val="24"/>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36</Pages>
  <Words>8526</Words>
  <Characters>9232</Characters>
  <Lines>73</Lines>
  <Paragraphs>20</Paragraphs>
  <TotalTime>2</TotalTime>
  <ScaleCrop>false</ScaleCrop>
  <LinksUpToDate>false</LinksUpToDate>
  <CharactersWithSpaces>9867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2026-07-02T08:22:24Z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