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515963A7">
      <w:pPr>
        <w:numPr>
          <w:ilvl w:val="0"/>
          <w:numId w:val="1"/>
        </w:numPr>
        <w:spacing w:before="0" w:beforeAutospacing="1" w:after="0" w:afterAutospacing="1"/>
        <w:ind w:left="720" w:hanging="360"/>
      </w:pPr>
      <w:r>
        <w:rPr>
          <w:b/>
        </w:rPr>
        <w:t>项目名称</w:t>
      </w:r>
      <w:r>
        <w:t>：</w:t>
      </w:r>
      <w:r>
        <w:rPr>
          <w:rFonts w:hint="eastAsia"/>
          <w:lang w:val="en-US" w:eastAsia="zh-CN"/>
        </w:rPr>
        <w:t>脱硫石粉</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：2026年7月17</w:t>
      </w:r>
      <w:bookmarkStart w:id="0" w:name="_GoBack"/>
      <w:bookmarkEnd w:id="0"/>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4AEAFC4A">
      <w:pPr>
        <w:numPr>
          <w:ilvl w:val="0"/>
          <w:numId w:val="1"/>
        </w:numPr>
        <w:spacing w:before="0" w:beforeAutospacing="1" w:after="0" w:afterAutospacing="1"/>
        <w:ind w:left="720" w:hanging="360"/>
      </w:pPr>
      <w:r>
        <w:rPr>
          <w:rFonts w:hint="eastAsia"/>
          <w:b/>
          <w:bCs/>
          <w:lang w:val="en-US" w:eastAsia="zh-CN"/>
        </w:rPr>
        <w:t>交货时间：</w:t>
      </w:r>
      <w:r>
        <w:rPr>
          <w:rFonts w:hint="eastAsia"/>
          <w:b w:val="0"/>
          <w:bCs w:val="0"/>
          <w:lang w:val="en-US" w:eastAsia="zh-CN"/>
        </w:rPr>
        <w:t>2026年8月1日-2027年1月31日</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t>ww</w:t>
      </w:r>
      <w:r>
        <w:t>w.sopo.com.cn</w:t>
      </w:r>
    </w:p>
    <w:p w14:paraId="76821092">
      <w:pPr>
        <w:pStyle w:val="3"/>
      </w:pPr>
      <w:r>
        <w:t>二、采购内容及要求</w:t>
      </w:r>
    </w:p>
    <w:p w14:paraId="52B753BB">
      <w:pPr>
        <w:pStyle w:val="4"/>
      </w:pPr>
      <w:r>
        <w:t>（一）采购清单</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98"/>
        <w:gridCol w:w="1350"/>
        <w:gridCol w:w="3105"/>
        <w:gridCol w:w="1080"/>
        <w:gridCol w:w="108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98"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350"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105"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108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108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98" w:type="dxa"/>
            <w:tcMar>
              <w:left w:w="108" w:type="dxa"/>
              <w:right w:w="108" w:type="dxa"/>
            </w:tcMar>
            <w:vAlign w:val="center"/>
          </w:tcPr>
          <w:p w14:paraId="20F6AA68">
            <w:pPr>
              <w:snapToGrid w:val="0"/>
              <w:ind w:left="0" w:leftChars="0" w:right="0" w:rightChars="0" w:firstLine="0" w:firstLineChars="0"/>
              <w:jc w:val="center"/>
              <w:rPr>
                <w:rFonts w:hint="eastAsia"/>
                <w:sz w:val="21"/>
                <w:szCs w:val="21"/>
                <w:lang w:val="en-US" w:eastAsia="zh-CN"/>
              </w:rPr>
            </w:pPr>
            <w:r>
              <w:rPr>
                <w:rFonts w:hint="eastAsia"/>
                <w:sz w:val="21"/>
                <w:szCs w:val="21"/>
                <w:lang w:val="en-US" w:eastAsia="zh-CN"/>
              </w:rPr>
              <w:t>04020100000052</w:t>
            </w:r>
          </w:p>
        </w:tc>
        <w:tc>
          <w:tcPr>
            <w:tcW w:w="1350" w:type="dxa"/>
            <w:tcMar>
              <w:left w:w="108" w:type="dxa"/>
              <w:right w:w="108" w:type="dxa"/>
            </w:tcMar>
            <w:vAlign w:val="center"/>
          </w:tcPr>
          <w:p w14:paraId="73956F51">
            <w:pPr>
              <w:snapToGrid w:val="0"/>
              <w:ind w:left="0" w:leftChars="0" w:right="0" w:rightChars="0" w:firstLine="0" w:firstLineChars="0"/>
              <w:jc w:val="center"/>
              <w:rPr>
                <w:rFonts w:hint="eastAsia"/>
                <w:sz w:val="21"/>
                <w:szCs w:val="21"/>
                <w:lang w:val="en-US" w:eastAsia="zh-CN"/>
              </w:rPr>
            </w:pPr>
            <w:r>
              <w:rPr>
                <w:rFonts w:hint="eastAsia"/>
                <w:sz w:val="21"/>
                <w:szCs w:val="21"/>
                <w:lang w:val="en-US" w:eastAsia="zh-CN"/>
              </w:rPr>
              <w:t>脱硫石粉</w:t>
            </w:r>
          </w:p>
        </w:tc>
        <w:tc>
          <w:tcPr>
            <w:tcW w:w="3105" w:type="dxa"/>
            <w:tcMar>
              <w:left w:w="108" w:type="dxa"/>
              <w:right w:w="108" w:type="dxa"/>
            </w:tcMar>
            <w:vAlign w:val="center"/>
          </w:tcPr>
          <w:p w14:paraId="0003C06D">
            <w:pPr>
              <w:snapToGrid w:val="0"/>
              <w:ind w:left="0" w:leftChars="0" w:right="0" w:rightChars="0" w:firstLine="0" w:firstLineChars="0"/>
              <w:jc w:val="left"/>
              <w:rPr>
                <w:rFonts w:hint="eastAsia"/>
                <w:sz w:val="21"/>
                <w:szCs w:val="21"/>
                <w:lang w:val="en-US" w:eastAsia="zh-CN"/>
              </w:rPr>
            </w:pPr>
            <w:r>
              <w:rPr>
                <w:rFonts w:hint="eastAsia"/>
                <w:sz w:val="21"/>
                <w:szCs w:val="21"/>
                <w:lang w:val="en-US" w:eastAsia="zh-CN"/>
              </w:rPr>
              <w:t>碳酸钙含量≥92.0% ，水分＜1% ，粒度≥200目，氯离子＜0.3%。</w:t>
            </w:r>
          </w:p>
        </w:tc>
        <w:tc>
          <w:tcPr>
            <w:tcW w:w="1080" w:type="dxa"/>
            <w:tcMar>
              <w:left w:w="108" w:type="dxa"/>
              <w:right w:w="108" w:type="dxa"/>
            </w:tcMar>
            <w:vAlign w:val="center"/>
          </w:tcPr>
          <w:p w14:paraId="61E75E1D">
            <w:pPr>
              <w:snapToGrid w:val="0"/>
              <w:ind w:left="0" w:leftChars="0" w:right="0" w:rightChars="0" w:firstLine="0" w:firstLineChars="0"/>
              <w:jc w:val="center"/>
              <w:rPr>
                <w:rFonts w:hint="eastAsia"/>
                <w:sz w:val="21"/>
                <w:szCs w:val="21"/>
                <w:lang w:val="en-US" w:eastAsia="zh-CN"/>
              </w:rPr>
            </w:pPr>
            <w:r>
              <w:rPr>
                <w:rFonts w:hint="eastAsia"/>
                <w:sz w:val="21"/>
                <w:szCs w:val="21"/>
                <w:lang w:val="en-US" w:eastAsia="zh-CN"/>
              </w:rPr>
              <w:t>吨</w:t>
            </w:r>
          </w:p>
        </w:tc>
        <w:tc>
          <w:tcPr>
            <w:tcW w:w="1086" w:type="dxa"/>
            <w:tcMar>
              <w:left w:w="108" w:type="dxa"/>
              <w:right w:w="108" w:type="dxa"/>
            </w:tcMar>
            <w:vAlign w:val="center"/>
          </w:tcPr>
          <w:p w14:paraId="528F318D">
            <w:pPr>
              <w:snapToGrid w:val="0"/>
              <w:ind w:left="0" w:leftChars="0" w:right="0" w:rightChars="0" w:firstLine="0" w:firstLineChars="0"/>
              <w:jc w:val="center"/>
              <w:rPr>
                <w:rFonts w:hint="eastAsia"/>
                <w:sz w:val="21"/>
                <w:szCs w:val="21"/>
                <w:lang w:val="en-US" w:eastAsia="zh-CN"/>
              </w:rPr>
            </w:pPr>
            <w:r>
              <w:rPr>
                <w:rFonts w:hint="eastAsia"/>
                <w:sz w:val="21"/>
                <w:szCs w:val="21"/>
                <w:lang w:val="en-US" w:eastAsia="zh-CN"/>
              </w:rPr>
              <w:t>9000</w:t>
            </w:r>
          </w:p>
          <w:p w14:paraId="5B718136">
            <w:pPr>
              <w:snapToGrid w:val="0"/>
              <w:ind w:left="0" w:leftChars="0" w:right="0" w:rightChars="0" w:firstLine="0" w:firstLineChars="0"/>
              <w:jc w:val="center"/>
              <w:rPr>
                <w:rFonts w:hint="default"/>
                <w:sz w:val="21"/>
                <w:szCs w:val="21"/>
                <w:lang w:val="en-US" w:eastAsia="zh-CN"/>
              </w:rPr>
            </w:pPr>
            <w:r>
              <w:rPr>
                <w:rFonts w:hint="eastAsia"/>
                <w:sz w:val="21"/>
                <w:szCs w:val="21"/>
                <w:lang w:val="en-US" w:eastAsia="zh-CN"/>
              </w:rPr>
              <w:t>（预估）</w:t>
            </w:r>
          </w:p>
        </w:tc>
      </w:tr>
    </w:tbl>
    <w:p w14:paraId="3742BB0F">
      <w:pPr>
        <w:snapToGrid w:val="0"/>
        <w:ind w:left="0" w:leftChars="0" w:right="0" w:rightChars="0" w:firstLine="0" w:firstLineChars="0"/>
        <w:jc w:val="left"/>
        <w:rPr>
          <w:rFonts w:hint="eastAsia"/>
          <w:sz w:val="21"/>
          <w:szCs w:val="21"/>
          <w:lang w:val="en-US" w:eastAsia="zh-CN"/>
        </w:rPr>
      </w:pPr>
      <w:r>
        <w:rPr>
          <w:rFonts w:hint="eastAsia"/>
          <w:sz w:val="21"/>
          <w:szCs w:val="21"/>
          <w:lang w:val="en-US" w:eastAsia="zh-CN"/>
        </w:rPr>
        <w:t>注：一切以保供为原则，采购数量为预估数量，每月约600吨-1500吨，具体根据生产需求以每月实际供货数量结算，遇生产出现异常情况，使用量不在此范围内（有连续数天每天数车的可能）。</w:t>
      </w:r>
    </w:p>
    <w:p w14:paraId="3C06393A">
      <w:pPr>
        <w:pStyle w:val="4"/>
      </w:pPr>
      <w:r>
        <w:t>（二）技术及资质要求</w:t>
      </w:r>
    </w:p>
    <w:p w14:paraId="0C30BF3E">
      <w:pPr>
        <w:ind w:firstLine="422" w:firstLineChars="200"/>
        <w:rPr>
          <w:rFonts w:hint="eastAsia"/>
          <w:b w:val="0"/>
          <w:bCs/>
          <w:lang w:val="en-US" w:eastAsia="zh-CN"/>
        </w:rPr>
      </w:pPr>
      <w:r>
        <w:rPr>
          <w:rFonts w:hint="eastAsia"/>
          <w:b/>
          <w:lang w:val="en-US" w:eastAsia="zh-CN"/>
        </w:rPr>
        <w:t xml:space="preserve">1. </w:t>
      </w:r>
      <w:r>
        <w:rPr>
          <w:b/>
        </w:rPr>
        <w:t>技术标准</w:t>
      </w:r>
      <w:r>
        <w:t>：</w:t>
      </w:r>
      <w:r>
        <w:rPr>
          <w:rFonts w:hint="eastAsia"/>
          <w:b w:val="0"/>
          <w:bCs/>
          <w:lang w:val="en-US" w:eastAsia="zh-CN"/>
        </w:rPr>
        <w:t>标的物必须符合HG/T 2504-1993《化工用石灰石》：碳酸钙含量≥92.0% 、水分＜1% ，粒度≥200目，</w:t>
      </w:r>
      <w:r>
        <w:rPr>
          <w:rFonts w:hint="eastAsia"/>
          <w:sz w:val="21"/>
          <w:szCs w:val="21"/>
          <w:lang w:val="en-US" w:eastAsia="zh-CN"/>
        </w:rPr>
        <w:t>氯离子＜0.3%</w:t>
      </w:r>
      <w:r>
        <w:rPr>
          <w:rFonts w:hint="eastAsia"/>
          <w:b w:val="0"/>
          <w:bCs/>
          <w:lang w:val="en-US" w:eastAsia="zh-CN"/>
        </w:rPr>
        <w:t>。</w:t>
      </w:r>
    </w:p>
    <w:p w14:paraId="367CA4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2"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b/>
          <w:lang w:val="en-US" w:eastAsia="zh-CN"/>
        </w:rPr>
        <w:t>2. 运输要求</w:t>
      </w:r>
      <w:r>
        <w:rPr>
          <w:rFonts w:hint="eastAsia"/>
          <w:b w:val="0"/>
          <w:bCs/>
          <w:lang w:val="en-US" w:eastAsia="zh-CN"/>
        </w:rPr>
        <w:t>：</w:t>
      </w:r>
      <w:r>
        <w:rPr>
          <w:rFonts w:hint="eastAsia" w:ascii="Times New Roman" w:hAnsi="Times New Roman" w:eastAsia="宋体" w:cs="Times New Roman"/>
          <w:color w:val="000000"/>
          <w:sz w:val="21"/>
          <w:szCs w:val="24"/>
          <w:lang w:val="en-US" w:eastAsia="zh-CN" w:bidi="ar-SA"/>
        </w:rPr>
        <w:t>要求密封粉罐车运输（符合国五</w:t>
      </w:r>
      <w:r>
        <w:rPr>
          <w:rFonts w:hint="eastAsia" w:cs="Times New Roman"/>
          <w:color w:val="000000"/>
          <w:sz w:val="21"/>
          <w:szCs w:val="24"/>
          <w:lang w:val="en-US" w:eastAsia="zh-CN" w:bidi="ar-SA"/>
        </w:rPr>
        <w:t>及以上</w:t>
      </w:r>
      <w:r>
        <w:rPr>
          <w:rFonts w:hint="eastAsia" w:ascii="Times New Roman" w:hAnsi="Times New Roman" w:eastAsia="宋体" w:cs="Times New Roman"/>
          <w:color w:val="000000"/>
          <w:sz w:val="21"/>
          <w:szCs w:val="24"/>
          <w:lang w:val="en-US" w:eastAsia="zh-CN" w:bidi="ar-SA"/>
        </w:rPr>
        <w:t>标准），严禁超限超载（行驶证核定总质量），采购人在卸货过程中</w:t>
      </w:r>
      <w:r>
        <w:rPr>
          <w:rFonts w:hint="eastAsia" w:cs="Times New Roman"/>
          <w:color w:val="000000"/>
          <w:sz w:val="21"/>
          <w:szCs w:val="24"/>
          <w:lang w:val="en-US" w:eastAsia="zh-CN" w:bidi="ar-SA"/>
        </w:rPr>
        <w:t>取样</w:t>
      </w:r>
      <w:r>
        <w:rPr>
          <w:rFonts w:hint="eastAsia" w:ascii="Times New Roman" w:hAnsi="Times New Roman" w:eastAsia="宋体" w:cs="Times New Roman"/>
          <w:color w:val="000000"/>
          <w:sz w:val="21"/>
          <w:szCs w:val="24"/>
          <w:lang w:val="en-US" w:eastAsia="zh-CN" w:bidi="ar-SA"/>
        </w:rPr>
        <w:t>，每车必取样（成交人的送货人员必须无条件配合）。</w:t>
      </w:r>
    </w:p>
    <w:p w14:paraId="2126EE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2" w:firstLineChars="200"/>
        <w:jc w:val="left"/>
        <w:textAlignment w:val="auto"/>
        <w:outlineLvl w:val="9"/>
        <w:rPr>
          <w:rFonts w:hint="eastAsia"/>
          <w:b/>
          <w:lang w:val="en-US" w:eastAsia="zh-CN"/>
        </w:rPr>
      </w:pPr>
      <w:r>
        <w:rPr>
          <w:rFonts w:hint="eastAsia"/>
          <w:b/>
          <w:lang w:val="en-US" w:eastAsia="zh-CN"/>
        </w:rPr>
        <w:t>3. 质量验收要求：</w:t>
      </w:r>
    </w:p>
    <w:p w14:paraId="3F99630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default"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.1以当日所有送达的脱硫石粉作为一个检验批次，完成分析取样操作后，由采购人随机抽取样品开展该批次的分析检测工作。</w:t>
      </w:r>
    </w:p>
    <w:p w14:paraId="4870D3E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.2批次抽检结果：88.0%≤碳酸钙含量＜92.0%时，则考核脱硫石粉单价，该批次脱硫石粉以成交价的</w:t>
      </w:r>
      <w:r>
        <w:rPr>
          <w:rFonts w:hint="eastAsia" w:cs="Times New Roman"/>
          <w:color w:val="000000"/>
          <w:sz w:val="21"/>
          <w:szCs w:val="24"/>
          <w:lang w:val="en-US" w:eastAsia="zh-CN" w:bidi="ar-SA"/>
        </w:rPr>
        <w:t>8</w:t>
      </w:r>
      <w:r>
        <w:rPr>
          <w:rFonts w:hint="eastAsia" w:ascii="Times New Roman" w:hAnsi="Times New Roman" w:eastAsia="宋体" w:cs="Times New Roman"/>
          <w:color w:val="000000"/>
          <w:sz w:val="21"/>
          <w:szCs w:val="24"/>
          <w:lang w:val="en-US" w:eastAsia="zh-CN" w:bidi="ar-SA"/>
        </w:rPr>
        <w:t>0%单价开票结算。</w:t>
      </w:r>
    </w:p>
    <w:p w14:paraId="799923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default"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2.1在合同有效执行期间，对于抽检脱硫石粉的碳酸钙含量指标，出现含量88.0%≤碳酸钙含量＜92.0%的情况，累计允许出现的次数不得超过3次。当此类情况出现次数达到4次时，则视为供应商无履约能力，采购人有权无条件单方面终止本合同。</w:t>
      </w:r>
    </w:p>
    <w:p w14:paraId="02F0CB9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.3抽检分析结果碳酸钙含量≤88.0%时，按照如下情况处理：</w:t>
      </w:r>
    </w:p>
    <w:p w14:paraId="67B2618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.3.1第一次抽检不合格，已卸入生产装置内的脱硫石粉不结算不付款，并且根据已卸货的磅单重量计算的金额，处以3倍现金罚款（不扣合同保证金）。</w:t>
      </w:r>
    </w:p>
    <w:p w14:paraId="5F6C774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.3.2第二次抽检不合格，已卸入生产装置内的脱硫石粉不结算不付款，采购人有权无条件终止合同，并且扣除全部合同保证金。</w:t>
      </w:r>
    </w:p>
    <w:p w14:paraId="0CED983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default"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3.3若因成交人原因，直接导致采购人遭受其他实际损失（例如：因使用成交人不合格产品导致采购人生产设备损坏或导致采购人因尾气排放超标被政府主管部门处罚等），成交人应赔偿采购人因此遭受的全部直接损失（包括但不限于罚款、赔偿金等）。</w:t>
      </w:r>
    </w:p>
    <w:p w14:paraId="40236848">
      <w:pPr>
        <w:pStyle w:val="5"/>
        <w:numPr>
          <w:ilvl w:val="0"/>
          <w:numId w:val="0"/>
        </w:numPr>
        <w:spacing w:line="240" w:lineRule="auto"/>
        <w:ind w:firstLine="422" w:firstLineChars="200"/>
        <w:jc w:val="left"/>
        <w:rPr>
          <w:rFonts w:hint="eastAsia" w:cs="Times New Roman"/>
          <w:color w:val="000000"/>
          <w:sz w:val="21"/>
          <w:szCs w:val="24"/>
          <w:lang w:val="en-US" w:eastAsia="zh-CN" w:bidi="ar-SA"/>
        </w:rPr>
      </w:pPr>
      <w:r>
        <w:rPr>
          <w:rFonts w:hint="eastAsia"/>
          <w:b/>
          <w:lang w:val="en-US" w:eastAsia="zh-CN"/>
        </w:rPr>
        <w:t xml:space="preserve">4. </w:t>
      </w:r>
      <w:r>
        <w:rPr>
          <w:b/>
        </w:rPr>
        <w:t>资质文件</w:t>
      </w:r>
      <w:r>
        <w:t>：</w:t>
      </w:r>
      <w:r>
        <w:rPr>
          <w:rFonts w:hint="eastAsia" w:ascii="Times New Roman" w:hAnsi="Times New Roman" w:eastAsia="宋体" w:cs="Times New Roman"/>
          <w:color w:val="000000"/>
          <w:sz w:val="21"/>
          <w:szCs w:val="24"/>
          <w:lang w:val="en-US" w:eastAsia="zh-CN" w:bidi="ar-SA"/>
        </w:rPr>
        <w:t>供应商必须提供合法资质的</w:t>
      </w:r>
      <w:r>
        <w:rPr>
          <w:rFonts w:hint="eastAsia" w:ascii="Times New Roman" w:hAnsi="Times New Roman" w:cs="Times New Roman"/>
          <w:lang w:val="en-US" w:eastAsia="zh-CN"/>
        </w:rPr>
        <w:t>《企业法人营业执照》</w:t>
      </w:r>
      <w:r>
        <w:rPr>
          <w:rFonts w:hint="eastAsia" w:ascii="Times New Roman" w:hAnsi="Times New Roman" w:eastAsia="宋体" w:cs="Times New Roman"/>
          <w:color w:val="000000"/>
          <w:sz w:val="21"/>
          <w:szCs w:val="24"/>
          <w:lang w:val="en-US" w:eastAsia="zh-CN" w:bidi="ar-SA"/>
        </w:rPr>
        <w:t>且营业执照中登记的“经营范围”</w:t>
      </w:r>
      <w:r>
        <w:rPr>
          <w:rFonts w:hint="eastAsia" w:cs="Times New Roman"/>
          <w:color w:val="000000"/>
          <w:sz w:val="21"/>
          <w:szCs w:val="24"/>
          <w:lang w:val="en-US" w:eastAsia="zh-CN" w:bidi="ar-SA"/>
        </w:rPr>
        <w:t>包含该产品</w:t>
      </w:r>
      <w:r>
        <w:rPr>
          <w:rFonts w:hint="eastAsia" w:ascii="Times New Roman" w:hAnsi="Times New Roman" w:eastAsia="宋体" w:cs="Times New Roman"/>
          <w:color w:val="000000"/>
          <w:sz w:val="21"/>
          <w:szCs w:val="24"/>
          <w:lang w:val="en-US" w:eastAsia="zh-CN" w:bidi="ar-SA"/>
        </w:rPr>
        <w:t>、生产许可证或经营许可证、授权代理证书、环评报告等</w:t>
      </w:r>
      <w:r>
        <w:rPr>
          <w:rFonts w:hint="eastAsia" w:cs="Times New Roman"/>
          <w:color w:val="000000"/>
          <w:sz w:val="21"/>
          <w:szCs w:val="24"/>
          <w:lang w:val="en-US" w:eastAsia="zh-CN" w:bidi="ar-SA"/>
        </w:rPr>
        <w:t>。</w:t>
      </w:r>
    </w:p>
    <w:p w14:paraId="798DB06D">
      <w:pPr>
        <w:tabs>
          <w:tab w:val="left" w:pos="1719"/>
        </w:tabs>
        <w:adjustRightInd w:val="0"/>
        <w:snapToGrid w:val="0"/>
        <w:spacing w:line="240" w:lineRule="auto"/>
        <w:ind w:firstLine="422" w:firstLineChars="200"/>
      </w:pPr>
      <w:r>
        <w:rPr>
          <w:rFonts w:hint="eastAsia"/>
          <w:b/>
          <w:lang w:val="en-US" w:eastAsia="zh-CN"/>
        </w:rPr>
        <w:t xml:space="preserve">5. </w:t>
      </w:r>
      <w:r>
        <w:rPr>
          <w:b/>
        </w:rPr>
        <w:t>报价要求</w:t>
      </w:r>
      <w:r>
        <w:t>：</w:t>
      </w:r>
    </w:p>
    <w:p w14:paraId="712FB6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 xml:space="preserve"> 5.</w:t>
      </w:r>
      <w:r>
        <w:rPr>
          <w:rFonts w:hint="eastAsia" w:cs="Times New Roman"/>
          <w:color w:val="000000"/>
          <w:sz w:val="21"/>
          <w:szCs w:val="24"/>
          <w:lang w:val="en-US" w:eastAsia="zh-CN" w:bidi="ar-SA"/>
        </w:rPr>
        <w:t>1.</w:t>
      </w:r>
      <w:r>
        <w:rPr>
          <w:rFonts w:hint="eastAsia" w:ascii="Times New Roman" w:hAnsi="Times New Roman" w:eastAsia="宋体" w:cs="Times New Roman"/>
          <w:color w:val="000000"/>
          <w:sz w:val="21"/>
          <w:szCs w:val="24"/>
          <w:lang w:val="en-US" w:eastAsia="zh-CN" w:bidi="ar-SA"/>
        </w:rPr>
        <w:t>报价人应具备良好的售后服务能力，要求电话联系后2小时内必须给予回复，明确解决方案，具备3小时内将货送到我方生产现场的保障能力。</w:t>
      </w:r>
    </w:p>
    <w:p w14:paraId="6A0C77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5.2</w:t>
      </w:r>
      <w:r>
        <w:rPr>
          <w:rFonts w:hint="eastAsia" w:ascii="Times New Roman" w:hAnsi="Times New Roman" w:eastAsia="宋体" w:cs="Times New Roman"/>
          <w:color w:val="000000"/>
          <w:sz w:val="21"/>
          <w:szCs w:val="24"/>
          <w:lang w:val="en-US" w:eastAsia="zh-CN" w:bidi="ar-SA"/>
        </w:rPr>
        <w:t>.如贸易商（经销商）参与报价，须提供授权代理资质及验证方式，保证授权验证方式的真实性，承担相关法律责任，并提供授权方关于脱硫石粉所需的相关生产及销售资质证书。</w:t>
      </w:r>
    </w:p>
    <w:p w14:paraId="0CBB203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5.3</w:t>
      </w:r>
      <w:r>
        <w:rPr>
          <w:rFonts w:hint="eastAsia" w:ascii="Times New Roman" w:hAnsi="Times New Roman" w:eastAsia="宋体" w:cs="Times New Roman"/>
          <w:color w:val="000000"/>
          <w:sz w:val="21"/>
          <w:szCs w:val="24"/>
          <w:lang w:val="en-US" w:eastAsia="zh-CN" w:bidi="ar-SA"/>
        </w:rPr>
        <w:t>.成交人必须在任何时候保证采购人脱硫石粉的稳定供应,如出现成交人生产异常等原因导致不能及时到货的情况，成交人需自行组织货源及时到货，保证采购人生产正常连续使用。特别在雨雪天气、严重冰冻等恶劣状况时，成交人要保证采购人的生产不受影响。如出现成交人生产异常、运输等原因导致不能及时到货的情况，成交人需自行组织货源及时到货，保证采购人生产正常连续使用。由于成交人原因造成脱硫石粉供应无法满足生产需求且未采取有效措施时，采购人有权委托第三方临时供货，因委托第三方临时供货产生的相关费用和采购人损失由成交人承担，成交人不得对采购人委托第三方临时供货产生的相关费用提出异议，且采购人有权从应支付给成交人的款项中直接扣除，如有不足部分，采购人有权进一步向成交人追索。</w:t>
      </w:r>
    </w:p>
    <w:p w14:paraId="16185A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5.4</w:t>
      </w:r>
      <w:r>
        <w:rPr>
          <w:rFonts w:hint="eastAsia" w:ascii="Times New Roman" w:hAnsi="Times New Roman" w:eastAsia="宋体" w:cs="Times New Roman"/>
          <w:color w:val="000000"/>
          <w:sz w:val="21"/>
          <w:szCs w:val="24"/>
          <w:lang w:val="en-US" w:eastAsia="zh-CN" w:bidi="ar-SA"/>
        </w:rPr>
        <w:t>.报价人所供产品引起的知识产权方面的纠纷，由报价人承担一切后果，采购人不承担任何责任。</w:t>
      </w:r>
    </w:p>
    <w:p w14:paraId="26D7313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5.5</w:t>
      </w:r>
      <w:r>
        <w:rPr>
          <w:rFonts w:hint="eastAsia" w:ascii="Times New Roman" w:hAnsi="Times New Roman" w:eastAsia="宋体" w:cs="Times New Roman"/>
          <w:color w:val="000000"/>
          <w:sz w:val="21"/>
          <w:szCs w:val="24"/>
          <w:lang w:val="en-US" w:eastAsia="zh-CN" w:bidi="ar-SA"/>
        </w:rPr>
        <w:t>.送货司乘人员需学习采购人相关安全规定，现场卸货时必须佩带安全帽，注意安全，服从现场人员管理送货车辆必须符合并遵守中华人民共和国相关法律法规要求，送货途中注意安全，杜绝违章，发生异常情况时由成交人全权负责。</w:t>
      </w:r>
    </w:p>
    <w:p w14:paraId="39AA58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5.6</w:t>
      </w:r>
      <w:r>
        <w:rPr>
          <w:rFonts w:hint="eastAsia" w:ascii="Times New Roman" w:hAnsi="Times New Roman" w:eastAsia="宋体" w:cs="Times New Roman"/>
          <w:b/>
          <w:bCs/>
          <w:color w:val="000000"/>
          <w:sz w:val="21"/>
          <w:szCs w:val="24"/>
          <w:u w:val="single"/>
          <w:lang w:val="en-US" w:eastAsia="zh-CN" w:bidi="ar-SA"/>
        </w:rPr>
        <w:t>因我公司生产保供的需要，要求供应商具备3小时内将脱硫石粉送到我方生产现场的保障能力，不能满足条件的供应商请勿报价</w:t>
      </w:r>
      <w:r>
        <w:rPr>
          <w:rFonts w:hint="eastAsia" w:ascii="Times New Roman" w:hAnsi="Times New Roman" w:eastAsia="宋体" w:cs="Times New Roman"/>
          <w:color w:val="000000"/>
          <w:sz w:val="21"/>
          <w:szCs w:val="24"/>
          <w:lang w:val="en-US" w:eastAsia="zh-CN" w:bidi="ar-SA"/>
        </w:rPr>
        <w:t>。有合作意向的新供应商，请报价时提供相关资质材料，否则报价无效。评审后，采购人将组织相关部门人员前往评审第一候选人生产现场或装货现场进行考察并现场取样带回分析，现场考察通过且样品分析合格才能签订合同，否则视为无履约能力判定报价无效，将顺延至符合我公司要求且评审第二优势的供应商，按照上述流程考察审核,以此类推（合作过的老供应商无需去现场考察）。</w:t>
      </w:r>
    </w:p>
    <w:p w14:paraId="74D689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5.7</w:t>
      </w:r>
      <w:r>
        <w:rPr>
          <w:rFonts w:hint="eastAsia" w:ascii="Times New Roman" w:hAnsi="Times New Roman" w:eastAsia="宋体" w:cs="Times New Roman"/>
          <w:color w:val="000000"/>
          <w:sz w:val="21"/>
          <w:szCs w:val="24"/>
          <w:lang w:val="en-US" w:eastAsia="zh-CN" w:bidi="ar-SA"/>
        </w:rPr>
        <w:t>.报价人须在接到成交通知3个工作日内缴纳保证金10万元（现汇），确认缴纳保证金后签订合同，逾期视为放弃成交结果，并按照《索普股份供应商负面清单管理规定》处理。成交人的保证金在合同正常履行完毕后，将连同货款返还成交人。发生下列情况扣除保证金：</w:t>
      </w:r>
    </w:p>
    <w:p w14:paraId="6F1CF57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 xml:space="preserve">  </w:t>
      </w:r>
      <w:r>
        <w:rPr>
          <w:rFonts w:hint="eastAsia" w:cs="Times New Roman"/>
          <w:color w:val="000000"/>
          <w:sz w:val="21"/>
          <w:szCs w:val="24"/>
          <w:lang w:val="en-US" w:eastAsia="zh-CN" w:bidi="ar-SA"/>
        </w:rPr>
        <w:t>5.7.</w:t>
      </w:r>
      <w:r>
        <w:rPr>
          <w:rFonts w:hint="eastAsia" w:ascii="Times New Roman" w:hAnsi="Times New Roman" w:eastAsia="宋体" w:cs="Times New Roman"/>
          <w:color w:val="000000"/>
          <w:sz w:val="21"/>
          <w:szCs w:val="24"/>
          <w:lang w:val="en-US" w:eastAsia="zh-CN" w:bidi="ar-SA"/>
        </w:rPr>
        <w:t>1如成交人供货不及时影响采购人生产，扣除保证金。</w:t>
      </w:r>
    </w:p>
    <w:p w14:paraId="0AF51D7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 xml:space="preserve">  </w:t>
      </w:r>
      <w:r>
        <w:rPr>
          <w:rFonts w:hint="eastAsia" w:cs="Times New Roman"/>
          <w:color w:val="000000"/>
          <w:sz w:val="21"/>
          <w:szCs w:val="24"/>
          <w:lang w:val="en-US" w:eastAsia="zh-CN" w:bidi="ar-SA"/>
        </w:rPr>
        <w:t>5.7.</w:t>
      </w:r>
      <w:r>
        <w:rPr>
          <w:rFonts w:hint="eastAsia" w:ascii="Times New Roman" w:hAnsi="Times New Roman" w:eastAsia="宋体" w:cs="Times New Roman"/>
          <w:color w:val="000000"/>
          <w:sz w:val="21"/>
          <w:szCs w:val="24"/>
          <w:lang w:val="en-US" w:eastAsia="zh-CN" w:bidi="ar-SA"/>
        </w:rPr>
        <w:t>2合同期内，成交人不履行合约的情况，扣除保证金。</w:t>
      </w:r>
    </w:p>
    <w:p w14:paraId="5B8092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630" w:firstLineChars="3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5.7.</w:t>
      </w:r>
      <w:r>
        <w:rPr>
          <w:rFonts w:hint="eastAsia" w:ascii="Times New Roman" w:hAnsi="Times New Roman" w:eastAsia="宋体" w:cs="Times New Roman"/>
          <w:color w:val="000000"/>
          <w:sz w:val="21"/>
          <w:szCs w:val="24"/>
          <w:lang w:val="en-US" w:eastAsia="zh-CN" w:bidi="ar-SA"/>
        </w:rPr>
        <w:t>.3合同期内如因成交人原因对采购人造成巨大影响，除扣除保证金外，还将依据中华人民共和国有关法律追究相关责任，采购人有权解除合同，并顺延与符合我公司使用要求且报价第二优势的供应商签订供货合同至原合同结束期。</w:t>
      </w:r>
    </w:p>
    <w:p w14:paraId="735F00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630" w:firstLineChars="300"/>
        <w:jc w:val="left"/>
        <w:textAlignment w:val="auto"/>
        <w:outlineLvl w:val="9"/>
        <w:rPr>
          <w:rFonts w:hint="default"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5.7.</w:t>
      </w:r>
      <w:r>
        <w:rPr>
          <w:rFonts w:hint="eastAsia" w:ascii="Times New Roman" w:hAnsi="Times New Roman" w:eastAsia="宋体" w:cs="Times New Roman"/>
          <w:color w:val="000000"/>
          <w:sz w:val="21"/>
          <w:szCs w:val="24"/>
          <w:lang w:val="en-US" w:eastAsia="zh-CN" w:bidi="ar-SA"/>
        </w:rPr>
        <w:t>.4抽检不合格事项，按照本询价书第（二）条，第</w:t>
      </w: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款执行。</w:t>
      </w:r>
    </w:p>
    <w:p w14:paraId="77D9435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b/>
          <w:bCs/>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 xml:space="preserve">    </w:t>
      </w:r>
      <w:r>
        <w:rPr>
          <w:rFonts w:hint="eastAsia" w:ascii="Times New Roman" w:hAnsi="Times New Roman" w:eastAsia="宋体" w:cs="Times New Roman"/>
          <w:b/>
          <w:bCs/>
          <w:color w:val="000000"/>
          <w:sz w:val="21"/>
          <w:szCs w:val="24"/>
          <w:lang w:val="en-US" w:eastAsia="zh-CN" w:bidi="ar-SA"/>
        </w:rPr>
        <w:t>保证金请汇入以下账户：</w:t>
      </w:r>
    </w:p>
    <w:p w14:paraId="6691484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b/>
          <w:bCs/>
          <w:color w:val="000000"/>
          <w:sz w:val="21"/>
          <w:szCs w:val="24"/>
          <w:lang w:val="en-US" w:eastAsia="zh-CN" w:bidi="ar-SA"/>
        </w:rPr>
      </w:pPr>
      <w:r>
        <w:rPr>
          <w:rFonts w:hint="eastAsia" w:ascii="Times New Roman" w:hAnsi="Times New Roman" w:eastAsia="宋体" w:cs="Times New Roman"/>
          <w:b/>
          <w:bCs/>
          <w:color w:val="000000"/>
          <w:sz w:val="21"/>
          <w:szCs w:val="24"/>
          <w:lang w:val="en-US" w:eastAsia="zh-CN" w:bidi="ar-SA"/>
        </w:rPr>
        <w:t xml:space="preserve">    账户名：江苏索普化工股份有限公司</w:t>
      </w:r>
    </w:p>
    <w:p w14:paraId="47A192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b/>
          <w:bCs/>
          <w:color w:val="000000"/>
          <w:sz w:val="21"/>
          <w:szCs w:val="24"/>
          <w:lang w:val="en-US" w:eastAsia="zh-CN" w:bidi="ar-SA"/>
        </w:rPr>
      </w:pPr>
      <w:r>
        <w:rPr>
          <w:rFonts w:hint="eastAsia" w:ascii="Times New Roman" w:hAnsi="Times New Roman" w:eastAsia="宋体" w:cs="Times New Roman"/>
          <w:b/>
          <w:bCs/>
          <w:color w:val="000000"/>
          <w:sz w:val="21"/>
          <w:szCs w:val="24"/>
          <w:lang w:val="en-US" w:eastAsia="zh-CN" w:bidi="ar-SA"/>
        </w:rPr>
        <w:t xml:space="preserve">    账号：513174009312</w:t>
      </w:r>
    </w:p>
    <w:p w14:paraId="008098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b/>
          <w:bCs/>
          <w:color w:val="000000"/>
          <w:sz w:val="21"/>
          <w:szCs w:val="24"/>
          <w:lang w:val="en-US" w:eastAsia="zh-CN" w:bidi="ar-SA"/>
        </w:rPr>
      </w:pPr>
      <w:r>
        <w:rPr>
          <w:rFonts w:hint="eastAsia" w:ascii="Times New Roman" w:hAnsi="Times New Roman" w:eastAsia="宋体" w:cs="Times New Roman"/>
          <w:b/>
          <w:bCs/>
          <w:color w:val="000000"/>
          <w:sz w:val="21"/>
          <w:szCs w:val="24"/>
          <w:lang w:val="en-US" w:eastAsia="zh-CN" w:bidi="ar-SA"/>
        </w:rPr>
        <w:t xml:space="preserve">    开户行：中国银行镇江谏壁支行</w:t>
      </w:r>
    </w:p>
    <w:p w14:paraId="0DF0B39C">
      <w:pPr>
        <w:pStyle w:val="5"/>
        <w:numPr>
          <w:ilvl w:val="0"/>
          <w:numId w:val="0"/>
        </w:numPr>
        <w:spacing w:line="240" w:lineRule="auto"/>
        <w:ind w:firstLine="420" w:firstLineChars="200"/>
        <w:jc w:val="left"/>
        <w:rPr>
          <w:rFonts w:hint="eastAsia" w:cs="Times New Roman"/>
          <w:color w:val="000000"/>
          <w:sz w:val="21"/>
          <w:szCs w:val="24"/>
          <w:lang w:val="en-US" w:eastAsia="zh-CN" w:bidi="ar-SA"/>
        </w:rPr>
      </w:pPr>
    </w:p>
    <w:p w14:paraId="3E928374">
      <w:pPr>
        <w:numPr>
          <w:ilvl w:val="0"/>
          <w:numId w:val="0"/>
        </w:numPr>
        <w:spacing w:before="0" w:beforeAutospacing="1" w:after="0" w:afterAutospacing="1"/>
        <w:ind w:firstLine="420" w:firstLineChars="200"/>
      </w:pPr>
    </w:p>
    <w:p w14:paraId="7E91D100">
      <w:pPr>
        <w:pStyle w:val="3"/>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w:t>
      </w:r>
      <w:r>
        <w:rPr>
          <w:rFonts w:hint="eastAsia"/>
          <w:lang w:val="en-US" w:eastAsia="zh-CN"/>
        </w:rPr>
        <w:t>60</w:t>
      </w:r>
      <w:r>
        <w:t>日内支付货款。</w:t>
      </w:r>
    </w:p>
    <w:p w14:paraId="02E75EC1">
      <w:pPr>
        <w:numPr>
          <w:ilvl w:val="0"/>
          <w:numId w:val="3"/>
        </w:numPr>
        <w:spacing w:before="0" w:beforeAutospacing="1" w:after="0" w:afterAutospacing="1"/>
        <w:ind w:left="720" w:hanging="360"/>
        <w:rPr>
          <w:highlight w:val="none"/>
        </w:rPr>
      </w:pPr>
      <w:r>
        <w:rPr>
          <w:highlight w:val="none"/>
        </w:rPr>
        <w:t>以银行承兑支付</w:t>
      </w:r>
      <w:r>
        <w:rPr>
          <w:rFonts w:hint="eastAsia"/>
          <w:highlight w:val="none"/>
          <w:lang w:val="en-US" w:eastAsia="zh-CN"/>
        </w:rPr>
        <w:t>货款</w:t>
      </w:r>
      <w:r>
        <w:rPr>
          <w:highlight w:val="none"/>
        </w:rPr>
        <w:t>。</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张磊</w:t>
      </w:r>
      <w:r>
        <w:t>，电话：13</w:t>
      </w:r>
      <w:r>
        <w:rPr>
          <w:rFonts w:hint="eastAsia"/>
          <w:lang w:val="en-US" w:eastAsia="zh-CN"/>
        </w:rPr>
        <w:t>815488177</w:t>
      </w:r>
    </w:p>
    <w:p w14:paraId="46E1F8B6">
      <w:pPr>
        <w:pStyle w:val="4"/>
      </w:pPr>
      <w:r>
        <w:t>（五）疑问咨询</w:t>
      </w:r>
    </w:p>
    <w:p w14:paraId="20BA2C34">
      <w:pPr>
        <w:numPr>
          <w:ilvl w:val="0"/>
          <w:numId w:val="6"/>
        </w:numPr>
        <w:spacing w:before="0" w:beforeAutospacing="1" w:after="0" w:afterAutospacing="1" w:line="240" w:lineRule="auto"/>
        <w:ind w:left="720" w:hanging="360"/>
      </w:pPr>
      <w:r>
        <w:rPr>
          <w:rFonts w:hint="eastAsia"/>
          <w:b/>
          <w:lang w:val="en-US" w:eastAsia="zh-CN"/>
        </w:rPr>
        <w:t>报价</w:t>
      </w:r>
      <w:r>
        <w:rPr>
          <w:b/>
        </w:rPr>
        <w:t>联系人</w:t>
      </w:r>
      <w:r>
        <w:t>：</w:t>
      </w:r>
      <w:r>
        <w:rPr>
          <w:rFonts w:hint="eastAsia"/>
          <w:lang w:val="en-US" w:eastAsia="zh-CN"/>
        </w:rPr>
        <w:t>张磊13815488177</w:t>
      </w:r>
      <w:r>
        <w:rPr>
          <w:rFonts w:hint="eastAsia"/>
          <w:lang w:eastAsia="zh-CN"/>
        </w:rPr>
        <w:t>（</w:t>
      </w:r>
      <w:r>
        <w:rPr>
          <w:rFonts w:hint="eastAsia"/>
          <w:lang w:val="en-US" w:eastAsia="zh-CN"/>
        </w:rPr>
        <w:t>详情咨询</w:t>
      </w:r>
      <w:r>
        <w:rPr>
          <w:rFonts w:hint="eastAsia"/>
          <w:lang w:eastAsia="zh-CN"/>
        </w:rPr>
        <w:t>）</w:t>
      </w:r>
    </w:p>
    <w:p w14:paraId="30CDED1E">
      <w:pPr>
        <w:numPr>
          <w:ilvl w:val="0"/>
          <w:numId w:val="6"/>
        </w:numPr>
        <w:spacing w:before="0" w:beforeAutospacing="1" w:after="0" w:afterAutospacing="1" w:line="240" w:lineRule="auto"/>
        <w:ind w:left="720" w:hanging="360"/>
        <w:rPr>
          <w:rFonts w:hint="eastAsia"/>
          <w:lang w:eastAsia="zh-CN"/>
        </w:rPr>
      </w:pPr>
      <w:r>
        <w:rPr>
          <w:rFonts w:hint="eastAsia"/>
          <w:b/>
          <w:lang w:val="en-US" w:eastAsia="zh-CN"/>
        </w:rPr>
        <w:t>部门负责人</w:t>
      </w:r>
      <w:r>
        <w:t>：解云13913442555</w:t>
      </w:r>
    </w:p>
    <w:p w14:paraId="4133F84F">
      <w:pPr>
        <w:numPr>
          <w:ilvl w:val="0"/>
          <w:numId w:val="6"/>
        </w:numPr>
        <w:spacing w:before="0" w:beforeAutospacing="1" w:after="0" w:afterAutospacing="1" w:line="240" w:lineRule="auto"/>
        <w:ind w:left="720" w:hanging="360"/>
        <w:rPr>
          <w:rFonts w:hint="eastAsia"/>
          <w:lang w:eastAsia="zh-CN"/>
        </w:rPr>
      </w:pPr>
      <w:r>
        <w:rPr>
          <w:rFonts w:hint="eastAsia"/>
          <w:b/>
          <w:lang w:val="en-US" w:eastAsia="zh-CN"/>
        </w:rPr>
        <w:t>技术咨询联系人</w:t>
      </w:r>
      <w:r>
        <w:rPr>
          <w:rFonts w:hint="eastAsia" w:ascii="仿宋" w:hAnsi="仿宋" w:eastAsia="仿宋" w:cs="仿宋"/>
          <w:bCs/>
          <w:color w:val="auto"/>
          <w:kern w:val="1"/>
          <w:sz w:val="30"/>
          <w:szCs w:val="30"/>
          <w:lang w:eastAsia="zh-CN"/>
        </w:rPr>
        <w:t>：</w:t>
      </w:r>
      <w:r>
        <w:rPr>
          <w:rFonts w:hint="eastAsia"/>
          <w:lang w:val="en-US" w:eastAsia="zh-CN"/>
        </w:rPr>
        <w:t>苏伟平13812467590</w:t>
      </w:r>
    </w:p>
    <w:p w14:paraId="2253D84E">
      <w:pPr>
        <w:numPr>
          <w:ilvl w:val="0"/>
          <w:numId w:val="0"/>
        </w:numPr>
        <w:spacing w:before="0" w:beforeAutospacing="1" w:after="0" w:afterAutospacing="1"/>
        <w:ind w:left="360" w:leftChars="0"/>
      </w:pPr>
    </w:p>
    <w:p w14:paraId="5278A02B">
      <w:pPr>
        <w:pStyle w:val="3"/>
      </w:pPr>
      <w:r>
        <w:rPr>
          <w:rFonts w:hint="eastAsia"/>
          <w:lang w:val="en-US" w:eastAsia="zh-CN"/>
        </w:rPr>
        <w:t>四</w:t>
      </w:r>
      <w:r>
        <w:t>、其他要求</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w:t>
      </w:r>
      <w:r>
        <w:rPr>
          <w:rFonts w:hint="eastAsia"/>
          <w:lang w:val="en-US" w:eastAsia="zh-CN"/>
        </w:rPr>
        <w:t>2</w:t>
      </w:r>
      <w:r>
        <w:t>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lang w:val="en-US" w:eastAsia="zh-CN"/>
        </w:rPr>
        <w:t>2026</w:t>
      </w:r>
      <w:r>
        <w:t>年</w:t>
      </w:r>
      <w:r>
        <w:rPr>
          <w:rFonts w:hint="eastAsia"/>
          <w:lang w:val="en-US" w:eastAsia="zh-CN"/>
        </w:rPr>
        <w:t>7</w:t>
      </w:r>
      <w:r>
        <w:t>月</w:t>
      </w:r>
      <w:r>
        <w:rPr>
          <w:rFonts w:hint="eastAsia"/>
          <w:lang w:val="en-US" w:eastAsia="zh-CN"/>
        </w:rPr>
        <w:t>6</w:t>
      </w:r>
      <w:r>
        <w:t>日</w:t>
      </w:r>
    </w:p>
    <w:p w14:paraId="3A4F3A57">
      <w:pPr>
        <w:jc w:val="right"/>
      </w:pPr>
      <w:r>
        <w:br w:type="page"/>
      </w:r>
    </w:p>
    <w:p w14:paraId="50BFB649">
      <w:pPr>
        <w:pStyle w:val="3"/>
        <w:rPr>
          <w:rFonts w:hint="default"/>
          <w:lang w:val="en-US" w:eastAsia="zh-CN"/>
        </w:rPr>
      </w:pPr>
      <w:r>
        <w:rPr>
          <w:rFonts w:hint="eastAsia"/>
          <w:lang w:val="en-US" w:eastAsia="zh-CN"/>
        </w:rPr>
        <w:t>附件1</w:t>
      </w:r>
    </w:p>
    <w:p w14:paraId="3E37C218">
      <w:pPr>
        <w:pStyle w:val="3"/>
        <w:jc w:val="center"/>
      </w:pPr>
      <w:r>
        <w:t>报价函</w:t>
      </w:r>
    </w:p>
    <w:p w14:paraId="3DFC6AA5">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rPr>
          <w:b/>
        </w:rPr>
        <w:t>江苏索普化工股份有限公司</w:t>
      </w:r>
      <w:r>
        <w:t>：</w:t>
      </w:r>
    </w:p>
    <w:p w14:paraId="35CA9652">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t>（报价单位全称）授权（全权代表姓名、职务）为全权代表，参加贵方公开询比价活动，报价如下：</w:t>
      </w:r>
    </w:p>
    <w:p w14:paraId="09344700">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rPr>
          <w:u w:val="single"/>
        </w:rPr>
      </w:pPr>
      <w:r>
        <w:rPr>
          <w:b/>
        </w:rPr>
        <w:t>项目总价（含税）</w:t>
      </w:r>
      <w:r>
        <w:t>：（大写）</w:t>
      </w:r>
      <w:r>
        <w:rPr>
          <w:rFonts w:hint="eastAsia"/>
          <w:u w:val="single"/>
          <w:lang w:val="en-US" w:eastAsia="zh-CN"/>
        </w:rPr>
        <w:t xml:space="preserve">                         </w:t>
      </w:r>
      <w:r>
        <w:rPr>
          <w:u w:val="none"/>
        </w:rPr>
        <w:t>元人民币；税率</w:t>
      </w:r>
      <w:r>
        <w:rPr>
          <w:rFonts w:hint="eastAsia"/>
          <w:u w:val="single"/>
          <w:lang w:val="en-US" w:eastAsia="zh-CN"/>
        </w:rPr>
        <w:t xml:space="preserve">      </w:t>
      </w:r>
      <w:r>
        <w:rPr>
          <w:u w:val="none"/>
        </w:rPr>
        <w:t>%。</w:t>
      </w:r>
    </w:p>
    <w:p w14:paraId="6A2D24EA">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rPr>
          <w:b/>
        </w:rPr>
        <w:t>交货时间</w:t>
      </w:r>
      <w:r>
        <w:t>：________________________。</w:t>
      </w:r>
    </w:p>
    <w:p w14:paraId="41608FF8">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t>我方已审查全部询价书及补充文件，完全接受所有条款，放弃对条款不明或误解的权利；若条款冲突，同意按贵方解释处理。</w:t>
      </w:r>
    </w:p>
    <w:p w14:paraId="0306D3F9">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t>愿意提供与报价相关的所有数据、资料，理解贵方无义务接受最低价或任何报价。</w:t>
      </w:r>
    </w:p>
    <w:p w14:paraId="5A17ED01">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rPr>
          <w:b/>
        </w:rPr>
        <w:t>不接受项</w:t>
      </w:r>
      <w:r>
        <w:t>：________________________。</w:t>
      </w:r>
    </w:p>
    <w:p w14:paraId="0F5AE049">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22EA8571">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t>全权代表（签字）：______</w:t>
      </w:r>
      <w:r>
        <w:rPr>
          <w:u w:val="single"/>
        </w:rPr>
        <w:t>_</w:t>
      </w:r>
      <w:r>
        <w:rPr>
          <w:rFonts w:hint="eastAsia"/>
          <w:u w:val="single"/>
          <w:lang w:val="en-US" w:eastAsia="zh-CN"/>
        </w:rPr>
        <w:t xml:space="preserve"> </w:t>
      </w:r>
      <w:r>
        <w:rPr>
          <w:u w:val="single"/>
        </w:rPr>
        <w:t xml:space="preserve">_ </w:t>
      </w:r>
      <w:r>
        <w:t>联系电话：________</w:t>
      </w:r>
    </w:p>
    <w:p w14:paraId="5D593A1A">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t>报价单位（盖章）：______</w:t>
      </w:r>
      <w:r>
        <w:rPr>
          <w:u w:val="single"/>
        </w:rPr>
        <w:t xml:space="preserve">__ </w:t>
      </w:r>
      <w:r>
        <w:rPr>
          <w:rFonts w:hint="eastAsia"/>
          <w:lang w:val="en-US" w:eastAsia="zh-CN"/>
        </w:rPr>
        <w:t xml:space="preserve"> </w:t>
      </w:r>
      <w:r>
        <w:t>日期：____年__月__日</w:t>
      </w:r>
    </w:p>
    <w:p w14:paraId="689C0D13">
      <w:pPr>
        <w:pStyle w:val="3"/>
        <w:rPr>
          <w:rFonts w:hint="eastAsia"/>
          <w:lang w:val="en-US" w:eastAsia="zh-CN"/>
        </w:rPr>
      </w:pPr>
    </w:p>
    <w:p w14:paraId="310F744F">
      <w:pPr>
        <w:pStyle w:val="3"/>
        <w:rPr>
          <w:rFonts w:hint="eastAsia"/>
          <w:lang w:val="en-US" w:eastAsia="zh-CN"/>
        </w:rPr>
      </w:pPr>
    </w:p>
    <w:p w14:paraId="6B0B430E">
      <w:pPr>
        <w:rPr>
          <w:rFonts w:hint="eastAsia"/>
          <w:lang w:val="en-US" w:eastAsia="zh-CN"/>
        </w:rPr>
      </w:pPr>
    </w:p>
    <w:p w14:paraId="3C5C58E6">
      <w:pPr>
        <w:pStyle w:val="3"/>
        <w:rPr>
          <w:rFonts w:hint="eastAsia"/>
          <w:lang w:val="en-US" w:eastAsia="zh-CN"/>
        </w:rPr>
      </w:pPr>
    </w:p>
    <w:p w14:paraId="1CB37E11">
      <w:pPr>
        <w:pStyle w:val="3"/>
        <w:rPr>
          <w:rFonts w:hint="eastAsia"/>
          <w:lang w:val="en-US" w:eastAsia="zh-CN"/>
        </w:rPr>
      </w:pPr>
    </w:p>
    <w:p w14:paraId="604BD0CE">
      <w:pPr>
        <w:pStyle w:val="3"/>
        <w:rPr>
          <w:rFonts w:hint="eastAsia"/>
          <w:color w:val="auto"/>
        </w:rPr>
      </w:pPr>
      <w:r>
        <w:rPr>
          <w:rFonts w:hint="eastAsia"/>
          <w:lang w:val="en-US" w:eastAsia="zh-CN"/>
        </w:rPr>
        <w:t>附件2：</w:t>
      </w:r>
    </w:p>
    <w:p w14:paraId="7F4A0A16">
      <w:pPr>
        <w:pStyle w:val="3"/>
        <w:jc w:val="center"/>
        <w:rPr>
          <w:rFonts w:hint="eastAsia" w:ascii="仿宋_GB2312" w:hAnsi="仿宋_GB2312" w:eastAsia="仿宋_GB2312" w:cs="仿宋_GB2312"/>
          <w:color w:val="auto"/>
          <w:sz w:val="44"/>
          <w:szCs w:val="44"/>
        </w:rPr>
      </w:pPr>
      <w:r>
        <w:rPr>
          <w:rFonts w:hint="eastAsia"/>
        </w:rPr>
        <w:t>索普股份外来装卸货人员安全告知书</w:t>
      </w:r>
    </w:p>
    <w:p w14:paraId="5B26BD7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尊敬的客户：</w:t>
      </w:r>
    </w:p>
    <w:p w14:paraId="05691EC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firstLine="420" w:firstLineChars="200"/>
        <w:textAlignment w:val="auto"/>
        <w:rPr>
          <w:rFonts w:hint="eastAsia"/>
        </w:rPr>
      </w:pPr>
      <w:r>
        <w:rPr>
          <w:rFonts w:hint="eastAsia"/>
          <w:lang w:val="en-US" w:eastAsia="zh-CN"/>
        </w:rPr>
        <w:t>报价</w:t>
      </w:r>
      <w:r>
        <w:rPr>
          <w:rFonts w:hint="eastAsia"/>
        </w:rPr>
        <w:t>前请认真阅读学习和理解此告知书，</w:t>
      </w:r>
      <w:r>
        <w:rPr>
          <w:rFonts w:hint="eastAsia"/>
          <w:lang w:val="en-US" w:eastAsia="zh-CN"/>
        </w:rPr>
        <w:t>成交</w:t>
      </w:r>
      <w:r>
        <w:rPr>
          <w:rFonts w:hint="eastAsia"/>
        </w:rPr>
        <w:t>后请转发给您的承运方，进入我公司厂区请严格按告知书要求执行。</w:t>
      </w:r>
    </w:p>
    <w:p w14:paraId="4F85E44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一、危化品危险危害因素：</w:t>
      </w:r>
    </w:p>
    <w:p w14:paraId="6C3E80F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firstLine="420" w:firstLineChars="200"/>
        <w:textAlignment w:val="auto"/>
        <w:rPr>
          <w:rFonts w:hint="eastAsia"/>
        </w:rPr>
      </w:pPr>
      <w:r>
        <w:rPr>
          <w:rFonts w:hint="eastAsia"/>
        </w:rPr>
        <w:t>我公司厂区生产过程中具有高温高压、易燃易爆、有毒有害和腐蚀等危险危害特性，主要危险化学品包括醋酸、甲醇、醋酸乙酯、乙醇、一氧化碳等，进入厂区，请严格遵守工厂安全规定，确保装卸作业安全。</w:t>
      </w:r>
    </w:p>
    <w:p w14:paraId="60AB5E6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二、应当遵守的安全规定：</w:t>
      </w:r>
    </w:p>
    <w:p w14:paraId="3174000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1、进入厂区，严禁烟火，严禁携带火种。</w:t>
      </w:r>
    </w:p>
    <w:p w14:paraId="5A56DF3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2、危险化学品车辆必须配备GPS定位系统。</w:t>
      </w:r>
    </w:p>
    <w:p w14:paraId="564F1BB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3、车辆必须配备阻火器，确保车况完好，随车配有相应的消防器材。危化品运输车辆须持“危险品运输证”等相关证件，并悬挂“危险品”标志，进入厂区内严禁超速等（厂区最高行驶速度30KM/H），必须遵守厂内交通安全管理制度。</w:t>
      </w:r>
    </w:p>
    <w:p w14:paraId="0105950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4、车辆进入公司前，须在门口办理进门登记手续，领取车辆和人员定位卡。并按指定线路行驶。</w:t>
      </w:r>
    </w:p>
    <w:p w14:paraId="3F602DD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5、车辆进入厂区，应在指定区域等待，服从岗位人员管理，定点停放，车辆有防溜车措施。</w:t>
      </w:r>
    </w:p>
    <w:p w14:paraId="1314903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6、驾驶人员和押运人员进入生产装置区域的，必须随车配好安全帽，下车即必须按规定带好安全帽，方可进入生产区域。</w:t>
      </w:r>
    </w:p>
    <w:p w14:paraId="0B8E9D0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7、进入生产区域严禁擅自动用岗位任何设施和用品。</w:t>
      </w:r>
    </w:p>
    <w:p w14:paraId="39BBFA7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8、生产区域内，需要叉车配合作业的，随车人员严禁擅自作业，应服从岗位人员的指挥和管理，以确保装卸作业的安全，如需要装卸操作的，必须按规定穿戴好劳动防护用品方可操作。</w:t>
      </w:r>
    </w:p>
    <w:p w14:paraId="0501029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9、生产区域，必须注意各种安全标识，禁止穿化纤服装，禁止穿钉鞋，禁止在易燃易爆区域内使用手机等通讯工具。</w:t>
      </w:r>
    </w:p>
    <w:p w14:paraId="41FF82D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10、夏季醋酸乙酯灌装应避开高温时间段。</w:t>
      </w:r>
    </w:p>
    <w:p w14:paraId="6D0A6FD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11、提货人员在进行装卸货作业准备工作前，必须进行人体静电释放，放下车辆的接地带，对车辆进行检查确认完好后至岗位交出车钥匙，做好装卸货的准备工作。</w:t>
      </w:r>
    </w:p>
    <w:p w14:paraId="69CE6C0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12、装卸危化品的车辆必须按装卸作业检查票的规定进行装卸作业，同时要配合好岗位人员做好装卸前安全检查、装卸过程安全检查以及装卸作业结束后的安全确认。</w:t>
      </w:r>
    </w:p>
    <w:p w14:paraId="009BDB0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13、车辆入厂前须自行检查车辆的人孔、阀门、接缘等静密封点有无泄漏，快速接头、胶管等配件是否完好，接头密封圈、脚垫是否老化。装卸前须与岗位人员一起再次检查装卸作业接口连接可靠性。</w:t>
      </w:r>
    </w:p>
    <w:p w14:paraId="1B271DD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14、车辆在进行装卸货过程中严禁物料“跑、冒、滴、漏”，严禁启动车辆，易燃易爆区域严禁使用非防爆灯具。</w:t>
      </w:r>
    </w:p>
    <w:p w14:paraId="685E0E1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15、在装卸货过程中，若出现异常，应立即停止装卸货作业，并采取相应的措施。</w:t>
      </w:r>
    </w:p>
    <w:p w14:paraId="7C22586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16、当发生紧急危险情况时，应在岗位人员的指挥下，迅速绕过泄漏点，向上风向安全地点撤离和疏散。</w:t>
      </w:r>
    </w:p>
    <w:p w14:paraId="68233E19">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63F242F"/>
    <w:rsid w:val="06B81EEE"/>
    <w:rsid w:val="084E74EA"/>
    <w:rsid w:val="0A357025"/>
    <w:rsid w:val="0B1408EB"/>
    <w:rsid w:val="12922C84"/>
    <w:rsid w:val="134678C7"/>
    <w:rsid w:val="147931F1"/>
    <w:rsid w:val="14D05D11"/>
    <w:rsid w:val="15386004"/>
    <w:rsid w:val="15F1304B"/>
    <w:rsid w:val="17920BDE"/>
    <w:rsid w:val="17B51EB4"/>
    <w:rsid w:val="1AEA3BDC"/>
    <w:rsid w:val="1C0D408C"/>
    <w:rsid w:val="1CA519F3"/>
    <w:rsid w:val="1D7C655F"/>
    <w:rsid w:val="1F0275BC"/>
    <w:rsid w:val="21AC72E4"/>
    <w:rsid w:val="228D7161"/>
    <w:rsid w:val="247C629F"/>
    <w:rsid w:val="24960418"/>
    <w:rsid w:val="24E05525"/>
    <w:rsid w:val="2B8C00D9"/>
    <w:rsid w:val="2D6D29C6"/>
    <w:rsid w:val="2E730AF8"/>
    <w:rsid w:val="2EEE0779"/>
    <w:rsid w:val="30DA11D4"/>
    <w:rsid w:val="33456E80"/>
    <w:rsid w:val="39537190"/>
    <w:rsid w:val="46524765"/>
    <w:rsid w:val="4AC251FD"/>
    <w:rsid w:val="4AE1260F"/>
    <w:rsid w:val="4BD96800"/>
    <w:rsid w:val="513A2283"/>
    <w:rsid w:val="58113834"/>
    <w:rsid w:val="5A702373"/>
    <w:rsid w:val="5FED582A"/>
    <w:rsid w:val="60681AA9"/>
    <w:rsid w:val="626F711E"/>
    <w:rsid w:val="6326564D"/>
    <w:rsid w:val="63F87D96"/>
    <w:rsid w:val="64B90B25"/>
    <w:rsid w:val="694037F5"/>
    <w:rsid w:val="6DD76B71"/>
    <w:rsid w:val="73A60AF2"/>
    <w:rsid w:val="75021192"/>
    <w:rsid w:val="79BF1C47"/>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Plain Text"/>
    <w:basedOn w:val="1"/>
    <w:unhideWhenUsed/>
    <w:qFormat/>
    <w:uiPriority w:val="99"/>
    <w:rPr>
      <w:rFonts w:ascii="宋体" w:hAnsi="Courier New"/>
      <w:kern w:val="0"/>
      <w:sz w:val="20"/>
      <w:szCs w:val="20"/>
    </w:rPr>
  </w:style>
  <w:style w:type="character" w:customStyle="1" w:styleId="9">
    <w:name w:val="font91"/>
    <w:basedOn w:val="8"/>
    <w:qFormat/>
    <w:uiPriority w:val="0"/>
    <w:rPr>
      <w:rFonts w:hint="eastAsia" w:ascii="宋体" w:hAnsi="宋体" w:eastAsia="宋体" w:cs="宋体"/>
      <w:color w:val="000000"/>
      <w:sz w:val="16"/>
      <w:szCs w:val="16"/>
      <w:u w:val="none"/>
    </w:rPr>
  </w:style>
  <w:style w:type="character" w:customStyle="1" w:styleId="10">
    <w:name w:val="font101"/>
    <w:basedOn w:val="8"/>
    <w:qFormat/>
    <w:uiPriority w:val="0"/>
    <w:rPr>
      <w:rFonts w:hint="default" w:ascii="Times New Roman" w:hAnsi="Times New Roman" w:cs="Times New Roman"/>
      <w:color w:val="000000"/>
      <w:sz w:val="16"/>
      <w:szCs w:val="16"/>
      <w:u w:val="none"/>
    </w:rPr>
  </w:style>
  <w:style w:type="character" w:customStyle="1" w:styleId="11">
    <w:name w:val="font41"/>
    <w:basedOn w:val="8"/>
    <w:qFormat/>
    <w:uiPriority w:val="0"/>
    <w:rPr>
      <w:rFonts w:hint="eastAsia" w:ascii="宋体" w:hAnsi="宋体" w:eastAsia="宋体" w:cs="宋体"/>
      <w:color w:val="000000"/>
      <w:sz w:val="18"/>
      <w:szCs w:val="18"/>
      <w:u w:val="none"/>
    </w:rPr>
  </w:style>
  <w:style w:type="character" w:customStyle="1" w:styleId="12">
    <w:name w:val="font112"/>
    <w:basedOn w:val="8"/>
    <w:qFormat/>
    <w:uiPriority w:val="0"/>
    <w:rPr>
      <w:rFonts w:hint="eastAsia" w:ascii="宋体" w:hAnsi="宋体" w:eastAsia="宋体" w:cs="宋体"/>
      <w:color w:val="000000"/>
      <w:sz w:val="14"/>
      <w:szCs w:val="14"/>
      <w:u w:val="none"/>
    </w:rPr>
  </w:style>
  <w:style w:type="character" w:customStyle="1" w:styleId="13">
    <w:name w:val="font21"/>
    <w:basedOn w:val="8"/>
    <w:qFormat/>
    <w:uiPriority w:val="0"/>
    <w:rPr>
      <w:rFonts w:hint="eastAsia" w:ascii="宋体" w:hAnsi="宋体" w:eastAsia="宋体" w:cs="宋体"/>
      <w:color w:val="000000"/>
      <w:sz w:val="18"/>
      <w:szCs w:val="18"/>
      <w:u w:val="none"/>
    </w:rPr>
  </w:style>
  <w:style w:type="character" w:customStyle="1" w:styleId="14">
    <w:name w:val="font31"/>
    <w:basedOn w:val="8"/>
    <w:qFormat/>
    <w:uiPriority w:val="0"/>
    <w:rPr>
      <w:rFonts w:hint="default" w:ascii="Times New Roman" w:hAnsi="Times New Roman" w:cs="Times New Roman"/>
      <w:color w:val="000000"/>
      <w:sz w:val="18"/>
      <w:szCs w:val="18"/>
      <w:u w:val="none"/>
    </w:rPr>
  </w:style>
  <w:style w:type="character" w:customStyle="1" w:styleId="15">
    <w:name w:val="font11"/>
    <w:basedOn w:val="8"/>
    <w:qFormat/>
    <w:uiPriority w:val="0"/>
    <w:rPr>
      <w:rFonts w:hint="default" w:ascii="Times New Roman" w:hAnsi="Times New Roman" w:cs="Times New Roman"/>
      <w:color w:val="000000"/>
      <w:sz w:val="18"/>
      <w:szCs w:val="18"/>
      <w:u w:val="none"/>
    </w:rPr>
  </w:style>
  <w:style w:type="character" w:customStyle="1" w:styleId="16">
    <w:name w:val="font81"/>
    <w:basedOn w:val="8"/>
    <w:qFormat/>
    <w:uiPriority w:val="0"/>
    <w:rPr>
      <w:rFonts w:hint="eastAsia" w:ascii="宋体" w:hAnsi="宋体" w:eastAsia="宋体" w:cs="宋体"/>
      <w:color w:val="000000"/>
      <w:sz w:val="18"/>
      <w:szCs w:val="18"/>
      <w:u w:val="none"/>
    </w:rPr>
  </w:style>
  <w:style w:type="character" w:customStyle="1" w:styleId="17">
    <w:name w:val="font71"/>
    <w:basedOn w:val="8"/>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3537</Words>
  <Characters>3918</Characters>
  <Lines>0</Lines>
  <Paragraphs>0</Paragraphs>
  <TotalTime>4</TotalTime>
  <ScaleCrop>false</ScaleCrop>
  <LinksUpToDate>false</LinksUpToDate>
  <CharactersWithSpaces>3997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光仔</cp:lastModifiedBy>
  <cp:lastPrinted>2026-01-13T08:37:00Z</cp:lastPrinted>
  <dcterms:modified xsi:type="dcterms:W3CDTF">2026-07-06T06:21:55Z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eyJoZGlkIjoiYzA5ZTVkZTNlZmU3MmViYmFmYzNjNmJmZTllNmUzMDciLCJ1c2VySWQiOiI0ODc4Nzk4NDMifQ==</vt:lpwstr>
  </property>
  <property fmtid="{D5CDD505-2E9C-101B-9397-08002B2CF9AE}" pid="4" name="ICV">
    <vt:lpwstr>AC08B15DEC824E5996F0D7D741009FFB_12</vt:lpwstr>
  </property>
</Properties>
</file>