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CC9E7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pacing w:val="-20"/>
          <w:sz w:val="44"/>
          <w:szCs w:val="44"/>
          <w:lang w:val="en-US" w:eastAsia="zh-CN"/>
        </w:rPr>
      </w:pPr>
      <w:r>
        <w:rPr>
          <w:rFonts w:hint="eastAsia" w:ascii="方正小标宋简体" w:hAnsi="方正小标宋简体" w:eastAsia="方正小标宋简体" w:cs="方正小标宋简体"/>
          <w:b w:val="0"/>
          <w:bCs w:val="0"/>
          <w:spacing w:val="-20"/>
          <w:sz w:val="44"/>
          <w:szCs w:val="44"/>
          <w:lang w:val="en-US" w:eastAsia="zh-CN"/>
        </w:rPr>
        <w:t>V5201醋酸储罐重建与设施升级项目工程（土建）</w:t>
      </w:r>
    </w:p>
    <w:p w14:paraId="11C66A4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pacing w:val="-20"/>
          <w:sz w:val="44"/>
          <w:szCs w:val="44"/>
          <w:lang w:val="en-US" w:eastAsia="zh-CN"/>
        </w:rPr>
      </w:pPr>
      <w:r>
        <w:rPr>
          <w:rFonts w:hint="default" w:ascii="方正小标宋简体" w:hAnsi="方正小标宋简体" w:eastAsia="方正小标宋简体" w:cs="方正小标宋简体"/>
          <w:b w:val="0"/>
          <w:bCs w:val="0"/>
          <w:spacing w:val="-20"/>
          <w:sz w:val="44"/>
          <w:szCs w:val="44"/>
          <w:lang w:val="en-US" w:eastAsia="zh-CN"/>
        </w:rPr>
        <w:t>工程量清单</w:t>
      </w:r>
      <w:bookmarkStart w:id="1" w:name="_GoBack"/>
      <w:bookmarkEnd w:id="1"/>
      <w:r>
        <w:rPr>
          <w:rFonts w:hint="default" w:ascii="方正小标宋简体" w:hAnsi="方正小标宋简体" w:eastAsia="方正小标宋简体" w:cs="方正小标宋简体"/>
          <w:b w:val="0"/>
          <w:bCs w:val="0"/>
          <w:spacing w:val="-20"/>
          <w:sz w:val="44"/>
          <w:szCs w:val="44"/>
          <w:lang w:val="en-US" w:eastAsia="zh-CN"/>
        </w:rPr>
        <w:t>编制说明</w:t>
      </w:r>
    </w:p>
    <w:p w14:paraId="036C0FD3">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方正黑体_GBK" w:hAnsi="方正黑体_GBK" w:eastAsia="方正黑体_GBK" w:cs="方正黑体_GBK"/>
          <w:b/>
          <w:sz w:val="32"/>
          <w:szCs w:val="32"/>
          <w:lang w:val="en-US" w:eastAsia="zh-CN"/>
        </w:rPr>
      </w:pPr>
    </w:p>
    <w:p w14:paraId="7EC483AE">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方正黑体_GBK" w:hAnsi="方正黑体_GBK" w:eastAsia="方正黑体_GBK" w:cs="方正黑体_GBK"/>
          <w:b/>
          <w:sz w:val="32"/>
          <w:szCs w:val="32"/>
          <w:lang w:val="en-US" w:eastAsia="zh-CN"/>
        </w:rPr>
      </w:pPr>
      <w:r>
        <w:rPr>
          <w:rFonts w:hint="eastAsia" w:ascii="方正黑体_GBK" w:hAnsi="方正黑体_GBK" w:eastAsia="方正黑体_GBK" w:cs="方正黑体_GBK"/>
          <w:b/>
          <w:sz w:val="32"/>
          <w:szCs w:val="32"/>
          <w:lang w:val="en-US" w:eastAsia="zh-CN"/>
        </w:rPr>
        <w:t>一、工程概况</w:t>
      </w:r>
    </w:p>
    <w:p w14:paraId="5C122A0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1.项目名称：V5201醋酸储罐重建与设施升级项目工程。</w:t>
      </w:r>
    </w:p>
    <w:p w14:paraId="752CDCE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2.工程地址</w:t>
      </w:r>
      <w:r>
        <w:rPr>
          <w:rFonts w:hint="eastAsia" w:ascii="Times New Roman" w:hAnsi="Times New Roman" w:eastAsia="方正仿宋_GBK" w:cs="Times New Roman"/>
          <w:kern w:val="2"/>
          <w:sz w:val="32"/>
          <w:szCs w:val="32"/>
          <w:lang w:val="zh-CN" w:eastAsia="zh-CN" w:bidi="ar-SA"/>
        </w:rPr>
        <w:t>：</w:t>
      </w:r>
      <w:r>
        <w:rPr>
          <w:rFonts w:hint="eastAsia" w:ascii="Times New Roman" w:hAnsi="Times New Roman" w:eastAsia="方正仿宋_GBK" w:cs="Times New Roman"/>
          <w:kern w:val="2"/>
          <w:sz w:val="32"/>
          <w:szCs w:val="32"/>
          <w:lang w:val="en-US" w:eastAsia="zh-CN" w:bidi="ar-SA"/>
        </w:rPr>
        <w:t>求索路海纳川厂区内。</w:t>
      </w:r>
    </w:p>
    <w:p w14:paraId="0D91D15D">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方正黑体_GBK" w:hAnsi="方正黑体_GBK" w:eastAsia="方正黑体_GBK" w:cs="方正黑体_GBK"/>
          <w:b/>
          <w:sz w:val="32"/>
          <w:szCs w:val="32"/>
          <w:lang w:val="en-US" w:eastAsia="zh-CN"/>
        </w:rPr>
      </w:pPr>
      <w:r>
        <w:rPr>
          <w:rFonts w:hint="eastAsia" w:ascii="方正黑体_GBK" w:hAnsi="方正黑体_GBK" w:eastAsia="方正黑体_GBK" w:cs="方正黑体_GBK"/>
          <w:b/>
          <w:sz w:val="32"/>
          <w:szCs w:val="32"/>
          <w:lang w:val="en-US" w:eastAsia="zh-CN"/>
        </w:rPr>
        <w:t>二、工程量清单编制依据</w:t>
      </w:r>
    </w:p>
    <w:p w14:paraId="1D0722D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建设工程工程量清单计价规范》GB50500-2013）、2014年《江苏省建筑与装饰工程计价表》、2014年《江苏省建设工程费用定额》及截止2026年4月底以前省、市有关工程造价计价文件，其中控制价人工工资按苏建函价[2026]27号文件执行。</w:t>
      </w:r>
    </w:p>
    <w:p w14:paraId="12E7723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Times New Roman" w:hAnsi="Times New Roman" w:eastAsia="方正仿宋_GBK" w:cs="Times New Roman"/>
          <w:kern w:val="2"/>
          <w:sz w:val="32"/>
          <w:szCs w:val="32"/>
          <w:lang w:val="en-US" w:eastAsia="zh-CN" w:bidi="ar-SA"/>
        </w:rPr>
        <w:t>.采购</w:t>
      </w:r>
      <w:r>
        <w:rPr>
          <w:rFonts w:hint="default" w:ascii="Times New Roman" w:hAnsi="Times New Roman" w:eastAsia="方正仿宋_GBK" w:cs="Times New Roman"/>
          <w:kern w:val="2"/>
          <w:sz w:val="32"/>
          <w:szCs w:val="32"/>
          <w:lang w:val="en-US" w:eastAsia="zh-CN" w:bidi="ar-SA"/>
        </w:rPr>
        <w:t>人提供的设计施工图纸。</w:t>
      </w:r>
    </w:p>
    <w:p w14:paraId="513F7C0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计税方法:根据江苏省住房</w:t>
      </w:r>
      <w:r>
        <w:rPr>
          <w:rFonts w:hint="eastAsia" w:ascii="Times New Roman" w:hAnsi="Times New Roman" w:eastAsia="方正仿宋_GBK" w:cs="Times New Roman"/>
          <w:kern w:val="2"/>
          <w:sz w:val="32"/>
          <w:szCs w:val="32"/>
          <w:lang w:val="en-US" w:eastAsia="zh-CN" w:bidi="ar-SA"/>
        </w:rPr>
        <w:t>和</w:t>
      </w:r>
      <w:r>
        <w:rPr>
          <w:rFonts w:hint="default" w:ascii="Times New Roman" w:hAnsi="Times New Roman" w:eastAsia="方正仿宋_GBK" w:cs="Times New Roman"/>
          <w:kern w:val="2"/>
          <w:sz w:val="32"/>
          <w:szCs w:val="32"/>
          <w:lang w:val="en-US" w:eastAsia="zh-CN" w:bidi="ar-SA"/>
        </w:rPr>
        <w:t>城乡建设厅苏建函价〔2019〕178号的要求实行一般计税的方法。</w:t>
      </w:r>
    </w:p>
    <w:p w14:paraId="5A17033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4.控制价中承插型盘扣式脚手架和模板支撑架计价费用计取方法执行镇建价[2023]第101号文件。</w:t>
      </w:r>
    </w:p>
    <w:p w14:paraId="33DC8B8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5.工程不可竞争费费率如下表（%）：</w:t>
      </w:r>
    </w:p>
    <w:tbl>
      <w:tblPr>
        <w:tblStyle w:val="9"/>
        <w:tblpPr w:leftFromText="180" w:rightFromText="180" w:vertAnchor="text" w:horzAnchor="page" w:tblpX="1595" w:tblpY="136"/>
        <w:tblOverlap w:val="never"/>
        <w:tblW w:w="8987" w:type="dxa"/>
        <w:tblInd w:w="0" w:type="dxa"/>
        <w:tblLayout w:type="fixed"/>
        <w:tblCellMar>
          <w:top w:w="0" w:type="dxa"/>
          <w:left w:w="0" w:type="dxa"/>
          <w:bottom w:w="0" w:type="dxa"/>
          <w:right w:w="0" w:type="dxa"/>
        </w:tblCellMar>
      </w:tblPr>
      <w:tblGrid>
        <w:gridCol w:w="881"/>
        <w:gridCol w:w="885"/>
        <w:gridCol w:w="975"/>
        <w:gridCol w:w="1095"/>
        <w:gridCol w:w="1201"/>
        <w:gridCol w:w="1225"/>
        <w:gridCol w:w="1150"/>
        <w:gridCol w:w="1575"/>
      </w:tblGrid>
      <w:tr w14:paraId="2F7A4979">
        <w:tblPrEx>
          <w:tblCellMar>
            <w:top w:w="0" w:type="dxa"/>
            <w:left w:w="0" w:type="dxa"/>
            <w:bottom w:w="0" w:type="dxa"/>
            <w:right w:w="0" w:type="dxa"/>
          </w:tblCellMar>
        </w:tblPrEx>
        <w:trPr>
          <w:cantSplit/>
          <w:trHeight w:val="805" w:hRule="atLeast"/>
        </w:trPr>
        <w:tc>
          <w:tcPr>
            <w:tcW w:w="881" w:type="dxa"/>
            <w:vMerge w:val="restart"/>
            <w:tcBorders>
              <w:top w:val="single" w:color="auto" w:sz="4" w:space="0"/>
              <w:left w:val="single" w:color="auto" w:sz="4" w:space="0"/>
              <w:right w:val="single" w:color="auto" w:sz="4" w:space="0"/>
            </w:tcBorders>
            <w:tcMar>
              <w:top w:w="15" w:type="dxa"/>
              <w:left w:w="15" w:type="dxa"/>
              <w:bottom w:w="0" w:type="dxa"/>
              <w:right w:w="15" w:type="dxa"/>
            </w:tcMar>
            <w:vAlign w:val="center"/>
          </w:tcPr>
          <w:p w14:paraId="18EE3E84">
            <w:pPr>
              <w:spacing w:line="4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工程</w:t>
            </w:r>
          </w:p>
          <w:p w14:paraId="324C6358">
            <w:pPr>
              <w:spacing w:line="4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w:t>
            </w:r>
          </w:p>
        </w:tc>
        <w:tc>
          <w:tcPr>
            <w:tcW w:w="885" w:type="dxa"/>
            <w:vMerge w:val="restart"/>
            <w:tcBorders>
              <w:top w:val="single" w:color="auto" w:sz="4" w:space="0"/>
              <w:left w:val="single" w:color="auto" w:sz="4" w:space="0"/>
              <w:right w:val="single" w:color="auto" w:sz="4" w:space="0"/>
            </w:tcBorders>
            <w:vAlign w:val="center"/>
          </w:tcPr>
          <w:p w14:paraId="02D3D8FF">
            <w:pPr>
              <w:spacing w:line="4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社会保险费率</w:t>
            </w:r>
          </w:p>
        </w:tc>
        <w:tc>
          <w:tcPr>
            <w:tcW w:w="975" w:type="dxa"/>
            <w:vMerge w:val="restart"/>
            <w:tcBorders>
              <w:top w:val="single" w:color="auto" w:sz="4" w:space="0"/>
              <w:left w:val="single" w:color="auto" w:sz="4" w:space="0"/>
              <w:right w:val="single" w:color="auto" w:sz="4" w:space="0"/>
            </w:tcBorders>
            <w:vAlign w:val="center"/>
          </w:tcPr>
          <w:p w14:paraId="0A5B9A6E">
            <w:pPr>
              <w:spacing w:line="4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公积金</w:t>
            </w:r>
          </w:p>
          <w:p w14:paraId="09171DD6">
            <w:pPr>
              <w:spacing w:line="40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费率</w:t>
            </w:r>
          </w:p>
        </w:tc>
        <w:tc>
          <w:tcPr>
            <w:tcW w:w="1095" w:type="dxa"/>
            <w:vMerge w:val="restart"/>
            <w:tcBorders>
              <w:top w:val="single" w:color="auto" w:sz="4" w:space="0"/>
              <w:left w:val="single" w:color="auto" w:sz="4" w:space="0"/>
              <w:right w:val="single" w:color="auto" w:sz="4" w:space="0"/>
            </w:tcBorders>
            <w:vAlign w:val="center"/>
          </w:tcPr>
          <w:p w14:paraId="4097D24E">
            <w:pPr>
              <w:spacing w:line="4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环境保护税</w:t>
            </w:r>
          </w:p>
        </w:tc>
        <w:tc>
          <w:tcPr>
            <w:tcW w:w="1201" w:type="dxa"/>
            <w:vMerge w:val="restart"/>
            <w:tcBorders>
              <w:top w:val="single" w:color="auto" w:sz="4" w:space="0"/>
              <w:left w:val="single" w:color="auto" w:sz="4" w:space="0"/>
              <w:right w:val="single" w:color="auto" w:sz="4" w:space="0"/>
            </w:tcBorders>
            <w:vAlign w:val="center"/>
          </w:tcPr>
          <w:p w14:paraId="25365E8D">
            <w:pPr>
              <w:spacing w:line="40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综合</w:t>
            </w:r>
          </w:p>
          <w:p w14:paraId="02A96F33">
            <w:pPr>
              <w:spacing w:line="40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税金率</w:t>
            </w:r>
          </w:p>
        </w:tc>
        <w:tc>
          <w:tcPr>
            <w:tcW w:w="3950" w:type="dxa"/>
            <w:gridSpan w:val="3"/>
            <w:tcBorders>
              <w:top w:val="single" w:color="auto" w:sz="4" w:space="0"/>
              <w:left w:val="single" w:color="auto" w:sz="4" w:space="0"/>
              <w:right w:val="single" w:color="auto" w:sz="4" w:space="0"/>
            </w:tcBorders>
            <w:vAlign w:val="center"/>
          </w:tcPr>
          <w:p w14:paraId="615E28AF">
            <w:pPr>
              <w:spacing w:line="40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现场安全文明施工</w:t>
            </w:r>
          </w:p>
          <w:p w14:paraId="3AE54332">
            <w:pPr>
              <w:spacing w:line="4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措施费率(%)</w:t>
            </w:r>
          </w:p>
        </w:tc>
      </w:tr>
      <w:tr w14:paraId="361742F0">
        <w:tblPrEx>
          <w:tblCellMar>
            <w:top w:w="0" w:type="dxa"/>
            <w:left w:w="0" w:type="dxa"/>
            <w:bottom w:w="0" w:type="dxa"/>
            <w:right w:w="0" w:type="dxa"/>
          </w:tblCellMar>
        </w:tblPrEx>
        <w:trPr>
          <w:cantSplit/>
          <w:trHeight w:val="1210" w:hRule="atLeast"/>
        </w:trPr>
        <w:tc>
          <w:tcPr>
            <w:tcW w:w="881" w:type="dxa"/>
            <w:vMerge w:val="continue"/>
            <w:tcBorders>
              <w:left w:val="single" w:color="auto" w:sz="4" w:space="0"/>
              <w:bottom w:val="single" w:color="auto" w:sz="4" w:space="0"/>
              <w:right w:val="single" w:color="auto" w:sz="4" w:space="0"/>
            </w:tcBorders>
            <w:vAlign w:val="center"/>
          </w:tcPr>
          <w:p w14:paraId="06337D29">
            <w:pPr>
              <w:spacing w:line="400" w:lineRule="exact"/>
              <w:ind w:firstLine="480" w:firstLineChars="200"/>
              <w:jc w:val="center"/>
              <w:rPr>
                <w:rFonts w:asciiTheme="minorEastAsia" w:hAnsiTheme="minorEastAsia" w:eastAsiaTheme="minorEastAsia" w:cstheme="minorEastAsia"/>
                <w:sz w:val="24"/>
                <w:szCs w:val="24"/>
              </w:rPr>
            </w:pPr>
          </w:p>
        </w:tc>
        <w:tc>
          <w:tcPr>
            <w:tcW w:w="885" w:type="dxa"/>
            <w:vMerge w:val="continue"/>
            <w:tcBorders>
              <w:left w:val="single" w:color="auto" w:sz="4" w:space="0"/>
              <w:bottom w:val="single" w:color="auto" w:sz="4" w:space="0"/>
              <w:right w:val="single" w:color="auto" w:sz="4" w:space="0"/>
            </w:tcBorders>
            <w:vAlign w:val="center"/>
          </w:tcPr>
          <w:p w14:paraId="32E5E8AF">
            <w:pPr>
              <w:spacing w:line="400" w:lineRule="exact"/>
              <w:ind w:firstLine="480" w:firstLineChars="200"/>
              <w:jc w:val="center"/>
              <w:rPr>
                <w:rFonts w:asciiTheme="minorEastAsia" w:hAnsiTheme="minorEastAsia" w:eastAsiaTheme="minorEastAsia" w:cstheme="minorEastAsia"/>
                <w:sz w:val="24"/>
                <w:szCs w:val="24"/>
              </w:rPr>
            </w:pPr>
          </w:p>
        </w:tc>
        <w:tc>
          <w:tcPr>
            <w:tcW w:w="975" w:type="dxa"/>
            <w:vMerge w:val="continue"/>
            <w:tcBorders>
              <w:left w:val="single" w:color="auto" w:sz="4" w:space="0"/>
              <w:bottom w:val="single" w:color="auto" w:sz="4" w:space="0"/>
              <w:right w:val="single" w:color="auto" w:sz="4" w:space="0"/>
            </w:tcBorders>
            <w:vAlign w:val="center"/>
          </w:tcPr>
          <w:p w14:paraId="5DDA7A02">
            <w:pPr>
              <w:spacing w:line="400" w:lineRule="exact"/>
              <w:ind w:firstLine="480" w:firstLineChars="200"/>
              <w:jc w:val="center"/>
              <w:rPr>
                <w:rFonts w:asciiTheme="minorEastAsia" w:hAnsiTheme="minorEastAsia" w:eastAsiaTheme="minorEastAsia" w:cstheme="minorEastAsia"/>
                <w:sz w:val="24"/>
                <w:szCs w:val="24"/>
              </w:rPr>
            </w:pPr>
          </w:p>
        </w:tc>
        <w:tc>
          <w:tcPr>
            <w:tcW w:w="1095" w:type="dxa"/>
            <w:vMerge w:val="continue"/>
            <w:tcBorders>
              <w:left w:val="single" w:color="auto" w:sz="4" w:space="0"/>
              <w:bottom w:val="single" w:color="auto" w:sz="4" w:space="0"/>
              <w:right w:val="single" w:color="auto" w:sz="4" w:space="0"/>
            </w:tcBorders>
            <w:vAlign w:val="center"/>
          </w:tcPr>
          <w:p w14:paraId="2129A629">
            <w:pPr>
              <w:spacing w:line="400" w:lineRule="exact"/>
              <w:jc w:val="center"/>
              <w:rPr>
                <w:rFonts w:hint="eastAsia" w:asciiTheme="minorEastAsia" w:hAnsiTheme="minorEastAsia" w:eastAsiaTheme="minorEastAsia" w:cstheme="minorEastAsia"/>
                <w:sz w:val="24"/>
                <w:szCs w:val="24"/>
              </w:rPr>
            </w:pPr>
          </w:p>
        </w:tc>
        <w:tc>
          <w:tcPr>
            <w:tcW w:w="1201" w:type="dxa"/>
            <w:vMerge w:val="continue"/>
            <w:tcBorders>
              <w:left w:val="single" w:color="auto" w:sz="4" w:space="0"/>
              <w:bottom w:val="single" w:color="auto" w:sz="4" w:space="0"/>
              <w:right w:val="single" w:color="auto" w:sz="4" w:space="0"/>
            </w:tcBorders>
            <w:vAlign w:val="center"/>
          </w:tcPr>
          <w:p w14:paraId="117A410B">
            <w:pPr>
              <w:spacing w:line="400" w:lineRule="exact"/>
              <w:ind w:firstLine="480" w:firstLineChars="200"/>
              <w:jc w:val="center"/>
              <w:rPr>
                <w:rFonts w:asciiTheme="minorEastAsia" w:hAnsiTheme="minorEastAsia" w:eastAsiaTheme="minorEastAsia" w:cstheme="minorEastAsia"/>
                <w:sz w:val="24"/>
                <w:szCs w:val="24"/>
              </w:rPr>
            </w:pPr>
          </w:p>
        </w:tc>
        <w:tc>
          <w:tcPr>
            <w:tcW w:w="1225" w:type="dxa"/>
            <w:tcBorders>
              <w:top w:val="single" w:color="auto" w:sz="4" w:space="0"/>
              <w:left w:val="single" w:color="auto" w:sz="4" w:space="0"/>
              <w:bottom w:val="single" w:color="auto" w:sz="4" w:space="0"/>
              <w:right w:val="single" w:color="auto" w:sz="4" w:space="0"/>
            </w:tcBorders>
            <w:vAlign w:val="center"/>
          </w:tcPr>
          <w:p w14:paraId="13738F32">
            <w:pPr>
              <w:spacing w:line="40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基本费率</w:t>
            </w:r>
          </w:p>
        </w:tc>
        <w:tc>
          <w:tcPr>
            <w:tcW w:w="1150" w:type="dxa"/>
            <w:tcBorders>
              <w:top w:val="single" w:color="auto" w:sz="4" w:space="0"/>
              <w:left w:val="single" w:color="auto" w:sz="4" w:space="0"/>
              <w:bottom w:val="single" w:color="auto" w:sz="4" w:space="0"/>
              <w:right w:val="single" w:color="auto" w:sz="4" w:space="0"/>
            </w:tcBorders>
            <w:vAlign w:val="center"/>
          </w:tcPr>
          <w:p w14:paraId="0049A013">
            <w:pPr>
              <w:spacing w:line="40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标化工地增加费</w:t>
            </w:r>
          </w:p>
        </w:tc>
        <w:tc>
          <w:tcPr>
            <w:tcW w:w="1575" w:type="dxa"/>
            <w:tcBorders>
              <w:top w:val="single" w:color="auto" w:sz="4" w:space="0"/>
              <w:left w:val="single" w:color="auto" w:sz="4" w:space="0"/>
              <w:bottom w:val="single" w:color="auto" w:sz="4" w:space="0"/>
              <w:right w:val="single" w:color="auto" w:sz="4" w:space="0"/>
            </w:tcBorders>
            <w:vAlign w:val="center"/>
          </w:tcPr>
          <w:p w14:paraId="0EE498FD">
            <w:pPr>
              <w:spacing w:line="400" w:lineRule="exact"/>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rPr>
              <w:t>扬尘污染防治增加费</w:t>
            </w:r>
          </w:p>
        </w:tc>
      </w:tr>
      <w:tr w14:paraId="5AF299D0">
        <w:tblPrEx>
          <w:tblCellMar>
            <w:top w:w="0" w:type="dxa"/>
            <w:left w:w="0" w:type="dxa"/>
            <w:bottom w:w="0" w:type="dxa"/>
            <w:right w:w="0" w:type="dxa"/>
          </w:tblCellMar>
        </w:tblPrEx>
        <w:trPr>
          <w:trHeight w:val="427" w:hRule="atLeast"/>
        </w:trPr>
        <w:tc>
          <w:tcPr>
            <w:tcW w:w="881" w:type="dxa"/>
            <w:tcBorders>
              <w:top w:val="single" w:color="auto" w:sz="4" w:space="0"/>
              <w:left w:val="single" w:color="auto" w:sz="4" w:space="0"/>
              <w:bottom w:val="single" w:color="auto" w:sz="4" w:space="0"/>
              <w:right w:val="single" w:color="auto" w:sz="4" w:space="0"/>
            </w:tcBorders>
            <w:shd w:val="clear"/>
            <w:tcMar>
              <w:top w:w="15" w:type="dxa"/>
              <w:left w:w="15" w:type="dxa"/>
              <w:bottom w:w="0" w:type="dxa"/>
              <w:right w:w="15" w:type="dxa"/>
            </w:tcMar>
            <w:vAlign w:val="center"/>
          </w:tcPr>
          <w:p w14:paraId="1F32F6D6">
            <w:pPr>
              <w:spacing w:line="500" w:lineRule="exact"/>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rPr>
              <w:t>土建</w:t>
            </w:r>
          </w:p>
        </w:tc>
        <w:tc>
          <w:tcPr>
            <w:tcW w:w="885" w:type="dxa"/>
            <w:tcBorders>
              <w:top w:val="single" w:color="auto" w:sz="4" w:space="0"/>
              <w:left w:val="single" w:color="auto" w:sz="4" w:space="0"/>
              <w:bottom w:val="single" w:color="auto" w:sz="4" w:space="0"/>
              <w:right w:val="single" w:color="auto" w:sz="4" w:space="0"/>
            </w:tcBorders>
            <w:shd w:val="clear"/>
            <w:vAlign w:val="center"/>
          </w:tcPr>
          <w:p w14:paraId="4643D85E">
            <w:pPr>
              <w:spacing w:line="500" w:lineRule="exact"/>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rPr>
              <w:t>3.2</w:t>
            </w:r>
          </w:p>
        </w:tc>
        <w:tc>
          <w:tcPr>
            <w:tcW w:w="975" w:type="dxa"/>
            <w:tcBorders>
              <w:top w:val="single" w:color="auto" w:sz="4" w:space="0"/>
              <w:left w:val="single" w:color="auto" w:sz="4" w:space="0"/>
              <w:bottom w:val="single" w:color="auto" w:sz="4" w:space="0"/>
              <w:right w:val="single" w:color="auto" w:sz="4" w:space="0"/>
            </w:tcBorders>
            <w:shd w:val="clear"/>
            <w:vAlign w:val="center"/>
          </w:tcPr>
          <w:p w14:paraId="16A8CD8E">
            <w:pPr>
              <w:spacing w:line="500" w:lineRule="exact"/>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rPr>
              <w:t>0.53</w:t>
            </w:r>
          </w:p>
        </w:tc>
        <w:tc>
          <w:tcPr>
            <w:tcW w:w="1095" w:type="dxa"/>
            <w:tcBorders>
              <w:top w:val="single" w:color="auto" w:sz="4" w:space="0"/>
              <w:left w:val="single" w:color="auto" w:sz="4" w:space="0"/>
              <w:bottom w:val="single" w:color="auto" w:sz="4" w:space="0"/>
              <w:right w:val="single" w:color="auto" w:sz="4" w:space="0"/>
            </w:tcBorders>
            <w:shd w:val="clear"/>
            <w:vAlign w:val="center"/>
          </w:tcPr>
          <w:p w14:paraId="2B351149">
            <w:pPr>
              <w:spacing w:line="500" w:lineRule="exact"/>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0</w:t>
            </w:r>
          </w:p>
        </w:tc>
        <w:tc>
          <w:tcPr>
            <w:tcW w:w="1201" w:type="dxa"/>
            <w:tcBorders>
              <w:top w:val="single" w:color="auto" w:sz="4" w:space="0"/>
              <w:left w:val="single" w:color="auto" w:sz="4" w:space="0"/>
              <w:bottom w:val="single" w:color="auto" w:sz="4" w:space="0"/>
              <w:right w:val="single" w:color="auto" w:sz="4" w:space="0"/>
            </w:tcBorders>
            <w:shd w:val="clear"/>
            <w:vAlign w:val="center"/>
          </w:tcPr>
          <w:p w14:paraId="6653B0C8">
            <w:pPr>
              <w:spacing w:line="500" w:lineRule="exact"/>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rPr>
              <w:t>9</w:t>
            </w:r>
          </w:p>
        </w:tc>
        <w:tc>
          <w:tcPr>
            <w:tcW w:w="1225" w:type="dxa"/>
            <w:tcBorders>
              <w:top w:val="single" w:color="auto" w:sz="4" w:space="0"/>
              <w:left w:val="single" w:color="auto" w:sz="4" w:space="0"/>
              <w:bottom w:val="single" w:color="auto" w:sz="4" w:space="0"/>
              <w:right w:val="single" w:color="auto" w:sz="4" w:space="0"/>
            </w:tcBorders>
            <w:shd w:val="clear"/>
            <w:vAlign w:val="center"/>
          </w:tcPr>
          <w:p w14:paraId="247520BE">
            <w:pPr>
              <w:spacing w:line="500" w:lineRule="exact"/>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3.1</w:t>
            </w:r>
          </w:p>
        </w:tc>
        <w:tc>
          <w:tcPr>
            <w:tcW w:w="1150" w:type="dxa"/>
            <w:tcBorders>
              <w:top w:val="single" w:color="auto" w:sz="4" w:space="0"/>
              <w:left w:val="single" w:color="auto" w:sz="4" w:space="0"/>
              <w:bottom w:val="single" w:color="auto" w:sz="4" w:space="0"/>
              <w:right w:val="single" w:color="auto" w:sz="4" w:space="0"/>
            </w:tcBorders>
            <w:shd w:val="clear"/>
            <w:vAlign w:val="center"/>
          </w:tcPr>
          <w:p w14:paraId="6DADDD5E">
            <w:pPr>
              <w:spacing w:line="500" w:lineRule="exact"/>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0</w:t>
            </w:r>
          </w:p>
        </w:tc>
        <w:tc>
          <w:tcPr>
            <w:tcW w:w="1575" w:type="dxa"/>
            <w:tcBorders>
              <w:top w:val="single" w:color="auto" w:sz="4" w:space="0"/>
              <w:left w:val="single" w:color="auto" w:sz="4" w:space="0"/>
              <w:bottom w:val="single" w:color="auto" w:sz="4" w:space="0"/>
              <w:right w:val="single" w:color="auto" w:sz="4" w:space="0"/>
            </w:tcBorders>
            <w:shd w:val="clear"/>
            <w:vAlign w:val="center"/>
          </w:tcPr>
          <w:p w14:paraId="41B466EF">
            <w:pPr>
              <w:spacing w:line="500" w:lineRule="exact"/>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0.31</w:t>
            </w:r>
          </w:p>
        </w:tc>
      </w:tr>
      <w:tr w14:paraId="65C14D37">
        <w:tblPrEx>
          <w:tblCellMar>
            <w:top w:w="0" w:type="dxa"/>
            <w:left w:w="0" w:type="dxa"/>
            <w:bottom w:w="0" w:type="dxa"/>
            <w:right w:w="0" w:type="dxa"/>
          </w:tblCellMar>
        </w:tblPrEx>
        <w:trPr>
          <w:trHeight w:val="427" w:hRule="atLeast"/>
        </w:trPr>
        <w:tc>
          <w:tcPr>
            <w:tcW w:w="88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5998487B">
            <w:pPr>
              <w:spacing w:line="500" w:lineRule="exact"/>
              <w:jc w:val="center"/>
              <w:rPr>
                <w:rFonts w:hint="eastAsia" w:asciiTheme="minorEastAsia" w:hAnsiTheme="minorEastAsia" w:eastAsiaTheme="minorEastAsia" w:cstheme="minorEastAsia"/>
                <w:sz w:val="24"/>
                <w:szCs w:val="24"/>
              </w:rPr>
            </w:pPr>
          </w:p>
        </w:tc>
        <w:tc>
          <w:tcPr>
            <w:tcW w:w="885" w:type="dxa"/>
            <w:tcBorders>
              <w:top w:val="single" w:color="auto" w:sz="4" w:space="0"/>
              <w:left w:val="single" w:color="auto" w:sz="4" w:space="0"/>
              <w:bottom w:val="single" w:color="auto" w:sz="4" w:space="0"/>
              <w:right w:val="single" w:color="auto" w:sz="4" w:space="0"/>
            </w:tcBorders>
            <w:vAlign w:val="center"/>
          </w:tcPr>
          <w:p w14:paraId="5E8D80F0">
            <w:pPr>
              <w:spacing w:line="500" w:lineRule="exact"/>
              <w:jc w:val="center"/>
              <w:rPr>
                <w:rFonts w:hint="default" w:asciiTheme="minorEastAsia" w:hAnsiTheme="minorEastAsia" w:eastAsiaTheme="minorEastAsia" w:cstheme="minorEastAsia"/>
                <w:kern w:val="2"/>
                <w:sz w:val="24"/>
                <w:szCs w:val="24"/>
                <w:lang w:val="en-US" w:eastAsia="zh-CN" w:bidi="ar-SA"/>
              </w:rPr>
            </w:pPr>
          </w:p>
        </w:tc>
        <w:tc>
          <w:tcPr>
            <w:tcW w:w="975" w:type="dxa"/>
            <w:tcBorders>
              <w:top w:val="single" w:color="auto" w:sz="4" w:space="0"/>
              <w:left w:val="single" w:color="auto" w:sz="4" w:space="0"/>
              <w:bottom w:val="single" w:color="auto" w:sz="4" w:space="0"/>
              <w:right w:val="single" w:color="auto" w:sz="4" w:space="0"/>
            </w:tcBorders>
            <w:vAlign w:val="center"/>
          </w:tcPr>
          <w:p w14:paraId="607BC779">
            <w:pPr>
              <w:spacing w:line="500" w:lineRule="exact"/>
              <w:jc w:val="center"/>
              <w:rPr>
                <w:rFonts w:hint="eastAsia" w:asciiTheme="minorEastAsia" w:hAnsiTheme="minorEastAsia" w:eastAsiaTheme="minorEastAsia" w:cstheme="minorEastAsia"/>
                <w:kern w:val="2"/>
                <w:sz w:val="24"/>
                <w:szCs w:val="24"/>
                <w:lang w:val="en-US" w:eastAsia="zh-CN" w:bidi="ar-SA"/>
              </w:rPr>
            </w:pPr>
          </w:p>
        </w:tc>
        <w:tc>
          <w:tcPr>
            <w:tcW w:w="1095" w:type="dxa"/>
            <w:tcBorders>
              <w:top w:val="single" w:color="auto" w:sz="4" w:space="0"/>
              <w:left w:val="single" w:color="auto" w:sz="4" w:space="0"/>
              <w:bottom w:val="single" w:color="auto" w:sz="4" w:space="0"/>
              <w:right w:val="single" w:color="auto" w:sz="4" w:space="0"/>
            </w:tcBorders>
            <w:vAlign w:val="center"/>
          </w:tcPr>
          <w:p w14:paraId="13A55441">
            <w:pPr>
              <w:spacing w:line="500" w:lineRule="exact"/>
              <w:jc w:val="center"/>
              <w:rPr>
                <w:rFonts w:hint="eastAsia" w:asciiTheme="minorEastAsia" w:hAnsiTheme="minorEastAsia" w:eastAsiaTheme="minorEastAsia" w:cstheme="minorEastAsia"/>
                <w:sz w:val="24"/>
                <w:szCs w:val="24"/>
                <w:lang w:val="en-US" w:eastAsia="zh-CN"/>
              </w:rPr>
            </w:pPr>
          </w:p>
        </w:tc>
        <w:tc>
          <w:tcPr>
            <w:tcW w:w="1201" w:type="dxa"/>
            <w:tcBorders>
              <w:top w:val="single" w:color="auto" w:sz="4" w:space="0"/>
              <w:left w:val="single" w:color="auto" w:sz="4" w:space="0"/>
              <w:bottom w:val="single" w:color="auto" w:sz="4" w:space="0"/>
              <w:right w:val="single" w:color="auto" w:sz="4" w:space="0"/>
            </w:tcBorders>
            <w:vAlign w:val="center"/>
          </w:tcPr>
          <w:p w14:paraId="086E14AB">
            <w:pPr>
              <w:spacing w:line="500" w:lineRule="exact"/>
              <w:jc w:val="center"/>
              <w:rPr>
                <w:rFonts w:hint="eastAsia" w:asciiTheme="minorEastAsia" w:hAnsiTheme="minorEastAsia" w:eastAsiaTheme="minorEastAsia" w:cstheme="minorEastAsia"/>
                <w:sz w:val="24"/>
                <w:szCs w:val="24"/>
                <w:lang w:val="en-US" w:eastAsia="zh-CN"/>
              </w:rPr>
            </w:pPr>
          </w:p>
        </w:tc>
        <w:tc>
          <w:tcPr>
            <w:tcW w:w="1225" w:type="dxa"/>
            <w:tcBorders>
              <w:top w:val="single" w:color="auto" w:sz="4" w:space="0"/>
              <w:left w:val="single" w:color="auto" w:sz="4" w:space="0"/>
              <w:bottom w:val="single" w:color="auto" w:sz="4" w:space="0"/>
              <w:right w:val="single" w:color="auto" w:sz="4" w:space="0"/>
            </w:tcBorders>
            <w:vAlign w:val="center"/>
          </w:tcPr>
          <w:p w14:paraId="3CFF85D7">
            <w:pPr>
              <w:spacing w:line="500" w:lineRule="exact"/>
              <w:jc w:val="center"/>
              <w:rPr>
                <w:rFonts w:hint="default" w:asciiTheme="minorEastAsia" w:hAnsiTheme="minorEastAsia" w:eastAsiaTheme="minorEastAsia" w:cstheme="minorEastAsia"/>
                <w:sz w:val="24"/>
                <w:szCs w:val="24"/>
                <w:lang w:val="en-US" w:eastAsia="zh-CN"/>
              </w:rPr>
            </w:pPr>
          </w:p>
        </w:tc>
        <w:tc>
          <w:tcPr>
            <w:tcW w:w="1150" w:type="dxa"/>
            <w:tcBorders>
              <w:top w:val="single" w:color="auto" w:sz="4" w:space="0"/>
              <w:left w:val="single" w:color="auto" w:sz="4" w:space="0"/>
              <w:bottom w:val="single" w:color="auto" w:sz="4" w:space="0"/>
              <w:right w:val="single" w:color="auto" w:sz="4" w:space="0"/>
            </w:tcBorders>
            <w:vAlign w:val="center"/>
          </w:tcPr>
          <w:p w14:paraId="779369CC">
            <w:pPr>
              <w:spacing w:line="500" w:lineRule="exact"/>
              <w:jc w:val="center"/>
              <w:rPr>
                <w:rFonts w:hint="default" w:asciiTheme="minorEastAsia" w:hAnsiTheme="minorEastAsia" w:eastAsiaTheme="minorEastAsia" w:cstheme="minorEastAsia"/>
                <w:sz w:val="24"/>
                <w:szCs w:val="24"/>
                <w:lang w:val="en-US" w:eastAsia="zh-CN"/>
              </w:rPr>
            </w:pPr>
          </w:p>
        </w:tc>
        <w:tc>
          <w:tcPr>
            <w:tcW w:w="1575" w:type="dxa"/>
            <w:tcBorders>
              <w:top w:val="single" w:color="auto" w:sz="4" w:space="0"/>
              <w:left w:val="single" w:color="auto" w:sz="4" w:space="0"/>
              <w:bottom w:val="single" w:color="auto" w:sz="4" w:space="0"/>
              <w:right w:val="single" w:color="auto" w:sz="4" w:space="0"/>
            </w:tcBorders>
            <w:vAlign w:val="center"/>
          </w:tcPr>
          <w:p w14:paraId="18613594">
            <w:pPr>
              <w:spacing w:line="500" w:lineRule="exact"/>
              <w:jc w:val="center"/>
              <w:rPr>
                <w:rFonts w:hint="default" w:asciiTheme="minorEastAsia" w:hAnsiTheme="minorEastAsia" w:eastAsiaTheme="minorEastAsia" w:cstheme="minorEastAsia"/>
                <w:sz w:val="24"/>
                <w:szCs w:val="24"/>
                <w:lang w:val="en-US" w:eastAsia="zh-CN"/>
              </w:rPr>
            </w:pPr>
          </w:p>
        </w:tc>
      </w:tr>
      <w:tr w14:paraId="61CA171A">
        <w:tblPrEx>
          <w:tblCellMar>
            <w:top w:w="0" w:type="dxa"/>
            <w:left w:w="0" w:type="dxa"/>
            <w:bottom w:w="0" w:type="dxa"/>
            <w:right w:w="0" w:type="dxa"/>
          </w:tblCellMar>
        </w:tblPrEx>
        <w:trPr>
          <w:trHeight w:val="427" w:hRule="atLeast"/>
        </w:trPr>
        <w:tc>
          <w:tcPr>
            <w:tcW w:w="88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4977C5E2">
            <w:pPr>
              <w:spacing w:line="500" w:lineRule="exact"/>
              <w:jc w:val="center"/>
              <w:rPr>
                <w:rFonts w:hint="default" w:asciiTheme="minorEastAsia" w:hAnsiTheme="minorEastAsia" w:eastAsiaTheme="minorEastAsia" w:cstheme="minorEastAsia"/>
                <w:sz w:val="24"/>
                <w:szCs w:val="24"/>
                <w:lang w:val="en-US" w:eastAsia="zh-CN"/>
              </w:rPr>
            </w:pPr>
          </w:p>
        </w:tc>
        <w:tc>
          <w:tcPr>
            <w:tcW w:w="885" w:type="dxa"/>
            <w:tcBorders>
              <w:top w:val="single" w:color="auto" w:sz="4" w:space="0"/>
              <w:left w:val="single" w:color="auto" w:sz="4" w:space="0"/>
              <w:bottom w:val="single" w:color="auto" w:sz="4" w:space="0"/>
              <w:right w:val="single" w:color="auto" w:sz="4" w:space="0"/>
            </w:tcBorders>
            <w:vAlign w:val="center"/>
          </w:tcPr>
          <w:p w14:paraId="13C8549B">
            <w:pPr>
              <w:spacing w:line="500" w:lineRule="exact"/>
              <w:jc w:val="center"/>
              <w:rPr>
                <w:rFonts w:asciiTheme="minorEastAsia" w:hAnsiTheme="minorEastAsia" w:eastAsiaTheme="minorEastAsia" w:cstheme="minorEastAsia"/>
                <w:sz w:val="24"/>
                <w:szCs w:val="24"/>
              </w:rPr>
            </w:pPr>
          </w:p>
        </w:tc>
        <w:tc>
          <w:tcPr>
            <w:tcW w:w="975" w:type="dxa"/>
            <w:tcBorders>
              <w:top w:val="single" w:color="auto" w:sz="4" w:space="0"/>
              <w:left w:val="single" w:color="auto" w:sz="4" w:space="0"/>
              <w:bottom w:val="single" w:color="auto" w:sz="4" w:space="0"/>
              <w:right w:val="single" w:color="auto" w:sz="4" w:space="0"/>
            </w:tcBorders>
            <w:vAlign w:val="center"/>
          </w:tcPr>
          <w:p w14:paraId="7EEA1306">
            <w:pPr>
              <w:spacing w:line="500" w:lineRule="exact"/>
              <w:jc w:val="center"/>
              <w:rPr>
                <w:rFonts w:hint="default" w:asciiTheme="minorEastAsia" w:hAnsiTheme="minorEastAsia" w:eastAsiaTheme="minorEastAsia" w:cstheme="minorEastAsia"/>
                <w:sz w:val="24"/>
                <w:szCs w:val="24"/>
                <w:lang w:val="en-US" w:eastAsia="zh-CN"/>
              </w:rPr>
            </w:pPr>
          </w:p>
        </w:tc>
        <w:tc>
          <w:tcPr>
            <w:tcW w:w="1095" w:type="dxa"/>
            <w:tcBorders>
              <w:top w:val="single" w:color="auto" w:sz="4" w:space="0"/>
              <w:left w:val="single" w:color="auto" w:sz="4" w:space="0"/>
              <w:bottom w:val="single" w:color="auto" w:sz="4" w:space="0"/>
              <w:right w:val="single" w:color="auto" w:sz="4" w:space="0"/>
            </w:tcBorders>
            <w:vAlign w:val="center"/>
          </w:tcPr>
          <w:p w14:paraId="600DB010">
            <w:pPr>
              <w:spacing w:line="500" w:lineRule="exact"/>
              <w:jc w:val="center"/>
              <w:rPr>
                <w:rFonts w:hint="eastAsia" w:asciiTheme="minorEastAsia" w:hAnsiTheme="minorEastAsia" w:eastAsiaTheme="minorEastAsia" w:cstheme="minorEastAsia"/>
                <w:sz w:val="24"/>
                <w:szCs w:val="24"/>
                <w:lang w:val="en-US" w:eastAsia="zh-CN"/>
              </w:rPr>
            </w:pPr>
          </w:p>
        </w:tc>
        <w:tc>
          <w:tcPr>
            <w:tcW w:w="1201" w:type="dxa"/>
            <w:tcBorders>
              <w:top w:val="single" w:color="auto" w:sz="4" w:space="0"/>
              <w:left w:val="single" w:color="auto" w:sz="4" w:space="0"/>
              <w:bottom w:val="single" w:color="auto" w:sz="4" w:space="0"/>
              <w:right w:val="single" w:color="auto" w:sz="4" w:space="0"/>
            </w:tcBorders>
            <w:vAlign w:val="center"/>
          </w:tcPr>
          <w:p w14:paraId="0E1FAB29">
            <w:pPr>
              <w:spacing w:line="500" w:lineRule="exact"/>
              <w:jc w:val="center"/>
              <w:rPr>
                <w:rFonts w:asciiTheme="minorEastAsia" w:hAnsiTheme="minorEastAsia" w:eastAsiaTheme="minorEastAsia" w:cstheme="minorEastAsia"/>
                <w:sz w:val="24"/>
                <w:szCs w:val="24"/>
              </w:rPr>
            </w:pPr>
          </w:p>
        </w:tc>
        <w:tc>
          <w:tcPr>
            <w:tcW w:w="1225" w:type="dxa"/>
            <w:tcBorders>
              <w:top w:val="single" w:color="auto" w:sz="4" w:space="0"/>
              <w:left w:val="single" w:color="auto" w:sz="4" w:space="0"/>
              <w:bottom w:val="single" w:color="auto" w:sz="4" w:space="0"/>
              <w:right w:val="single" w:color="auto" w:sz="4" w:space="0"/>
            </w:tcBorders>
            <w:vAlign w:val="center"/>
          </w:tcPr>
          <w:p w14:paraId="49236971">
            <w:pPr>
              <w:spacing w:line="500" w:lineRule="exact"/>
              <w:jc w:val="center"/>
              <w:rPr>
                <w:rFonts w:hint="default" w:asciiTheme="minorEastAsia" w:hAnsiTheme="minorEastAsia" w:eastAsiaTheme="minorEastAsia" w:cstheme="minorEastAsia"/>
                <w:sz w:val="24"/>
                <w:szCs w:val="24"/>
                <w:lang w:val="en-US" w:eastAsia="zh-CN"/>
              </w:rPr>
            </w:pPr>
          </w:p>
        </w:tc>
        <w:tc>
          <w:tcPr>
            <w:tcW w:w="1150" w:type="dxa"/>
            <w:tcBorders>
              <w:top w:val="single" w:color="auto" w:sz="4" w:space="0"/>
              <w:left w:val="single" w:color="auto" w:sz="4" w:space="0"/>
              <w:bottom w:val="single" w:color="auto" w:sz="4" w:space="0"/>
              <w:right w:val="single" w:color="auto" w:sz="4" w:space="0"/>
            </w:tcBorders>
            <w:vAlign w:val="center"/>
          </w:tcPr>
          <w:p w14:paraId="128334E2">
            <w:pPr>
              <w:spacing w:line="500" w:lineRule="exact"/>
              <w:jc w:val="center"/>
              <w:rPr>
                <w:rFonts w:hint="default" w:asciiTheme="minorEastAsia" w:hAnsiTheme="minorEastAsia" w:eastAsiaTheme="minorEastAsia" w:cstheme="minorEastAsia"/>
                <w:sz w:val="24"/>
                <w:szCs w:val="24"/>
                <w:lang w:val="en-US" w:eastAsia="zh-CN"/>
              </w:rPr>
            </w:pPr>
          </w:p>
        </w:tc>
        <w:tc>
          <w:tcPr>
            <w:tcW w:w="1575" w:type="dxa"/>
            <w:tcBorders>
              <w:top w:val="single" w:color="auto" w:sz="4" w:space="0"/>
              <w:left w:val="single" w:color="auto" w:sz="4" w:space="0"/>
              <w:bottom w:val="single" w:color="auto" w:sz="4" w:space="0"/>
              <w:right w:val="single" w:color="auto" w:sz="4" w:space="0"/>
            </w:tcBorders>
            <w:vAlign w:val="center"/>
          </w:tcPr>
          <w:p w14:paraId="4528A180">
            <w:pPr>
              <w:spacing w:line="500" w:lineRule="exact"/>
              <w:jc w:val="center"/>
              <w:rPr>
                <w:rFonts w:hint="default" w:asciiTheme="minorEastAsia" w:hAnsiTheme="minorEastAsia" w:eastAsiaTheme="minorEastAsia" w:cstheme="minorEastAsia"/>
                <w:kern w:val="2"/>
                <w:sz w:val="24"/>
                <w:szCs w:val="24"/>
                <w:lang w:val="en-US" w:eastAsia="zh-CN" w:bidi="ar-SA"/>
              </w:rPr>
            </w:pPr>
          </w:p>
        </w:tc>
      </w:tr>
    </w:tbl>
    <w:p w14:paraId="5CBDD3AD">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方正黑体_GBK" w:hAnsi="方正黑体_GBK" w:eastAsia="方正黑体_GBK" w:cs="方正黑体_GBK"/>
          <w:b/>
          <w:sz w:val="32"/>
          <w:szCs w:val="32"/>
          <w:lang w:val="en-US" w:eastAsia="zh-CN"/>
        </w:rPr>
      </w:pPr>
      <w:r>
        <w:rPr>
          <w:rFonts w:hint="eastAsia" w:ascii="方正黑体_GBK" w:hAnsi="方正黑体_GBK" w:eastAsia="方正黑体_GBK" w:cs="方正黑体_GBK"/>
          <w:b/>
          <w:sz w:val="32"/>
          <w:szCs w:val="32"/>
          <w:lang w:val="en-US" w:eastAsia="zh-CN"/>
        </w:rPr>
        <w:t>三、材料价格取定：</w:t>
      </w:r>
    </w:p>
    <w:p w14:paraId="56A73C4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本工程控制价中材料价格参考镇江市202</w:t>
      </w:r>
      <w:r>
        <w:rPr>
          <w:rFonts w:hint="eastAsia" w:ascii="Times New Roman" w:hAnsi="Times New Roman" w:eastAsia="方正仿宋_GBK" w:cs="Times New Roman"/>
          <w:kern w:val="2"/>
          <w:sz w:val="32"/>
          <w:szCs w:val="32"/>
          <w:lang w:val="en-US" w:eastAsia="zh-CN" w:bidi="ar-SA"/>
        </w:rPr>
        <w:t>6</w:t>
      </w:r>
      <w:r>
        <w:rPr>
          <w:rFonts w:hint="default" w:ascii="Times New Roman" w:hAnsi="Times New Roman" w:eastAsia="方正仿宋_GBK" w:cs="Times New Roman"/>
          <w:kern w:val="2"/>
          <w:sz w:val="32"/>
          <w:szCs w:val="32"/>
          <w:lang w:val="en-US" w:eastAsia="zh-CN" w:bidi="ar-SA"/>
        </w:rPr>
        <w:t>年第</w:t>
      </w:r>
      <w:r>
        <w:rPr>
          <w:rFonts w:hint="eastAsia" w:ascii="Times New Roman" w:hAnsi="Times New Roman" w:eastAsia="方正仿宋_GBK" w:cs="Times New Roman"/>
          <w:kern w:val="2"/>
          <w:sz w:val="32"/>
          <w:szCs w:val="32"/>
          <w:lang w:val="en-US" w:eastAsia="zh-CN" w:bidi="ar-SA"/>
        </w:rPr>
        <w:t>5</w:t>
      </w:r>
      <w:r>
        <w:rPr>
          <w:rFonts w:hint="default" w:ascii="Times New Roman" w:hAnsi="Times New Roman" w:eastAsia="方正仿宋_GBK" w:cs="Times New Roman"/>
          <w:kern w:val="2"/>
          <w:sz w:val="32"/>
          <w:szCs w:val="32"/>
          <w:lang w:val="en-US" w:eastAsia="zh-CN" w:bidi="ar-SA"/>
        </w:rPr>
        <w:t>期《工程造价信息》并结合市场行情等因素综合考虑。</w:t>
      </w:r>
    </w:p>
    <w:p w14:paraId="0493EFF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2"/>
          <w:sz w:val="32"/>
          <w:szCs w:val="32"/>
          <w:lang w:val="en-US" w:eastAsia="zh-CN" w:bidi="ar-SA"/>
        </w:rPr>
      </w:pPr>
      <w:bookmarkStart w:id="0" w:name="_Hlk504124434"/>
      <w:r>
        <w:rPr>
          <w:rFonts w:hint="default" w:ascii="Times New Roman" w:hAnsi="Times New Roman" w:eastAsia="方正仿宋_GBK" w:cs="Times New Roman"/>
          <w:kern w:val="2"/>
          <w:sz w:val="32"/>
          <w:szCs w:val="32"/>
          <w:lang w:val="en-US" w:eastAsia="zh-CN" w:bidi="ar-SA"/>
        </w:rPr>
        <w:t>2</w:t>
      </w:r>
      <w:bookmarkEnd w:id="0"/>
      <w:r>
        <w:rPr>
          <w:rFonts w:hint="eastAsia" w:ascii="Times New Roman" w:hAnsi="Times New Roman" w:eastAsia="方正仿宋_GBK" w:cs="Times New Roman"/>
          <w:kern w:val="2"/>
          <w:sz w:val="32"/>
          <w:szCs w:val="32"/>
          <w:lang w:val="en-US" w:eastAsia="zh-CN" w:bidi="ar-SA"/>
        </w:rPr>
        <w:t>.报价</w:t>
      </w:r>
      <w:r>
        <w:rPr>
          <w:rFonts w:hint="default" w:ascii="Times New Roman" w:hAnsi="Times New Roman" w:eastAsia="方正仿宋_GBK" w:cs="Times New Roman"/>
          <w:kern w:val="2"/>
          <w:sz w:val="32"/>
          <w:szCs w:val="32"/>
          <w:lang w:val="en-US" w:eastAsia="zh-CN" w:bidi="ar-SA"/>
        </w:rPr>
        <w:t>报价由各</w:t>
      </w:r>
      <w:r>
        <w:rPr>
          <w:rFonts w:hint="eastAsia" w:ascii="Times New Roman" w:hAnsi="Times New Roman" w:eastAsia="方正仿宋_GBK" w:cs="Times New Roman"/>
          <w:kern w:val="2"/>
          <w:sz w:val="32"/>
          <w:szCs w:val="32"/>
          <w:lang w:val="en-US" w:eastAsia="zh-CN" w:bidi="ar-SA"/>
        </w:rPr>
        <w:t>报价</w:t>
      </w:r>
      <w:r>
        <w:rPr>
          <w:rFonts w:hint="default" w:ascii="Times New Roman" w:hAnsi="Times New Roman" w:eastAsia="方正仿宋_GBK" w:cs="Times New Roman"/>
          <w:kern w:val="2"/>
          <w:sz w:val="32"/>
          <w:szCs w:val="32"/>
          <w:lang w:val="en-US" w:eastAsia="zh-CN" w:bidi="ar-SA"/>
        </w:rPr>
        <w:t>人根据</w:t>
      </w:r>
      <w:r>
        <w:rPr>
          <w:rFonts w:hint="eastAsia" w:ascii="Times New Roman" w:hAnsi="Times New Roman" w:eastAsia="方正仿宋_GBK" w:cs="Times New Roman"/>
          <w:kern w:val="2"/>
          <w:sz w:val="32"/>
          <w:szCs w:val="32"/>
          <w:lang w:val="en-US" w:eastAsia="zh-CN" w:bidi="ar-SA"/>
        </w:rPr>
        <w:t>采购</w:t>
      </w:r>
      <w:r>
        <w:rPr>
          <w:rFonts w:hint="default" w:ascii="Times New Roman" w:hAnsi="Times New Roman" w:eastAsia="方正仿宋_GBK" w:cs="Times New Roman"/>
          <w:kern w:val="2"/>
          <w:sz w:val="32"/>
          <w:szCs w:val="32"/>
          <w:lang w:val="en-US" w:eastAsia="zh-CN" w:bidi="ar-SA"/>
        </w:rPr>
        <w:t>文件要求和工程具体情况，结合自身能力并根据市场价格和市场材料价格风险综合考虑。</w:t>
      </w:r>
    </w:p>
    <w:p w14:paraId="0AE3E891">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kern w:val="2"/>
          <w:sz w:val="32"/>
          <w:szCs w:val="32"/>
          <w:lang w:val="en-US" w:eastAsia="zh-CN" w:bidi="ar-SA"/>
        </w:rPr>
      </w:pPr>
      <w:r>
        <w:rPr>
          <w:rFonts w:hint="eastAsia" w:ascii="方正黑体_GBK" w:hAnsi="方正黑体_GBK" w:eastAsia="方正黑体_GBK" w:cs="方正黑体_GBK"/>
          <w:b/>
          <w:sz w:val="32"/>
          <w:szCs w:val="32"/>
          <w:lang w:val="en-US" w:eastAsia="zh-CN"/>
        </w:rPr>
        <w:t>四、有关计算说明：</w:t>
      </w:r>
    </w:p>
    <w:p w14:paraId="40AD860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1.接桩暂估10根，原来的桩基础纵筋为6根18，桩径500，接桩高度暂按200，竣工结算量按实结算，</w:t>
      </w:r>
    </w:p>
    <w:p w14:paraId="143D7C1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w:t>
      </w:r>
      <w:r>
        <w:rPr>
          <w:rFonts w:hint="default" w:ascii="Times New Roman" w:hAnsi="Times New Roman" w:eastAsia="方正仿宋_GBK" w:cs="Times New Roman"/>
          <w:kern w:val="2"/>
          <w:sz w:val="32"/>
          <w:szCs w:val="32"/>
          <w:lang w:val="en-US" w:eastAsia="zh-CN" w:bidi="ar-SA"/>
        </w:rPr>
        <w:t>余方弃置</w:t>
      </w:r>
      <w:r>
        <w:rPr>
          <w:rFonts w:hint="eastAsia" w:ascii="Times New Roman" w:hAnsi="Times New Roman" w:eastAsia="方正仿宋_GBK" w:cs="Times New Roman"/>
          <w:kern w:val="2"/>
          <w:sz w:val="32"/>
          <w:szCs w:val="32"/>
          <w:lang w:val="en-US" w:eastAsia="zh-CN" w:bidi="ar-SA"/>
        </w:rPr>
        <w:t>，运距由报价人自报，</w:t>
      </w:r>
    </w:p>
    <w:p w14:paraId="681737D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3.本工程控制价模板量按定额砼含模量折算模板面积计算，</w:t>
      </w:r>
    </w:p>
    <w:p w14:paraId="272F37A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4.本工程控制价所有砂浆按散装干拌砂浆，砼按商品砼考虑，</w:t>
      </w:r>
    </w:p>
    <w:p w14:paraId="6B75F9E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5.新建围堰长度暂按96m，正负零以上高度按1.6m，</w:t>
      </w:r>
    </w:p>
    <w:p w14:paraId="45C8F04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6.仅V5205A洗涤水槽基础施工，</w:t>
      </w:r>
    </w:p>
    <w:p w14:paraId="12676AB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7.V5205B、M5501D及钢梯基础取消不施工</w:t>
      </w:r>
    </w:p>
    <w:p w14:paraId="77F5891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8.计日工暂按157工日</w:t>
      </w:r>
    </w:p>
    <w:p w14:paraId="4905EF1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9.预留金94200元。</w:t>
      </w:r>
    </w:p>
    <w:p w14:paraId="7BBAA760">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Times New Roman"/>
          <w:sz w:val="32"/>
          <w:szCs w:val="32"/>
          <w:lang w:val="en-US" w:eastAsia="zh-CN"/>
        </w:rPr>
      </w:pPr>
    </w:p>
    <w:p w14:paraId="0F055C56">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Times New Roman"/>
          <w:sz w:val="32"/>
          <w:szCs w:val="32"/>
          <w:lang w:val="en-US" w:eastAsia="zh-CN"/>
        </w:rPr>
      </w:pPr>
    </w:p>
    <w:p w14:paraId="292F7685">
      <w:pPr>
        <w:keepNext w:val="0"/>
        <w:keepLines w:val="0"/>
        <w:pageBreakBefore w:val="0"/>
        <w:kinsoku/>
        <w:wordWrap/>
        <w:overflowPunct/>
        <w:topLinePunct w:val="0"/>
        <w:autoSpaceDE/>
        <w:autoSpaceDN/>
        <w:bidi w:val="0"/>
        <w:adjustRightInd/>
        <w:snapToGrid/>
        <w:spacing w:line="560" w:lineRule="exact"/>
        <w:ind w:firstLine="640" w:firstLineChars="200"/>
        <w:jc w:val="right"/>
        <w:textAlignment w:val="auto"/>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年</w:t>
      </w:r>
      <w:r>
        <w:rPr>
          <w:rFonts w:hint="eastAsia"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lang w:val="en-US" w:eastAsia="zh-CN"/>
        </w:rPr>
        <w:t>月</w:t>
      </w:r>
      <w:r>
        <w:rPr>
          <w:rFonts w:hint="eastAsia"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lang w:val="en-US" w:eastAsia="zh-CN"/>
        </w:rPr>
        <w:t>日</w:t>
      </w:r>
    </w:p>
    <w:sectPr>
      <w:headerReference r:id="rId3" w:type="default"/>
      <w:pgSz w:w="11906" w:h="16838"/>
      <w:pgMar w:top="1701" w:right="1349" w:bottom="1701" w:left="1349"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16F1D">
    <w:pPr>
      <w:pStyle w:val="7"/>
      <w:pBdr>
        <w:top w:val="none" w:color="auto" w:sz="0" w:space="0"/>
        <w:left w:val="none" w:color="auto" w:sz="0" w:space="0"/>
        <w:bottom w:val="none" w:color="auto" w:sz="0" w:space="0"/>
        <w:right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NotTrackMove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jc0ZDhkYTNiNGUzZTJjMDI3Y2YwNjdlNTFmMGFhNGEifQ=="/>
  </w:docVars>
  <w:rsids>
    <w:rsidRoot w:val="00172A27"/>
    <w:rsid w:val="00013DA9"/>
    <w:rsid w:val="00015DB5"/>
    <w:rsid w:val="0002144A"/>
    <w:rsid w:val="000349EB"/>
    <w:rsid w:val="00044C56"/>
    <w:rsid w:val="00047D0B"/>
    <w:rsid w:val="0005252B"/>
    <w:rsid w:val="00053D4B"/>
    <w:rsid w:val="000632D4"/>
    <w:rsid w:val="00071D03"/>
    <w:rsid w:val="000870CC"/>
    <w:rsid w:val="000B36CC"/>
    <w:rsid w:val="000C4CAA"/>
    <w:rsid w:val="000C5100"/>
    <w:rsid w:val="000C5D9F"/>
    <w:rsid w:val="000D1C99"/>
    <w:rsid w:val="000E70E0"/>
    <w:rsid w:val="000F2611"/>
    <w:rsid w:val="000F4E70"/>
    <w:rsid w:val="00100FCB"/>
    <w:rsid w:val="00103F4A"/>
    <w:rsid w:val="00105D9C"/>
    <w:rsid w:val="00112015"/>
    <w:rsid w:val="00114861"/>
    <w:rsid w:val="001148A4"/>
    <w:rsid w:val="001256F4"/>
    <w:rsid w:val="00141BB5"/>
    <w:rsid w:val="001471E9"/>
    <w:rsid w:val="00156BD3"/>
    <w:rsid w:val="0016064C"/>
    <w:rsid w:val="001628B6"/>
    <w:rsid w:val="00172A27"/>
    <w:rsid w:val="001752F9"/>
    <w:rsid w:val="00181F33"/>
    <w:rsid w:val="001B3176"/>
    <w:rsid w:val="001C1C29"/>
    <w:rsid w:val="001D0153"/>
    <w:rsid w:val="001E4C41"/>
    <w:rsid w:val="001E5AE4"/>
    <w:rsid w:val="001F2C8B"/>
    <w:rsid w:val="001F3D2C"/>
    <w:rsid w:val="00206963"/>
    <w:rsid w:val="00207693"/>
    <w:rsid w:val="00217C54"/>
    <w:rsid w:val="00221F0B"/>
    <w:rsid w:val="00222754"/>
    <w:rsid w:val="00231A65"/>
    <w:rsid w:val="00232C5B"/>
    <w:rsid w:val="00232D1D"/>
    <w:rsid w:val="00232D84"/>
    <w:rsid w:val="0024038E"/>
    <w:rsid w:val="00243C29"/>
    <w:rsid w:val="00247E6B"/>
    <w:rsid w:val="00251DC7"/>
    <w:rsid w:val="00264C46"/>
    <w:rsid w:val="0026534F"/>
    <w:rsid w:val="002763C3"/>
    <w:rsid w:val="00293758"/>
    <w:rsid w:val="00293B49"/>
    <w:rsid w:val="002957D5"/>
    <w:rsid w:val="002960CF"/>
    <w:rsid w:val="002B69F7"/>
    <w:rsid w:val="002D3841"/>
    <w:rsid w:val="002D5BB0"/>
    <w:rsid w:val="002D622D"/>
    <w:rsid w:val="002E5D1E"/>
    <w:rsid w:val="002E6C88"/>
    <w:rsid w:val="002F37D4"/>
    <w:rsid w:val="002F407C"/>
    <w:rsid w:val="002F7ACA"/>
    <w:rsid w:val="002F7F14"/>
    <w:rsid w:val="00305EE1"/>
    <w:rsid w:val="0031003F"/>
    <w:rsid w:val="00326729"/>
    <w:rsid w:val="003307AE"/>
    <w:rsid w:val="00331018"/>
    <w:rsid w:val="003370B5"/>
    <w:rsid w:val="0034481B"/>
    <w:rsid w:val="00350A49"/>
    <w:rsid w:val="00350DA5"/>
    <w:rsid w:val="0035721D"/>
    <w:rsid w:val="00360FE0"/>
    <w:rsid w:val="00370B38"/>
    <w:rsid w:val="00376357"/>
    <w:rsid w:val="00377C7F"/>
    <w:rsid w:val="00382082"/>
    <w:rsid w:val="00384008"/>
    <w:rsid w:val="0038689C"/>
    <w:rsid w:val="003A040B"/>
    <w:rsid w:val="003A07D6"/>
    <w:rsid w:val="003A4542"/>
    <w:rsid w:val="003A4AFB"/>
    <w:rsid w:val="003C2E02"/>
    <w:rsid w:val="003D005E"/>
    <w:rsid w:val="003D7AE6"/>
    <w:rsid w:val="003E37B3"/>
    <w:rsid w:val="003F1D84"/>
    <w:rsid w:val="00411D84"/>
    <w:rsid w:val="004130DF"/>
    <w:rsid w:val="00416CB1"/>
    <w:rsid w:val="00416DC5"/>
    <w:rsid w:val="0042076C"/>
    <w:rsid w:val="00424C0B"/>
    <w:rsid w:val="004265E2"/>
    <w:rsid w:val="00453E11"/>
    <w:rsid w:val="004619C4"/>
    <w:rsid w:val="00463B42"/>
    <w:rsid w:val="004645EC"/>
    <w:rsid w:val="00473892"/>
    <w:rsid w:val="00493B3D"/>
    <w:rsid w:val="004A29DC"/>
    <w:rsid w:val="004A33D3"/>
    <w:rsid w:val="004B708E"/>
    <w:rsid w:val="004B769D"/>
    <w:rsid w:val="004F381F"/>
    <w:rsid w:val="005128E3"/>
    <w:rsid w:val="00532264"/>
    <w:rsid w:val="005345C5"/>
    <w:rsid w:val="00557847"/>
    <w:rsid w:val="0056132F"/>
    <w:rsid w:val="0056516E"/>
    <w:rsid w:val="00575087"/>
    <w:rsid w:val="00581276"/>
    <w:rsid w:val="00586CB5"/>
    <w:rsid w:val="0058773A"/>
    <w:rsid w:val="00596F4A"/>
    <w:rsid w:val="005C515B"/>
    <w:rsid w:val="005D2F08"/>
    <w:rsid w:val="005E2A1A"/>
    <w:rsid w:val="005F44C6"/>
    <w:rsid w:val="00606425"/>
    <w:rsid w:val="00611329"/>
    <w:rsid w:val="006219E5"/>
    <w:rsid w:val="00622483"/>
    <w:rsid w:val="00622FED"/>
    <w:rsid w:val="0062377F"/>
    <w:rsid w:val="00626519"/>
    <w:rsid w:val="00632A6D"/>
    <w:rsid w:val="00635CF1"/>
    <w:rsid w:val="00641C37"/>
    <w:rsid w:val="0064564C"/>
    <w:rsid w:val="00674454"/>
    <w:rsid w:val="00675A41"/>
    <w:rsid w:val="00676E1B"/>
    <w:rsid w:val="00690426"/>
    <w:rsid w:val="006A0D24"/>
    <w:rsid w:val="006A1301"/>
    <w:rsid w:val="006A7FC4"/>
    <w:rsid w:val="006B5583"/>
    <w:rsid w:val="006C1F01"/>
    <w:rsid w:val="006F06BE"/>
    <w:rsid w:val="006F178F"/>
    <w:rsid w:val="006F50A5"/>
    <w:rsid w:val="00711010"/>
    <w:rsid w:val="007123BE"/>
    <w:rsid w:val="00713B73"/>
    <w:rsid w:val="0072154B"/>
    <w:rsid w:val="007231C8"/>
    <w:rsid w:val="00725C2B"/>
    <w:rsid w:val="00737CAF"/>
    <w:rsid w:val="007466D7"/>
    <w:rsid w:val="007860F7"/>
    <w:rsid w:val="007A239B"/>
    <w:rsid w:val="007B5E89"/>
    <w:rsid w:val="007B757B"/>
    <w:rsid w:val="007C078F"/>
    <w:rsid w:val="007D1CA1"/>
    <w:rsid w:val="007E04F9"/>
    <w:rsid w:val="007E1C68"/>
    <w:rsid w:val="007E1CB4"/>
    <w:rsid w:val="0080410B"/>
    <w:rsid w:val="00814956"/>
    <w:rsid w:val="00821B4D"/>
    <w:rsid w:val="00835B05"/>
    <w:rsid w:val="00860E3E"/>
    <w:rsid w:val="00865622"/>
    <w:rsid w:val="008663C4"/>
    <w:rsid w:val="0087194C"/>
    <w:rsid w:val="00875F8D"/>
    <w:rsid w:val="008825F2"/>
    <w:rsid w:val="0089398B"/>
    <w:rsid w:val="008B07A7"/>
    <w:rsid w:val="008B4673"/>
    <w:rsid w:val="008C6D6B"/>
    <w:rsid w:val="008D511F"/>
    <w:rsid w:val="008E1ACB"/>
    <w:rsid w:val="008E2F50"/>
    <w:rsid w:val="008E5126"/>
    <w:rsid w:val="008E742B"/>
    <w:rsid w:val="008F5F9C"/>
    <w:rsid w:val="009055A8"/>
    <w:rsid w:val="00911E8F"/>
    <w:rsid w:val="00916DBE"/>
    <w:rsid w:val="00921F3F"/>
    <w:rsid w:val="00927F5F"/>
    <w:rsid w:val="009406FA"/>
    <w:rsid w:val="009521CD"/>
    <w:rsid w:val="009555D9"/>
    <w:rsid w:val="00955F92"/>
    <w:rsid w:val="00956C49"/>
    <w:rsid w:val="00957756"/>
    <w:rsid w:val="009578C3"/>
    <w:rsid w:val="00962A4E"/>
    <w:rsid w:val="0098573C"/>
    <w:rsid w:val="009908FD"/>
    <w:rsid w:val="009926C5"/>
    <w:rsid w:val="009C4A5D"/>
    <w:rsid w:val="009C759E"/>
    <w:rsid w:val="009E0463"/>
    <w:rsid w:val="009E7F11"/>
    <w:rsid w:val="009F4D2E"/>
    <w:rsid w:val="00A005ED"/>
    <w:rsid w:val="00A0610B"/>
    <w:rsid w:val="00A227C8"/>
    <w:rsid w:val="00A23522"/>
    <w:rsid w:val="00A23CDB"/>
    <w:rsid w:val="00A241C0"/>
    <w:rsid w:val="00A24A08"/>
    <w:rsid w:val="00A31BBE"/>
    <w:rsid w:val="00A37098"/>
    <w:rsid w:val="00A5465B"/>
    <w:rsid w:val="00A55A22"/>
    <w:rsid w:val="00A60FDF"/>
    <w:rsid w:val="00A64CCC"/>
    <w:rsid w:val="00A8015D"/>
    <w:rsid w:val="00A86648"/>
    <w:rsid w:val="00AA3911"/>
    <w:rsid w:val="00AA61B1"/>
    <w:rsid w:val="00AC3CBC"/>
    <w:rsid w:val="00AC5AF1"/>
    <w:rsid w:val="00AC60AF"/>
    <w:rsid w:val="00AF5E7E"/>
    <w:rsid w:val="00AF657A"/>
    <w:rsid w:val="00AF6940"/>
    <w:rsid w:val="00B01865"/>
    <w:rsid w:val="00B106FD"/>
    <w:rsid w:val="00B22F24"/>
    <w:rsid w:val="00B323E2"/>
    <w:rsid w:val="00B358CA"/>
    <w:rsid w:val="00B46F1B"/>
    <w:rsid w:val="00B557BA"/>
    <w:rsid w:val="00B57F03"/>
    <w:rsid w:val="00B6211E"/>
    <w:rsid w:val="00B64AA9"/>
    <w:rsid w:val="00B72CB3"/>
    <w:rsid w:val="00B73B03"/>
    <w:rsid w:val="00B73F12"/>
    <w:rsid w:val="00B84975"/>
    <w:rsid w:val="00B962DD"/>
    <w:rsid w:val="00BA038E"/>
    <w:rsid w:val="00BA1774"/>
    <w:rsid w:val="00BC0FD5"/>
    <w:rsid w:val="00BC494E"/>
    <w:rsid w:val="00BC582B"/>
    <w:rsid w:val="00BD509B"/>
    <w:rsid w:val="00BE43C2"/>
    <w:rsid w:val="00BE6237"/>
    <w:rsid w:val="00BF171C"/>
    <w:rsid w:val="00BF1936"/>
    <w:rsid w:val="00BF238B"/>
    <w:rsid w:val="00BF27EE"/>
    <w:rsid w:val="00BF6632"/>
    <w:rsid w:val="00C00CF4"/>
    <w:rsid w:val="00C24830"/>
    <w:rsid w:val="00C433B3"/>
    <w:rsid w:val="00C4404B"/>
    <w:rsid w:val="00C45602"/>
    <w:rsid w:val="00C54576"/>
    <w:rsid w:val="00C560F6"/>
    <w:rsid w:val="00C56EDC"/>
    <w:rsid w:val="00C75BC2"/>
    <w:rsid w:val="00C76668"/>
    <w:rsid w:val="00C76EDD"/>
    <w:rsid w:val="00C77CFF"/>
    <w:rsid w:val="00C8415B"/>
    <w:rsid w:val="00C90364"/>
    <w:rsid w:val="00CA6A8A"/>
    <w:rsid w:val="00CB4270"/>
    <w:rsid w:val="00CB75D3"/>
    <w:rsid w:val="00CC16B8"/>
    <w:rsid w:val="00CC5A54"/>
    <w:rsid w:val="00CD3BEC"/>
    <w:rsid w:val="00CE3977"/>
    <w:rsid w:val="00CE6213"/>
    <w:rsid w:val="00CE6C27"/>
    <w:rsid w:val="00CE7CB4"/>
    <w:rsid w:val="00CF10F1"/>
    <w:rsid w:val="00CF2189"/>
    <w:rsid w:val="00D139A9"/>
    <w:rsid w:val="00D21D85"/>
    <w:rsid w:val="00D324A1"/>
    <w:rsid w:val="00D3436D"/>
    <w:rsid w:val="00D44AF4"/>
    <w:rsid w:val="00D47897"/>
    <w:rsid w:val="00D57479"/>
    <w:rsid w:val="00D65680"/>
    <w:rsid w:val="00D65B9D"/>
    <w:rsid w:val="00D76AAC"/>
    <w:rsid w:val="00D84510"/>
    <w:rsid w:val="00D8755F"/>
    <w:rsid w:val="00D92ABC"/>
    <w:rsid w:val="00D95784"/>
    <w:rsid w:val="00DB0157"/>
    <w:rsid w:val="00DB1021"/>
    <w:rsid w:val="00DC2107"/>
    <w:rsid w:val="00DD2B28"/>
    <w:rsid w:val="00DD5C41"/>
    <w:rsid w:val="00DE4521"/>
    <w:rsid w:val="00DE7C53"/>
    <w:rsid w:val="00DF0B6B"/>
    <w:rsid w:val="00DF1310"/>
    <w:rsid w:val="00DF6DF0"/>
    <w:rsid w:val="00E045AA"/>
    <w:rsid w:val="00E05F51"/>
    <w:rsid w:val="00E13EE1"/>
    <w:rsid w:val="00E15712"/>
    <w:rsid w:val="00E23817"/>
    <w:rsid w:val="00E24D01"/>
    <w:rsid w:val="00E42218"/>
    <w:rsid w:val="00E55A0C"/>
    <w:rsid w:val="00E63BD4"/>
    <w:rsid w:val="00E72159"/>
    <w:rsid w:val="00E75449"/>
    <w:rsid w:val="00E80676"/>
    <w:rsid w:val="00E87D4F"/>
    <w:rsid w:val="00E87D91"/>
    <w:rsid w:val="00EB39DB"/>
    <w:rsid w:val="00EB40B7"/>
    <w:rsid w:val="00EB42F7"/>
    <w:rsid w:val="00EC4033"/>
    <w:rsid w:val="00ED6E75"/>
    <w:rsid w:val="00EE4FE5"/>
    <w:rsid w:val="00EE5BC7"/>
    <w:rsid w:val="00EF4D9C"/>
    <w:rsid w:val="00EF6DCD"/>
    <w:rsid w:val="00EF6E2C"/>
    <w:rsid w:val="00F0086E"/>
    <w:rsid w:val="00F15F5F"/>
    <w:rsid w:val="00F26D11"/>
    <w:rsid w:val="00F3086A"/>
    <w:rsid w:val="00F402F7"/>
    <w:rsid w:val="00F523E7"/>
    <w:rsid w:val="00F56B65"/>
    <w:rsid w:val="00F63FDC"/>
    <w:rsid w:val="00F64801"/>
    <w:rsid w:val="00F66FDB"/>
    <w:rsid w:val="00F7036B"/>
    <w:rsid w:val="00F71491"/>
    <w:rsid w:val="00F8503E"/>
    <w:rsid w:val="00F85E81"/>
    <w:rsid w:val="00F94586"/>
    <w:rsid w:val="00FB2E13"/>
    <w:rsid w:val="00FB3C70"/>
    <w:rsid w:val="00FB73CB"/>
    <w:rsid w:val="00FC4D74"/>
    <w:rsid w:val="00FD1C84"/>
    <w:rsid w:val="00FF4EA7"/>
    <w:rsid w:val="00FF79A1"/>
    <w:rsid w:val="018938CE"/>
    <w:rsid w:val="018F2BD7"/>
    <w:rsid w:val="019A6EAF"/>
    <w:rsid w:val="01FA41F9"/>
    <w:rsid w:val="02240BDC"/>
    <w:rsid w:val="02265FE7"/>
    <w:rsid w:val="02867FEB"/>
    <w:rsid w:val="030A4C9D"/>
    <w:rsid w:val="032B6C3A"/>
    <w:rsid w:val="03391357"/>
    <w:rsid w:val="0339337E"/>
    <w:rsid w:val="036068E4"/>
    <w:rsid w:val="037D0DA7"/>
    <w:rsid w:val="03953A58"/>
    <w:rsid w:val="039F38CE"/>
    <w:rsid w:val="03A1146B"/>
    <w:rsid w:val="03B65EE5"/>
    <w:rsid w:val="03BB7FBE"/>
    <w:rsid w:val="03CD6F1B"/>
    <w:rsid w:val="042375D6"/>
    <w:rsid w:val="04575DCE"/>
    <w:rsid w:val="055B7AA5"/>
    <w:rsid w:val="056D12D0"/>
    <w:rsid w:val="056D516F"/>
    <w:rsid w:val="05A3093D"/>
    <w:rsid w:val="05D76C05"/>
    <w:rsid w:val="062E045E"/>
    <w:rsid w:val="06683F6F"/>
    <w:rsid w:val="067D58FC"/>
    <w:rsid w:val="06A82D0D"/>
    <w:rsid w:val="06AE0B47"/>
    <w:rsid w:val="07723089"/>
    <w:rsid w:val="07BE0E62"/>
    <w:rsid w:val="07DF4831"/>
    <w:rsid w:val="07FE5ECC"/>
    <w:rsid w:val="08D10A56"/>
    <w:rsid w:val="08FD0523"/>
    <w:rsid w:val="094D045C"/>
    <w:rsid w:val="097457B4"/>
    <w:rsid w:val="099C619C"/>
    <w:rsid w:val="099E4D42"/>
    <w:rsid w:val="09A54BE2"/>
    <w:rsid w:val="09C9792C"/>
    <w:rsid w:val="09E628A0"/>
    <w:rsid w:val="09F77B85"/>
    <w:rsid w:val="0A27015B"/>
    <w:rsid w:val="0A3E0CCE"/>
    <w:rsid w:val="0A6F1EC0"/>
    <w:rsid w:val="0A7A5912"/>
    <w:rsid w:val="0AA23448"/>
    <w:rsid w:val="0AAC35CD"/>
    <w:rsid w:val="0AB240DC"/>
    <w:rsid w:val="0ABB18F3"/>
    <w:rsid w:val="0ABE3DF9"/>
    <w:rsid w:val="0AEA1189"/>
    <w:rsid w:val="0AF33383"/>
    <w:rsid w:val="0B30303F"/>
    <w:rsid w:val="0B847A0D"/>
    <w:rsid w:val="0BC5015D"/>
    <w:rsid w:val="0BE51A12"/>
    <w:rsid w:val="0BF254A5"/>
    <w:rsid w:val="0C230E0E"/>
    <w:rsid w:val="0C257986"/>
    <w:rsid w:val="0CA47595"/>
    <w:rsid w:val="0D2277DD"/>
    <w:rsid w:val="0D377136"/>
    <w:rsid w:val="0D570D97"/>
    <w:rsid w:val="0D6D4B28"/>
    <w:rsid w:val="0E4A08BC"/>
    <w:rsid w:val="0EA85936"/>
    <w:rsid w:val="0F0A3BA7"/>
    <w:rsid w:val="0F353644"/>
    <w:rsid w:val="0F6559DF"/>
    <w:rsid w:val="0F991543"/>
    <w:rsid w:val="0FBC0D28"/>
    <w:rsid w:val="109C1215"/>
    <w:rsid w:val="10CF59DA"/>
    <w:rsid w:val="112811CD"/>
    <w:rsid w:val="115F5F41"/>
    <w:rsid w:val="11713B31"/>
    <w:rsid w:val="11766398"/>
    <w:rsid w:val="11A51640"/>
    <w:rsid w:val="11A84C50"/>
    <w:rsid w:val="12026698"/>
    <w:rsid w:val="121507FF"/>
    <w:rsid w:val="123B36AC"/>
    <w:rsid w:val="12805E31"/>
    <w:rsid w:val="129517CB"/>
    <w:rsid w:val="1319085D"/>
    <w:rsid w:val="131E3A3B"/>
    <w:rsid w:val="133068C6"/>
    <w:rsid w:val="13801ACF"/>
    <w:rsid w:val="139332A7"/>
    <w:rsid w:val="139D3C46"/>
    <w:rsid w:val="13D910FA"/>
    <w:rsid w:val="13E23345"/>
    <w:rsid w:val="14533F3E"/>
    <w:rsid w:val="146C3610"/>
    <w:rsid w:val="14A87E6E"/>
    <w:rsid w:val="14C5489A"/>
    <w:rsid w:val="15180239"/>
    <w:rsid w:val="15473746"/>
    <w:rsid w:val="157376F1"/>
    <w:rsid w:val="15A84292"/>
    <w:rsid w:val="16300925"/>
    <w:rsid w:val="164A6DC6"/>
    <w:rsid w:val="16664D2C"/>
    <w:rsid w:val="167F6436"/>
    <w:rsid w:val="16A97730"/>
    <w:rsid w:val="16C85528"/>
    <w:rsid w:val="16CB313C"/>
    <w:rsid w:val="17061985"/>
    <w:rsid w:val="171B1048"/>
    <w:rsid w:val="176048E7"/>
    <w:rsid w:val="17824666"/>
    <w:rsid w:val="178A352D"/>
    <w:rsid w:val="17CE4453"/>
    <w:rsid w:val="17CF60E9"/>
    <w:rsid w:val="17FD27C3"/>
    <w:rsid w:val="187627F3"/>
    <w:rsid w:val="187723CF"/>
    <w:rsid w:val="18C70354"/>
    <w:rsid w:val="18F338FE"/>
    <w:rsid w:val="19934E6E"/>
    <w:rsid w:val="19AB4B6A"/>
    <w:rsid w:val="19BC1F42"/>
    <w:rsid w:val="19C735E5"/>
    <w:rsid w:val="19E41F26"/>
    <w:rsid w:val="19E66603"/>
    <w:rsid w:val="1A4179E7"/>
    <w:rsid w:val="1A48432A"/>
    <w:rsid w:val="1ACC6763"/>
    <w:rsid w:val="1AD85D62"/>
    <w:rsid w:val="1AEA6FBB"/>
    <w:rsid w:val="1B04112F"/>
    <w:rsid w:val="1B62352B"/>
    <w:rsid w:val="1B997CFA"/>
    <w:rsid w:val="1BB67BA8"/>
    <w:rsid w:val="1BC96DA5"/>
    <w:rsid w:val="1BCF6155"/>
    <w:rsid w:val="1C055E22"/>
    <w:rsid w:val="1C771FC9"/>
    <w:rsid w:val="1CCE0E88"/>
    <w:rsid w:val="1DAA4ED3"/>
    <w:rsid w:val="1DD170AE"/>
    <w:rsid w:val="1DF12CD9"/>
    <w:rsid w:val="1E1D4DAA"/>
    <w:rsid w:val="1E227C12"/>
    <w:rsid w:val="1E340B5A"/>
    <w:rsid w:val="1E36363D"/>
    <w:rsid w:val="1E39027E"/>
    <w:rsid w:val="1E48717F"/>
    <w:rsid w:val="1EBC0D41"/>
    <w:rsid w:val="1F1D4CF9"/>
    <w:rsid w:val="1F930FA1"/>
    <w:rsid w:val="1FC234F7"/>
    <w:rsid w:val="1FC63ADB"/>
    <w:rsid w:val="1FE450D0"/>
    <w:rsid w:val="1FE927D7"/>
    <w:rsid w:val="201235E0"/>
    <w:rsid w:val="202B7507"/>
    <w:rsid w:val="203B492A"/>
    <w:rsid w:val="203D27AD"/>
    <w:rsid w:val="206325B2"/>
    <w:rsid w:val="2063514B"/>
    <w:rsid w:val="20B816B5"/>
    <w:rsid w:val="21001A58"/>
    <w:rsid w:val="216B3446"/>
    <w:rsid w:val="21A734D8"/>
    <w:rsid w:val="21D31E82"/>
    <w:rsid w:val="22475721"/>
    <w:rsid w:val="226C0740"/>
    <w:rsid w:val="22A2767F"/>
    <w:rsid w:val="235D2C72"/>
    <w:rsid w:val="23BA7AC1"/>
    <w:rsid w:val="23DB51AD"/>
    <w:rsid w:val="23DF16B8"/>
    <w:rsid w:val="23E634F2"/>
    <w:rsid w:val="246E0428"/>
    <w:rsid w:val="24AA5164"/>
    <w:rsid w:val="24AF1021"/>
    <w:rsid w:val="25031C46"/>
    <w:rsid w:val="2519266A"/>
    <w:rsid w:val="252B56D3"/>
    <w:rsid w:val="2586267A"/>
    <w:rsid w:val="26196A7C"/>
    <w:rsid w:val="26302B26"/>
    <w:rsid w:val="26500679"/>
    <w:rsid w:val="26840B3B"/>
    <w:rsid w:val="26842EC1"/>
    <w:rsid w:val="26D23FB3"/>
    <w:rsid w:val="26E05A50"/>
    <w:rsid w:val="271D4D8D"/>
    <w:rsid w:val="27590759"/>
    <w:rsid w:val="276C0501"/>
    <w:rsid w:val="2778166C"/>
    <w:rsid w:val="27BE2CCC"/>
    <w:rsid w:val="27DC3D7C"/>
    <w:rsid w:val="28153018"/>
    <w:rsid w:val="28191DC9"/>
    <w:rsid w:val="28602F17"/>
    <w:rsid w:val="28A278AC"/>
    <w:rsid w:val="28C63C9F"/>
    <w:rsid w:val="291A26FC"/>
    <w:rsid w:val="2948214E"/>
    <w:rsid w:val="294D1EA1"/>
    <w:rsid w:val="29600C00"/>
    <w:rsid w:val="2964687E"/>
    <w:rsid w:val="29AC5B2F"/>
    <w:rsid w:val="29CB05BD"/>
    <w:rsid w:val="29D532D8"/>
    <w:rsid w:val="29E055E3"/>
    <w:rsid w:val="29EF56D8"/>
    <w:rsid w:val="29EF6B81"/>
    <w:rsid w:val="29F05239"/>
    <w:rsid w:val="29F724E8"/>
    <w:rsid w:val="2ACC53A4"/>
    <w:rsid w:val="2B1246F4"/>
    <w:rsid w:val="2B231DDC"/>
    <w:rsid w:val="2B446E04"/>
    <w:rsid w:val="2BD30AF4"/>
    <w:rsid w:val="2BE0589A"/>
    <w:rsid w:val="2BE85C8F"/>
    <w:rsid w:val="2BEF2E41"/>
    <w:rsid w:val="2BFE4BE0"/>
    <w:rsid w:val="2C9504C3"/>
    <w:rsid w:val="2CC0488D"/>
    <w:rsid w:val="2D00286E"/>
    <w:rsid w:val="2D1A7254"/>
    <w:rsid w:val="2D3960F7"/>
    <w:rsid w:val="2D633E47"/>
    <w:rsid w:val="2DD66D46"/>
    <w:rsid w:val="2E0F32EE"/>
    <w:rsid w:val="2E8C7883"/>
    <w:rsid w:val="2EB50BEC"/>
    <w:rsid w:val="2F0B6B72"/>
    <w:rsid w:val="2F650A5A"/>
    <w:rsid w:val="2FAD4289"/>
    <w:rsid w:val="30180C4B"/>
    <w:rsid w:val="303C2C32"/>
    <w:rsid w:val="30421CAA"/>
    <w:rsid w:val="30986E0D"/>
    <w:rsid w:val="30F129C4"/>
    <w:rsid w:val="30FE6004"/>
    <w:rsid w:val="310622FB"/>
    <w:rsid w:val="311961A0"/>
    <w:rsid w:val="312E6165"/>
    <w:rsid w:val="315F0336"/>
    <w:rsid w:val="31DD48DC"/>
    <w:rsid w:val="320D3C13"/>
    <w:rsid w:val="322E7411"/>
    <w:rsid w:val="32410D7E"/>
    <w:rsid w:val="32767757"/>
    <w:rsid w:val="327B56DF"/>
    <w:rsid w:val="32970BEC"/>
    <w:rsid w:val="33401C67"/>
    <w:rsid w:val="33514CD7"/>
    <w:rsid w:val="33771E8D"/>
    <w:rsid w:val="340C4B71"/>
    <w:rsid w:val="34465040"/>
    <w:rsid w:val="34C60000"/>
    <w:rsid w:val="35014EC0"/>
    <w:rsid w:val="350A1121"/>
    <w:rsid w:val="354C6814"/>
    <w:rsid w:val="360E24C3"/>
    <w:rsid w:val="362B7834"/>
    <w:rsid w:val="366003CD"/>
    <w:rsid w:val="367D45EE"/>
    <w:rsid w:val="36904883"/>
    <w:rsid w:val="36AA33F6"/>
    <w:rsid w:val="36DC631B"/>
    <w:rsid w:val="37074CED"/>
    <w:rsid w:val="37103A52"/>
    <w:rsid w:val="377802E1"/>
    <w:rsid w:val="3795001A"/>
    <w:rsid w:val="37A33408"/>
    <w:rsid w:val="37ED004F"/>
    <w:rsid w:val="38164C7F"/>
    <w:rsid w:val="38A07AF3"/>
    <w:rsid w:val="38D013E6"/>
    <w:rsid w:val="38EB6C6E"/>
    <w:rsid w:val="38F410BF"/>
    <w:rsid w:val="39033A48"/>
    <w:rsid w:val="3907335C"/>
    <w:rsid w:val="390B0AD7"/>
    <w:rsid w:val="393318EA"/>
    <w:rsid w:val="39767778"/>
    <w:rsid w:val="397D1F1F"/>
    <w:rsid w:val="39930D54"/>
    <w:rsid w:val="39F50E2C"/>
    <w:rsid w:val="3A3A12EF"/>
    <w:rsid w:val="3A974B69"/>
    <w:rsid w:val="3AFC21D8"/>
    <w:rsid w:val="3B1B6845"/>
    <w:rsid w:val="3B5F6EDF"/>
    <w:rsid w:val="3B7F4A22"/>
    <w:rsid w:val="3BD6340E"/>
    <w:rsid w:val="3BDF6789"/>
    <w:rsid w:val="3BE5661C"/>
    <w:rsid w:val="3BE86FD6"/>
    <w:rsid w:val="3C120069"/>
    <w:rsid w:val="3C1E0D2E"/>
    <w:rsid w:val="3C4C78EC"/>
    <w:rsid w:val="3CC45D38"/>
    <w:rsid w:val="3CE1274F"/>
    <w:rsid w:val="3CF31A73"/>
    <w:rsid w:val="3D0537D3"/>
    <w:rsid w:val="3D3F369F"/>
    <w:rsid w:val="3D4F59D1"/>
    <w:rsid w:val="3D8B7F81"/>
    <w:rsid w:val="3DAF7E89"/>
    <w:rsid w:val="3E211AF2"/>
    <w:rsid w:val="3E2335A7"/>
    <w:rsid w:val="3E23401A"/>
    <w:rsid w:val="3E8A4D1E"/>
    <w:rsid w:val="3E8C59C3"/>
    <w:rsid w:val="3EB00EB2"/>
    <w:rsid w:val="3EBB261F"/>
    <w:rsid w:val="3EE657A3"/>
    <w:rsid w:val="3F136EAA"/>
    <w:rsid w:val="3F37622E"/>
    <w:rsid w:val="3F816CC1"/>
    <w:rsid w:val="3FBD6387"/>
    <w:rsid w:val="40816874"/>
    <w:rsid w:val="40EB6068"/>
    <w:rsid w:val="40F446AF"/>
    <w:rsid w:val="41064CD5"/>
    <w:rsid w:val="410855E3"/>
    <w:rsid w:val="41897FAC"/>
    <w:rsid w:val="41AA000B"/>
    <w:rsid w:val="41D43A1D"/>
    <w:rsid w:val="41E61CA5"/>
    <w:rsid w:val="41F06B06"/>
    <w:rsid w:val="42156510"/>
    <w:rsid w:val="422B3687"/>
    <w:rsid w:val="42772D26"/>
    <w:rsid w:val="428F734B"/>
    <w:rsid w:val="42DE0231"/>
    <w:rsid w:val="42EF69B8"/>
    <w:rsid w:val="43040A4F"/>
    <w:rsid w:val="430B346F"/>
    <w:rsid w:val="43223B8A"/>
    <w:rsid w:val="435774D9"/>
    <w:rsid w:val="43CF4054"/>
    <w:rsid w:val="43F3462F"/>
    <w:rsid w:val="440234DA"/>
    <w:rsid w:val="442962A2"/>
    <w:rsid w:val="442E1BF2"/>
    <w:rsid w:val="446A634B"/>
    <w:rsid w:val="44963902"/>
    <w:rsid w:val="44E00F0B"/>
    <w:rsid w:val="44E96225"/>
    <w:rsid w:val="45062140"/>
    <w:rsid w:val="45386766"/>
    <w:rsid w:val="45B83A6E"/>
    <w:rsid w:val="45ED4205"/>
    <w:rsid w:val="46451DCD"/>
    <w:rsid w:val="47533399"/>
    <w:rsid w:val="47633AEC"/>
    <w:rsid w:val="47794AB7"/>
    <w:rsid w:val="477B1B76"/>
    <w:rsid w:val="47E52BA5"/>
    <w:rsid w:val="48165A12"/>
    <w:rsid w:val="48166DD0"/>
    <w:rsid w:val="481A666F"/>
    <w:rsid w:val="488B30A1"/>
    <w:rsid w:val="48AE4FC8"/>
    <w:rsid w:val="49590FB4"/>
    <w:rsid w:val="49D165ED"/>
    <w:rsid w:val="4A5E3FE5"/>
    <w:rsid w:val="4A73475D"/>
    <w:rsid w:val="4A814FD5"/>
    <w:rsid w:val="4B1751BF"/>
    <w:rsid w:val="4B8F2498"/>
    <w:rsid w:val="4BA154C3"/>
    <w:rsid w:val="4BAD56AF"/>
    <w:rsid w:val="4BB600FB"/>
    <w:rsid w:val="4BD3360E"/>
    <w:rsid w:val="4C8D0224"/>
    <w:rsid w:val="4CC16418"/>
    <w:rsid w:val="4CC2732C"/>
    <w:rsid w:val="4CEA1FF0"/>
    <w:rsid w:val="4D163C11"/>
    <w:rsid w:val="4D792DF6"/>
    <w:rsid w:val="4DAD47ED"/>
    <w:rsid w:val="4DB41D3F"/>
    <w:rsid w:val="4DBC6445"/>
    <w:rsid w:val="4DC112FA"/>
    <w:rsid w:val="4DF66349"/>
    <w:rsid w:val="4EB45D0B"/>
    <w:rsid w:val="4EEE3DB6"/>
    <w:rsid w:val="4F43184E"/>
    <w:rsid w:val="4F4C402A"/>
    <w:rsid w:val="4F6D3DC4"/>
    <w:rsid w:val="4F743B8A"/>
    <w:rsid w:val="4F904BDF"/>
    <w:rsid w:val="4FDD4E40"/>
    <w:rsid w:val="5014600B"/>
    <w:rsid w:val="50355192"/>
    <w:rsid w:val="5041142B"/>
    <w:rsid w:val="504F7889"/>
    <w:rsid w:val="50696A9D"/>
    <w:rsid w:val="50AD2429"/>
    <w:rsid w:val="50B37177"/>
    <w:rsid w:val="515F41C3"/>
    <w:rsid w:val="51905E35"/>
    <w:rsid w:val="51C44034"/>
    <w:rsid w:val="51CE46D6"/>
    <w:rsid w:val="51EA59F2"/>
    <w:rsid w:val="52093A03"/>
    <w:rsid w:val="525C232C"/>
    <w:rsid w:val="525F5415"/>
    <w:rsid w:val="52644BA6"/>
    <w:rsid w:val="5274783F"/>
    <w:rsid w:val="52C52612"/>
    <w:rsid w:val="53554B86"/>
    <w:rsid w:val="535C0D29"/>
    <w:rsid w:val="536E6B66"/>
    <w:rsid w:val="539C44A4"/>
    <w:rsid w:val="53CC16F1"/>
    <w:rsid w:val="53ED02A0"/>
    <w:rsid w:val="540A76BE"/>
    <w:rsid w:val="54191B5A"/>
    <w:rsid w:val="543243C9"/>
    <w:rsid w:val="54517B25"/>
    <w:rsid w:val="545A4FA6"/>
    <w:rsid w:val="54744E85"/>
    <w:rsid w:val="547D09A9"/>
    <w:rsid w:val="548F04D6"/>
    <w:rsid w:val="54EB07F1"/>
    <w:rsid w:val="54F46B99"/>
    <w:rsid w:val="557F438F"/>
    <w:rsid w:val="56142D69"/>
    <w:rsid w:val="561B17C3"/>
    <w:rsid w:val="56306DC9"/>
    <w:rsid w:val="563421B4"/>
    <w:rsid w:val="566B274A"/>
    <w:rsid w:val="56C57596"/>
    <w:rsid w:val="572C3264"/>
    <w:rsid w:val="57464CA1"/>
    <w:rsid w:val="574E3678"/>
    <w:rsid w:val="574F6249"/>
    <w:rsid w:val="579212BC"/>
    <w:rsid w:val="5797531F"/>
    <w:rsid w:val="57F72993"/>
    <w:rsid w:val="58170AE2"/>
    <w:rsid w:val="58247055"/>
    <w:rsid w:val="58B101BD"/>
    <w:rsid w:val="58B874B0"/>
    <w:rsid w:val="58F85343"/>
    <w:rsid w:val="5A05227F"/>
    <w:rsid w:val="5A503026"/>
    <w:rsid w:val="5A67476A"/>
    <w:rsid w:val="5ADC7033"/>
    <w:rsid w:val="5B5365B8"/>
    <w:rsid w:val="5B7B5962"/>
    <w:rsid w:val="5BFD0E03"/>
    <w:rsid w:val="5C277114"/>
    <w:rsid w:val="5C3E3736"/>
    <w:rsid w:val="5C8400C2"/>
    <w:rsid w:val="5CA13E02"/>
    <w:rsid w:val="5E090E16"/>
    <w:rsid w:val="5E0D2E81"/>
    <w:rsid w:val="5E197A93"/>
    <w:rsid w:val="5E44787F"/>
    <w:rsid w:val="5E460548"/>
    <w:rsid w:val="5E8F0648"/>
    <w:rsid w:val="5E99597B"/>
    <w:rsid w:val="5EBF4643"/>
    <w:rsid w:val="5EE7265D"/>
    <w:rsid w:val="5EFA4B09"/>
    <w:rsid w:val="5F4B3AE6"/>
    <w:rsid w:val="5FE32545"/>
    <w:rsid w:val="601D2D07"/>
    <w:rsid w:val="60255092"/>
    <w:rsid w:val="604A5C07"/>
    <w:rsid w:val="60FC0AAE"/>
    <w:rsid w:val="61447ADB"/>
    <w:rsid w:val="6155520D"/>
    <w:rsid w:val="619C5EAE"/>
    <w:rsid w:val="61D116DC"/>
    <w:rsid w:val="61FC3F7E"/>
    <w:rsid w:val="621564CC"/>
    <w:rsid w:val="622C3041"/>
    <w:rsid w:val="629647B1"/>
    <w:rsid w:val="62AC3ECF"/>
    <w:rsid w:val="62B96255"/>
    <w:rsid w:val="62BE4033"/>
    <w:rsid w:val="62F912CD"/>
    <w:rsid w:val="636E387A"/>
    <w:rsid w:val="638C0FC4"/>
    <w:rsid w:val="638E5ED8"/>
    <w:rsid w:val="63D57455"/>
    <w:rsid w:val="63E76657"/>
    <w:rsid w:val="644A3DA2"/>
    <w:rsid w:val="64C3306D"/>
    <w:rsid w:val="64FA4B57"/>
    <w:rsid w:val="65037801"/>
    <w:rsid w:val="65254492"/>
    <w:rsid w:val="653740EF"/>
    <w:rsid w:val="65A05FD7"/>
    <w:rsid w:val="66525D70"/>
    <w:rsid w:val="668115BA"/>
    <w:rsid w:val="66D750BF"/>
    <w:rsid w:val="66FF2B97"/>
    <w:rsid w:val="670A2998"/>
    <w:rsid w:val="6729369B"/>
    <w:rsid w:val="677A5055"/>
    <w:rsid w:val="6780006D"/>
    <w:rsid w:val="67EB3E2C"/>
    <w:rsid w:val="682D3D04"/>
    <w:rsid w:val="68551CF4"/>
    <w:rsid w:val="686756FB"/>
    <w:rsid w:val="68EF77FE"/>
    <w:rsid w:val="69234320"/>
    <w:rsid w:val="69F36F21"/>
    <w:rsid w:val="6A0300EB"/>
    <w:rsid w:val="6A171E0D"/>
    <w:rsid w:val="6A38073E"/>
    <w:rsid w:val="6A786FFB"/>
    <w:rsid w:val="6A886ED6"/>
    <w:rsid w:val="6A970233"/>
    <w:rsid w:val="6B02724B"/>
    <w:rsid w:val="6B1B4485"/>
    <w:rsid w:val="6B3804FA"/>
    <w:rsid w:val="6BC9224C"/>
    <w:rsid w:val="6C180011"/>
    <w:rsid w:val="6C2A0AFE"/>
    <w:rsid w:val="6CD51C5E"/>
    <w:rsid w:val="6D10457B"/>
    <w:rsid w:val="6D1C7EA3"/>
    <w:rsid w:val="6D217C9B"/>
    <w:rsid w:val="6D4E69CB"/>
    <w:rsid w:val="6D5736E6"/>
    <w:rsid w:val="6D7913A3"/>
    <w:rsid w:val="6D8668BF"/>
    <w:rsid w:val="6D963358"/>
    <w:rsid w:val="6D982A6D"/>
    <w:rsid w:val="6DCD09F3"/>
    <w:rsid w:val="6DDA24CA"/>
    <w:rsid w:val="6DEC3CE4"/>
    <w:rsid w:val="6E5220F8"/>
    <w:rsid w:val="6E9D190A"/>
    <w:rsid w:val="6ED33857"/>
    <w:rsid w:val="6ED6328E"/>
    <w:rsid w:val="6F054FC6"/>
    <w:rsid w:val="6F106F8F"/>
    <w:rsid w:val="6FD65CB6"/>
    <w:rsid w:val="708D1114"/>
    <w:rsid w:val="70926056"/>
    <w:rsid w:val="70C64CB5"/>
    <w:rsid w:val="70F74EAF"/>
    <w:rsid w:val="719E2F2F"/>
    <w:rsid w:val="71D878BC"/>
    <w:rsid w:val="72030F5B"/>
    <w:rsid w:val="7220374A"/>
    <w:rsid w:val="7235778E"/>
    <w:rsid w:val="725738A4"/>
    <w:rsid w:val="725E2D1E"/>
    <w:rsid w:val="72975E56"/>
    <w:rsid w:val="731A65E1"/>
    <w:rsid w:val="733A1147"/>
    <w:rsid w:val="73727FD6"/>
    <w:rsid w:val="73B16901"/>
    <w:rsid w:val="743453B3"/>
    <w:rsid w:val="74E9157C"/>
    <w:rsid w:val="7544268D"/>
    <w:rsid w:val="75475012"/>
    <w:rsid w:val="759A405B"/>
    <w:rsid w:val="75A97FDD"/>
    <w:rsid w:val="75BE0CA2"/>
    <w:rsid w:val="75CF5C74"/>
    <w:rsid w:val="76766AEF"/>
    <w:rsid w:val="76F407D9"/>
    <w:rsid w:val="772C6C03"/>
    <w:rsid w:val="77334537"/>
    <w:rsid w:val="773C2E03"/>
    <w:rsid w:val="7749749C"/>
    <w:rsid w:val="776E3C1A"/>
    <w:rsid w:val="77F4039A"/>
    <w:rsid w:val="781C543C"/>
    <w:rsid w:val="787D4BB3"/>
    <w:rsid w:val="788039DC"/>
    <w:rsid w:val="79141AB1"/>
    <w:rsid w:val="79175EB6"/>
    <w:rsid w:val="79C04E2C"/>
    <w:rsid w:val="79CA0B98"/>
    <w:rsid w:val="79D50724"/>
    <w:rsid w:val="7A2A01F8"/>
    <w:rsid w:val="7A3857CA"/>
    <w:rsid w:val="7A595A63"/>
    <w:rsid w:val="7A77302E"/>
    <w:rsid w:val="7A85777D"/>
    <w:rsid w:val="7B0A6274"/>
    <w:rsid w:val="7BBF47FF"/>
    <w:rsid w:val="7C07680B"/>
    <w:rsid w:val="7C33608D"/>
    <w:rsid w:val="7C39281F"/>
    <w:rsid w:val="7CBB2C24"/>
    <w:rsid w:val="7CCD03F4"/>
    <w:rsid w:val="7CCF0EBD"/>
    <w:rsid w:val="7CE36A41"/>
    <w:rsid w:val="7CF15E9D"/>
    <w:rsid w:val="7DDB2BCB"/>
    <w:rsid w:val="7DE10BA8"/>
    <w:rsid w:val="7E3D0C42"/>
    <w:rsid w:val="7E5F76F1"/>
    <w:rsid w:val="7E6842D2"/>
    <w:rsid w:val="7F0E66AF"/>
    <w:rsid w:val="7F10584B"/>
    <w:rsid w:val="7F1A66A7"/>
    <w:rsid w:val="7F5027ED"/>
    <w:rsid w:val="7F7B6D0D"/>
    <w:rsid w:val="7FB60A69"/>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9"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locked/>
    <w:uiPriority w:val="0"/>
    <w:pPr>
      <w:keepNext/>
      <w:jc w:val="center"/>
      <w:outlineLvl w:val="0"/>
    </w:pPr>
    <w:rPr>
      <w:rFonts w:ascii="Times New Roman" w:hAnsi="Times New Roman" w:eastAsia="宋体"/>
      <w:b/>
      <w:snapToGrid/>
      <w:kern w:val="2"/>
      <w:szCs w:val="20"/>
    </w:rPr>
  </w:style>
  <w:style w:type="paragraph" w:styleId="3">
    <w:name w:val="heading 2"/>
    <w:basedOn w:val="2"/>
    <w:next w:val="1"/>
    <w:unhideWhenUsed/>
    <w:qFormat/>
    <w:locked/>
    <w:uiPriority w:val="9"/>
    <w:pPr>
      <w:keepNext/>
      <w:keepLines/>
      <w:spacing w:before="260" w:after="260" w:line="416" w:lineRule="auto"/>
      <w:outlineLvl w:val="1"/>
    </w:pPr>
    <w:rPr>
      <w:rFonts w:ascii="Cambria" w:hAnsi="Cambria" w:eastAsia="宋体"/>
      <w:b w:val="0"/>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4"/>
    <w:qFormat/>
    <w:uiPriority w:val="99"/>
    <w:pPr>
      <w:widowControl/>
      <w:jc w:val="left"/>
    </w:pPr>
    <w:rPr>
      <w:kern w:val="0"/>
    </w:rPr>
  </w:style>
  <w:style w:type="paragraph" w:styleId="5">
    <w:name w:val="Balloon Text"/>
    <w:basedOn w:val="1"/>
    <w:link w:val="15"/>
    <w:semiHidden/>
    <w:qFormat/>
    <w:uiPriority w:val="99"/>
    <w:rPr>
      <w:sz w:val="18"/>
      <w:szCs w:val="18"/>
    </w:rPr>
  </w:style>
  <w:style w:type="paragraph" w:styleId="6">
    <w:name w:val="footer"/>
    <w:basedOn w:val="1"/>
    <w:link w:val="16"/>
    <w:qFormat/>
    <w:uiPriority w:val="99"/>
    <w:pPr>
      <w:tabs>
        <w:tab w:val="center" w:pos="4153"/>
        <w:tab w:val="right" w:pos="8306"/>
      </w:tabs>
      <w:snapToGrid w:val="0"/>
      <w:jc w:val="left"/>
    </w:pPr>
    <w:rPr>
      <w:kern w:val="0"/>
      <w:sz w:val="18"/>
      <w:szCs w:val="18"/>
    </w:rPr>
  </w:style>
  <w:style w:type="paragraph" w:styleId="7">
    <w:name w:val="header"/>
    <w:basedOn w:val="1"/>
    <w:link w:val="1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kern w:val="0"/>
      <w:sz w:val="18"/>
      <w:szCs w:val="18"/>
    </w:rPr>
  </w:style>
  <w:style w:type="paragraph" w:styleId="8">
    <w:name w:val="Normal (Web)"/>
    <w:basedOn w:val="1"/>
    <w:qFormat/>
    <w:uiPriority w:val="0"/>
    <w:pPr>
      <w:spacing w:before="100" w:beforeAutospacing="1" w:after="100" w:afterAutospacing="1"/>
      <w:jc w:val="left"/>
    </w:pPr>
    <w:rPr>
      <w:kern w:val="0"/>
      <w:sz w:val="24"/>
    </w:rPr>
  </w:style>
  <w:style w:type="table" w:styleId="10">
    <w:name w:val="Table Grid"/>
    <w:basedOn w:val="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99"/>
    <w:rPr>
      <w:rFonts w:cs="Times New Roman"/>
    </w:rPr>
  </w:style>
  <w:style w:type="character" w:styleId="13">
    <w:name w:val="Emphasis"/>
    <w:basedOn w:val="11"/>
    <w:qFormat/>
    <w:locked/>
    <w:uiPriority w:val="0"/>
    <w:rPr>
      <w:i/>
    </w:rPr>
  </w:style>
  <w:style w:type="character" w:customStyle="1" w:styleId="14">
    <w:name w:val="正文文本 Char"/>
    <w:basedOn w:val="11"/>
    <w:link w:val="4"/>
    <w:semiHidden/>
    <w:qFormat/>
    <w:locked/>
    <w:uiPriority w:val="99"/>
    <w:rPr>
      <w:rFonts w:cs="Times New Roman"/>
      <w:sz w:val="21"/>
    </w:rPr>
  </w:style>
  <w:style w:type="character" w:customStyle="1" w:styleId="15">
    <w:name w:val="批注框文本 Char"/>
    <w:basedOn w:val="11"/>
    <w:link w:val="5"/>
    <w:semiHidden/>
    <w:qFormat/>
    <w:locked/>
    <w:uiPriority w:val="99"/>
    <w:rPr>
      <w:rFonts w:cs="Times New Roman"/>
      <w:kern w:val="2"/>
      <w:sz w:val="18"/>
    </w:rPr>
  </w:style>
  <w:style w:type="character" w:customStyle="1" w:styleId="16">
    <w:name w:val="页脚 Char"/>
    <w:basedOn w:val="11"/>
    <w:link w:val="6"/>
    <w:semiHidden/>
    <w:qFormat/>
    <w:locked/>
    <w:uiPriority w:val="99"/>
    <w:rPr>
      <w:rFonts w:cs="Times New Roman"/>
      <w:sz w:val="18"/>
    </w:rPr>
  </w:style>
  <w:style w:type="character" w:customStyle="1" w:styleId="17">
    <w:name w:val="页眉 Char"/>
    <w:basedOn w:val="11"/>
    <w:link w:val="7"/>
    <w:semiHidden/>
    <w:qFormat/>
    <w:locked/>
    <w:uiPriority w:val="99"/>
    <w:rPr>
      <w:rFonts w:cs="Times New Roman"/>
      <w:sz w:val="18"/>
    </w:rPr>
  </w:style>
  <w:style w:type="character" w:customStyle="1" w:styleId="18">
    <w:name w:val="ca-31"/>
    <w:qFormat/>
    <w:uiPriority w:val="99"/>
    <w:rPr>
      <w:rFonts w:ascii="宋体" w:hAnsi="宋体" w:eastAsia="宋体"/>
      <w:sz w:val="24"/>
    </w:rPr>
  </w:style>
  <w:style w:type="character" w:customStyle="1" w:styleId="19">
    <w:name w:val="font01"/>
    <w:qFormat/>
    <w:uiPriority w:val="99"/>
    <w:rPr>
      <w:rFonts w:ascii="宋体" w:hAnsi="宋体" w:eastAsia="宋体"/>
      <w:color w:val="000000"/>
      <w:sz w:val="20"/>
      <w:u w:val="none"/>
    </w:rPr>
  </w:style>
  <w:style w:type="character" w:customStyle="1" w:styleId="20">
    <w:name w:val="ca-41"/>
    <w:qFormat/>
    <w:uiPriority w:val="99"/>
    <w:rPr>
      <w:rFonts w:ascii="Times New Roman" w:hAnsi="Times New Roman"/>
      <w:sz w:val="24"/>
    </w:rPr>
  </w:style>
  <w:style w:type="paragraph" w:customStyle="1" w:styleId="21">
    <w:name w:val="List Paragraph1"/>
    <w:basedOn w:val="1"/>
    <w:qFormat/>
    <w:uiPriority w:val="99"/>
    <w:pPr>
      <w:ind w:firstLine="420" w:firstLineChars="200"/>
    </w:pPr>
  </w:style>
  <w:style w:type="paragraph" w:customStyle="1" w:styleId="22">
    <w:name w:val="pa-2"/>
    <w:basedOn w:val="1"/>
    <w:qFormat/>
    <w:uiPriority w:val="99"/>
    <w:pPr>
      <w:widowControl/>
      <w:spacing w:line="480" w:lineRule="atLeast"/>
      <w:ind w:firstLine="480"/>
    </w:pPr>
    <w:rPr>
      <w:rFonts w:ascii="宋体" w:hAnsi="宋体" w:cs="宋体"/>
      <w:kern w:val="0"/>
      <w:sz w:val="24"/>
      <w:szCs w:val="24"/>
    </w:rPr>
  </w:style>
  <w:style w:type="paragraph" w:customStyle="1" w:styleId="23">
    <w:name w:val="pa-5"/>
    <w:basedOn w:val="1"/>
    <w:qFormat/>
    <w:uiPriority w:val="99"/>
    <w:pPr>
      <w:widowControl/>
      <w:spacing w:line="480" w:lineRule="atLeast"/>
      <w:ind w:firstLine="600"/>
    </w:pPr>
    <w:rPr>
      <w:rFonts w:ascii="宋体" w:hAnsi="宋体" w:cs="宋体"/>
      <w:kern w:val="0"/>
      <w:sz w:val="24"/>
      <w:szCs w:val="24"/>
    </w:rPr>
  </w:style>
  <w:style w:type="paragraph" w:customStyle="1" w:styleId="24">
    <w:name w:val="正文文字缩进"/>
    <w:basedOn w:val="1"/>
    <w:qFormat/>
    <w:uiPriority w:val="0"/>
    <w:pPr>
      <w:adjustRightInd w:val="0"/>
      <w:ind w:left="180" w:firstLine="360"/>
      <w:jc w:val="left"/>
      <w:textAlignment w:val="baseline"/>
    </w:pPr>
    <w:rPr>
      <w:sz w:val="24"/>
      <w:szCs w:val="20"/>
    </w:rPr>
  </w:style>
  <w:style w:type="paragraph" w:customStyle="1" w:styleId="25">
    <w:name w:val="_Style 2"/>
    <w:qFormat/>
    <w:uiPriority w:val="0"/>
    <w:pPr>
      <w:ind w:firstLine="420" w:firstLineChars="200"/>
    </w:pPr>
    <w:rPr>
      <w:rFonts w:ascii="Times New Roman" w:hAnsi="Times New Roman" w:eastAsia="宋体" w:cs="Times New Roman"/>
      <w:sz w:val="21"/>
      <w:szCs w:val="22"/>
      <w:lang w:val="en-US" w:eastAsia="zh-CN" w:bidi="ar-SA"/>
    </w:rPr>
  </w:style>
  <w:style w:type="paragraph" w:customStyle="1" w:styleId="26">
    <w:name w:val="_Style 6"/>
    <w:qFormat/>
    <w:uiPriority w:val="1"/>
    <w:rPr>
      <w:rFonts w:ascii="Calibri" w:hAnsi="Calibri" w:eastAsia="宋体" w:cs="Times New Roman"/>
      <w:sz w:val="22"/>
      <w:szCs w:val="22"/>
      <w:lang w:val="en-US" w:eastAsia="zh-CN" w:bidi="ar-SA"/>
    </w:rPr>
  </w:style>
  <w:style w:type="paragraph" w:customStyle="1" w:styleId="27">
    <w:name w:val="_Style 1"/>
    <w:basedOn w:val="1"/>
    <w:qFormat/>
    <w:uiPriority w:val="0"/>
    <w:pPr>
      <w:ind w:firstLine="420" w:firstLineChars="200"/>
    </w:pPr>
    <w:rPr>
      <w:rFonts w:ascii="Calibri" w:hAnsi="Calibri"/>
    </w:rPr>
  </w:style>
  <w:style w:type="paragraph" w:customStyle="1" w:styleId="2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9">
    <w:name w:val="No Spacing"/>
    <w:qFormat/>
    <w:uiPriority w:val="1"/>
    <w:pPr>
      <w:widowControl w:val="0"/>
      <w:jc w:val="both"/>
    </w:pPr>
    <w:rPr>
      <w:rFonts w:ascii="Calibri" w:hAnsi="Calibri" w:eastAsia="宋体" w:cs="Times New Roman"/>
      <w:kern w:val="2"/>
      <w:sz w:val="21"/>
      <w:szCs w:val="24"/>
      <w:lang w:val="en-US" w:eastAsia="zh-CN" w:bidi="ar-SA"/>
    </w:rPr>
  </w:style>
  <w:style w:type="paragraph" w:styleId="30">
    <w:name w:val="List Paragraph"/>
    <w:basedOn w:val="1"/>
    <w:qFormat/>
    <w:uiPriority w:val="34"/>
    <w:pPr>
      <w:ind w:firstLine="420" w:firstLineChars="200"/>
    </w:pPr>
  </w:style>
  <w:style w:type="paragraph" w:customStyle="1" w:styleId="31">
    <w:name w:val="列出段落1"/>
    <w:basedOn w:val="1"/>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 R C</Company>
  <Pages>2</Pages>
  <Words>676</Words>
  <Characters>774</Characters>
  <Lines>42</Lines>
  <Paragraphs>11</Paragraphs>
  <TotalTime>0</TotalTime>
  <ScaleCrop>false</ScaleCrop>
  <LinksUpToDate>false</LinksUpToDate>
  <CharactersWithSpaces>785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2016-03-11T02:36:00Z</dcterms:created>
  <dc:creator>shen</dc:creator>
  <cp:lastModifiedBy>一个人只有一条牛子</cp:lastModifiedBy>
  <cp:lastPrinted>2021-06-09T07:44:00Z</cp:lastPrinted>
  <dcterms:modified xsi:type="dcterms:W3CDTF">2026-07-10T06:56:35Z</dcterms:modified>
  <dc:title>附件3：</dc:title>
  <cp:revision>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50BA58C81DF84781BAB080349180DCF3</vt:lpwstr>
  </property>
  <property fmtid="{D5CDD505-2E9C-101B-9397-08002B2CF9AE}" pid="4" name="KSOTemplateDocerSaveRecord">
    <vt:lpwstr>eyJoZGlkIjoiMmFiNGZlMGFlNzFkOGQ3NzM4ZTU4NmZlMjg4NTcxNjYiLCJ1c2VySWQiOiI0Mjc1ODE2OTAifQ==</vt:lpwstr>
  </property>
</Properties>
</file>