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03787">
      <w:pPr>
        <w:pStyle w:val="4"/>
        <w:jc w:val="center"/>
        <w:rPr>
          <w:sz w:val="32"/>
          <w:szCs w:val="32"/>
        </w:rPr>
      </w:pPr>
      <w:bookmarkStart w:id="0" w:name="江苏索普新材料科技有限公司"/>
      <w:bookmarkStart w:id="1" w:name="鼠害防制技术管理方案甲方执行版"/>
      <w:r>
        <w:rPr>
          <w:b/>
          <w:bCs/>
          <w:sz w:val="32"/>
          <w:szCs w:val="32"/>
        </w:rPr>
        <w:t>鼠害防制技术管理方案</w:t>
      </w:r>
    </w:p>
    <w:p w14:paraId="2890091C">
      <w:pPr>
        <w:pStyle w:val="13"/>
        <w:jc w:val="center"/>
        <w:rPr>
          <w:rFonts w:hint="eastAsia"/>
          <w:lang w:val="en-US" w:eastAsia="zh-CN"/>
        </w:rPr>
      </w:pPr>
      <w:r>
        <w:rPr>
          <w:b/>
          <w:bCs/>
        </w:rPr>
        <w:t>编制单位：</w:t>
      </w:r>
      <w:r>
        <w:t xml:space="preserve"> </w:t>
      </w:r>
      <w:r>
        <w:rPr>
          <w:rFonts w:hint="eastAsia"/>
          <w:lang w:val="en-US" w:eastAsia="zh-CN"/>
        </w:rPr>
        <w:t>过程装备部</w:t>
      </w:r>
    </w:p>
    <w:p w14:paraId="46D47643">
      <w:pPr>
        <w:pStyle w:val="13"/>
        <w:jc w:val="center"/>
      </w:pPr>
      <w:r>
        <w:rPr>
          <w:b/>
          <w:bCs/>
        </w:rPr>
        <w:t>编制时间：</w:t>
      </w:r>
      <w:r>
        <w:t xml:space="preserve"> 2026年6月</w:t>
      </w:r>
      <w:r>
        <w:br w:type="textWrapping"/>
      </w:r>
    </w:p>
    <w:p w14:paraId="26E8839A"/>
    <w:p w14:paraId="3CCC6A17">
      <w:pPr>
        <w:pStyle w:val="5"/>
      </w:pPr>
      <w:bookmarkStart w:id="2" w:name="一项目背景与管理目标"/>
      <w:r>
        <w:t>一、项目背景与管理目标</w:t>
      </w:r>
    </w:p>
    <w:p w14:paraId="14767C87">
      <w:pPr>
        <w:pStyle w:val="23"/>
      </w:pPr>
      <w:r>
        <w:t>江苏索普新材料科技有限公司为大型化工类新材料生产企业，拥有多个高压/低压配电房、电缆夹层、变压器室、UPS机房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机柜间</w:t>
      </w:r>
      <w:r>
        <w:t>等核心电力设施，属于高危作业区域，对“小动物入侵”具有极高的安全敏感性。</w:t>
      </w:r>
    </w:p>
    <w:p w14:paraId="34E72E58">
      <w:pPr>
        <w:pStyle w:val="3"/>
      </w:pPr>
      <w:r>
        <w:t>根据《化工企业安全生产管理规范》《电力设备防小动物危害技术导则》（DL/T 1851-2018）等相关标准要求，结合公司实际运行情况，特制定本鼠害防制技术管理方案，旨在：</w:t>
      </w:r>
    </w:p>
    <w:p w14:paraId="29FCAEC7">
      <w:pPr>
        <w:pStyle w:val="24"/>
        <w:numPr>
          <w:ilvl w:val="0"/>
          <w:numId w:val="1"/>
        </w:numPr>
      </w:pPr>
      <w:r>
        <w:t>建立</w:t>
      </w:r>
      <w:r>
        <w:rPr>
          <w:b/>
          <w:bCs/>
        </w:rPr>
        <w:t>标准化、闭环化、可审计</w:t>
      </w:r>
      <w:r>
        <w:t>的鼠害防控管理体系；</w:t>
      </w:r>
    </w:p>
    <w:p w14:paraId="3E7532C6">
      <w:pPr>
        <w:pStyle w:val="24"/>
        <w:numPr>
          <w:ilvl w:val="0"/>
          <w:numId w:val="1"/>
        </w:numPr>
      </w:pPr>
      <w:r>
        <w:t>实现“零鼠患、零事故、零故障”的本质安全管理目标；</w:t>
      </w:r>
    </w:p>
    <w:p w14:paraId="2DB0FDFB">
      <w:pPr>
        <w:pStyle w:val="24"/>
        <w:numPr>
          <w:ilvl w:val="0"/>
          <w:numId w:val="1"/>
        </w:numPr>
      </w:pPr>
      <w:r>
        <w:t>明确乙方服务责任边界，强化过程监督与结果考核；</w:t>
      </w:r>
    </w:p>
    <w:p w14:paraId="2A1B3B89">
      <w:pPr>
        <w:pStyle w:val="24"/>
        <w:numPr>
          <w:ilvl w:val="0"/>
          <w:numId w:val="1"/>
        </w:numPr>
      </w:pPr>
      <w:r>
        <w:t>推动形成</w:t>
      </w:r>
      <w:r>
        <w:rPr>
          <w:b/>
          <w:bCs/>
        </w:rPr>
        <w:t>常态化、精细化、数据化</w:t>
      </w:r>
      <w:r>
        <w:t>的虫害风险管控机制。</w:t>
      </w:r>
    </w:p>
    <w:p w14:paraId="23DDB156">
      <w: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2"/>
    <w:p w14:paraId="48804FFD">
      <w:pPr>
        <w:pStyle w:val="5"/>
      </w:pPr>
      <w:bookmarkStart w:id="3" w:name="二技术标准与控制指标"/>
      <w:r>
        <w:t>二、技术标准与控制指标</w:t>
      </w:r>
    </w:p>
    <w:tbl>
      <w:tblPr>
        <w:tblStyle w:val="2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2973"/>
        <w:gridCol w:w="4111"/>
      </w:tblGrid>
      <w:tr w14:paraId="6301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5DDD7771">
            <w:pPr>
              <w:pStyle w:val="24"/>
              <w:jc w:val="left"/>
            </w:pPr>
            <w:r>
              <w:t>项目</w:t>
            </w:r>
          </w:p>
        </w:tc>
        <w:tc>
          <w:p w14:paraId="7A572074">
            <w:pPr>
              <w:pStyle w:val="24"/>
              <w:jc w:val="left"/>
            </w:pPr>
            <w:r>
              <w:t>技术标准</w:t>
            </w:r>
          </w:p>
        </w:tc>
        <w:tc>
          <w:p w14:paraId="2F859571">
            <w:pPr>
              <w:pStyle w:val="24"/>
              <w:jc w:val="left"/>
            </w:pPr>
            <w:r>
              <w:t>检测依据</w:t>
            </w:r>
          </w:p>
        </w:tc>
      </w:tr>
      <w:tr w14:paraId="7AF1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2E1DD3">
            <w:pPr>
              <w:pStyle w:val="24"/>
              <w:jc w:val="left"/>
            </w:pPr>
            <w:r>
              <w:t>鼠密度控制水平</w:t>
            </w:r>
          </w:p>
        </w:tc>
        <w:tc>
          <w:p w14:paraId="04CAF599">
            <w:pPr>
              <w:pStyle w:val="24"/>
              <w:jc w:val="left"/>
            </w:pPr>
            <w:r>
              <w:t>达到国标《GB/T 27770-2011》C级标准</w:t>
            </w:r>
          </w:p>
        </w:tc>
        <w:tc>
          <w:p w14:paraId="567908DA">
            <w:pPr>
              <w:pStyle w:val="24"/>
              <w:jc w:val="left"/>
            </w:pPr>
            <w:r>
              <w:t>国家病媒生物密度控制标准</w:t>
            </w:r>
          </w:p>
        </w:tc>
      </w:tr>
      <w:tr w14:paraId="397C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7091C14">
            <w:pPr>
              <w:pStyle w:val="24"/>
              <w:jc w:val="left"/>
            </w:pPr>
            <w:r>
              <w:t>灭鼠效果评估周期</w:t>
            </w:r>
          </w:p>
        </w:tc>
        <w:tc>
          <w:p w14:paraId="001EB8F6">
            <w:pPr>
              <w:pStyle w:val="24"/>
              <w:jc w:val="left"/>
            </w:pPr>
            <w:r>
              <w:t>每月一次全面监测评估</w:t>
            </w:r>
          </w:p>
        </w:tc>
        <w:tc>
          <w:p w14:paraId="211C59C9">
            <w:pPr>
              <w:pStyle w:val="24"/>
              <w:jc w:val="left"/>
            </w:pPr>
            <w:r>
              <w:t>依据《病媒生物密度监测方法 鼠类》（GB/T 23798-2009）</w:t>
            </w:r>
          </w:p>
        </w:tc>
      </w:tr>
      <w:tr w14:paraId="7428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75F4E6">
            <w:pPr>
              <w:pStyle w:val="24"/>
              <w:jc w:val="left"/>
            </w:pPr>
            <w:r>
              <w:t>鼠迹出现率</w:t>
            </w:r>
          </w:p>
        </w:tc>
        <w:tc>
          <w:p w14:paraId="410BBECD">
            <w:pPr>
              <w:pStyle w:val="24"/>
              <w:jc w:val="left"/>
            </w:pPr>
            <w:r>
              <w:t>≤1处/月·区域（99个点位）</w:t>
            </w:r>
          </w:p>
        </w:tc>
        <w:tc>
          <w:p w14:paraId="62816CE5">
            <w:pPr>
              <w:pStyle w:val="24"/>
              <w:jc w:val="left"/>
            </w:pPr>
            <w:r>
              <w:t>单位面积内新鲜鼠粪、咬痕、活动痕迹数量</w:t>
            </w:r>
          </w:p>
        </w:tc>
      </w:tr>
      <w:tr w14:paraId="4534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117C7C6">
            <w:pPr>
              <w:pStyle w:val="24"/>
              <w:jc w:val="left"/>
            </w:pPr>
            <w:r>
              <w:t>物理防制覆盖率</w:t>
            </w:r>
          </w:p>
        </w:tc>
        <w:tc>
          <w:p w14:paraId="2D7E28D5">
            <w:pPr>
              <w:pStyle w:val="24"/>
              <w:jc w:val="left"/>
            </w:pPr>
            <w:r>
              <w:t>100%</w:t>
            </w:r>
          </w:p>
        </w:tc>
        <w:tc>
          <w:p w14:paraId="00D2369D">
            <w:pPr>
              <w:pStyle w:val="24"/>
              <w:jc w:val="left"/>
            </w:pPr>
            <w:r>
              <w:t>所有出入口、孔洞、通风口均须实施封堵或屏障防护</w:t>
            </w:r>
          </w:p>
        </w:tc>
      </w:tr>
      <w:tr w14:paraId="279F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725364E">
            <w:pPr>
              <w:pStyle w:val="24"/>
              <w:jc w:val="left"/>
            </w:pPr>
            <w:r>
              <w:t>化学饵剂投放合规率</w:t>
            </w:r>
          </w:p>
        </w:tc>
        <w:tc>
          <w:p w14:paraId="421F1EB3">
            <w:pPr>
              <w:pStyle w:val="24"/>
              <w:jc w:val="left"/>
            </w:pPr>
            <w:r>
              <w:t>100%</w:t>
            </w:r>
          </w:p>
        </w:tc>
        <w:tc>
          <w:p w14:paraId="62500CDF">
            <w:pPr>
              <w:pStyle w:val="24"/>
              <w:jc w:val="left"/>
            </w:pPr>
            <w:r>
              <w:t>必须使用封闭式饵站、上锁管理、台账完整</w:t>
            </w:r>
          </w:p>
        </w:tc>
      </w:tr>
      <w:tr w14:paraId="64E8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90C42F6">
            <w:pPr>
              <w:pStyle w:val="24"/>
              <w:jc w:val="left"/>
            </w:pPr>
            <w:r>
              <w:t>作业安全违规次数</w:t>
            </w:r>
          </w:p>
        </w:tc>
        <w:tc>
          <w:p w14:paraId="65B62296">
            <w:pPr>
              <w:pStyle w:val="24"/>
              <w:jc w:val="left"/>
            </w:pPr>
            <w:r>
              <w:t>0次</w:t>
            </w:r>
          </w:p>
        </w:tc>
        <w:tc>
          <w:p w14:paraId="1405230C">
            <w:pPr>
              <w:pStyle w:val="24"/>
              <w:jc w:val="left"/>
            </w:pPr>
            <w:r>
              <w:t>严禁触碰带电设备、不得破坏防火封堵、不得遗留工具</w:t>
            </w:r>
          </w:p>
        </w:tc>
      </w:tr>
    </w:tbl>
    <w:p w14:paraId="4B02D52B"/>
    <w:bookmarkEnd w:id="3"/>
    <w:p w14:paraId="68E5AD14">
      <w:pPr>
        <w:pStyle w:val="5"/>
      </w:pPr>
      <w:bookmarkStart w:id="4" w:name="三重点区域与风险分级管控清单附件1"/>
      <w:r>
        <w:t>三、重点区域与风险分级管控清单</w:t>
      </w:r>
    </w:p>
    <w:tbl>
      <w:tblPr>
        <w:tblStyle w:val="28"/>
        <w:tblW w:w="474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939"/>
        <w:gridCol w:w="2789"/>
        <w:gridCol w:w="2968"/>
      </w:tblGrid>
      <w:tr w14:paraId="3C9B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5A7785A5">
            <w:pPr>
              <w:pStyle w:val="24"/>
              <w:jc w:val="left"/>
            </w:pPr>
            <w:r>
              <w:t>区域名称</w:t>
            </w:r>
          </w:p>
        </w:tc>
        <w:tc>
          <w:p w14:paraId="21341011">
            <w:pPr>
              <w:pStyle w:val="24"/>
              <w:jc w:val="left"/>
            </w:pPr>
            <w:r>
              <w:t>风险等级</w:t>
            </w:r>
          </w:p>
        </w:tc>
        <w:tc>
          <w:p w14:paraId="5325D35A">
            <w:pPr>
              <w:pStyle w:val="24"/>
              <w:jc w:val="left"/>
            </w:pPr>
            <w:r>
              <w:t>主要风险点</w:t>
            </w:r>
          </w:p>
        </w:tc>
        <w:tc>
          <w:p w14:paraId="7E7A9CBD">
            <w:pPr>
              <w:pStyle w:val="24"/>
              <w:jc w:val="left"/>
            </w:pPr>
            <w:r>
              <w:t>管控措施</w:t>
            </w:r>
          </w:p>
        </w:tc>
      </w:tr>
      <w:tr w14:paraId="4C5A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8BACBA6">
            <w:pPr>
              <w:pStyle w:val="24"/>
              <w:jc w:val="left"/>
            </w:pPr>
            <w:r>
              <w:t>高低压配电房</w:t>
            </w:r>
          </w:p>
        </w:tc>
        <w:tc>
          <w:p w14:paraId="6B89EB81">
            <w:pPr>
              <w:pStyle w:val="24"/>
              <w:jc w:val="left"/>
            </w:pPr>
            <w:r>
              <w:t>一级</w:t>
            </w:r>
          </w:p>
        </w:tc>
        <w:tc>
          <w:p w14:paraId="4096CA20">
            <w:pPr>
              <w:pStyle w:val="24"/>
              <w:jc w:val="left"/>
            </w:pPr>
            <w:r>
              <w:t>门缝、电缆穿墙孔、柜底缝隙</w:t>
            </w:r>
          </w:p>
        </w:tc>
        <w:tc>
          <w:p w14:paraId="39B49BAA">
            <w:pPr>
              <w:pStyle w:val="24"/>
              <w:jc w:val="left"/>
            </w:pPr>
            <w:r>
              <w:t>加装不锈钢挡鼠板+密封条+防火封堵</w:t>
            </w:r>
          </w:p>
        </w:tc>
      </w:tr>
      <w:tr w14:paraId="7F7CB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069F36">
            <w:pPr>
              <w:pStyle w:val="24"/>
              <w:jc w:val="left"/>
            </w:pPr>
            <w:r>
              <w:t>电缆夹层</w:t>
            </w:r>
          </w:p>
        </w:tc>
        <w:tc>
          <w:p w14:paraId="28E3E4F7">
            <w:pPr>
              <w:pStyle w:val="24"/>
              <w:jc w:val="left"/>
            </w:pPr>
            <w:r>
              <w:t>一级</w:t>
            </w:r>
          </w:p>
        </w:tc>
        <w:tc>
          <w:p w14:paraId="78AF792D">
            <w:pPr>
              <w:pStyle w:val="24"/>
              <w:jc w:val="left"/>
            </w:pPr>
            <w:r>
              <w:t>沟道出入口、积水区、杂物堆积</w:t>
            </w:r>
          </w:p>
        </w:tc>
        <w:tc>
          <w:p w14:paraId="40E85467">
            <w:pPr>
              <w:pStyle w:val="24"/>
              <w:jc w:val="left"/>
            </w:pPr>
            <w:r>
              <w:t>设置粘鼠板+定期清理+喷施驱避剂</w:t>
            </w:r>
          </w:p>
        </w:tc>
      </w:tr>
      <w:tr w14:paraId="6950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51C6F32">
            <w:pPr>
              <w:pStyle w:val="24"/>
              <w:jc w:val="left"/>
            </w:pPr>
            <w:r>
              <w:t>变压器室</w:t>
            </w:r>
          </w:p>
        </w:tc>
        <w:tc>
          <w:p w14:paraId="0A3E2174">
            <w:pPr>
              <w:pStyle w:val="24"/>
              <w:jc w:val="left"/>
            </w:pPr>
            <w:r>
              <w:t>一级</w:t>
            </w:r>
          </w:p>
        </w:tc>
        <w:tc>
          <w:p w14:paraId="0BAE007C">
            <w:pPr>
              <w:pStyle w:val="24"/>
              <w:jc w:val="left"/>
            </w:pPr>
            <w:r>
              <w:t>基座缝隙、通风百叶窗</w:t>
            </w:r>
          </w:p>
        </w:tc>
        <w:tc>
          <w:p w14:paraId="2E62867E">
            <w:pPr>
              <w:pStyle w:val="24"/>
              <w:jc w:val="left"/>
            </w:pPr>
            <w:r>
              <w:t>不锈钢网防护+防鼠网全覆盖</w:t>
            </w:r>
          </w:p>
        </w:tc>
      </w:tr>
      <w:tr w14:paraId="0434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89609D0">
            <w:pPr>
              <w:pStyle w:val="24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机柜间</w:t>
            </w:r>
          </w:p>
        </w:tc>
        <w:tc>
          <w:tcPr>
            <w:shd w:val="clear" w:color="auto" w:fill="auto"/>
            <w:vAlign w:val="top"/>
          </w:tcPr>
          <w:p w14:paraId="3253BBD9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一级</w:t>
            </w:r>
          </w:p>
        </w:tc>
        <w:tc>
          <w:tcPr>
            <w:shd w:val="clear" w:color="auto" w:fill="auto"/>
            <w:vAlign w:val="top"/>
          </w:tcPr>
          <w:p w14:paraId="6A3EE962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门缝、电缆穿墙孔、柜底缝隙</w:t>
            </w:r>
          </w:p>
        </w:tc>
        <w:tc>
          <w:tcPr>
            <w:shd w:val="clear" w:color="auto" w:fill="auto"/>
            <w:vAlign w:val="top"/>
          </w:tcPr>
          <w:p w14:paraId="54BD7004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加装不锈钢挡鼠板+密封条+防火封堵</w:t>
            </w:r>
          </w:p>
        </w:tc>
      </w:tr>
      <w:tr w14:paraId="3666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auto"/>
            <w:vAlign w:val="top"/>
          </w:tcPr>
          <w:p w14:paraId="1414ABDC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UPS机房</w:t>
            </w:r>
          </w:p>
        </w:tc>
        <w:tc>
          <w:tcPr>
            <w:shd w:val="clear" w:color="auto" w:fill="auto"/>
            <w:vAlign w:val="top"/>
          </w:tcPr>
          <w:p w14:paraId="2668073E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二级</w:t>
            </w:r>
          </w:p>
        </w:tc>
        <w:tc>
          <w:tcPr>
            <w:shd w:val="clear" w:color="auto" w:fill="auto"/>
            <w:vAlign w:val="top"/>
          </w:tcPr>
          <w:p w14:paraId="2CA09860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操作通道边缘、空调管口</w:t>
            </w:r>
          </w:p>
        </w:tc>
        <w:tc>
          <w:tcPr>
            <w:shd w:val="clear" w:color="auto" w:fill="auto"/>
            <w:vAlign w:val="top"/>
          </w:tcPr>
          <w:p w14:paraId="2ABE6C04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布设监测站+定时巡检</w:t>
            </w:r>
          </w:p>
        </w:tc>
      </w:tr>
      <w:tr w14:paraId="08390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auto"/>
            <w:vAlign w:val="top"/>
          </w:tcPr>
          <w:p w14:paraId="4E2F276F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蓄电池室</w:t>
            </w:r>
          </w:p>
        </w:tc>
        <w:tc>
          <w:tcPr>
            <w:shd w:val="clear" w:color="auto" w:fill="auto"/>
            <w:vAlign w:val="top"/>
          </w:tcPr>
          <w:p w14:paraId="415614FF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二级</w:t>
            </w:r>
          </w:p>
        </w:tc>
        <w:tc>
          <w:tcPr>
            <w:shd w:val="clear" w:color="auto" w:fill="auto"/>
            <w:vAlign w:val="top"/>
          </w:tcPr>
          <w:p w14:paraId="75BE33D5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电解液泄漏区附近</w:t>
            </w:r>
          </w:p>
        </w:tc>
        <w:tc>
          <w:tcPr>
            <w:shd w:val="clear" w:color="auto" w:fill="auto"/>
            <w:vAlign w:val="top"/>
          </w:tcPr>
          <w:p w14:paraId="4811B44D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优先物理封堵，禁止投药</w:t>
            </w:r>
          </w:p>
        </w:tc>
      </w:tr>
      <w:tr w14:paraId="3C3C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shd w:val="clear" w:color="auto" w:fill="auto"/>
            <w:vAlign w:val="top"/>
          </w:tcPr>
          <w:p w14:paraId="2EC08320">
            <w:pPr>
              <w:pStyle w:val="24"/>
              <w:jc w:val="left"/>
              <w:rPr>
                <w:rFonts w:hint="eastAsia" w:asciiTheme="minorHAnsi" w:hAnsiTheme="minorHAnsi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t>外围5米防护带</w:t>
            </w:r>
          </w:p>
        </w:tc>
        <w:tc>
          <w:tcPr>
            <w:shd w:val="clear" w:color="auto" w:fill="auto"/>
            <w:vAlign w:val="top"/>
          </w:tcPr>
          <w:p w14:paraId="3EC20687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三级</w:t>
            </w:r>
          </w:p>
        </w:tc>
        <w:tc>
          <w:tcPr>
            <w:shd w:val="clear" w:color="auto" w:fill="auto"/>
            <w:vAlign w:val="top"/>
          </w:tcPr>
          <w:p w14:paraId="3D823BB3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杂草丛生、垃圾堆放、排水沟积水</w:t>
            </w:r>
          </w:p>
        </w:tc>
        <w:tc>
          <w:tcPr>
            <w:shd w:val="clear" w:color="auto" w:fill="auto"/>
            <w:vAlign w:val="top"/>
          </w:tcPr>
          <w:p w14:paraId="75184380">
            <w:pPr>
              <w:pStyle w:val="24"/>
              <w:jc w:val="left"/>
              <w:rPr>
                <w:rFonts w:asciiTheme="minorHAnsi" w:hAnsiTheme="minorHAnsi" w:eastAsiaTheme="minorEastAsia" w:cstheme="minorBidi"/>
                <w:sz w:val="24"/>
                <w:szCs w:val="24"/>
                <w:lang w:val="en-US" w:eastAsia="en-US" w:bidi="ar-SA"/>
              </w:rPr>
            </w:pPr>
            <w:r>
              <w:t>清理+绿化带驱避处理</w:t>
            </w:r>
          </w:p>
        </w:tc>
      </w:tr>
    </w:tbl>
    <w:p w14:paraId="00A034D0">
      <w: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4"/>
    <w:p w14:paraId="5747F033">
      <w:pPr>
        <w:pStyle w:val="5"/>
      </w:pPr>
      <w:bookmarkStart w:id="5" w:name="四乙方服务要求与甲方监督机制"/>
      <w:r>
        <w:t>四、乙方服务要求与甲方监督机制</w:t>
      </w:r>
    </w:p>
    <w:p w14:paraId="14AC83DD">
      <w:pPr>
        <w:pStyle w:val="6"/>
      </w:pPr>
      <w:bookmarkStart w:id="6" w:name="一乙方履约基本条件"/>
      <w:r>
        <w:t>（一）乙方履约基本条件</w:t>
      </w:r>
    </w:p>
    <w:p w14:paraId="120BCF5D">
      <w:pPr>
        <w:pStyle w:val="24"/>
        <w:numPr>
          <w:ilvl w:val="0"/>
          <w:numId w:val="2"/>
        </w:numPr>
      </w:pPr>
      <w:r>
        <w:t>必须具备国家A级有害生物防制资质；</w:t>
      </w:r>
    </w:p>
    <w:p w14:paraId="39C88B44">
      <w:pPr>
        <w:pStyle w:val="24"/>
        <w:numPr>
          <w:ilvl w:val="0"/>
          <w:numId w:val="2"/>
        </w:numPr>
      </w:pPr>
      <w:r>
        <w:t>作业人员持证上岗（提供职业技能证书复印件备案）；</w:t>
      </w:r>
    </w:p>
    <w:p w14:paraId="623B4CD6">
      <w:pPr>
        <w:pStyle w:val="24"/>
        <w:numPr>
          <w:ilvl w:val="0"/>
          <w:numId w:val="2"/>
        </w:numPr>
      </w:pPr>
      <w:r>
        <w:t>所用灭鼠饵剂须具备农药登记证、生产许可证、CMA检测报告、MSDS材料；</w:t>
      </w:r>
    </w:p>
    <w:p w14:paraId="2DBC3458">
      <w:pPr>
        <w:pStyle w:val="24"/>
        <w:numPr>
          <w:ilvl w:val="0"/>
          <w:numId w:val="2"/>
        </w:numPr>
      </w:pPr>
      <w:r>
        <w:t>投放药剂必须为</w:t>
      </w:r>
      <w:r>
        <w:rPr>
          <w:b/>
          <w:bCs/>
        </w:rPr>
        <w:t>抗凝血类蜡块型</w:t>
      </w:r>
      <w:r>
        <w:t>，无粉尘、无挥发、不燃不爆；</w:t>
      </w:r>
    </w:p>
    <w:p w14:paraId="2D9AB8EC">
      <w:pPr>
        <w:pStyle w:val="24"/>
        <w:numPr>
          <w:ilvl w:val="0"/>
          <w:numId w:val="2"/>
        </w:numPr>
      </w:pPr>
      <w:r>
        <w:t>所有饵站必须为</w:t>
      </w:r>
      <w:r>
        <w:rPr>
          <w:b/>
          <w:bCs/>
        </w:rPr>
        <w:t>封闭式、上锁式、防拆型设计</w:t>
      </w:r>
      <w:r>
        <w:t>，张贴警示标识。</w:t>
      </w:r>
    </w:p>
    <w:bookmarkEnd w:id="6"/>
    <w:p w14:paraId="287A2D3A">
      <w:pPr>
        <w:pStyle w:val="6"/>
      </w:pPr>
      <w:bookmarkStart w:id="7" w:name="二甲方现场监管权责"/>
      <w:r>
        <w:t>（二）甲方现场监管权责</w:t>
      </w:r>
    </w:p>
    <w:tbl>
      <w:tblPr>
        <w:tblStyle w:val="2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3421"/>
        <w:gridCol w:w="3617"/>
      </w:tblGrid>
      <w:tr w14:paraId="67A2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960B897">
            <w:pPr>
              <w:pStyle w:val="24"/>
              <w:jc w:val="left"/>
            </w:pPr>
            <w:r>
              <w:t>监督环节</w:t>
            </w:r>
          </w:p>
        </w:tc>
        <w:tc>
          <w:p w14:paraId="6826607B">
            <w:pPr>
              <w:pStyle w:val="24"/>
              <w:jc w:val="left"/>
            </w:pPr>
            <w:r>
              <w:t>甲方职责</w:t>
            </w:r>
          </w:p>
        </w:tc>
        <w:tc>
          <w:p w14:paraId="477BFF41">
            <w:pPr>
              <w:pStyle w:val="24"/>
              <w:jc w:val="left"/>
            </w:pPr>
            <w:r>
              <w:t>要求</w:t>
            </w:r>
          </w:p>
        </w:tc>
      </w:tr>
      <w:tr w14:paraId="5BE0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F4F0CA6">
            <w:pPr>
              <w:pStyle w:val="24"/>
              <w:jc w:val="left"/>
            </w:pPr>
            <w:r>
              <w:t>作业前报备</w:t>
            </w:r>
          </w:p>
        </w:tc>
        <w:tc>
          <w:p w14:paraId="5D0F2B08">
            <w:pPr>
              <w:pStyle w:val="24"/>
              <w:jc w:val="left"/>
            </w:pPr>
            <w:r>
              <w:t>审核作业申请、确认无停电计划</w:t>
            </w:r>
          </w:p>
        </w:tc>
        <w:tc>
          <w:p w14:paraId="5D3F0C6C">
            <w:pPr>
              <w:pStyle w:val="24"/>
              <w:jc w:val="left"/>
            </w:pPr>
            <w:r>
              <w:t>提前24小时提交，未批不准进场</w:t>
            </w:r>
          </w:p>
        </w:tc>
      </w:tr>
      <w:tr w14:paraId="5B59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7CA9BD7">
            <w:pPr>
              <w:pStyle w:val="24"/>
              <w:jc w:val="left"/>
            </w:pPr>
            <w:r>
              <w:t>进场检查</w:t>
            </w:r>
          </w:p>
        </w:tc>
        <w:tc>
          <w:p w14:paraId="073ACEF9">
            <w:pPr>
              <w:pStyle w:val="24"/>
              <w:jc w:val="left"/>
            </w:pPr>
            <w:r>
              <w:t>查验人员证件、工具、药剂清单</w:t>
            </w:r>
          </w:p>
        </w:tc>
        <w:tc>
          <w:p w14:paraId="6E64CB9B">
            <w:pPr>
              <w:pStyle w:val="24"/>
              <w:jc w:val="left"/>
            </w:pPr>
            <w:r>
              <w:t>有权拒绝不符合条件人员入场</w:t>
            </w:r>
          </w:p>
        </w:tc>
      </w:tr>
      <w:tr w14:paraId="27B5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C005BB">
            <w:pPr>
              <w:pStyle w:val="24"/>
              <w:jc w:val="left"/>
            </w:pPr>
            <w:r>
              <w:t>巡检过程监督</w:t>
            </w:r>
          </w:p>
        </w:tc>
        <w:tc>
          <w:p w14:paraId="7D5F6676">
            <w:pPr>
              <w:pStyle w:val="24"/>
              <w:jc w:val="left"/>
            </w:pPr>
            <w:r>
              <w:t>可派员随同巡检，全程录像</w:t>
            </w:r>
          </w:p>
        </w:tc>
        <w:tc>
          <w:p w14:paraId="20344FB3">
            <w:pPr>
              <w:pStyle w:val="24"/>
              <w:jc w:val="left"/>
            </w:pPr>
            <w:r>
              <w:t>对高危点位进行随机抽查</w:t>
            </w:r>
          </w:p>
        </w:tc>
      </w:tr>
      <w:tr w14:paraId="4299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80DB1D1">
            <w:pPr>
              <w:pStyle w:val="24"/>
              <w:jc w:val="left"/>
            </w:pPr>
            <w:r>
              <w:t>月度验收</w:t>
            </w:r>
          </w:p>
        </w:tc>
        <w:tc>
          <w:p w14:paraId="1D83A5F6">
            <w:pPr>
              <w:pStyle w:val="24"/>
              <w:jc w:val="left"/>
            </w:pPr>
            <w:r>
              <w:t>核查台账、照片、投饵记录</w:t>
            </w:r>
          </w:p>
        </w:tc>
        <w:tc>
          <w:p w14:paraId="196F1C0D">
            <w:pPr>
              <w:pStyle w:val="24"/>
              <w:jc w:val="left"/>
            </w:pPr>
            <w:r>
              <w:t>未签字或缺项不予结算</w:t>
            </w:r>
          </w:p>
        </w:tc>
      </w:tr>
      <w:tr w14:paraId="2CA3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D86819">
            <w:pPr>
              <w:pStyle w:val="24"/>
              <w:jc w:val="left"/>
            </w:pPr>
            <w:r>
              <w:t>异常处置</w:t>
            </w:r>
          </w:p>
        </w:tc>
        <w:tc>
          <w:p w14:paraId="544409AD">
            <w:pPr>
              <w:pStyle w:val="24"/>
              <w:jc w:val="left"/>
            </w:pPr>
            <w:r>
              <w:t>接到投诉或发现隐患立即响应</w:t>
            </w:r>
          </w:p>
        </w:tc>
        <w:tc>
          <w:p w14:paraId="711A1E5D">
            <w:pPr>
              <w:pStyle w:val="24"/>
              <w:jc w:val="left"/>
            </w:pPr>
            <w:r>
              <w:t>2小时内到场处置，超时通报考核</w:t>
            </w:r>
          </w:p>
        </w:tc>
      </w:tr>
    </w:tbl>
    <w:p w14:paraId="25A3D91D">
      <w: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5"/>
    <w:bookmarkEnd w:id="7"/>
    <w:p w14:paraId="7843FC00">
      <w:pPr>
        <w:pStyle w:val="5"/>
      </w:pPr>
      <w:bookmarkStart w:id="8" w:name="五服务流程与质量控制节点甲方审核要点"/>
      <w:r>
        <w:t>五、服务流程与质量控制节点（甲方审核要点）</w:t>
      </w:r>
    </w:p>
    <w:tbl>
      <w:tblPr>
        <w:tblStyle w:val="28"/>
        <w:tblW w:w="48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889"/>
        <w:gridCol w:w="2732"/>
        <w:gridCol w:w="1709"/>
      </w:tblGrid>
      <w:tr w14:paraId="638B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0DE78EB0">
            <w:pPr>
              <w:pStyle w:val="24"/>
              <w:jc w:val="left"/>
            </w:pPr>
            <w:r>
              <w:t>阶段</w:t>
            </w:r>
          </w:p>
        </w:tc>
        <w:tc>
          <w:p w14:paraId="48D21BAC">
            <w:pPr>
              <w:pStyle w:val="24"/>
              <w:jc w:val="left"/>
            </w:pPr>
            <w:r>
              <w:t>关键动作</w:t>
            </w:r>
          </w:p>
        </w:tc>
        <w:tc>
          <w:p w14:paraId="2B5938B7">
            <w:pPr>
              <w:pStyle w:val="24"/>
              <w:jc w:val="left"/>
            </w:pPr>
            <w:r>
              <w:t>甲方审查内容</w:t>
            </w:r>
          </w:p>
        </w:tc>
        <w:tc>
          <w:p w14:paraId="03A6FE6B">
            <w:pPr>
              <w:pStyle w:val="24"/>
              <w:jc w:val="left"/>
            </w:pPr>
            <w:r>
              <w:t>审查方式</w:t>
            </w:r>
          </w:p>
        </w:tc>
      </w:tr>
      <w:tr w14:paraId="3A9C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D8A6482">
            <w:pPr>
              <w:pStyle w:val="24"/>
              <w:jc w:val="left"/>
            </w:pPr>
            <w:r>
              <w:t>1. 作业申报</w:t>
            </w:r>
          </w:p>
        </w:tc>
        <w:tc>
          <w:p w14:paraId="0BB4CC46">
            <w:pPr>
              <w:pStyle w:val="24"/>
              <w:jc w:val="left"/>
            </w:pPr>
            <w:r>
              <w:t>乙方提交《月度服务计划表》</w:t>
            </w:r>
          </w:p>
        </w:tc>
        <w:tc>
          <w:p w14:paraId="215B29D3">
            <w:pPr>
              <w:pStyle w:val="24"/>
              <w:jc w:val="left"/>
            </w:pPr>
            <w:r>
              <w:t>是否包含区域、人员、物资清单</w:t>
            </w:r>
          </w:p>
        </w:tc>
        <w:tc>
          <w:p w14:paraId="598FD473">
            <w:pPr>
              <w:pStyle w:val="24"/>
              <w:jc w:val="left"/>
            </w:pPr>
            <w:r>
              <w:t>电子文件+纸质盖章</w:t>
            </w:r>
          </w:p>
        </w:tc>
      </w:tr>
      <w:tr w14:paraId="2A79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1CB0AF">
            <w:pPr>
              <w:pStyle w:val="24"/>
              <w:jc w:val="left"/>
            </w:pPr>
            <w:r>
              <w:t>2. 现场作业</w:t>
            </w:r>
          </w:p>
        </w:tc>
        <w:tc>
          <w:p w14:paraId="79719C4E">
            <w:pPr>
              <w:pStyle w:val="24"/>
              <w:jc w:val="left"/>
            </w:pPr>
            <w:r>
              <w:t>开展巡检、封堵、布设、投饵</w:t>
            </w:r>
          </w:p>
        </w:tc>
        <w:tc>
          <w:p w14:paraId="1D9EEC87">
            <w:pPr>
              <w:pStyle w:val="24"/>
              <w:jc w:val="left"/>
            </w:pPr>
            <w:r>
              <w:t>是否按图施工？是否违规操作？</w:t>
            </w:r>
          </w:p>
        </w:tc>
        <w:tc>
          <w:p w14:paraId="2FBFFA25">
            <w:pPr>
              <w:pStyle w:val="24"/>
              <w:jc w:val="left"/>
            </w:pPr>
            <w:r>
              <w:t>随机抽查+视频回看</w:t>
            </w:r>
          </w:p>
        </w:tc>
      </w:tr>
      <w:tr w14:paraId="7A8E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5CADBB">
            <w:pPr>
              <w:pStyle w:val="24"/>
              <w:jc w:val="left"/>
            </w:pPr>
            <w:r>
              <w:t>3. 数据采集</w:t>
            </w:r>
          </w:p>
        </w:tc>
        <w:tc>
          <w:p w14:paraId="72C83710">
            <w:pPr>
              <w:pStyle w:val="24"/>
              <w:jc w:val="left"/>
            </w:pPr>
            <w:r>
              <w:t>拍照取证、填写《鼠害巡查记录表》</w:t>
            </w:r>
          </w:p>
        </w:tc>
        <w:tc>
          <w:p w14:paraId="0E6658D2">
            <w:pPr>
              <w:pStyle w:val="24"/>
              <w:jc w:val="left"/>
            </w:pPr>
            <w:r>
              <w:t>是否真实记录？是否有伪造痕迹？</w:t>
            </w:r>
          </w:p>
        </w:tc>
        <w:tc>
          <w:p w14:paraId="60494D37">
            <w:pPr>
              <w:pStyle w:val="24"/>
              <w:jc w:val="left"/>
            </w:pPr>
            <w:r>
              <w:t>图像水印验证</w:t>
            </w:r>
          </w:p>
        </w:tc>
      </w:tr>
      <w:tr w14:paraId="585F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BC7401">
            <w:pPr>
              <w:pStyle w:val="24"/>
              <w:jc w:val="left"/>
            </w:pPr>
            <w:r>
              <w:t>4. 成果反馈</w:t>
            </w:r>
          </w:p>
        </w:tc>
        <w:tc>
          <w:p w14:paraId="78EDFCA5">
            <w:pPr>
              <w:pStyle w:val="24"/>
              <w:jc w:val="left"/>
            </w:pPr>
            <w:r>
              <w:t>提交月度报告（含整改前后对比图）</w:t>
            </w:r>
          </w:p>
        </w:tc>
        <w:tc>
          <w:p w14:paraId="627EA89A">
            <w:pPr>
              <w:pStyle w:val="24"/>
              <w:jc w:val="left"/>
            </w:pPr>
            <w:r>
              <w:t>内容是否完整？是否存在隐瞒？</w:t>
            </w:r>
          </w:p>
        </w:tc>
        <w:tc>
          <w:p w14:paraId="791AD01A">
            <w:pPr>
              <w:pStyle w:val="24"/>
              <w:jc w:val="left"/>
            </w:pPr>
            <w:r>
              <w:t>系统归档 + 交叉复核</w:t>
            </w:r>
          </w:p>
        </w:tc>
      </w:tr>
    </w:tbl>
    <w:p w14:paraId="28C53170">
      <w: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8"/>
    <w:p w14:paraId="1E48CF16">
      <w:pPr>
        <w:pStyle w:val="5"/>
      </w:pPr>
      <w:bookmarkStart w:id="9" w:name="六应急预案与应急响应机制"/>
      <w:r>
        <w:t>六、应急预案与应急响应机制</w:t>
      </w:r>
    </w:p>
    <w:p w14:paraId="11B507E1">
      <w:pPr>
        <w:pStyle w:val="23"/>
      </w:pPr>
      <w:r>
        <w:t>若出现以下情形之一，立即启动应急响应流程：</w:t>
      </w:r>
    </w:p>
    <w:tbl>
      <w:tblPr>
        <w:tblStyle w:val="2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8"/>
        <w:gridCol w:w="5612"/>
      </w:tblGrid>
      <w:tr w14:paraId="4239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5D077005">
            <w:pPr>
              <w:pStyle w:val="24"/>
              <w:jc w:val="left"/>
            </w:pPr>
            <w:r>
              <w:t>情况类型</w:t>
            </w:r>
          </w:p>
        </w:tc>
        <w:tc>
          <w:p w14:paraId="4A14FF7A">
            <w:pPr>
              <w:pStyle w:val="24"/>
              <w:jc w:val="left"/>
            </w:pPr>
            <w:r>
              <w:t>应急响应措施</w:t>
            </w:r>
          </w:p>
        </w:tc>
      </w:tr>
      <w:tr w14:paraId="5D2C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F7E624E">
            <w:pPr>
              <w:pStyle w:val="24"/>
              <w:jc w:val="left"/>
            </w:pPr>
            <w:r>
              <w:t>发现活鼠进入开关柜或变压器室</w:t>
            </w:r>
          </w:p>
        </w:tc>
        <w:tc>
          <w:p w14:paraId="34686411">
            <w:pPr>
              <w:pStyle w:val="24"/>
              <w:jc w:val="left"/>
            </w:pPr>
            <w:r>
              <w:t>1. 立即断电隔离；2. 通知乙方紧急处置；3. 启动事故调查程序</w:t>
            </w:r>
          </w:p>
        </w:tc>
      </w:tr>
      <w:tr w14:paraId="7C8C2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FF9A77">
            <w:pPr>
              <w:pStyle w:val="24"/>
              <w:jc w:val="left"/>
            </w:pPr>
            <w:r>
              <w:t>鼠类咬破电缆绝缘层</w:t>
            </w:r>
          </w:p>
        </w:tc>
        <w:tc>
          <w:p w14:paraId="61F2D63E">
            <w:pPr>
              <w:pStyle w:val="24"/>
              <w:jc w:val="left"/>
            </w:pPr>
            <w:r>
              <w:t>1. 切断相关线路；2. 组织抢修；3. 通报上级主管部门</w:t>
            </w:r>
          </w:p>
        </w:tc>
      </w:tr>
      <w:tr w14:paraId="5C13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64CB5D">
            <w:pPr>
              <w:pStyle w:val="24"/>
              <w:jc w:val="left"/>
            </w:pPr>
            <w:r>
              <w:t>饵剂被误投或丢失</w:t>
            </w:r>
          </w:p>
        </w:tc>
        <w:tc>
          <w:p w14:paraId="6B22D922">
            <w:pPr>
              <w:pStyle w:val="24"/>
              <w:jc w:val="left"/>
            </w:pPr>
            <w:r>
              <w:t>1. 立即回收残余物；2. 上报安环部备案；3. 调查责任人</w:t>
            </w:r>
          </w:p>
        </w:tc>
      </w:tr>
      <w:bookmarkEnd w:id="9"/>
    </w:tbl>
    <w:p w14:paraId="5BCF32D3">
      <w:bookmarkStart w:id="10" w:name="七考核与奖惩机制甲方可执行"/>
      <w:r>
        <w:pict>
          <v:rect id="_x0000_i102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0"/>
    <w:p w14:paraId="4462FB8C">
      <w:pPr>
        <w:pStyle w:val="5"/>
      </w:pPr>
      <w:bookmarkStart w:id="11" w:name="八附录资料清单甲方留存"/>
      <w:r>
        <w:rPr>
          <w:rFonts w:hint="eastAsia"/>
          <w:lang w:val="en-US" w:eastAsia="zh-CN"/>
        </w:rPr>
        <w:t>七</w:t>
      </w:r>
      <w:r>
        <w:t>、附录资料清单（甲方留存）</w:t>
      </w:r>
    </w:p>
    <w:p w14:paraId="458E33B2">
      <w:pPr>
        <w:pStyle w:val="24"/>
        <w:numPr>
          <w:ilvl w:val="0"/>
          <w:numId w:val="3"/>
        </w:numPr>
      </w:pPr>
      <w:r>
        <w:t>附件1：《厂区鼠害风险点分布图及分级清单》（含坐标定位）</w:t>
      </w:r>
    </w:p>
    <w:p w14:paraId="04CF5B91">
      <w:pPr>
        <w:pStyle w:val="24"/>
        <w:numPr>
          <w:ilvl w:val="0"/>
          <w:numId w:val="3"/>
        </w:numPr>
      </w:pPr>
      <w:r>
        <w:t>附件2：《月度鼠害防制服务记录表》（标准模板）</w:t>
      </w:r>
    </w:p>
    <w:p w14:paraId="34277175">
      <w:pPr>
        <w:pStyle w:val="24"/>
        <w:numPr>
          <w:ilvl w:val="0"/>
          <w:numId w:val="3"/>
        </w:numPr>
      </w:pPr>
      <w:r>
        <w:t>附件3：《封堵工程验收单》（图文对照）</w:t>
      </w:r>
    </w:p>
    <w:p w14:paraId="3EFD98B4">
      <w:pPr>
        <w:pStyle w:val="24"/>
        <w:numPr>
          <w:ilvl w:val="0"/>
          <w:numId w:val="3"/>
        </w:numPr>
      </w:pPr>
      <w:r>
        <w:t>附件4：《饵剂投放登记台账》（含时间、位置、责任人）</w:t>
      </w:r>
    </w:p>
    <w:p w14:paraId="582863CC">
      <w:pPr>
        <w:pStyle w:val="24"/>
        <w:numPr>
          <w:ilvl w:val="0"/>
          <w:numId w:val="3"/>
        </w:numPr>
      </w:pPr>
      <w:r>
        <w:t>附件5：《突发鼠患事件处置流程图》</w:t>
      </w:r>
    </w:p>
    <w:p w14:paraId="6E45801F">
      <w:pPr>
        <w:pStyle w:val="24"/>
        <w:numPr>
          <w:ilvl w:val="0"/>
          <w:numId w:val="3"/>
        </w:numPr>
      </w:pPr>
      <w:r>
        <w:t>附件6：《乙方服务承诺书》（签署版存档）</w:t>
      </w:r>
    </w:p>
    <w:p w14:paraId="101D0C4A">
      <w:r>
        <w:pict>
          <v:rect id="_x0000_i1030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  <w:bookmarkEnd w:id="0"/>
      <w:bookmarkEnd w:id="1"/>
      <w:bookmarkEnd w:id="11"/>
      <w:bookmarkStart w:id="12" w:name="_GoBack"/>
      <w:bookmarkEnd w:id="12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480"/>
      </w:pPr>
    </w:lvl>
    <w:lvl w:ilvl="1" w:tentative="0">
      <w:start w:val="0"/>
      <w:numFmt w:val="bullet"/>
      <w:lvlText w:val="–"/>
      <w:lvlJc w:val="left"/>
      <w:pPr>
        <w:ind w:left="1440" w:hanging="480"/>
      </w:pPr>
    </w:lvl>
    <w:lvl w:ilvl="2" w:tentative="0">
      <w:start w:val="0"/>
      <w:numFmt w:val="bullet"/>
      <w:lvlText w:val="•"/>
      <w:lvlJc w:val="left"/>
      <w:pPr>
        <w:ind w:left="2160" w:hanging="480"/>
      </w:pPr>
    </w:lvl>
    <w:lvl w:ilvl="3" w:tentative="0">
      <w:start w:val="0"/>
      <w:numFmt w:val="bullet"/>
      <w:lvlText w:val="–"/>
      <w:lvlJc w:val="left"/>
      <w:pPr>
        <w:ind w:left="2880" w:hanging="480"/>
      </w:pPr>
    </w:lvl>
    <w:lvl w:ilvl="4" w:tentative="0">
      <w:start w:val="0"/>
      <w:numFmt w:val="bullet"/>
      <w:lvlText w:val="•"/>
      <w:lvlJc w:val="left"/>
      <w:pPr>
        <w:ind w:left="3600" w:hanging="480"/>
      </w:pPr>
    </w:lvl>
    <w:lvl w:ilvl="5" w:tentative="0">
      <w:start w:val="0"/>
      <w:numFmt w:val="bullet"/>
      <w:lvlText w:val="–"/>
      <w:lvlJc w:val="left"/>
      <w:pPr>
        <w:ind w:left="4320" w:hanging="480"/>
      </w:pPr>
    </w:lvl>
    <w:lvl w:ilvl="6" w:tentative="0">
      <w:start w:val="0"/>
      <w:numFmt w:val="bullet"/>
      <w:lvlText w:val="•"/>
      <w:lvlJc w:val="left"/>
      <w:pPr>
        <w:ind w:left="5040" w:hanging="480"/>
      </w:pPr>
    </w:lvl>
    <w:lvl w:ilvl="7" w:tentative="0">
      <w:start w:val="0"/>
      <w:numFmt w:val="bullet"/>
      <w:lvlText w:val="–"/>
      <w:lvlJc w:val="left"/>
      <w:pPr>
        <w:ind w:left="5760" w:hanging="480"/>
      </w:pPr>
    </w:lvl>
    <w:lvl w:ilvl="8" w:tentative="0">
      <w:start w:val="0"/>
      <w:numFmt w:val="bullet"/>
      <w:lvlText w:val="•"/>
      <w:lvlJc w:val="left"/>
      <w:pPr>
        <w:ind w:left="6480" w:hanging="480"/>
      </w:pPr>
    </w:lvl>
  </w:abstractNum>
  <w:abstractNum w:abstractNumId="1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decimal"/>
      <w:lvlText w:val="%2."/>
      <w:lvlJc w:val="left"/>
      <w:pPr>
        <w:ind w:left="1440" w:hanging="480"/>
      </w:pPr>
    </w:lvl>
    <w:lvl w:ilvl="2" w:tentative="0">
      <w:start w:val="1"/>
      <w:numFmt w:val="decimal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decimal"/>
      <w:lvlText w:val="%5."/>
      <w:lvlJc w:val="left"/>
      <w:pPr>
        <w:ind w:left="3600" w:hanging="480"/>
      </w:pPr>
    </w:lvl>
    <w:lvl w:ilvl="5" w:tentative="0">
      <w:start w:val="1"/>
      <w:numFmt w:val="decimal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decimal"/>
      <w:lvlText w:val="%8."/>
      <w:lvlJc w:val="left"/>
      <w:pPr>
        <w:ind w:left="5760" w:hanging="480"/>
      </w:pPr>
    </w:lvl>
    <w:lvl w:ilvl="8" w:tentative="0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DF53E1"/>
    <w:rsid w:val="134D215B"/>
    <w:rsid w:val="686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next w:val="1"/>
    <w:link w:val="2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题注 字符"/>
    <w:basedOn w:val="19"/>
    <w:link w:val="12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书目1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character" w:customStyle="1" w:styleId="37">
    <w:name w:val="Section Number"/>
    <w:basedOn w:val="21"/>
    <w:qFormat/>
    <w:uiPriority w:val="0"/>
  </w:style>
  <w:style w:type="paragraph" w:customStyle="1" w:styleId="38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39">
    <w:name w:val="KeywordTok"/>
    <w:basedOn w:val="35"/>
    <w:qFormat/>
    <w:uiPriority w:val="0"/>
    <w:rPr>
      <w:rFonts w:ascii="Consolas" w:hAnsi="Consolas"/>
      <w:b/>
      <w:color w:val="007020"/>
      <w:sz w:val="22"/>
    </w:rPr>
  </w:style>
  <w:style w:type="character" w:customStyle="1" w:styleId="40">
    <w:name w:val="DataTypeTok"/>
    <w:basedOn w:val="35"/>
    <w:qFormat/>
    <w:uiPriority w:val="0"/>
    <w:rPr>
      <w:rFonts w:ascii="Consolas" w:hAnsi="Consolas"/>
      <w:color w:val="902000"/>
      <w:sz w:val="22"/>
    </w:rPr>
  </w:style>
  <w:style w:type="character" w:customStyle="1" w:styleId="41">
    <w:name w:val="DecVal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2">
    <w:name w:val="BaseNTok"/>
    <w:basedOn w:val="35"/>
    <w:uiPriority w:val="0"/>
    <w:rPr>
      <w:rFonts w:ascii="Consolas" w:hAnsi="Consolas"/>
      <w:color w:val="40A070"/>
      <w:sz w:val="22"/>
    </w:rPr>
  </w:style>
  <w:style w:type="character" w:customStyle="1" w:styleId="43">
    <w:name w:val="Float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4">
    <w:name w:val="ConstantTok"/>
    <w:basedOn w:val="35"/>
    <w:qFormat/>
    <w:uiPriority w:val="0"/>
    <w:rPr>
      <w:rFonts w:ascii="Consolas" w:hAnsi="Consolas"/>
      <w:color w:val="880000"/>
      <w:sz w:val="22"/>
    </w:rPr>
  </w:style>
  <w:style w:type="character" w:customStyle="1" w:styleId="45">
    <w:name w:val="CharTok"/>
    <w:basedOn w:val="35"/>
    <w:uiPriority w:val="0"/>
    <w:rPr>
      <w:rFonts w:ascii="Consolas" w:hAnsi="Consolas"/>
      <w:color w:val="4070A0"/>
      <w:sz w:val="22"/>
    </w:rPr>
  </w:style>
  <w:style w:type="character" w:customStyle="1" w:styleId="46">
    <w:name w:val="SpecialChar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7">
    <w:name w:val="StringTok"/>
    <w:basedOn w:val="35"/>
    <w:uiPriority w:val="0"/>
    <w:rPr>
      <w:rFonts w:ascii="Consolas" w:hAnsi="Consolas"/>
      <w:color w:val="4070A0"/>
      <w:sz w:val="22"/>
    </w:rPr>
  </w:style>
  <w:style w:type="character" w:customStyle="1" w:styleId="48">
    <w:name w:val="VerbatimStringTok"/>
    <w:basedOn w:val="35"/>
    <w:uiPriority w:val="0"/>
    <w:rPr>
      <w:rFonts w:ascii="Consolas" w:hAnsi="Consolas"/>
      <w:color w:val="4070A0"/>
      <w:sz w:val="22"/>
    </w:rPr>
  </w:style>
  <w:style w:type="character" w:customStyle="1" w:styleId="49">
    <w:name w:val="SpecialStringTok"/>
    <w:basedOn w:val="35"/>
    <w:qFormat/>
    <w:uiPriority w:val="0"/>
    <w:rPr>
      <w:rFonts w:ascii="Consolas" w:hAnsi="Consolas"/>
      <w:color w:val="BB6688"/>
      <w:sz w:val="22"/>
    </w:rPr>
  </w:style>
  <w:style w:type="character" w:customStyle="1" w:styleId="50">
    <w:name w:val="ImportTok"/>
    <w:basedOn w:val="35"/>
    <w:qFormat/>
    <w:uiPriority w:val="0"/>
    <w:rPr>
      <w:rFonts w:ascii="Consolas" w:hAnsi="Consolas"/>
      <w:b/>
      <w:color w:val="008000"/>
      <w:sz w:val="22"/>
    </w:rPr>
  </w:style>
  <w:style w:type="character" w:customStyle="1" w:styleId="51">
    <w:name w:val="CommentTok"/>
    <w:basedOn w:val="35"/>
    <w:qFormat/>
    <w:uiPriority w:val="0"/>
    <w:rPr>
      <w:rFonts w:ascii="Consolas" w:hAnsi="Consolas"/>
      <w:i/>
      <w:color w:val="60A0B0"/>
      <w:sz w:val="22"/>
    </w:rPr>
  </w:style>
  <w:style w:type="character" w:customStyle="1" w:styleId="52">
    <w:name w:val="DocumentationTok"/>
    <w:basedOn w:val="35"/>
    <w:qFormat/>
    <w:uiPriority w:val="0"/>
    <w:rPr>
      <w:rFonts w:ascii="Consolas" w:hAnsi="Consolas"/>
      <w:i/>
      <w:color w:val="BA2121"/>
      <w:sz w:val="22"/>
    </w:rPr>
  </w:style>
  <w:style w:type="character" w:customStyle="1" w:styleId="53">
    <w:name w:val="Annotation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4">
    <w:name w:val="CommentVar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5">
    <w:name w:val="OtherTok"/>
    <w:basedOn w:val="35"/>
    <w:qFormat/>
    <w:uiPriority w:val="0"/>
    <w:rPr>
      <w:rFonts w:ascii="Consolas" w:hAnsi="Consolas"/>
      <w:color w:val="007020"/>
      <w:sz w:val="22"/>
    </w:rPr>
  </w:style>
  <w:style w:type="character" w:customStyle="1" w:styleId="56">
    <w:name w:val="FunctionTok"/>
    <w:basedOn w:val="35"/>
    <w:qFormat/>
    <w:uiPriority w:val="0"/>
    <w:rPr>
      <w:rFonts w:ascii="Consolas" w:hAnsi="Consolas"/>
      <w:color w:val="06287E"/>
      <w:sz w:val="22"/>
    </w:rPr>
  </w:style>
  <w:style w:type="character" w:customStyle="1" w:styleId="57">
    <w:name w:val="VariableTok"/>
    <w:basedOn w:val="35"/>
    <w:qFormat/>
    <w:uiPriority w:val="0"/>
    <w:rPr>
      <w:rFonts w:ascii="Consolas" w:hAnsi="Consolas"/>
      <w:color w:val="19177C"/>
      <w:sz w:val="22"/>
    </w:rPr>
  </w:style>
  <w:style w:type="character" w:customStyle="1" w:styleId="58">
    <w:name w:val="ControlFlowTok"/>
    <w:basedOn w:val="35"/>
    <w:qFormat/>
    <w:uiPriority w:val="0"/>
    <w:rPr>
      <w:rFonts w:ascii="Consolas" w:hAnsi="Consolas"/>
      <w:b/>
      <w:color w:val="007020"/>
      <w:sz w:val="22"/>
    </w:rPr>
  </w:style>
  <w:style w:type="character" w:customStyle="1" w:styleId="59">
    <w:name w:val="OperatorTok"/>
    <w:basedOn w:val="35"/>
    <w:qFormat/>
    <w:uiPriority w:val="0"/>
    <w:rPr>
      <w:rFonts w:ascii="Consolas" w:hAnsi="Consolas"/>
      <w:color w:val="666666"/>
      <w:sz w:val="22"/>
    </w:rPr>
  </w:style>
  <w:style w:type="character" w:customStyle="1" w:styleId="60">
    <w:name w:val="BuiltInTok"/>
    <w:basedOn w:val="35"/>
    <w:qFormat/>
    <w:uiPriority w:val="0"/>
    <w:rPr>
      <w:rFonts w:ascii="Consolas" w:hAnsi="Consolas"/>
      <w:color w:val="008000"/>
      <w:sz w:val="22"/>
    </w:rPr>
  </w:style>
  <w:style w:type="character" w:customStyle="1" w:styleId="61">
    <w:name w:val="ExtensionTok"/>
    <w:basedOn w:val="35"/>
    <w:qFormat/>
    <w:uiPriority w:val="0"/>
    <w:rPr>
      <w:rFonts w:ascii="Consolas" w:hAnsi="Consolas"/>
      <w:sz w:val="22"/>
    </w:rPr>
  </w:style>
  <w:style w:type="character" w:customStyle="1" w:styleId="62">
    <w:name w:val="PreprocessorTok"/>
    <w:basedOn w:val="35"/>
    <w:qFormat/>
    <w:uiPriority w:val="0"/>
    <w:rPr>
      <w:rFonts w:ascii="Consolas" w:hAnsi="Consolas"/>
      <w:color w:val="BC7A00"/>
      <w:sz w:val="22"/>
    </w:rPr>
  </w:style>
  <w:style w:type="character" w:customStyle="1" w:styleId="63">
    <w:name w:val="AttributeTok"/>
    <w:basedOn w:val="35"/>
    <w:qFormat/>
    <w:uiPriority w:val="0"/>
    <w:rPr>
      <w:rFonts w:ascii="Consolas" w:hAnsi="Consolas"/>
      <w:color w:val="7D9029"/>
      <w:sz w:val="22"/>
    </w:rPr>
  </w:style>
  <w:style w:type="character" w:customStyle="1" w:styleId="64">
    <w:name w:val="RegionMarkerTok"/>
    <w:basedOn w:val="35"/>
    <w:qFormat/>
    <w:uiPriority w:val="0"/>
    <w:rPr>
      <w:rFonts w:ascii="Consolas" w:hAnsi="Consolas"/>
      <w:sz w:val="22"/>
    </w:rPr>
  </w:style>
  <w:style w:type="character" w:customStyle="1" w:styleId="65">
    <w:name w:val="Information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6">
    <w:name w:val="Warning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7">
    <w:name w:val="AlertTok"/>
    <w:basedOn w:val="35"/>
    <w:qFormat/>
    <w:uiPriority w:val="0"/>
    <w:rPr>
      <w:rFonts w:ascii="Consolas" w:hAnsi="Consolas"/>
      <w:b/>
      <w:color w:val="FF0000"/>
      <w:sz w:val="22"/>
    </w:rPr>
  </w:style>
  <w:style w:type="character" w:customStyle="1" w:styleId="68">
    <w:name w:val="ErrorTok"/>
    <w:basedOn w:val="35"/>
    <w:qFormat/>
    <w:uiPriority w:val="0"/>
    <w:rPr>
      <w:rFonts w:ascii="Consolas" w:hAnsi="Consolas"/>
      <w:b/>
      <w:color w:val="FF0000"/>
      <w:sz w:val="22"/>
    </w:rPr>
  </w:style>
  <w:style w:type="character" w:customStyle="1" w:styleId="69">
    <w:name w:val="NormalTok"/>
    <w:basedOn w:val="35"/>
    <w:qFormat/>
    <w:uiPriority w:val="0"/>
    <w:rPr>
      <w:rFonts w:ascii="Consolas" w:hAnsi="Consolas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986</Words>
  <Characters>1042</Characters>
  <Lines>9</Lines>
  <Paragraphs>2</Paragraphs>
  <TotalTime>8</TotalTime>
  <ScaleCrop>false</ScaleCrop>
  <LinksUpToDate>false</LinksUpToDate>
  <CharactersWithSpaces>1048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2026-07-07T02:23:00Z</dcterms:created>
  <dc:creator>云鹤真人</dc:creator>
  <cp:lastModifiedBy>云鹤真人</cp:lastModifiedBy>
  <dcterms:modified xsi:type="dcterms:W3CDTF">2026-07-07T02:37:36Z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001191340100343788434A00000","ProduceID":"5ie4hkh0qtyb4tcajzshvdaszgaqlkxp2hjm","ReserveCode1":"ANxQv8Yle3myz8jyMYUwWrSqSpkMjapf6ave7GT8","ContentPropagator":"001191340100343788434A00000","PropatorID":"5ie4hkh0qtyb4tcajzshvdaszgaqlkxp2hjm","ReserveCode2":"ANxQv8Yle3myz8jyMYUwWrSqSpkMjapf6ave7GT8"}</vt:lpwstr>
  </property>
  <property fmtid="{D5CDD505-2E9C-101B-9397-08002B2CF9AE}" pid="3" name="KSOTemplateDocerSaveRecord">
    <vt:lpwstr>eyJoZGlkIjoiMDQ4OTc0ODJmNjMxNTJmNGQ2MTRkZWMzNTRjOTAxM2YiLCJ1c2VySWQiOiIyNjE1NTkwMzcifQ==</vt:lpwstr>
  </property>
  <property fmtid="{D5CDD505-2E9C-101B-9397-08002B2CF9AE}" pid="4" name="KSOProductBuildVer">
    <vt:lpwstr>2052-12.1.0.26895</vt:lpwstr>
  </property>
  <property fmtid="{D5CDD505-2E9C-101B-9397-08002B2CF9AE}" pid="5" name="ICV">
    <vt:lpwstr>161B9400ABBC47F897A4AA6E5DA24BE9_12</vt:lpwstr>
  </property>
</Properties>
</file>