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5E478">
      <w:pPr>
        <w:tabs>
          <w:tab w:val="center" w:pos="4535"/>
          <w:tab w:val="left" w:pos="7725"/>
        </w:tabs>
        <w:spacing w:before="40" w:after="40" w:line="360" w:lineRule="auto"/>
        <w:ind w:firstLine="645"/>
        <w:jc w:val="center"/>
        <w:rPr>
          <w:rFonts w:ascii="宋体" w:hAnsi="宋体" w:cs="Arial"/>
          <w:b/>
          <w:bCs/>
          <w:sz w:val="40"/>
          <w:szCs w:val="36"/>
        </w:rPr>
      </w:pPr>
      <w:bookmarkStart w:id="0" w:name="OLE_LINK6"/>
      <w:bookmarkStart w:id="1" w:name="OLE_LINK1"/>
      <w:r>
        <w:rPr>
          <w:rFonts w:hint="eastAsia" w:ascii="宋体" w:hAnsi="宋体" w:cs="Arial"/>
          <w:b/>
          <w:bCs/>
          <w:sz w:val="40"/>
          <w:szCs w:val="36"/>
        </w:rPr>
        <w:t>江苏索普化工股份有限公司</w:t>
      </w:r>
    </w:p>
    <w:bookmarkEnd w:id="0"/>
    <w:bookmarkEnd w:id="1"/>
    <w:p w14:paraId="2A8EDB12"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 w:cs="Arial"/>
          <w:b/>
          <w:bCs/>
          <w:sz w:val="40"/>
          <w:szCs w:val="36"/>
        </w:rPr>
        <w:t>醋酸厂废水处理环保提升项目CPGN202501</w:t>
      </w:r>
    </w:p>
    <w:p w14:paraId="3B0168CE">
      <w:pPr>
        <w:jc w:val="center"/>
        <w:rPr>
          <w:rFonts w:asci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技</w:t>
      </w:r>
    </w:p>
    <w:p w14:paraId="1391598C">
      <w:pPr>
        <w:jc w:val="center"/>
        <w:rPr>
          <w:rFonts w:asci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术</w:t>
      </w:r>
    </w:p>
    <w:p w14:paraId="264069E9"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方</w:t>
      </w:r>
    </w:p>
    <w:p w14:paraId="7E112510"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案</w:t>
      </w:r>
    </w:p>
    <w:p w14:paraId="1086F584">
      <w:pPr>
        <w:jc w:val="center"/>
        <w:rPr>
          <w:rFonts w:ascii="宋体"/>
          <w:b/>
          <w:sz w:val="52"/>
          <w:szCs w:val="52"/>
        </w:rPr>
      </w:pPr>
    </w:p>
    <w:p w14:paraId="25B75CDD">
      <w:pPr>
        <w:jc w:val="center"/>
        <w:rPr>
          <w:rFonts w:ascii="宋体"/>
          <w:b/>
          <w:sz w:val="52"/>
          <w:szCs w:val="52"/>
        </w:rPr>
      </w:pPr>
    </w:p>
    <w:p w14:paraId="162B1979">
      <w:pPr>
        <w:jc w:val="center"/>
        <w:rPr>
          <w:rFonts w:ascii="宋体"/>
          <w:b/>
          <w:sz w:val="52"/>
          <w:szCs w:val="52"/>
        </w:rPr>
      </w:pPr>
    </w:p>
    <w:p w14:paraId="650C78AA">
      <w:pPr>
        <w:jc w:val="center"/>
        <w:rPr>
          <w:rFonts w:ascii="宋体"/>
          <w:b/>
          <w:sz w:val="52"/>
          <w:szCs w:val="52"/>
        </w:rPr>
      </w:pPr>
    </w:p>
    <w:p w14:paraId="37D38026">
      <w:pPr>
        <w:jc w:val="center"/>
        <w:rPr>
          <w:rFonts w:ascii="宋体"/>
          <w:b/>
          <w:sz w:val="52"/>
          <w:szCs w:val="52"/>
        </w:rPr>
      </w:pPr>
    </w:p>
    <w:p w14:paraId="22605DA4">
      <w:pPr>
        <w:jc w:val="center"/>
        <w:rPr>
          <w:rFonts w:ascii="宋体"/>
          <w:b/>
          <w:sz w:val="52"/>
          <w:szCs w:val="52"/>
        </w:rPr>
      </w:pPr>
    </w:p>
    <w:p w14:paraId="607F072A">
      <w:pPr>
        <w:ind w:firstLine="2650" w:firstLineChars="600"/>
        <w:rPr>
          <w:rFonts w:ascii="宋体" w:hAnsi="宋体"/>
          <w:b/>
          <w:sz w:val="44"/>
          <w:szCs w:val="44"/>
        </w:rPr>
      </w:pPr>
    </w:p>
    <w:p w14:paraId="69247118">
      <w:pPr>
        <w:ind w:firstLine="2650" w:firstLineChars="600"/>
        <w:rPr>
          <w:rFonts w:ascii="宋体" w:hAnsi="宋体"/>
          <w:b/>
          <w:sz w:val="44"/>
          <w:szCs w:val="44"/>
        </w:rPr>
      </w:pPr>
    </w:p>
    <w:p w14:paraId="2F565ED9">
      <w:pPr>
        <w:ind w:firstLine="2650" w:firstLineChars="600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</w:rPr>
        <w:t>6年6月</w:t>
      </w:r>
    </w:p>
    <w:p w14:paraId="793FFD13">
      <w:pPr>
        <w:jc w:val="center"/>
        <w:rPr>
          <w:rFonts w:ascii="宋体"/>
          <w:b/>
          <w:sz w:val="28"/>
          <w:szCs w:val="28"/>
        </w:rPr>
      </w:pPr>
    </w:p>
    <w:p w14:paraId="1F4A5363">
      <w:pPr>
        <w:jc w:val="center"/>
        <w:rPr>
          <w:rFonts w:ascii="宋体"/>
          <w:b/>
          <w:sz w:val="28"/>
          <w:szCs w:val="28"/>
        </w:rPr>
      </w:pPr>
    </w:p>
    <w:p w14:paraId="7EB90A56">
      <w:pPr>
        <w:autoSpaceDE w:val="0"/>
        <w:autoSpaceDN w:val="0"/>
        <w:adjustRightInd w:val="0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1 </w:t>
      </w:r>
      <w:r>
        <w:rPr>
          <w:rFonts w:hint="eastAsia" w:ascii="宋体" w:hAnsi="宋体"/>
          <w:b/>
          <w:sz w:val="24"/>
          <w:szCs w:val="24"/>
        </w:rPr>
        <w:t>工艺需求</w:t>
      </w:r>
    </w:p>
    <w:p w14:paraId="112858AF">
      <w:pPr>
        <w:autoSpaceDE w:val="0"/>
        <w:autoSpaceDN w:val="0"/>
        <w:adjustRightInd w:val="0"/>
        <w:ind w:firstLine="360" w:firstLineChars="150"/>
        <w:jc w:val="left"/>
        <w:rPr>
          <w:rFonts w:ascii="宋体" w:hAnsi="Times New Roman" w:cs="宋体"/>
          <w:kern w:val="0"/>
          <w:sz w:val="24"/>
          <w:szCs w:val="24"/>
        </w:rPr>
      </w:pPr>
      <w:bookmarkStart w:id="2" w:name="_Hlk71882111"/>
      <w:r>
        <w:rPr>
          <w:rFonts w:hint="eastAsia" w:ascii="宋体" w:hAnsi="Times New Roman" w:cs="宋体"/>
          <w:kern w:val="0"/>
          <w:sz w:val="24"/>
          <w:szCs w:val="24"/>
        </w:rPr>
        <w:t>根据醋酸厂废水处理环保提升项目（项目号:CPGN202501）工艺监测需要，对膜系统YC3装置出口产水、催化降解MF4装置出口产水端进行在线监测，监测参数：COD。</w:t>
      </w:r>
      <w:bookmarkEnd w:id="2"/>
      <w:r>
        <w:rPr>
          <w:rFonts w:hint="eastAsia" w:ascii="宋体" w:hAnsi="Times New Roman" w:cs="宋体"/>
          <w:kern w:val="0"/>
          <w:sz w:val="24"/>
          <w:szCs w:val="24"/>
        </w:rPr>
        <w:t>监测膜系统出口产水、催化降解产水端的水样，供分析单元检测分析。具备管线自动冲洗功能。配置微型水站和预处理柜，微型水站包含流通池和分析单元，预处理柜包括预处理系统。通过分析仪表对测点进行取样分析，分析后数据采集模块采集仪表数据，将数据上传至企业的中控室，实现分厂的自我监管。</w:t>
      </w:r>
    </w:p>
    <w:p w14:paraId="7716EBB1">
      <w:pPr>
        <w:autoSpaceDE w:val="0"/>
        <w:autoSpaceDN w:val="0"/>
        <w:adjustRightInd w:val="0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2 </w:t>
      </w:r>
      <w:r>
        <w:rPr>
          <w:rFonts w:hint="eastAsia" w:ascii="宋体" w:hAnsi="宋体"/>
          <w:b/>
          <w:sz w:val="24"/>
          <w:szCs w:val="24"/>
        </w:rPr>
        <w:t>卖方职责</w:t>
      </w:r>
    </w:p>
    <w:p w14:paraId="38151717">
      <w:pPr>
        <w:autoSpaceDE w:val="0"/>
        <w:autoSpaceDN w:val="0"/>
        <w:adjustRightInd w:val="0"/>
        <w:jc w:val="left"/>
        <w:rPr>
          <w:rFonts w:ascii="宋体" w:hAnsi="Times New Roman" w:cs="宋体"/>
          <w:b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2.1. </w:t>
      </w:r>
      <w:r>
        <w:rPr>
          <w:rFonts w:hint="eastAsia" w:ascii="宋体" w:hAnsi="Times New Roman" w:cs="宋体"/>
          <w:kern w:val="0"/>
          <w:sz w:val="24"/>
          <w:szCs w:val="24"/>
        </w:rPr>
        <w:t>卖方必须确保提供的仪表设备的完整性、可靠性和适用性，</w:t>
      </w:r>
      <w:r>
        <w:rPr>
          <w:rFonts w:hint="eastAsia" w:ascii="宋体" w:hAnsi="Times New Roman" w:cs="宋体"/>
          <w:color w:val="FF0000"/>
          <w:kern w:val="0"/>
          <w:sz w:val="24"/>
          <w:szCs w:val="24"/>
        </w:rPr>
        <w:t>必须保证酸性水质不会对分析仪表的采样，分析数据的准确性造成干扰。</w:t>
      </w:r>
    </w:p>
    <w:p w14:paraId="15F3D508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2.2. </w:t>
      </w:r>
      <w:r>
        <w:rPr>
          <w:rFonts w:hint="eastAsia" w:ascii="宋体" w:hAnsi="Times New Roman" w:cs="宋体"/>
          <w:kern w:val="0"/>
          <w:sz w:val="24"/>
          <w:szCs w:val="24"/>
        </w:rPr>
        <w:t>卖方必须对仪表进行计算、选型，保证计算结果、选型的正确性，并完全满足现场的使用要求，选型错误必须由卖方负责。</w:t>
      </w:r>
    </w:p>
    <w:p w14:paraId="6D532E69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2.3. </w:t>
      </w:r>
      <w:r>
        <w:rPr>
          <w:rFonts w:hint="eastAsia" w:ascii="宋体" w:hAnsi="Times New Roman" w:cs="宋体"/>
          <w:kern w:val="0"/>
          <w:sz w:val="24"/>
          <w:szCs w:val="24"/>
        </w:rPr>
        <w:t>本</w:t>
      </w:r>
      <w:r>
        <w:rPr>
          <w:rFonts w:hint="eastAsia" w:ascii="宋体" w:hAnsi="Times New Roman" w:cs="宋体"/>
          <w:kern w:val="0"/>
          <w:sz w:val="24"/>
          <w:szCs w:val="24"/>
          <w:lang w:val="en-US" w:eastAsia="zh-CN"/>
        </w:rPr>
        <w:t>技术方案</w:t>
      </w:r>
      <w:r>
        <w:rPr>
          <w:rFonts w:hint="eastAsia" w:ascii="宋体" w:hAnsi="Times New Roman" w:cs="宋体"/>
          <w:kern w:val="0"/>
          <w:sz w:val="24"/>
          <w:szCs w:val="24"/>
        </w:rPr>
        <w:t>作为合同附件的一部分，卖方必须保证其提供的产品满足本</w:t>
      </w:r>
      <w:r>
        <w:rPr>
          <w:rFonts w:hint="eastAsia" w:ascii="宋体" w:hAnsi="Times New Roman" w:cs="宋体"/>
          <w:kern w:val="0"/>
          <w:sz w:val="24"/>
          <w:szCs w:val="24"/>
          <w:lang w:val="en-US" w:eastAsia="zh-CN"/>
        </w:rPr>
        <w:t>技术方案</w:t>
      </w:r>
      <w:r>
        <w:rPr>
          <w:rFonts w:hint="eastAsia" w:ascii="宋体" w:hAnsi="Times New Roman" w:cs="宋体"/>
          <w:kern w:val="0"/>
          <w:sz w:val="24"/>
          <w:szCs w:val="24"/>
        </w:rPr>
        <w:t>的工艺条件及要求，并能适应装置的环境及公用工程条件。除特殊说明外，工艺数据及要求应以询价文件为准。如有不符合，无论卖方文件是否被买方确认，所产生的问题必须卖方负责。</w:t>
      </w:r>
    </w:p>
    <w:p w14:paraId="156C0E3F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2.4. </w:t>
      </w:r>
      <w:r>
        <w:rPr>
          <w:rFonts w:hint="eastAsia" w:ascii="宋体" w:hAnsi="Times New Roman" w:cs="宋体"/>
          <w:kern w:val="0"/>
          <w:sz w:val="24"/>
          <w:szCs w:val="24"/>
        </w:rPr>
        <w:t>卖方提供的仪表应整体供货。若某些部件或附件不能整体安装，卖方应得到业主的批准。</w:t>
      </w:r>
    </w:p>
    <w:p w14:paraId="573DB593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2.5. </w:t>
      </w:r>
      <w:r>
        <w:rPr>
          <w:rFonts w:hint="eastAsia" w:ascii="宋体" w:hAnsi="Times New Roman" w:cs="宋体"/>
          <w:kern w:val="0"/>
          <w:sz w:val="24"/>
          <w:szCs w:val="24"/>
        </w:rPr>
        <w:t>卖方必须确保提供现场安装指导、现场调试、现场培训、开工期间保运等售后服务。</w:t>
      </w:r>
    </w:p>
    <w:p w14:paraId="2CF56175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2.6. </w:t>
      </w:r>
      <w:r>
        <w:rPr>
          <w:rFonts w:hint="eastAsia" w:ascii="宋体" w:hAnsi="Times New Roman" w:cs="宋体"/>
          <w:kern w:val="0"/>
          <w:sz w:val="24"/>
          <w:szCs w:val="24"/>
        </w:rPr>
        <w:t>卖方必须根据</w:t>
      </w:r>
      <w:r>
        <w:rPr>
          <w:rFonts w:hint="eastAsia" w:ascii="宋体" w:hAnsi="Times New Roman" w:cs="宋体"/>
          <w:kern w:val="0"/>
          <w:sz w:val="24"/>
          <w:szCs w:val="24"/>
          <w:lang w:val="en-US" w:eastAsia="zh-CN"/>
        </w:rPr>
        <w:t>技术方案</w:t>
      </w:r>
      <w:r>
        <w:rPr>
          <w:rFonts w:hint="eastAsia" w:ascii="宋体" w:hAnsi="Times New Roman" w:cs="宋体"/>
          <w:kern w:val="0"/>
          <w:sz w:val="24"/>
          <w:szCs w:val="24"/>
        </w:rPr>
        <w:t>的规定，提供技术资料供买方确认审查，提供最终资料和随机资料，并应确保提供的技术资料准确无误。</w:t>
      </w:r>
    </w:p>
    <w:p w14:paraId="1997A93C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2.7. </w:t>
      </w:r>
      <w:r>
        <w:rPr>
          <w:rFonts w:hint="eastAsia" w:ascii="宋体" w:hAnsi="Times New Roman" w:cs="宋体"/>
          <w:kern w:val="0"/>
          <w:sz w:val="24"/>
          <w:szCs w:val="24"/>
        </w:rPr>
        <w:t>上述责任工作应全部包含在合同价格中。如由于卖方不履行职责而造成的一切后果必须由卖方承担。</w:t>
      </w:r>
    </w:p>
    <w:p w14:paraId="3A5FDB1D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2.8. </w:t>
      </w:r>
      <w:r>
        <w:rPr>
          <w:rFonts w:hint="eastAsia" w:ascii="宋体" w:hAnsi="Times New Roman" w:cs="宋体"/>
          <w:kern w:val="0"/>
          <w:sz w:val="24"/>
          <w:szCs w:val="24"/>
        </w:rPr>
        <w:t>如果本</w:t>
      </w:r>
      <w:r>
        <w:rPr>
          <w:rFonts w:hint="eastAsia" w:ascii="宋体" w:hAnsi="Times New Roman" w:cs="宋体"/>
          <w:kern w:val="0"/>
          <w:sz w:val="24"/>
          <w:szCs w:val="24"/>
          <w:lang w:val="en-US" w:eastAsia="zh-CN"/>
        </w:rPr>
        <w:t>技术方案</w:t>
      </w:r>
      <w:r>
        <w:rPr>
          <w:rFonts w:hint="eastAsia" w:ascii="宋体" w:hAnsi="Times New Roman" w:cs="宋体"/>
          <w:kern w:val="0"/>
          <w:sz w:val="24"/>
          <w:szCs w:val="24"/>
        </w:rPr>
        <w:t>中的要求与相关的标准、规范、仪表规格书、图纸和询价规格书等有任何冲突，应提交给买方澄清</w:t>
      </w:r>
      <w:r>
        <w:rPr>
          <w:rFonts w:ascii="宋体" w:hAnsi="Times New Roman" w:cs="宋体"/>
          <w:kern w:val="0"/>
          <w:sz w:val="24"/>
          <w:szCs w:val="24"/>
        </w:rPr>
        <w:t>/</w:t>
      </w:r>
      <w:r>
        <w:rPr>
          <w:rFonts w:hint="eastAsia" w:ascii="宋体" w:hAnsi="Times New Roman" w:cs="宋体"/>
          <w:kern w:val="0"/>
          <w:sz w:val="24"/>
          <w:szCs w:val="24"/>
        </w:rPr>
        <w:t>解决。</w:t>
      </w:r>
    </w:p>
    <w:p w14:paraId="6F21C32A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2.9. </w:t>
      </w:r>
      <w:r>
        <w:rPr>
          <w:rFonts w:hint="eastAsia" w:ascii="宋体" w:hAnsi="Times New Roman" w:cs="宋体"/>
          <w:kern w:val="0"/>
          <w:sz w:val="24"/>
          <w:szCs w:val="24"/>
        </w:rPr>
        <w:t>卖方不得以主观臆测来代替买方未提供的任何资料，卖方应从买方或其它可靠来源获取必要的信息和资料。买方将拒绝接受任何因对必要信息缺乏了解而引起的索赔。</w:t>
      </w:r>
    </w:p>
    <w:p w14:paraId="48249135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2.10. </w:t>
      </w:r>
      <w:r>
        <w:rPr>
          <w:rFonts w:hint="eastAsia" w:ascii="宋体" w:hAnsi="Times New Roman" w:cs="宋体"/>
          <w:kern w:val="0"/>
          <w:sz w:val="24"/>
          <w:szCs w:val="24"/>
        </w:rPr>
        <w:t>卖方应提交一份设备安装、操作和维护所必需的，或可能用到的用具、特殊工具和附件的完整清单，即使这些器具没有包括在图纸、规格书或数据表中。</w:t>
      </w:r>
    </w:p>
    <w:p w14:paraId="03A35851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2.11. </w:t>
      </w:r>
      <w:r>
        <w:rPr>
          <w:rFonts w:hint="eastAsia" w:ascii="宋体" w:hAnsi="Times New Roman" w:cs="宋体"/>
          <w:kern w:val="0"/>
          <w:sz w:val="24"/>
          <w:szCs w:val="24"/>
        </w:rPr>
        <w:t>卖方应提交一份公用工程需求和消耗量完整清单，包括供电、仪表风、冷却水和蒸汽等。</w:t>
      </w:r>
    </w:p>
    <w:p w14:paraId="7C11CEBA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 w:val="24"/>
          <w:szCs w:val="24"/>
        </w:rPr>
      </w:pPr>
      <w:r>
        <w:rPr>
          <w:rFonts w:ascii="宋体" w:hAnsi="Times New Roman" w:cs="宋体"/>
          <w:kern w:val="0"/>
          <w:sz w:val="24"/>
          <w:szCs w:val="24"/>
        </w:rPr>
        <w:t xml:space="preserve">2.12. </w:t>
      </w:r>
      <w:r>
        <w:rPr>
          <w:rFonts w:hint="eastAsia" w:ascii="宋体" w:hAnsi="Times New Roman" w:cs="宋体"/>
          <w:kern w:val="0"/>
          <w:sz w:val="24"/>
          <w:szCs w:val="24"/>
        </w:rPr>
        <w:t>卖方应列出并详细说明本规格书与相关规范间的所有偏差。</w:t>
      </w:r>
    </w:p>
    <w:p w14:paraId="185629AA">
      <w:pPr>
        <w:spacing w:line="360" w:lineRule="auto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3 </w:t>
      </w:r>
      <w:r>
        <w:rPr>
          <w:rFonts w:hint="eastAsia" w:ascii="宋体" w:hAnsi="宋体"/>
          <w:b/>
          <w:sz w:val="24"/>
          <w:szCs w:val="24"/>
        </w:rPr>
        <w:t>标准和规范</w:t>
      </w:r>
    </w:p>
    <w:p w14:paraId="597514E3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《水质化学需氧量测定重铬酸钾法》</w:t>
      </w:r>
      <w:r>
        <w:rPr>
          <w:rFonts w:ascii="宋体" w:hAnsi="宋体"/>
          <w:sz w:val="24"/>
          <w:szCs w:val="24"/>
        </w:rPr>
        <w:t>GB/T 11914-1989</w:t>
      </w:r>
    </w:p>
    <w:p w14:paraId="271DED53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《污染源在线自动监控（监测）系统数据传输标准》</w:t>
      </w:r>
      <w:r>
        <w:rPr>
          <w:rFonts w:ascii="宋体" w:hAnsi="宋体"/>
          <w:sz w:val="24"/>
          <w:szCs w:val="24"/>
        </w:rPr>
        <w:t>HJ/T 212-2005</w:t>
      </w:r>
    </w:p>
    <w:p w14:paraId="73F82A6A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《环境污染源自动监控信息传输交换技术规范》</w:t>
      </w:r>
      <w:r>
        <w:rPr>
          <w:rFonts w:ascii="宋体" w:hAnsi="宋体"/>
          <w:sz w:val="24"/>
          <w:szCs w:val="24"/>
        </w:rPr>
        <w:t>HJ/T 352-2007</w:t>
      </w:r>
    </w:p>
    <w:p w14:paraId="34DE1E06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《水污染源在线监测系统安装技术规范（试行）》</w:t>
      </w:r>
      <w:r>
        <w:rPr>
          <w:rFonts w:ascii="宋体" w:hAnsi="宋体"/>
          <w:sz w:val="24"/>
          <w:szCs w:val="24"/>
        </w:rPr>
        <w:t>HJ/T 353-2007</w:t>
      </w:r>
    </w:p>
    <w:p w14:paraId="7A8999BE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《水污染源在线监测系统验收技术规范（试行）》</w:t>
      </w:r>
      <w:r>
        <w:rPr>
          <w:rFonts w:ascii="宋体" w:hAnsi="宋体"/>
          <w:sz w:val="24"/>
          <w:szCs w:val="24"/>
        </w:rPr>
        <w:t>HJ/T 354-2007</w:t>
      </w:r>
    </w:p>
    <w:p w14:paraId="7C84E074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《水污染源在线监测系统数据有效性判别技术规范（试行）》</w:t>
      </w:r>
      <w:r>
        <w:rPr>
          <w:rFonts w:ascii="宋体" w:hAnsi="宋体"/>
          <w:sz w:val="24"/>
          <w:szCs w:val="24"/>
        </w:rPr>
        <w:t>HJ/T 356-2007</w:t>
      </w:r>
    </w:p>
    <w:p w14:paraId="29E913D4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《化学需氧量（</w:t>
      </w:r>
      <w:r>
        <w:rPr>
          <w:rFonts w:ascii="宋体" w:hAnsi="宋体"/>
          <w:sz w:val="24"/>
          <w:szCs w:val="24"/>
        </w:rPr>
        <w:t>CODcr</w:t>
      </w:r>
      <w:r>
        <w:rPr>
          <w:rFonts w:hint="eastAsia" w:ascii="宋体" w:hAnsi="宋体"/>
          <w:sz w:val="24"/>
          <w:szCs w:val="24"/>
        </w:rPr>
        <w:t>）水质在线自动监测仪》</w:t>
      </w:r>
      <w:r>
        <w:rPr>
          <w:rFonts w:ascii="宋体" w:hAnsi="宋体"/>
          <w:sz w:val="24"/>
          <w:szCs w:val="24"/>
        </w:rPr>
        <w:t>HJ/T 377-2007</w:t>
      </w:r>
    </w:p>
    <w:p w14:paraId="44EEF7A4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《自动化仪表工程施工及验收规范》</w:t>
      </w:r>
      <w:r>
        <w:rPr>
          <w:rFonts w:ascii="宋体" w:hAnsi="宋体"/>
          <w:sz w:val="24"/>
          <w:szCs w:val="24"/>
        </w:rPr>
        <w:t>GB50131-2007</w:t>
      </w:r>
    </w:p>
    <w:p w14:paraId="13CF9106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4仪表需求</w:t>
      </w:r>
      <w:r>
        <w:rPr>
          <w:rFonts w:ascii="宋体" w:hAnsi="宋体"/>
          <w:b/>
          <w:sz w:val="24"/>
          <w:szCs w:val="24"/>
        </w:rPr>
        <w:t>清单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3118"/>
        <w:gridCol w:w="829"/>
        <w:gridCol w:w="1660"/>
      </w:tblGrid>
      <w:tr w14:paraId="4E1B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47A2402C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14:paraId="65488A5D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名称</w:t>
            </w:r>
          </w:p>
        </w:tc>
        <w:tc>
          <w:tcPr>
            <w:tcW w:w="3118" w:type="dxa"/>
          </w:tcPr>
          <w:p w14:paraId="457337B8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型号或说明</w:t>
            </w:r>
          </w:p>
        </w:tc>
        <w:tc>
          <w:tcPr>
            <w:tcW w:w="829" w:type="dxa"/>
          </w:tcPr>
          <w:p w14:paraId="58EED214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数量</w:t>
            </w:r>
          </w:p>
        </w:tc>
        <w:tc>
          <w:tcPr>
            <w:tcW w:w="1660" w:type="dxa"/>
          </w:tcPr>
          <w:p w14:paraId="3FD23A74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备注</w:t>
            </w:r>
          </w:p>
        </w:tc>
      </w:tr>
      <w:tr w14:paraId="5DF0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B812DCE">
            <w:pPr>
              <w:spacing w:line="360" w:lineRule="auto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718BD6B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COD</w:t>
            </w:r>
            <w:r>
              <w:rPr>
                <w:rFonts w:hint="eastAsia" w:ascii="Arial" w:hAnsi="Arial" w:eastAsia="等线" w:cs="Arial"/>
                <w:sz w:val="24"/>
                <w:szCs w:val="24"/>
              </w:rPr>
              <w:t>分析仪</w:t>
            </w:r>
          </w:p>
        </w:tc>
        <w:tc>
          <w:tcPr>
            <w:tcW w:w="3118" w:type="dxa"/>
            <w:vAlign w:val="center"/>
          </w:tcPr>
          <w:p w14:paraId="5078BA2F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0~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10000</w:t>
            </w: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mg/L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重复性误差</w:t>
            </w:r>
            <w:r>
              <w:rPr>
                <w:rFonts w:ascii="Arial" w:hAnsi="Arial" w:eastAsia="等线" w:cs="Arial"/>
                <w:kern w:val="0"/>
                <w:sz w:val="24"/>
                <w:szCs w:val="20"/>
              </w:rPr>
              <w:t>≤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5%；示值误差3%</w:t>
            </w:r>
          </w:p>
        </w:tc>
        <w:tc>
          <w:tcPr>
            <w:tcW w:w="829" w:type="dxa"/>
            <w:vAlign w:val="center"/>
          </w:tcPr>
          <w:p w14:paraId="53EA9219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1</w:t>
            </w:r>
            <w:r>
              <w:rPr>
                <w:rFonts w:ascii="Arial" w:hAnsi="Arial" w:eastAsia="等线" w:cs="Arial"/>
                <w:sz w:val="24"/>
                <w:szCs w:val="24"/>
              </w:rPr>
              <w:t>台</w:t>
            </w:r>
          </w:p>
        </w:tc>
        <w:tc>
          <w:tcPr>
            <w:tcW w:w="1660" w:type="dxa"/>
            <w:vAlign w:val="center"/>
          </w:tcPr>
          <w:p w14:paraId="449C8C86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/</w:t>
            </w:r>
          </w:p>
        </w:tc>
      </w:tr>
      <w:tr w14:paraId="0112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49D88B3">
            <w:pPr>
              <w:spacing w:line="360" w:lineRule="auto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6DAE0B2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COD</w:t>
            </w:r>
            <w:r>
              <w:rPr>
                <w:rFonts w:hint="eastAsia" w:ascii="Arial" w:hAnsi="Arial" w:eastAsia="等线" w:cs="Arial"/>
                <w:sz w:val="24"/>
                <w:szCs w:val="24"/>
              </w:rPr>
              <w:t>分析仪</w:t>
            </w:r>
          </w:p>
        </w:tc>
        <w:tc>
          <w:tcPr>
            <w:tcW w:w="3118" w:type="dxa"/>
            <w:vAlign w:val="center"/>
          </w:tcPr>
          <w:p w14:paraId="0F18B4A5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0~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30000</w:t>
            </w: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mg/L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重复性误差</w:t>
            </w:r>
            <w:r>
              <w:rPr>
                <w:rFonts w:ascii="Arial" w:hAnsi="Arial" w:eastAsia="等线" w:cs="Arial"/>
                <w:kern w:val="0"/>
                <w:sz w:val="24"/>
                <w:szCs w:val="20"/>
              </w:rPr>
              <w:t>≤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5%；示值误差3%</w:t>
            </w:r>
          </w:p>
        </w:tc>
        <w:tc>
          <w:tcPr>
            <w:tcW w:w="829" w:type="dxa"/>
            <w:vAlign w:val="center"/>
          </w:tcPr>
          <w:p w14:paraId="3848ACCB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1台</w:t>
            </w:r>
          </w:p>
        </w:tc>
        <w:tc>
          <w:tcPr>
            <w:tcW w:w="1660" w:type="dxa"/>
            <w:vAlign w:val="center"/>
          </w:tcPr>
          <w:p w14:paraId="52C04B25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/</w:t>
            </w:r>
          </w:p>
        </w:tc>
      </w:tr>
      <w:tr w14:paraId="7C48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6009CA3">
            <w:pPr>
              <w:spacing w:line="360" w:lineRule="auto"/>
              <w:jc w:val="left"/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3" w:type="dxa"/>
            <w:vAlign w:val="center"/>
          </w:tcPr>
          <w:p w14:paraId="5031F578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标液及试剂</w:t>
            </w:r>
          </w:p>
        </w:tc>
        <w:tc>
          <w:tcPr>
            <w:tcW w:w="3118" w:type="dxa"/>
            <w:vAlign w:val="center"/>
          </w:tcPr>
          <w:p w14:paraId="1FF6B871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0~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10000</w:t>
            </w: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mg/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  <w:lang w:val="en-US" w:eastAsia="zh-CN"/>
              </w:rPr>
              <w:t>L量程配用套装</w:t>
            </w:r>
          </w:p>
        </w:tc>
        <w:tc>
          <w:tcPr>
            <w:tcW w:w="829" w:type="dxa"/>
            <w:vAlign w:val="center"/>
          </w:tcPr>
          <w:p w14:paraId="00F69D2E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1年用量</w:t>
            </w:r>
          </w:p>
        </w:tc>
        <w:tc>
          <w:tcPr>
            <w:tcW w:w="1660" w:type="dxa"/>
            <w:vAlign w:val="center"/>
          </w:tcPr>
          <w:p w14:paraId="22C22FB7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按2h分析出一次结果计算用量</w:t>
            </w:r>
          </w:p>
        </w:tc>
      </w:tr>
      <w:tr w14:paraId="0468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4604024">
            <w:pPr>
              <w:spacing w:line="360" w:lineRule="auto"/>
              <w:jc w:val="left"/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3" w:type="dxa"/>
            <w:vAlign w:val="center"/>
          </w:tcPr>
          <w:p w14:paraId="4C1E3272">
            <w:pPr>
              <w:spacing w:line="360" w:lineRule="auto"/>
              <w:rPr>
                <w:rFonts w:hint="eastAsia"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标液及试剂</w:t>
            </w:r>
          </w:p>
        </w:tc>
        <w:tc>
          <w:tcPr>
            <w:tcW w:w="3118" w:type="dxa"/>
            <w:vAlign w:val="center"/>
          </w:tcPr>
          <w:p w14:paraId="23A2565D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/>
              </w:rPr>
            </w:pP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0~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</w:rPr>
              <w:t>0000</w:t>
            </w:r>
            <w:r>
              <w:rPr>
                <w:rFonts w:ascii="Times New Roman" w:hAnsi="宋体" w:eastAsia="等线"/>
                <w:kern w:val="0"/>
                <w:sz w:val="24"/>
                <w:szCs w:val="20"/>
              </w:rPr>
              <w:t>mg/</w:t>
            </w:r>
            <w:r>
              <w:rPr>
                <w:rFonts w:hint="eastAsia" w:ascii="Times New Roman" w:hAnsi="宋体" w:eastAsia="等线"/>
                <w:kern w:val="0"/>
                <w:sz w:val="24"/>
                <w:szCs w:val="20"/>
                <w:lang w:val="en-US" w:eastAsia="zh-CN"/>
              </w:rPr>
              <w:t>L量程配用套装</w:t>
            </w:r>
          </w:p>
        </w:tc>
        <w:tc>
          <w:tcPr>
            <w:tcW w:w="829" w:type="dxa"/>
            <w:vAlign w:val="center"/>
          </w:tcPr>
          <w:p w14:paraId="03CB8AF1">
            <w:pPr>
              <w:spacing w:line="360" w:lineRule="auto"/>
              <w:rPr>
                <w:rFonts w:hint="eastAsia"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1年用量</w:t>
            </w:r>
          </w:p>
        </w:tc>
        <w:tc>
          <w:tcPr>
            <w:tcW w:w="1660" w:type="dxa"/>
            <w:vAlign w:val="center"/>
          </w:tcPr>
          <w:p w14:paraId="58FD2C99">
            <w:pPr>
              <w:spacing w:line="360" w:lineRule="auto"/>
              <w:rPr>
                <w:rFonts w:hint="eastAsia"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按2h分析出一次结果计算用量</w:t>
            </w:r>
          </w:p>
        </w:tc>
      </w:tr>
      <w:tr w14:paraId="01DE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E4D9151">
            <w:pPr>
              <w:spacing w:line="360" w:lineRule="auto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1460BFF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预处理系统（箱）</w:t>
            </w:r>
          </w:p>
        </w:tc>
        <w:tc>
          <w:tcPr>
            <w:tcW w:w="3118" w:type="dxa"/>
            <w:vAlign w:val="center"/>
          </w:tcPr>
          <w:p w14:paraId="2C77E7D3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壁挂安装于机柜外面</w:t>
            </w:r>
          </w:p>
        </w:tc>
        <w:tc>
          <w:tcPr>
            <w:tcW w:w="829" w:type="dxa"/>
            <w:vAlign w:val="center"/>
          </w:tcPr>
          <w:p w14:paraId="09E642F9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2套</w:t>
            </w:r>
          </w:p>
        </w:tc>
        <w:tc>
          <w:tcPr>
            <w:tcW w:w="1660" w:type="dxa"/>
            <w:vAlign w:val="center"/>
          </w:tcPr>
          <w:p w14:paraId="1E8008CB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/</w:t>
            </w:r>
          </w:p>
        </w:tc>
      </w:tr>
      <w:tr w14:paraId="42A4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5C56B62">
            <w:pPr>
              <w:spacing w:line="360" w:lineRule="auto"/>
              <w:jc w:val="left"/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3" w:type="dxa"/>
            <w:vAlign w:val="center"/>
          </w:tcPr>
          <w:p w14:paraId="266CB2A4">
            <w:pPr>
              <w:spacing w:line="360" w:lineRule="auto"/>
              <w:jc w:val="center"/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不锈钢法兰</w:t>
            </w:r>
          </w:p>
        </w:tc>
        <w:tc>
          <w:tcPr>
            <w:tcW w:w="3118" w:type="dxa"/>
            <w:vAlign w:val="center"/>
          </w:tcPr>
          <w:p w14:paraId="665BA0D2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PN16 DN25  316</w:t>
            </w:r>
            <w:bookmarkStart w:id="5" w:name="_GoBack"/>
            <w:bookmarkEnd w:id="5"/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L</w:t>
            </w:r>
          </w:p>
        </w:tc>
        <w:tc>
          <w:tcPr>
            <w:tcW w:w="829" w:type="dxa"/>
            <w:vAlign w:val="center"/>
          </w:tcPr>
          <w:p w14:paraId="664FFC31">
            <w:pPr>
              <w:spacing w:line="360" w:lineRule="auto"/>
              <w:rPr>
                <w:rFonts w:hint="default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2片</w:t>
            </w:r>
          </w:p>
        </w:tc>
        <w:tc>
          <w:tcPr>
            <w:tcW w:w="1660" w:type="dxa"/>
            <w:vAlign w:val="center"/>
          </w:tcPr>
          <w:p w14:paraId="46F2F19C">
            <w:pPr>
              <w:spacing w:line="360" w:lineRule="auto"/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  <w:lang w:val="en-US" w:eastAsia="zh-CN"/>
              </w:rPr>
              <w:t>/</w:t>
            </w:r>
          </w:p>
        </w:tc>
      </w:tr>
      <w:tr w14:paraId="1785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AEEC9A0">
            <w:pPr>
              <w:spacing w:line="360" w:lineRule="auto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4B121929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防爆分析机柜</w:t>
            </w:r>
          </w:p>
        </w:tc>
        <w:tc>
          <w:tcPr>
            <w:tcW w:w="3118" w:type="dxa"/>
            <w:vAlign w:val="center"/>
          </w:tcPr>
          <w:p w14:paraId="77E7B6BD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尺寸大小便于平时仪器维护，更换试剂工作</w:t>
            </w:r>
            <w:r>
              <w:rPr>
                <w:rFonts w:hint="eastAsia" w:ascii="Arial" w:hAnsi="Arial" w:eastAsia="等线" w:cs="Arial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Arial" w:hAnsi="Arial" w:eastAsia="等线" w:cs="Arial"/>
                <w:sz w:val="24"/>
                <w:szCs w:val="24"/>
              </w:rPr>
              <w:t>外板采用2 mm 厚304SS 材质，内板采用1.5mm厚304SS 材质，双层不锈钢保温，保温：聚氨酯。有不锈钢防雨檐，不锈钢柜有灯、防爆空调、信号箱、公用电源箱、电源分配箱等</w:t>
            </w:r>
            <w:r>
              <w:rPr>
                <w:rFonts w:hint="eastAsia" w:ascii="Arial" w:hAnsi="Arial" w:eastAsia="等线" w:cs="Arial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Arial" w:hAnsi="Arial" w:eastAsia="等线" w:cs="Arial"/>
                <w:sz w:val="24"/>
                <w:szCs w:val="24"/>
              </w:rPr>
              <w:t>包含防爆空调 防爆等级：</w:t>
            </w:r>
            <w:r>
              <w:rPr>
                <w:rFonts w:ascii="Arial" w:hAnsi="Arial" w:eastAsia="等线" w:cs="Arial"/>
                <w:sz w:val="24"/>
                <w:szCs w:val="24"/>
              </w:rPr>
              <w:t>Exd IICT4 Gb</w:t>
            </w:r>
          </w:p>
        </w:tc>
        <w:tc>
          <w:tcPr>
            <w:tcW w:w="829" w:type="dxa"/>
            <w:vAlign w:val="center"/>
          </w:tcPr>
          <w:p w14:paraId="6BEDD9BE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2</w:t>
            </w:r>
            <w:r>
              <w:rPr>
                <w:rFonts w:ascii="Arial" w:hAnsi="Arial" w:eastAsia="等线" w:cs="Arial"/>
                <w:sz w:val="24"/>
                <w:szCs w:val="24"/>
              </w:rPr>
              <w:t>套</w:t>
            </w:r>
          </w:p>
        </w:tc>
        <w:tc>
          <w:tcPr>
            <w:tcW w:w="1660" w:type="dxa"/>
            <w:vAlign w:val="center"/>
          </w:tcPr>
          <w:p w14:paraId="01558812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/</w:t>
            </w:r>
          </w:p>
        </w:tc>
      </w:tr>
      <w:tr w14:paraId="2667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B50C9DC">
            <w:pPr>
              <w:spacing w:line="360" w:lineRule="auto"/>
              <w:jc w:val="left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02781A40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一体化电伴热</w:t>
            </w:r>
          </w:p>
        </w:tc>
        <w:tc>
          <w:tcPr>
            <w:tcW w:w="3118" w:type="dxa"/>
            <w:vAlign w:val="center"/>
          </w:tcPr>
          <w:p w14:paraId="6B98B546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 xml:space="preserve">材质316L 外径：12.7mm </w:t>
            </w:r>
          </w:p>
          <w:p w14:paraId="0356C32F">
            <w:pPr>
              <w:pStyle w:val="2"/>
              <w:outlineLvl w:val="0"/>
              <w:rPr>
                <w:rFonts w:hAnsi="等线" w:eastAsia="等线"/>
              </w:rPr>
            </w:pPr>
            <w:r>
              <w:rPr>
                <w:rFonts w:hint="eastAsia" w:ascii="Arial" w:hAnsi="Arial" w:eastAsia="等线" w:cs="Arial"/>
                <w:b w:val="0"/>
                <w:bCs w:val="0"/>
                <w:kern w:val="2"/>
                <w:sz w:val="24"/>
                <w:szCs w:val="24"/>
              </w:rPr>
              <w:t>壁厚0.89mm玻纤棉带双面铝箔保温材料，外部阻 燃型黑色PVC材料</w:t>
            </w:r>
          </w:p>
        </w:tc>
        <w:tc>
          <w:tcPr>
            <w:tcW w:w="829" w:type="dxa"/>
            <w:vAlign w:val="center"/>
          </w:tcPr>
          <w:p w14:paraId="7BC72EDD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50米</w:t>
            </w:r>
          </w:p>
        </w:tc>
        <w:tc>
          <w:tcPr>
            <w:tcW w:w="1660" w:type="dxa"/>
            <w:vAlign w:val="center"/>
          </w:tcPr>
          <w:p w14:paraId="40EA1F8D">
            <w:pPr>
              <w:spacing w:line="360" w:lineRule="auto"/>
              <w:rPr>
                <w:rFonts w:ascii="Arial" w:hAnsi="Arial" w:eastAsia="等线" w:cs="Arial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sz w:val="24"/>
                <w:szCs w:val="24"/>
              </w:rPr>
              <w:t>/</w:t>
            </w:r>
          </w:p>
        </w:tc>
      </w:tr>
    </w:tbl>
    <w:p w14:paraId="79535496">
      <w:pPr>
        <w:spacing w:line="360" w:lineRule="auto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仪表技术要求</w:t>
      </w:r>
    </w:p>
    <w:p w14:paraId="1C02F263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5.1.</w:t>
      </w:r>
      <w:r>
        <w:rPr>
          <w:rFonts w:hint="eastAsia" w:ascii="宋体" w:hAnsi="宋体"/>
          <w:sz w:val="24"/>
        </w:rPr>
        <w:t>报价单位在报价前需联系业主方实地勘查，根据现场情况，制定方案，要求方案处理效果好，分析效果符合验收标准，分析仪须有成熟的应用业绩，</w:t>
      </w:r>
      <w:bookmarkStart w:id="3" w:name="OLE_LINK2"/>
      <w:r>
        <w:rPr>
          <w:rFonts w:hint="eastAsia" w:ascii="宋体" w:hAnsi="宋体"/>
          <w:sz w:val="24"/>
        </w:rPr>
        <w:t>备件及易耗件通用性强，报价</w:t>
      </w:r>
      <w:bookmarkEnd w:id="3"/>
      <w:r>
        <w:rPr>
          <w:rFonts w:hint="eastAsia" w:ascii="宋体" w:hAnsi="宋体"/>
          <w:sz w:val="24"/>
        </w:rPr>
        <w:t>方必须有预处理集成业绩</w:t>
      </w:r>
      <w:r>
        <w:rPr>
          <w:rFonts w:hint="eastAsia" w:ascii="宋体" w:hAnsi="宋体"/>
          <w:sz w:val="24"/>
          <w:szCs w:val="24"/>
        </w:rPr>
        <w:t>。</w:t>
      </w:r>
    </w:p>
    <w:p w14:paraId="68FCC1D4">
      <w:pPr>
        <w:spacing w:line="360" w:lineRule="auto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6 </w:t>
      </w:r>
      <w:r>
        <w:rPr>
          <w:rFonts w:hint="eastAsia" w:ascii="宋体" w:hAnsi="宋体"/>
          <w:b/>
          <w:sz w:val="24"/>
          <w:szCs w:val="24"/>
        </w:rPr>
        <w:t>系统技术要求：</w:t>
      </w:r>
    </w:p>
    <w:p w14:paraId="74C77806">
      <w:pPr>
        <w:ind w:left="-212" w:leftChars="-101" w:firstLine="448" w:firstLineChars="187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</w:t>
      </w:r>
      <w:r>
        <w:rPr>
          <w:rFonts w:hint="eastAsia" w:ascii="宋体" w:hAnsi="Times New Roman" w:cs="宋体"/>
          <w:kern w:val="0"/>
          <w:sz w:val="24"/>
          <w:szCs w:val="24"/>
        </w:rPr>
        <w:t>醋酸废水处理环保提升</w:t>
      </w:r>
      <w:r>
        <w:rPr>
          <w:rFonts w:hint="eastAsia" w:ascii="宋体" w:hAnsi="宋体"/>
          <w:sz w:val="24"/>
          <w:szCs w:val="24"/>
        </w:rPr>
        <w:t>工艺监测需要，对水样进行在线监测，</w:t>
      </w:r>
      <w:r>
        <w:rPr>
          <w:rFonts w:hint="eastAsia" w:ascii="宋体" w:hAnsi="Times New Roman" w:cs="宋体"/>
          <w:kern w:val="0"/>
          <w:sz w:val="24"/>
          <w:szCs w:val="24"/>
        </w:rPr>
        <w:t>监测参数有：COD。</w:t>
      </w:r>
      <w:r>
        <w:rPr>
          <w:rFonts w:hint="eastAsia" w:ascii="宋体" w:hAnsi="宋体"/>
          <w:sz w:val="24"/>
          <w:szCs w:val="24"/>
        </w:rPr>
        <w:t>分析过程和水池采样处理同步，分析数据以</w:t>
      </w:r>
      <w:r>
        <w:rPr>
          <w:rFonts w:ascii="宋体" w:hAnsi="宋体"/>
          <w:sz w:val="24"/>
          <w:szCs w:val="24"/>
        </w:rPr>
        <w:t>4-20mA</w:t>
      </w:r>
      <w:r>
        <w:rPr>
          <w:rFonts w:hint="eastAsia" w:ascii="宋体" w:hAnsi="宋体"/>
          <w:sz w:val="24"/>
          <w:szCs w:val="24"/>
          <w:lang w:val="en-US" w:eastAsia="zh-CN"/>
        </w:rPr>
        <w:t>或RS485</w:t>
      </w:r>
      <w:r>
        <w:rPr>
          <w:rFonts w:hint="eastAsia" w:ascii="宋体" w:hAnsi="宋体"/>
          <w:sz w:val="24"/>
          <w:szCs w:val="24"/>
        </w:rPr>
        <w:t>信号形式传至</w:t>
      </w:r>
      <w:r>
        <w:rPr>
          <w:rFonts w:ascii="宋体" w:hAnsi="宋体"/>
          <w:sz w:val="24"/>
          <w:szCs w:val="24"/>
        </w:rPr>
        <w:t>DCS</w:t>
      </w:r>
      <w:r>
        <w:rPr>
          <w:rFonts w:hint="eastAsia" w:ascii="宋体" w:hAnsi="宋体"/>
          <w:sz w:val="24"/>
          <w:szCs w:val="24"/>
        </w:rPr>
        <w:t>。</w:t>
      </w:r>
    </w:p>
    <w:p w14:paraId="31F28762">
      <w:pPr>
        <w:ind w:left="-212" w:leftChars="-101" w:firstLine="212" w:firstLineChars="88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6.1 </w:t>
      </w:r>
      <w:r>
        <w:rPr>
          <w:rFonts w:hint="eastAsia" w:ascii="宋体" w:hAnsi="宋体"/>
          <w:b/>
          <w:sz w:val="24"/>
          <w:szCs w:val="24"/>
        </w:rPr>
        <w:t>系统组成</w:t>
      </w:r>
    </w:p>
    <w:p w14:paraId="2D74AF26">
      <w:pPr>
        <w:ind w:left="-212" w:leftChars="-101" w:firstLine="448" w:firstLineChars="187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项目主要由以下几个部分组成：</w:t>
      </w:r>
    </w:p>
    <w:p w14:paraId="7D66E920">
      <w:pPr>
        <w:ind w:left="-212" w:leftChars="-101" w:firstLine="211" w:firstLineChars="88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6.1.1</w:t>
      </w:r>
      <w:r>
        <w:rPr>
          <w:rFonts w:hint="eastAsia" w:ascii="宋体" w:hAnsi="宋体"/>
          <w:sz w:val="24"/>
          <w:szCs w:val="24"/>
        </w:rPr>
        <w:t>在线分析仪表单元</w:t>
      </w:r>
    </w:p>
    <w:p w14:paraId="2E58B6D1">
      <w:pPr>
        <w:ind w:left="-212" w:leftChars="-101" w:firstLine="211" w:firstLineChars="88"/>
        <w:rPr>
          <w:rFonts w:ascii="宋体" w:hAnsi="宋体"/>
          <w:sz w:val="24"/>
          <w:szCs w:val="24"/>
        </w:rPr>
      </w:pPr>
      <w:r>
        <w:rPr>
          <w:rFonts w:hint="eastAsia" w:ascii="宋体" w:hAnsi="Times New Roman" w:cs="宋体"/>
          <w:kern w:val="0"/>
          <w:sz w:val="24"/>
          <w:szCs w:val="24"/>
        </w:rPr>
        <w:t>YC3装置出口产水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>COD</w:t>
      </w:r>
      <w:r>
        <w:rPr>
          <w:rFonts w:hint="eastAsia" w:ascii="宋体" w:hAnsi="宋体"/>
          <w:sz w:val="24"/>
          <w:szCs w:val="24"/>
        </w:rPr>
        <w:t>分析仪</w:t>
      </w:r>
      <w:r>
        <w:rPr>
          <w:rFonts w:ascii="宋体" w:hAnsi="宋体"/>
          <w:sz w:val="24"/>
          <w:szCs w:val="24"/>
        </w:rPr>
        <w:t>+</w:t>
      </w:r>
      <w:r>
        <w:rPr>
          <w:rFonts w:hint="eastAsia" w:ascii="宋体" w:hAnsi="宋体"/>
          <w:sz w:val="24"/>
          <w:szCs w:val="24"/>
        </w:rPr>
        <w:t>预处理系统</w:t>
      </w:r>
      <w:r>
        <w:rPr>
          <w:rFonts w:ascii="宋体" w:hAnsi="宋体"/>
          <w:sz w:val="24"/>
          <w:szCs w:val="24"/>
        </w:rPr>
        <w:t>+</w:t>
      </w:r>
      <w:r>
        <w:rPr>
          <w:rFonts w:hint="eastAsia" w:ascii="宋体" w:hAnsi="宋体"/>
          <w:sz w:val="24"/>
          <w:szCs w:val="24"/>
        </w:rPr>
        <w:t>防爆机柜（1套）</w:t>
      </w:r>
    </w:p>
    <w:p w14:paraId="4CB62CFF">
      <w:pPr>
        <w:ind w:left="-212" w:leftChars="-101" w:firstLine="211" w:firstLineChars="88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MF4装置出口终产水：</w:t>
      </w:r>
      <w:r>
        <w:rPr>
          <w:rFonts w:ascii="宋体" w:hAnsi="宋体"/>
          <w:sz w:val="24"/>
          <w:szCs w:val="24"/>
        </w:rPr>
        <w:t>COD</w:t>
      </w:r>
      <w:r>
        <w:rPr>
          <w:rFonts w:hint="eastAsia" w:ascii="宋体" w:hAnsi="宋体"/>
          <w:sz w:val="24"/>
          <w:szCs w:val="24"/>
        </w:rPr>
        <w:t>分析仪</w:t>
      </w:r>
      <w:r>
        <w:rPr>
          <w:rFonts w:ascii="宋体" w:hAnsi="宋体"/>
          <w:sz w:val="24"/>
          <w:szCs w:val="24"/>
        </w:rPr>
        <w:t>+</w:t>
      </w:r>
      <w:r>
        <w:rPr>
          <w:rFonts w:hint="eastAsia" w:ascii="宋体" w:hAnsi="宋体"/>
          <w:sz w:val="24"/>
          <w:szCs w:val="24"/>
        </w:rPr>
        <w:t>预处理系统</w:t>
      </w:r>
      <w:r>
        <w:rPr>
          <w:rFonts w:ascii="宋体" w:hAnsi="宋体"/>
          <w:sz w:val="24"/>
          <w:szCs w:val="24"/>
        </w:rPr>
        <w:t>+</w:t>
      </w:r>
      <w:r>
        <w:rPr>
          <w:rFonts w:hint="eastAsia" w:ascii="宋体" w:hAnsi="宋体"/>
          <w:sz w:val="24"/>
          <w:szCs w:val="24"/>
        </w:rPr>
        <w:t>防爆机柜（1套）</w:t>
      </w:r>
    </w:p>
    <w:p w14:paraId="71B0F4C0">
      <w:pPr>
        <w:ind w:left="-212" w:leftChars="-101" w:firstLine="211" w:firstLineChars="88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6.1.2</w:t>
      </w:r>
      <w:r>
        <w:rPr>
          <w:rFonts w:hint="eastAsia" w:ascii="宋体" w:hAnsi="宋体"/>
          <w:sz w:val="24"/>
          <w:szCs w:val="24"/>
        </w:rPr>
        <w:t>采水、配水单元及控制单元</w:t>
      </w:r>
    </w:p>
    <w:p w14:paraId="4526679B">
      <w:pPr>
        <w:ind w:left="-212" w:leftChars="-101" w:firstLine="448" w:firstLineChars="18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包括采水单元、配水单元两部分。配水单元根据情况配置相应的预处理单元，含压力表，流量计及过滤，采水单元需要带自清洗系统。样品处理系统随分析仪机柜成套提供，采样及预处理所有管阀件全部采用 316</w:t>
      </w:r>
      <w:r>
        <w:rPr>
          <w:rFonts w:hint="eastAsia" w:ascii="宋体" w:hAnsi="宋体"/>
          <w:sz w:val="24"/>
          <w:szCs w:val="24"/>
          <w:lang w:val="en-US" w:eastAsia="zh-CN"/>
        </w:rPr>
        <w:t>L</w:t>
      </w:r>
      <w:r>
        <w:rPr>
          <w:rFonts w:hint="eastAsia" w:ascii="宋体" w:hAnsi="宋体"/>
          <w:sz w:val="24"/>
          <w:szCs w:val="24"/>
        </w:rPr>
        <w:t xml:space="preserve"> 材质，卖方保证预处理系统满足分析仪使用要求。卖方为每路样品在机柜外设置采样接口及回水接口；施工方负责将采样管线及回水管线引至分析机柜接口处。并将采样后回水引至无压回水点。</w:t>
      </w:r>
    </w:p>
    <w:p w14:paraId="7928D933">
      <w:pPr>
        <w:ind w:left="-212" w:leftChars="-101" w:firstLine="448" w:firstLineChars="187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样品处理系统安装于机柜外。取样管线材质316</w:t>
      </w:r>
      <w:r>
        <w:rPr>
          <w:rFonts w:hint="eastAsia" w:ascii="宋体" w:hAnsi="宋体"/>
          <w:sz w:val="24"/>
          <w:szCs w:val="24"/>
          <w:lang w:val="en-US" w:eastAsia="zh-CN"/>
        </w:rPr>
        <w:t>L</w:t>
      </w:r>
      <w:r>
        <w:rPr>
          <w:rFonts w:hint="eastAsia" w:ascii="宋体" w:hAnsi="宋体"/>
          <w:sz w:val="24"/>
          <w:szCs w:val="24"/>
        </w:rPr>
        <w:t>一体化伴热管。</w:t>
      </w:r>
    </w:p>
    <w:p w14:paraId="709651D0">
      <w:pPr>
        <w:ind w:left="-212" w:leftChars="-101" w:firstLine="211" w:firstLineChars="88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</w:t>
      </w:r>
    </w:p>
    <w:p w14:paraId="491BFF88">
      <w:pPr>
        <w:ind w:left="-212" w:leftChars="-101" w:firstLine="211" w:firstLineChars="88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6.1.3</w:t>
      </w:r>
      <w:r>
        <w:rPr>
          <w:rFonts w:hint="eastAsia" w:ascii="宋体" w:hAnsi="宋体"/>
          <w:sz w:val="24"/>
          <w:szCs w:val="24"/>
        </w:rPr>
        <w:t>数据采集、传输与控制单元</w:t>
      </w:r>
    </w:p>
    <w:p w14:paraId="169ADBEB">
      <w:pPr>
        <w:ind w:left="-212" w:leftChars="-101" w:firstLine="448" w:firstLineChars="187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4-20MA</w:t>
      </w:r>
      <w:r>
        <w:rPr>
          <w:rFonts w:hint="eastAsia" w:ascii="宋体" w:hAnsi="宋体"/>
          <w:sz w:val="24"/>
          <w:szCs w:val="24"/>
          <w:lang w:val="en-US" w:eastAsia="zh-CN"/>
        </w:rPr>
        <w:t>或RS485</w:t>
      </w:r>
      <w:r>
        <w:rPr>
          <w:rFonts w:hint="eastAsia" w:ascii="宋体" w:hAnsi="宋体"/>
          <w:sz w:val="24"/>
          <w:szCs w:val="24"/>
        </w:rPr>
        <w:t>信号传输至控制室DCS</w:t>
      </w:r>
    </w:p>
    <w:p w14:paraId="0C2A01A3">
      <w:pPr>
        <w:ind w:left="-212" w:leftChars="-101" w:firstLine="211" w:firstLineChars="88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6.1.4</w:t>
      </w:r>
      <w:r>
        <w:rPr>
          <w:rFonts w:hint="eastAsia" w:ascii="宋体" w:hAnsi="宋体"/>
          <w:sz w:val="24"/>
          <w:szCs w:val="24"/>
        </w:rPr>
        <w:t>分析柜</w:t>
      </w:r>
    </w:p>
    <w:p w14:paraId="04D1DB96">
      <w:pPr>
        <w:ind w:left="-212" w:leftChars="-101" w:firstLine="448" w:firstLineChars="187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采用防爆不锈钢柜现场安装，尺寸大小便于平时仪器维护，更换试剂工作。材质为内外</w:t>
      </w:r>
      <w:r>
        <w:rPr>
          <w:rFonts w:ascii="宋体" w:hAnsi="宋体"/>
          <w:sz w:val="24"/>
          <w:szCs w:val="24"/>
        </w:rPr>
        <w:t>304SS</w:t>
      </w:r>
      <w:r>
        <w:rPr>
          <w:rFonts w:hint="eastAsia" w:ascii="宋体" w:hAnsi="宋体"/>
          <w:sz w:val="24"/>
          <w:szCs w:val="24"/>
        </w:rPr>
        <w:t>不锈钢。外板采用</w:t>
      </w:r>
      <w:r>
        <w:rPr>
          <w:rFonts w:ascii="宋体" w:hAnsi="宋体"/>
          <w:sz w:val="24"/>
          <w:szCs w:val="24"/>
        </w:rPr>
        <w:t xml:space="preserve">2 mm </w:t>
      </w:r>
      <w:r>
        <w:rPr>
          <w:rFonts w:hint="eastAsia" w:ascii="宋体" w:hAnsi="宋体"/>
          <w:sz w:val="24"/>
          <w:szCs w:val="24"/>
        </w:rPr>
        <w:t>厚</w:t>
      </w:r>
      <w:r>
        <w:rPr>
          <w:rFonts w:ascii="宋体" w:hAnsi="宋体"/>
          <w:sz w:val="24"/>
          <w:szCs w:val="24"/>
        </w:rPr>
        <w:t xml:space="preserve">304SS </w:t>
      </w:r>
      <w:r>
        <w:rPr>
          <w:rFonts w:hint="eastAsia" w:ascii="宋体" w:hAnsi="宋体"/>
          <w:sz w:val="24"/>
          <w:szCs w:val="24"/>
        </w:rPr>
        <w:t>材质，内板采用</w:t>
      </w:r>
      <w:r>
        <w:rPr>
          <w:rFonts w:ascii="宋体" w:hAnsi="宋体"/>
          <w:sz w:val="24"/>
          <w:szCs w:val="24"/>
        </w:rPr>
        <w:t>1.5mm</w:t>
      </w:r>
      <w:r>
        <w:rPr>
          <w:rFonts w:hint="eastAsia" w:ascii="宋体" w:hAnsi="宋体"/>
          <w:sz w:val="24"/>
          <w:szCs w:val="24"/>
        </w:rPr>
        <w:t>厚</w:t>
      </w:r>
      <w:r>
        <w:rPr>
          <w:rFonts w:ascii="宋体" w:hAnsi="宋体"/>
          <w:sz w:val="24"/>
          <w:szCs w:val="24"/>
        </w:rPr>
        <w:t xml:space="preserve">304SS </w:t>
      </w:r>
      <w:r>
        <w:rPr>
          <w:rFonts w:hint="eastAsia" w:ascii="宋体" w:hAnsi="宋体"/>
          <w:sz w:val="24"/>
          <w:szCs w:val="24"/>
        </w:rPr>
        <w:t>材质，双层不锈钢保温，保温：聚氨酯。有不锈钢防雨檐，不锈钢柜有灯、防爆空调、信号箱、公用电源箱、电源分配箱等。</w:t>
      </w:r>
    </w:p>
    <w:p w14:paraId="1E8521FC">
      <w:pPr>
        <w:ind w:left="-212" w:leftChars="-101" w:firstLine="211" w:firstLineChars="88"/>
        <w:rPr>
          <w:rFonts w:ascii="宋体"/>
          <w:sz w:val="24"/>
          <w:szCs w:val="24"/>
        </w:rPr>
      </w:pPr>
    </w:p>
    <w:p w14:paraId="0538F296">
      <w:pPr>
        <w:ind w:left="-212" w:leftChars="-101" w:firstLine="212" w:firstLineChars="88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6.2</w:t>
      </w:r>
      <w:r>
        <w:rPr>
          <w:rFonts w:hint="eastAsia" w:ascii="宋体" w:hAnsi="宋体"/>
          <w:b/>
          <w:sz w:val="24"/>
          <w:szCs w:val="24"/>
        </w:rPr>
        <w:t>仪表技术参数</w:t>
      </w:r>
    </w:p>
    <w:p w14:paraId="7ADC3627">
      <w:pPr>
        <w:ind w:left="-212" w:leftChars="-101" w:firstLine="247" w:firstLineChars="88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COD </w:t>
      </w:r>
    </w:p>
    <w:p w14:paraId="30A2564F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分析原理：基于中国国家标准</w:t>
      </w:r>
      <w:r>
        <w:rPr>
          <w:rFonts w:ascii="Times New Roman" w:hAnsi="宋体"/>
          <w:kern w:val="0"/>
          <w:sz w:val="24"/>
          <w:szCs w:val="20"/>
        </w:rPr>
        <w:t xml:space="preserve">GB11914-89 </w:t>
      </w:r>
      <w:r>
        <w:rPr>
          <w:rFonts w:hint="eastAsia" w:ascii="Times New Roman" w:hAnsi="宋体"/>
          <w:kern w:val="0"/>
          <w:sz w:val="24"/>
          <w:szCs w:val="20"/>
        </w:rPr>
        <w:t>水质</w:t>
      </w:r>
      <w:r>
        <w:rPr>
          <w:rFonts w:ascii="Times New Roman" w:hAnsi="宋体"/>
          <w:kern w:val="0"/>
          <w:sz w:val="24"/>
          <w:szCs w:val="20"/>
        </w:rPr>
        <w:t>—</w:t>
      </w:r>
      <w:r>
        <w:rPr>
          <w:rFonts w:hint="eastAsia" w:ascii="Times New Roman" w:hAnsi="宋体"/>
          <w:kern w:val="0"/>
          <w:sz w:val="24"/>
          <w:szCs w:val="20"/>
        </w:rPr>
        <w:t>化学需氧量测定</w:t>
      </w:r>
      <w:r>
        <w:rPr>
          <w:rFonts w:ascii="Times New Roman" w:hAnsi="宋体"/>
          <w:kern w:val="0"/>
          <w:sz w:val="24"/>
          <w:szCs w:val="20"/>
        </w:rPr>
        <w:t>---</w:t>
      </w:r>
      <w:r>
        <w:rPr>
          <w:rFonts w:hint="eastAsia" w:ascii="Times New Roman" w:hAnsi="宋体"/>
          <w:kern w:val="0"/>
          <w:sz w:val="24"/>
          <w:szCs w:val="20"/>
        </w:rPr>
        <w:t>重铬酸钾法，用光度法测量样品吸光度，通过吸光度与水样</w:t>
      </w:r>
      <w:r>
        <w:rPr>
          <w:rFonts w:ascii="Times New Roman" w:hAnsi="宋体"/>
          <w:kern w:val="0"/>
          <w:sz w:val="24"/>
          <w:szCs w:val="20"/>
        </w:rPr>
        <w:t>COD</w:t>
      </w:r>
      <w:r>
        <w:rPr>
          <w:rFonts w:hint="eastAsia" w:ascii="Times New Roman" w:hAnsi="宋体"/>
          <w:kern w:val="0"/>
          <w:sz w:val="24"/>
          <w:szCs w:val="20"/>
        </w:rPr>
        <w:t>值的线性关系进行分析测定。</w:t>
      </w:r>
    </w:p>
    <w:p w14:paraId="6CC3F2CB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测量范围：0~10000mg/L（1台）、0~30000mg/L（1台）</w:t>
      </w:r>
    </w:p>
    <w:p w14:paraId="561F1DFB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最小分辨率：≤</w:t>
      </w:r>
      <w:r>
        <w:rPr>
          <w:rFonts w:ascii="Times New Roman" w:hAnsi="宋体"/>
          <w:kern w:val="0"/>
          <w:sz w:val="24"/>
          <w:szCs w:val="20"/>
        </w:rPr>
        <w:t>0.1 mg/L</w:t>
      </w:r>
    </w:p>
    <w:p w14:paraId="3CCB43BD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零点漂移：±</w:t>
      </w:r>
      <w:r>
        <w:rPr>
          <w:rFonts w:ascii="Times New Roman" w:hAnsi="宋体"/>
          <w:kern w:val="0"/>
          <w:sz w:val="24"/>
          <w:szCs w:val="20"/>
        </w:rPr>
        <w:t>2mg/L</w:t>
      </w:r>
    </w:p>
    <w:p w14:paraId="03788D1E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量程漂移：±</w:t>
      </w:r>
      <w:r>
        <w:rPr>
          <w:rFonts w:ascii="Times New Roman" w:hAnsi="宋体"/>
          <w:kern w:val="0"/>
          <w:sz w:val="24"/>
          <w:szCs w:val="20"/>
        </w:rPr>
        <w:t>3%FS</w:t>
      </w:r>
    </w:p>
    <w:p w14:paraId="0AF74D46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重复性误差：≤</w:t>
      </w:r>
      <w:r>
        <w:rPr>
          <w:rFonts w:ascii="Times New Roman" w:hAnsi="宋体"/>
          <w:kern w:val="0"/>
          <w:sz w:val="24"/>
          <w:szCs w:val="20"/>
        </w:rPr>
        <w:t>5%</w:t>
      </w:r>
    </w:p>
    <w:p w14:paraId="069A9551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示值误差：±3</w:t>
      </w:r>
      <w:r>
        <w:rPr>
          <w:rFonts w:ascii="Times New Roman" w:hAnsi="宋体"/>
          <w:kern w:val="0"/>
          <w:sz w:val="24"/>
          <w:szCs w:val="20"/>
        </w:rPr>
        <w:t>%</w:t>
      </w:r>
    </w:p>
    <w:p w14:paraId="52506BE6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信号输出：4-20mADC+RS485</w:t>
      </w:r>
    </w:p>
    <w:p w14:paraId="4796F1EE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仪器可以自动实现管道清洗，无需用户干预，避免测量误差。</w:t>
      </w:r>
    </w:p>
    <w:p w14:paraId="68324EF1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自我诊断功能，便于调试、维护、比对测试，协助维护人员对故障进行分析。</w:t>
      </w:r>
    </w:p>
    <w:p w14:paraId="334356D3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单通道高集成阀岛，维修、拆装、清洗简单快捷。</w:t>
      </w:r>
    </w:p>
    <w:p w14:paraId="7FF8FB4C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全天候联网功能，随时随地监控仪表运行状态。</w:t>
      </w:r>
    </w:p>
    <w:p w14:paraId="490078D2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当发生液体泄漏时，设备自带的湿度传感器会发生报警，并自动锁定。</w:t>
      </w:r>
    </w:p>
    <w:p w14:paraId="759AD372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单套试剂可做</w:t>
      </w:r>
      <w:r>
        <w:rPr>
          <w:rFonts w:ascii="Times New Roman" w:hAnsi="宋体"/>
          <w:kern w:val="0"/>
          <w:sz w:val="24"/>
          <w:szCs w:val="20"/>
        </w:rPr>
        <w:t>500</w:t>
      </w:r>
      <w:r>
        <w:rPr>
          <w:rFonts w:hint="eastAsia" w:ascii="Times New Roman" w:hAnsi="宋体"/>
          <w:kern w:val="0"/>
          <w:sz w:val="24"/>
          <w:szCs w:val="20"/>
        </w:rPr>
        <w:t>个样。</w:t>
      </w:r>
    </w:p>
    <w:p w14:paraId="4B8BBDD2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报警功能，试剂不足等信息提取直观、准确的显示。</w:t>
      </w:r>
    </w:p>
    <w:p w14:paraId="6D5D3119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采用恒温光纤技术和光强补偿算法，仪表长期漂移量小。</w:t>
      </w:r>
    </w:p>
    <w:p w14:paraId="1D9E3C0E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根据实际情况，可以调节显色温度及时间，确保反应充分。</w:t>
      </w:r>
    </w:p>
    <w:p w14:paraId="3D214880">
      <w:pPr>
        <w:widowControl/>
        <w:spacing w:line="360" w:lineRule="auto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ab/>
      </w:r>
    </w:p>
    <w:p w14:paraId="02062AA8">
      <w:pPr>
        <w:ind w:left="-212" w:leftChars="-101" w:firstLine="212" w:firstLineChars="88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6.3标液、药剂</w:t>
      </w:r>
    </w:p>
    <w:p w14:paraId="174FFCDA">
      <w:pPr>
        <w:widowControl/>
        <w:spacing w:line="360" w:lineRule="auto"/>
        <w:ind w:left="480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6.3.1卖方提供仪表标液、药剂的配方及列举各表计标液、药剂的年度使用量</w:t>
      </w:r>
      <w:r>
        <w:rPr>
          <w:rFonts w:hint="eastAsia" w:ascii="Times New Roman" w:hAnsi="宋体"/>
          <w:kern w:val="0"/>
          <w:sz w:val="24"/>
          <w:szCs w:val="20"/>
          <w:lang w:eastAsia="zh-CN"/>
        </w:rPr>
        <w:t>（</w:t>
      </w:r>
      <w:r>
        <w:rPr>
          <w:rFonts w:hint="eastAsia" w:ascii="Times New Roman" w:hAnsi="宋体"/>
          <w:kern w:val="0"/>
          <w:sz w:val="24"/>
          <w:szCs w:val="20"/>
          <w:lang w:val="en-US" w:eastAsia="zh-CN"/>
        </w:rPr>
        <w:t>分析频次按每2小时出一次结果计算）、</w:t>
      </w:r>
      <w:r>
        <w:rPr>
          <w:rFonts w:hint="eastAsia" w:ascii="Times New Roman" w:hAnsi="宋体"/>
          <w:kern w:val="0"/>
          <w:sz w:val="24"/>
          <w:szCs w:val="20"/>
        </w:rPr>
        <w:t>单位标液、药剂价格。卖方对仪表使用成品标液、药剂具有五年内长期供货能力。</w:t>
      </w:r>
    </w:p>
    <w:p w14:paraId="7E5C96EF">
      <w:pPr>
        <w:widowControl/>
        <w:spacing w:line="360" w:lineRule="auto"/>
        <w:ind w:left="480"/>
        <w:jc w:val="left"/>
        <w:rPr>
          <w:rFonts w:ascii="Times New Roman" w:hAnsi="宋体"/>
          <w:kern w:val="0"/>
          <w:sz w:val="24"/>
          <w:szCs w:val="20"/>
        </w:rPr>
      </w:pPr>
      <w:r>
        <w:rPr>
          <w:rFonts w:hint="eastAsia" w:ascii="Times New Roman" w:hAnsi="宋体"/>
          <w:kern w:val="0"/>
          <w:sz w:val="24"/>
          <w:szCs w:val="20"/>
        </w:rPr>
        <w:t>6.3.2 卖方</w:t>
      </w:r>
      <w:r>
        <w:rPr>
          <w:rFonts w:hint="eastAsia" w:ascii="Times New Roman" w:hAnsi="宋体"/>
          <w:kern w:val="0"/>
          <w:sz w:val="24"/>
          <w:szCs w:val="20"/>
          <w:lang w:val="en-US" w:eastAsia="zh-CN"/>
        </w:rPr>
        <w:t>报价</w:t>
      </w:r>
      <w:r>
        <w:rPr>
          <w:rFonts w:hint="eastAsia" w:ascii="Times New Roman" w:hAnsi="宋体"/>
          <w:kern w:val="0"/>
          <w:sz w:val="24"/>
          <w:szCs w:val="20"/>
        </w:rPr>
        <w:t>需包含单台仪表一年内所需的标液、药剂量</w:t>
      </w:r>
      <w:r>
        <w:rPr>
          <w:rFonts w:hint="eastAsia" w:ascii="Times New Roman" w:hAnsi="宋体"/>
          <w:kern w:val="0"/>
          <w:sz w:val="24"/>
          <w:szCs w:val="20"/>
          <w:lang w:eastAsia="zh-CN"/>
        </w:rPr>
        <w:t>，</w:t>
      </w:r>
      <w:r>
        <w:rPr>
          <w:rFonts w:hint="eastAsia" w:ascii="Times New Roman" w:hAnsi="宋体"/>
          <w:kern w:val="0"/>
          <w:sz w:val="24"/>
          <w:szCs w:val="20"/>
          <w:lang w:val="en-US" w:eastAsia="zh-CN"/>
        </w:rPr>
        <w:t>一年内</w:t>
      </w:r>
      <w:r>
        <w:rPr>
          <w:rFonts w:hint="eastAsia" w:ascii="Times New Roman" w:hAnsi="宋体"/>
          <w:kern w:val="0"/>
          <w:sz w:val="24"/>
          <w:szCs w:val="20"/>
        </w:rPr>
        <w:t>分</w:t>
      </w:r>
      <w:r>
        <w:rPr>
          <w:rFonts w:hint="eastAsia" w:ascii="Times New Roman" w:hAnsi="宋体"/>
          <w:kern w:val="0"/>
          <w:sz w:val="24"/>
          <w:szCs w:val="20"/>
          <w:lang w:val="en-US" w:eastAsia="zh-CN"/>
        </w:rPr>
        <w:t>批</w:t>
      </w:r>
      <w:r>
        <w:rPr>
          <w:rFonts w:hint="eastAsia" w:ascii="Times New Roman" w:hAnsi="宋体"/>
          <w:kern w:val="0"/>
          <w:sz w:val="24"/>
          <w:szCs w:val="20"/>
        </w:rPr>
        <w:t>次入厂。</w:t>
      </w:r>
    </w:p>
    <w:p w14:paraId="67AEC071">
      <w:pPr>
        <w:pStyle w:val="7"/>
        <w:jc w:val="left"/>
        <w:rPr>
          <w:rFonts w:ascii="Arial" w:hAnsi="Arial" w:cs="Arial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7.</w:t>
      </w:r>
      <w:bookmarkStart w:id="4" w:name="_Toc21425"/>
      <w:r>
        <w:rPr>
          <w:rFonts w:hint="eastAsia" w:ascii="Arial" w:hAnsi="Arial" w:cs="Arial"/>
          <w:sz w:val="28"/>
          <w:szCs w:val="28"/>
        </w:rPr>
        <w:t>集成材料</w:t>
      </w:r>
      <w:r>
        <w:rPr>
          <w:rFonts w:ascii="Arial" w:hAnsi="Arial" w:cs="Arial"/>
          <w:sz w:val="28"/>
          <w:szCs w:val="28"/>
        </w:rPr>
        <w:t>部件</w:t>
      </w:r>
      <w:r>
        <w:rPr>
          <w:rFonts w:hint="eastAsia" w:ascii="Arial" w:hAnsi="Arial" w:cs="Arial"/>
          <w:sz w:val="28"/>
          <w:szCs w:val="28"/>
        </w:rPr>
        <w:t>选</w:t>
      </w:r>
      <w:r>
        <w:rPr>
          <w:rFonts w:ascii="Arial" w:hAnsi="Arial" w:cs="Arial"/>
          <w:sz w:val="28"/>
          <w:szCs w:val="28"/>
        </w:rPr>
        <w:t>配一览表</w:t>
      </w:r>
      <w:bookmarkEnd w:id="4"/>
    </w:p>
    <w:tbl>
      <w:tblPr>
        <w:tblStyle w:val="8"/>
        <w:tblW w:w="7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3475"/>
        <w:gridCol w:w="3353"/>
      </w:tblGrid>
      <w:tr w14:paraId="408C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78358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序号</w:t>
            </w:r>
          </w:p>
        </w:tc>
        <w:tc>
          <w:tcPr>
            <w:tcW w:w="3475" w:type="dxa"/>
            <w:noWrap/>
            <w:vAlign w:val="center"/>
          </w:tcPr>
          <w:p w14:paraId="57057531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部件</w:t>
            </w:r>
            <w:r>
              <w:rPr>
                <w:rFonts w:ascii="Arial" w:hAnsi="Arial" w:cs="Arial"/>
                <w:kern w:val="0"/>
                <w:sz w:val="20"/>
              </w:rPr>
              <w:t>类型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F130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供货商名称</w:t>
            </w:r>
          </w:p>
        </w:tc>
      </w:tr>
      <w:tr w14:paraId="029D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75EF0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5EDE1C79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水质分析仪（COD）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980F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哈希、岛津、赛默飞</w:t>
            </w:r>
          </w:p>
        </w:tc>
      </w:tr>
      <w:tr w14:paraId="2E61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97247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0A255B9D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管阀件及接头</w:t>
            </w:r>
            <w:r>
              <w:rPr>
                <w:rFonts w:hint="eastAsia" w:ascii="Arial" w:hAnsi="Arial" w:cs="Arial"/>
                <w:kern w:val="0"/>
                <w:sz w:val="20"/>
              </w:rPr>
              <w:t>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63E0D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6982C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1D5AB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4FB45E3A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金属烧结过滤器（316）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4756F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586E4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90642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0ED6C358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金属转子</w:t>
            </w:r>
            <w:r>
              <w:rPr>
                <w:rFonts w:ascii="Arial" w:hAnsi="Arial" w:cs="Arial"/>
                <w:kern w:val="0"/>
                <w:sz w:val="20"/>
              </w:rPr>
              <w:t>流量计</w:t>
            </w:r>
            <w:r>
              <w:rPr>
                <w:rFonts w:hint="eastAsia" w:ascii="Arial" w:hAnsi="Arial" w:cs="Arial"/>
                <w:kern w:val="0"/>
                <w:sz w:val="20"/>
              </w:rPr>
              <w:t>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60442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2426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AB3AE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222A56C4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自清洗过滤器（316）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AB81A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39C6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EED24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70698B00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温度计、</w:t>
            </w:r>
            <w:r>
              <w:rPr>
                <w:rFonts w:ascii="Arial" w:hAnsi="Arial" w:cs="Arial"/>
                <w:kern w:val="0"/>
                <w:sz w:val="20"/>
              </w:rPr>
              <w:t>压力表</w:t>
            </w:r>
            <w:r>
              <w:rPr>
                <w:rFonts w:hint="eastAsia" w:ascii="Arial" w:hAnsi="Arial" w:cs="Arial"/>
                <w:kern w:val="0"/>
                <w:sz w:val="20"/>
              </w:rPr>
              <w:t>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60EEC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5A64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6A29A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0826134B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电磁阀（316）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EFFEC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47C9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1E82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2CF0808B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防爆</w:t>
            </w:r>
            <w:r>
              <w:rPr>
                <w:rFonts w:ascii="Arial" w:hAnsi="Arial" w:cs="Arial"/>
                <w:kern w:val="0"/>
                <w:sz w:val="20"/>
              </w:rPr>
              <w:t>接线箱Exd IICT4 Gb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DA751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2508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6465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1B9C1350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防爆</w:t>
            </w:r>
            <w:r>
              <w:rPr>
                <w:rFonts w:ascii="Arial" w:hAnsi="Arial" w:cs="Arial"/>
                <w:kern w:val="0"/>
                <w:sz w:val="20"/>
              </w:rPr>
              <w:t>开关Exd IICT4 Gb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D43CD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0B72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83D51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31819434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防爆空调</w:t>
            </w:r>
            <w:r>
              <w:rPr>
                <w:rFonts w:ascii="Arial" w:hAnsi="Arial" w:cs="Arial"/>
                <w:kern w:val="0"/>
                <w:sz w:val="20"/>
              </w:rPr>
              <w:t>Exd IICT4 Gb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10483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0D59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581E4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263AE1FE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>接线端子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0F6C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</w:tr>
      <w:tr w14:paraId="5DC2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5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45E9B">
            <w:pPr>
              <w:pStyle w:val="1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3475" w:type="dxa"/>
            <w:noWrap/>
            <w:vAlign w:val="center"/>
          </w:tcPr>
          <w:p w14:paraId="7556E8D3">
            <w:pPr>
              <w:spacing w:line="360" w:lineRule="exact"/>
              <w:rPr>
                <w:rFonts w:ascii="Arial" w:hAnsi="Arial" w:cs="Arial"/>
                <w:kern w:val="0"/>
                <w:sz w:val="20"/>
              </w:rPr>
            </w:pPr>
            <w:r>
              <w:rPr>
                <w:szCs w:val="21"/>
              </w:rPr>
              <w:t>一体化电伴热管缆</w:t>
            </w:r>
            <w:r>
              <w:rPr>
                <w:rFonts w:hint="eastAsia"/>
                <w:szCs w:val="21"/>
              </w:rPr>
              <w:t>外径1/2in 壁厚0.89mm 保温材料玻纤棉自限温40度</w:t>
            </w:r>
          </w:p>
        </w:tc>
        <w:tc>
          <w:tcPr>
            <w:tcW w:w="33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30C8D">
            <w:pPr>
              <w:spacing w:line="360" w:lineRule="exact"/>
              <w:rPr>
                <w:rFonts w:ascii="Arial" w:hAnsi="Arial" w:cs="Arial"/>
                <w:kern w:val="0"/>
                <w:sz w:val="20"/>
              </w:rPr>
            </w:pPr>
          </w:p>
        </w:tc>
      </w:tr>
    </w:tbl>
    <w:p w14:paraId="717052AE">
      <w:pPr>
        <w:ind w:left="-212" w:leftChars="-101" w:firstLine="212" w:firstLineChars="88"/>
        <w:rPr>
          <w:rFonts w:ascii="宋体" w:hAnsi="宋体"/>
          <w:b/>
          <w:sz w:val="24"/>
          <w:szCs w:val="24"/>
        </w:rPr>
      </w:pPr>
    </w:p>
    <w:p w14:paraId="79B5A0A9">
      <w:pPr>
        <w:ind w:left="-212" w:leftChars="-101" w:firstLine="212" w:firstLineChars="88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8</w:t>
      </w:r>
      <w:r>
        <w:rPr>
          <w:rFonts w:ascii="宋体" w:hAnsi="宋体"/>
          <w:b/>
          <w:sz w:val="24"/>
          <w:szCs w:val="24"/>
        </w:rPr>
        <w:t xml:space="preserve">. </w:t>
      </w:r>
      <w:r>
        <w:rPr>
          <w:rFonts w:ascii="宋体" w:hAnsi="宋体"/>
          <w:b/>
          <w:sz w:val="24"/>
          <w:szCs w:val="24"/>
        </w:rPr>
        <w:tab/>
      </w:r>
      <w:r>
        <w:rPr>
          <w:rFonts w:hint="eastAsia" w:ascii="宋体" w:hAnsi="宋体"/>
          <w:b/>
          <w:sz w:val="24"/>
          <w:szCs w:val="24"/>
        </w:rPr>
        <w:t>技术服务</w:t>
      </w:r>
    </w:p>
    <w:p w14:paraId="1A64AF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.1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开工资料确认</w:t>
      </w:r>
    </w:p>
    <w:p w14:paraId="60523A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合同签定后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周内，供方向需方提供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套完整的分析仪器安装资料及公用工程条件，供需方审查确认后作为正式的施工资料。</w:t>
      </w:r>
    </w:p>
    <w:p w14:paraId="54DCCE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 xml:space="preserve">.2  </w:t>
      </w:r>
      <w:r>
        <w:rPr>
          <w:rFonts w:hint="eastAsia"/>
          <w:sz w:val="24"/>
          <w:szCs w:val="24"/>
        </w:rPr>
        <w:t>技术培训</w:t>
      </w:r>
    </w:p>
    <w:p w14:paraId="112DBB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在系统调试完毕后，提供4人现场免费分析系统的原理、操作和维护的培训。</w:t>
      </w:r>
    </w:p>
    <w:p w14:paraId="267D620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 xml:space="preserve">.3 </w:t>
      </w:r>
      <w:r>
        <w:rPr>
          <w:rFonts w:hint="eastAsia"/>
          <w:sz w:val="24"/>
          <w:szCs w:val="24"/>
        </w:rPr>
        <w:t>安装调试和现场验收测试（</w:t>
      </w:r>
      <w:r>
        <w:rPr>
          <w:sz w:val="24"/>
          <w:szCs w:val="24"/>
        </w:rPr>
        <w:t>SAT</w:t>
      </w:r>
      <w:r>
        <w:rPr>
          <w:rFonts w:hint="eastAsia"/>
          <w:sz w:val="24"/>
          <w:szCs w:val="24"/>
        </w:rPr>
        <w:t>）</w:t>
      </w:r>
    </w:p>
    <w:p w14:paraId="0EC10E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工厂验收后，供方将所有设备包装发运到现场，整个系统具备条件后（由需方提前两周通知供方），供方指派有经验的工程师到现场负责设备的安装指导，静态调试；在具备开车投运的条件下（由需方提前两周通知供方），供方负责派服务工程师到现场调试与投运，系统投运连续无故障运行</w:t>
      </w:r>
      <w:r>
        <w:rPr>
          <w:sz w:val="24"/>
          <w:szCs w:val="24"/>
        </w:rPr>
        <w:t>48</w:t>
      </w:r>
      <w:r>
        <w:rPr>
          <w:rFonts w:hint="eastAsia"/>
          <w:sz w:val="24"/>
          <w:szCs w:val="24"/>
        </w:rPr>
        <w:t>小时后，即视为现场验收测试通过，用户代表即应签字验收。</w:t>
      </w:r>
    </w:p>
    <w:p w14:paraId="5B409FA0">
      <w:pPr>
        <w:rPr>
          <w:sz w:val="24"/>
          <w:szCs w:val="24"/>
        </w:rPr>
      </w:pPr>
    </w:p>
    <w:p w14:paraId="4D5C00CC">
      <w:pPr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质量保证及售后服务</w:t>
      </w:r>
    </w:p>
    <w:p w14:paraId="5F963F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整套设备（含分析仪主机、采样及预处理系统等）的质量保证期为一年，质量保证期从最终验收之日起算，或者交货后</w:t>
      </w:r>
      <w:r>
        <w:rPr>
          <w:sz w:val="24"/>
          <w:szCs w:val="24"/>
        </w:rPr>
        <w:t>18</w:t>
      </w:r>
      <w:r>
        <w:rPr>
          <w:rFonts w:hint="eastAsia"/>
          <w:sz w:val="24"/>
          <w:szCs w:val="24"/>
        </w:rPr>
        <w:t>个月，二者先到为准。</w:t>
      </w:r>
    </w:p>
    <w:p w14:paraId="192BADD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供方提整套设备（的终身售后服务，供方分析仪本机的进口报关单、官方售后服务网址、电话及售后服务人员姓名，质保期内免费上门服务，质保期后按双方商定的合作方式提供服务。</w:t>
      </w:r>
    </w:p>
    <w:p w14:paraId="30C0A15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供方的服务响应时间为：接到需方通知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小时内做出响应，如果有必要24小时内技术人员到达现场，到达现场依然无法排除故障时，有临时替换手段，以免影响需方生产需要。</w:t>
      </w:r>
    </w:p>
    <w:p w14:paraId="569721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供方确保长期优惠供应正品备品备件。</w:t>
      </w:r>
    </w:p>
    <w:p w14:paraId="56073FD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包含1年的试剂用量。</w:t>
      </w:r>
    </w:p>
    <w:p w14:paraId="2E0B1ED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 供货时间</w:t>
      </w:r>
    </w:p>
    <w:p w14:paraId="34F9773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合同签订后2个月内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374249"/>
    <w:multiLevelType w:val="multilevel"/>
    <w:tmpl w:val="22374249"/>
    <w:lvl w:ilvl="0" w:tentative="0">
      <w:start w:val="1"/>
      <w:numFmt w:val="decimal"/>
      <w:lvlText w:val="%1."/>
      <w:lvlJc w:val="left"/>
      <w:pPr>
        <w:ind w:left="428" w:hanging="360"/>
      </w:pPr>
    </w:lvl>
    <w:lvl w:ilvl="1" w:tentative="0">
      <w:start w:val="1"/>
      <w:numFmt w:val="lowerLetter"/>
      <w:lvlText w:val="%2."/>
      <w:lvlJc w:val="left"/>
      <w:pPr>
        <w:ind w:left="1148" w:hanging="360"/>
      </w:pPr>
    </w:lvl>
    <w:lvl w:ilvl="2" w:tentative="0">
      <w:start w:val="1"/>
      <w:numFmt w:val="lowerRoman"/>
      <w:lvlText w:val="%3."/>
      <w:lvlJc w:val="right"/>
      <w:pPr>
        <w:ind w:left="1868" w:hanging="180"/>
      </w:pPr>
    </w:lvl>
    <w:lvl w:ilvl="3" w:tentative="0">
      <w:start w:val="1"/>
      <w:numFmt w:val="decimal"/>
      <w:lvlText w:val="%4."/>
      <w:lvlJc w:val="left"/>
      <w:pPr>
        <w:ind w:left="2588" w:hanging="360"/>
      </w:pPr>
    </w:lvl>
    <w:lvl w:ilvl="4" w:tentative="0">
      <w:start w:val="1"/>
      <w:numFmt w:val="lowerLetter"/>
      <w:lvlText w:val="%5."/>
      <w:lvlJc w:val="left"/>
      <w:pPr>
        <w:ind w:left="3308" w:hanging="360"/>
      </w:pPr>
    </w:lvl>
    <w:lvl w:ilvl="5" w:tentative="0">
      <w:start w:val="1"/>
      <w:numFmt w:val="lowerRoman"/>
      <w:lvlText w:val="%6."/>
      <w:lvlJc w:val="right"/>
      <w:pPr>
        <w:ind w:left="4028" w:hanging="180"/>
      </w:pPr>
    </w:lvl>
    <w:lvl w:ilvl="6" w:tentative="0">
      <w:start w:val="1"/>
      <w:numFmt w:val="decimal"/>
      <w:lvlText w:val="%7."/>
      <w:lvlJc w:val="left"/>
      <w:pPr>
        <w:ind w:left="4748" w:hanging="360"/>
      </w:pPr>
    </w:lvl>
    <w:lvl w:ilvl="7" w:tentative="0">
      <w:start w:val="1"/>
      <w:numFmt w:val="lowerLetter"/>
      <w:lvlText w:val="%8."/>
      <w:lvlJc w:val="left"/>
      <w:pPr>
        <w:ind w:left="5468" w:hanging="360"/>
      </w:pPr>
    </w:lvl>
    <w:lvl w:ilvl="8" w:tentative="0">
      <w:start w:val="1"/>
      <w:numFmt w:val="lowerRoman"/>
      <w:lvlText w:val="%9."/>
      <w:lvlJc w:val="right"/>
      <w:pPr>
        <w:ind w:left="6188" w:hanging="180"/>
      </w:pPr>
    </w:lvl>
  </w:abstractNum>
  <w:abstractNum w:abstractNumId="1">
    <w:nsid w:val="560012EA"/>
    <w:multiLevelType w:val="multilevel"/>
    <w:tmpl w:val="560012EA"/>
    <w:lvl w:ilvl="0" w:tentative="0">
      <w:start w:val="1"/>
      <w:numFmt w:val="bullet"/>
      <w:lvlText w:val="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DBjNjlhNmIwNjY5OWM3NTJhNzZkNDBiNjZkMzU1NWYifQ=="/>
  </w:docVars>
  <w:rsids>
    <w:rsidRoot w:val="00154F45"/>
    <w:rsid w:val="00023253"/>
    <w:rsid w:val="0004027C"/>
    <w:rsid w:val="00041860"/>
    <w:rsid w:val="00056629"/>
    <w:rsid w:val="00061C99"/>
    <w:rsid w:val="00086678"/>
    <w:rsid w:val="000B551D"/>
    <w:rsid w:val="000B794A"/>
    <w:rsid w:val="000D33E3"/>
    <w:rsid w:val="000E3496"/>
    <w:rsid w:val="000E6F20"/>
    <w:rsid w:val="00105DD0"/>
    <w:rsid w:val="0013423E"/>
    <w:rsid w:val="001527C9"/>
    <w:rsid w:val="00154F45"/>
    <w:rsid w:val="00155CF1"/>
    <w:rsid w:val="00166A9E"/>
    <w:rsid w:val="001832AF"/>
    <w:rsid w:val="0019154A"/>
    <w:rsid w:val="001A60DD"/>
    <w:rsid w:val="00212791"/>
    <w:rsid w:val="00227B53"/>
    <w:rsid w:val="00255EFB"/>
    <w:rsid w:val="002649AC"/>
    <w:rsid w:val="0028296E"/>
    <w:rsid w:val="0029307C"/>
    <w:rsid w:val="002A7BAE"/>
    <w:rsid w:val="002B549B"/>
    <w:rsid w:val="002B58E6"/>
    <w:rsid w:val="002C12DC"/>
    <w:rsid w:val="002D27A0"/>
    <w:rsid w:val="002F419E"/>
    <w:rsid w:val="0031289B"/>
    <w:rsid w:val="00326F2E"/>
    <w:rsid w:val="00331D58"/>
    <w:rsid w:val="00370FC7"/>
    <w:rsid w:val="003937F4"/>
    <w:rsid w:val="003A7C0A"/>
    <w:rsid w:val="003B6963"/>
    <w:rsid w:val="003D450F"/>
    <w:rsid w:val="003E5FC1"/>
    <w:rsid w:val="0040224C"/>
    <w:rsid w:val="00403514"/>
    <w:rsid w:val="00404700"/>
    <w:rsid w:val="0041082B"/>
    <w:rsid w:val="00457873"/>
    <w:rsid w:val="00470380"/>
    <w:rsid w:val="00484AAA"/>
    <w:rsid w:val="00491A0B"/>
    <w:rsid w:val="004A11B9"/>
    <w:rsid w:val="004A69AF"/>
    <w:rsid w:val="004C42C2"/>
    <w:rsid w:val="004D09E7"/>
    <w:rsid w:val="004F0471"/>
    <w:rsid w:val="005310E8"/>
    <w:rsid w:val="005356B9"/>
    <w:rsid w:val="00553636"/>
    <w:rsid w:val="00554A1B"/>
    <w:rsid w:val="00561537"/>
    <w:rsid w:val="00573160"/>
    <w:rsid w:val="005A5D24"/>
    <w:rsid w:val="00603D3D"/>
    <w:rsid w:val="00610502"/>
    <w:rsid w:val="00632A18"/>
    <w:rsid w:val="00641508"/>
    <w:rsid w:val="006427DD"/>
    <w:rsid w:val="00646C80"/>
    <w:rsid w:val="006633EE"/>
    <w:rsid w:val="00663449"/>
    <w:rsid w:val="0067298B"/>
    <w:rsid w:val="00674ECF"/>
    <w:rsid w:val="0068042F"/>
    <w:rsid w:val="006860EF"/>
    <w:rsid w:val="006871F1"/>
    <w:rsid w:val="006921B3"/>
    <w:rsid w:val="006C6013"/>
    <w:rsid w:val="006D3D5B"/>
    <w:rsid w:val="006E766E"/>
    <w:rsid w:val="006F5CEA"/>
    <w:rsid w:val="00706ACE"/>
    <w:rsid w:val="00742453"/>
    <w:rsid w:val="00756E1E"/>
    <w:rsid w:val="00757328"/>
    <w:rsid w:val="007634A0"/>
    <w:rsid w:val="00763F77"/>
    <w:rsid w:val="007858C2"/>
    <w:rsid w:val="007934CF"/>
    <w:rsid w:val="007B16CA"/>
    <w:rsid w:val="007C258E"/>
    <w:rsid w:val="007F202C"/>
    <w:rsid w:val="008211B1"/>
    <w:rsid w:val="00845E4A"/>
    <w:rsid w:val="00865275"/>
    <w:rsid w:val="008916F8"/>
    <w:rsid w:val="008F7FC4"/>
    <w:rsid w:val="009100C5"/>
    <w:rsid w:val="00913BF9"/>
    <w:rsid w:val="009163EE"/>
    <w:rsid w:val="00921CA0"/>
    <w:rsid w:val="0093773A"/>
    <w:rsid w:val="0094138F"/>
    <w:rsid w:val="00946445"/>
    <w:rsid w:val="00952632"/>
    <w:rsid w:val="00954C1E"/>
    <w:rsid w:val="009739D2"/>
    <w:rsid w:val="0098410C"/>
    <w:rsid w:val="00985AB1"/>
    <w:rsid w:val="0098687A"/>
    <w:rsid w:val="009878FC"/>
    <w:rsid w:val="00994374"/>
    <w:rsid w:val="0099521F"/>
    <w:rsid w:val="009B1DB4"/>
    <w:rsid w:val="009D08E8"/>
    <w:rsid w:val="009D7FA3"/>
    <w:rsid w:val="009E758D"/>
    <w:rsid w:val="009F3487"/>
    <w:rsid w:val="009F73A3"/>
    <w:rsid w:val="00A32067"/>
    <w:rsid w:val="00A40684"/>
    <w:rsid w:val="00A46E15"/>
    <w:rsid w:val="00A47E04"/>
    <w:rsid w:val="00A565F2"/>
    <w:rsid w:val="00A75DFE"/>
    <w:rsid w:val="00A97A4E"/>
    <w:rsid w:val="00AA04DD"/>
    <w:rsid w:val="00AC7186"/>
    <w:rsid w:val="00AD533A"/>
    <w:rsid w:val="00AE5C4D"/>
    <w:rsid w:val="00AF14E0"/>
    <w:rsid w:val="00B044BA"/>
    <w:rsid w:val="00B236A9"/>
    <w:rsid w:val="00B34A11"/>
    <w:rsid w:val="00B37571"/>
    <w:rsid w:val="00B4590E"/>
    <w:rsid w:val="00B526A9"/>
    <w:rsid w:val="00B61858"/>
    <w:rsid w:val="00B63550"/>
    <w:rsid w:val="00B8137D"/>
    <w:rsid w:val="00B903EA"/>
    <w:rsid w:val="00B94009"/>
    <w:rsid w:val="00B94171"/>
    <w:rsid w:val="00B960D8"/>
    <w:rsid w:val="00BB1E91"/>
    <w:rsid w:val="00BC3D0F"/>
    <w:rsid w:val="00BD422E"/>
    <w:rsid w:val="00BD5038"/>
    <w:rsid w:val="00BE55AA"/>
    <w:rsid w:val="00BE667F"/>
    <w:rsid w:val="00BE6947"/>
    <w:rsid w:val="00C143BD"/>
    <w:rsid w:val="00C1530B"/>
    <w:rsid w:val="00C208A3"/>
    <w:rsid w:val="00C637F5"/>
    <w:rsid w:val="00C71D8D"/>
    <w:rsid w:val="00C90025"/>
    <w:rsid w:val="00CA2C30"/>
    <w:rsid w:val="00CB0597"/>
    <w:rsid w:val="00CB203C"/>
    <w:rsid w:val="00CB541C"/>
    <w:rsid w:val="00CD1DD6"/>
    <w:rsid w:val="00CD4490"/>
    <w:rsid w:val="00CD6D25"/>
    <w:rsid w:val="00D06959"/>
    <w:rsid w:val="00D24C35"/>
    <w:rsid w:val="00D5581C"/>
    <w:rsid w:val="00D97D1B"/>
    <w:rsid w:val="00DB16CF"/>
    <w:rsid w:val="00DB2F3A"/>
    <w:rsid w:val="00DD3C90"/>
    <w:rsid w:val="00DD5CE8"/>
    <w:rsid w:val="00DE79A4"/>
    <w:rsid w:val="00DF3F59"/>
    <w:rsid w:val="00E16CC8"/>
    <w:rsid w:val="00E175C6"/>
    <w:rsid w:val="00E250BE"/>
    <w:rsid w:val="00E25746"/>
    <w:rsid w:val="00E3136E"/>
    <w:rsid w:val="00E427D0"/>
    <w:rsid w:val="00E6470E"/>
    <w:rsid w:val="00E8559D"/>
    <w:rsid w:val="00E967B3"/>
    <w:rsid w:val="00EA48D9"/>
    <w:rsid w:val="00EE5A3A"/>
    <w:rsid w:val="00F12695"/>
    <w:rsid w:val="00F14ADA"/>
    <w:rsid w:val="00F17177"/>
    <w:rsid w:val="00F26CC2"/>
    <w:rsid w:val="00F42536"/>
    <w:rsid w:val="00F62B2E"/>
    <w:rsid w:val="00F76DD3"/>
    <w:rsid w:val="00F8077C"/>
    <w:rsid w:val="00F9695C"/>
    <w:rsid w:val="00F9781D"/>
    <w:rsid w:val="00FC7E0E"/>
    <w:rsid w:val="00FE15BA"/>
    <w:rsid w:val="01944054"/>
    <w:rsid w:val="02452334"/>
    <w:rsid w:val="02647A99"/>
    <w:rsid w:val="05016B61"/>
    <w:rsid w:val="052E4FC0"/>
    <w:rsid w:val="09A92667"/>
    <w:rsid w:val="0F9166A7"/>
    <w:rsid w:val="0FB13D22"/>
    <w:rsid w:val="10AB0728"/>
    <w:rsid w:val="12D54E51"/>
    <w:rsid w:val="131E3BB4"/>
    <w:rsid w:val="14551D69"/>
    <w:rsid w:val="1490377C"/>
    <w:rsid w:val="1647748F"/>
    <w:rsid w:val="172C4A7B"/>
    <w:rsid w:val="1A9116DA"/>
    <w:rsid w:val="20052895"/>
    <w:rsid w:val="20B569FE"/>
    <w:rsid w:val="22CC31F6"/>
    <w:rsid w:val="235A4CA6"/>
    <w:rsid w:val="241175A0"/>
    <w:rsid w:val="24D95FC9"/>
    <w:rsid w:val="25A70954"/>
    <w:rsid w:val="25B67896"/>
    <w:rsid w:val="2A13795C"/>
    <w:rsid w:val="2C1A0EED"/>
    <w:rsid w:val="2D0C4A7C"/>
    <w:rsid w:val="2FE47EAD"/>
    <w:rsid w:val="33243AA6"/>
    <w:rsid w:val="353C245D"/>
    <w:rsid w:val="35D749CE"/>
    <w:rsid w:val="404E74E8"/>
    <w:rsid w:val="40582F46"/>
    <w:rsid w:val="457C1944"/>
    <w:rsid w:val="4BFE0015"/>
    <w:rsid w:val="4DE12574"/>
    <w:rsid w:val="4EFF7F23"/>
    <w:rsid w:val="51840FBC"/>
    <w:rsid w:val="520F2868"/>
    <w:rsid w:val="55CF047B"/>
    <w:rsid w:val="572062E0"/>
    <w:rsid w:val="58F3646E"/>
    <w:rsid w:val="59472464"/>
    <w:rsid w:val="59934492"/>
    <w:rsid w:val="5B271526"/>
    <w:rsid w:val="5CC606DB"/>
    <w:rsid w:val="5EBF737F"/>
    <w:rsid w:val="6444160A"/>
    <w:rsid w:val="66621522"/>
    <w:rsid w:val="667C1E0A"/>
    <w:rsid w:val="680F1ADD"/>
    <w:rsid w:val="68DE74C8"/>
    <w:rsid w:val="698239E9"/>
    <w:rsid w:val="6BDB5A7F"/>
    <w:rsid w:val="6FFB3970"/>
    <w:rsid w:val="733F6699"/>
    <w:rsid w:val="77825766"/>
    <w:rsid w:val="7A3B0042"/>
    <w:rsid w:val="7AA33411"/>
    <w:rsid w:val="7BAE230F"/>
    <w:rsid w:val="7E0B59CE"/>
    <w:rsid w:val="7E4F632A"/>
    <w:rsid w:val="7FA95E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locked/>
    <w:uiPriority w:val="0"/>
    <w:pPr>
      <w:keepNext/>
      <w:keepLines/>
      <w:spacing w:line="360" w:lineRule="auto"/>
      <w:outlineLvl w:val="0"/>
    </w:pPr>
    <w:rPr>
      <w:rFonts w:ascii="宋体"/>
      <w:b/>
      <w:bCs/>
      <w:kern w:val="44"/>
      <w:sz w:val="28"/>
      <w:szCs w:val="28"/>
    </w:rPr>
  </w:style>
  <w:style w:type="paragraph" w:styleId="3">
    <w:name w:val="heading 2"/>
    <w:basedOn w:val="1"/>
    <w:next w:val="1"/>
    <w:qFormat/>
    <w:locked/>
    <w:uiPriority w:val="0"/>
    <w:pPr>
      <w:keepNext/>
      <w:keepLines/>
      <w:spacing w:line="360" w:lineRule="auto"/>
      <w:outlineLvl w:val="1"/>
    </w:pPr>
    <w:rPr>
      <w:rFonts w:ascii="宋体" w:hAnsi="宋体"/>
      <w:b/>
      <w:bCs/>
      <w:kern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styleId="7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脚 Char"/>
    <w:basedOn w:val="10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10"/>
    <w:link w:val="5"/>
    <w:qFormat/>
    <w:locked/>
    <w:uiPriority w:val="99"/>
    <w:rPr>
      <w:rFonts w:cs="Times New Roman"/>
      <w:sz w:val="18"/>
      <w:szCs w:val="18"/>
    </w:rPr>
  </w:style>
  <w:style w:type="table" w:customStyle="1" w:styleId="13">
    <w:name w:val="网格型1"/>
    <w:basedOn w:val="8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1"/>
    <w:qFormat/>
    <w:uiPriority w:val="0"/>
    <w:pPr>
      <w:spacing w:line="360" w:lineRule="auto"/>
      <w:ind w:firstLine="200" w:firstLineChars="200"/>
    </w:pPr>
    <w:rPr>
      <w:rFonts w:ascii="Times New Roman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7</Pages>
  <Words>1150</Words>
  <Characters>1319</Characters>
  <Lines>27</Lines>
  <Paragraphs>7</Paragraphs>
  <TotalTime>0</TotalTime>
  <ScaleCrop>false</ScaleCrop>
  <LinksUpToDate>false</LinksUpToDate>
  <CharactersWithSpaces>1341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2021-05-29T03:20:00Z</dcterms:created>
  <dc:creator>wangzhen</dc:creator>
  <cp:lastModifiedBy>星仔</cp:lastModifiedBy>
  <dcterms:modified xsi:type="dcterms:W3CDTF">2026-06-18T03:28:31Z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_DocHome">
    <vt:i4>1275516679</vt:i4>
  </property>
  <property fmtid="{D5CDD505-2E9C-101B-9397-08002B2CF9AE}" pid="4" name="ICV">
    <vt:lpwstr>76A0E8ECC6A84047B69F15B5D7718A02_13</vt:lpwstr>
  </property>
  <property fmtid="{D5CDD505-2E9C-101B-9397-08002B2CF9AE}" pid="5" name="KSOTemplateDocerSaveRecord">
    <vt:lpwstr>eyJoZGlkIjoiZDgyZmI2OGNiMjJkOTZmOTQ3MDEwNDQwYzdiZmE1NjQiLCJ1c2VySWQiOiIxMDE0MDQxOTkxIn0=</vt:lpwstr>
  </property>
</Properties>
</file>