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rPr>
          <w:color w:val="auto"/>
        </w:rPr>
      </w:pPr>
      <w:r>
        <w:rPr>
          <w:color w:val="auto"/>
        </w:rPr>
        <w:t>采购询</w:t>
      </w:r>
      <w:bookmarkStart w:id="2" w:name="_GoBack"/>
      <w:bookmarkEnd w:id="2"/>
      <w:r>
        <w:rPr>
          <w:color w:val="auto"/>
        </w:rPr>
        <w:t>价书</w:t>
      </w:r>
    </w:p>
    <w:p w14:paraId="0DDD079B">
      <w:pPr>
        <w:numPr>
          <w:ilvl w:val="0"/>
          <w:numId w:val="0"/>
        </w:numPr>
        <w:spacing w:before="0" w:beforeAutospacing="1" w:after="0" w:afterAutospacing="1"/>
        <w:ind w:firstLine="420" w:firstLineChars="200"/>
        <w:rPr>
          <w:color w:val="auto"/>
        </w:rPr>
      </w:pPr>
      <w:r>
        <w:rPr>
          <w:rFonts w:hint="eastAsia"/>
          <w:color w:val="auto"/>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ageBreakBefore w:val="0"/>
        <w:widowControl w:val="0"/>
        <w:kinsoku/>
        <w:wordWrap/>
        <w:overflowPunct/>
        <w:topLinePunct w:val="0"/>
        <w:autoSpaceDE/>
        <w:autoSpaceDN/>
        <w:bidi w:val="0"/>
        <w:adjustRightInd/>
        <w:snapToGrid/>
        <w:spacing w:line="360" w:lineRule="exact"/>
        <w:ind w:firstLine="643" w:firstLineChars="200"/>
        <w:textAlignment w:val="auto"/>
        <w:rPr>
          <w:color w:val="auto"/>
        </w:rPr>
      </w:pPr>
      <w:r>
        <w:rPr>
          <w:color w:val="auto"/>
        </w:rPr>
        <w:t>一、项目概况</w:t>
      </w:r>
    </w:p>
    <w:p w14:paraId="4F7B632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726" w:leftChars="0" w:hanging="363" w:firstLineChars="0"/>
        <w:textAlignment w:val="auto"/>
        <w:rPr>
          <w:rFonts w:hint="eastAsia" w:asciiTheme="minorEastAsia" w:hAnsiTheme="minorEastAsia" w:eastAsiaTheme="minorEastAsia" w:cstheme="minorEastAsia"/>
          <w:b w:val="0"/>
          <w:bCs w:val="0"/>
          <w:color w:val="auto"/>
          <w:sz w:val="21"/>
          <w:szCs w:val="21"/>
          <w:lang w:val="en-US" w:eastAsia="zh-CN" w:bidi="ar-SA"/>
        </w:rPr>
      </w:pPr>
      <w:r>
        <w:rPr>
          <w:rFonts w:hint="default" w:asciiTheme="minorEastAsia" w:hAnsiTheme="minorEastAsia" w:eastAsiaTheme="minorEastAsia" w:cstheme="minorEastAsia"/>
          <w:b/>
          <w:bCs/>
          <w:color w:val="auto"/>
          <w:sz w:val="21"/>
          <w:szCs w:val="21"/>
          <w:lang w:val="en-US" w:eastAsia="zh-CN" w:bidi="ar-SA"/>
        </w:rPr>
        <w:t>1.</w:t>
      </w:r>
      <w:r>
        <w:rPr>
          <w:rFonts w:hint="eastAsia" w:asciiTheme="minorEastAsia" w:hAnsiTheme="minorEastAsia" w:eastAsiaTheme="minorEastAsia" w:cstheme="minorEastAsia"/>
          <w:b/>
          <w:bCs/>
          <w:color w:val="auto"/>
          <w:sz w:val="21"/>
          <w:szCs w:val="21"/>
          <w:lang w:val="en-US" w:eastAsia="zh-CN" w:bidi="ar-SA"/>
        </w:rPr>
        <w:t>项目名称：</w:t>
      </w:r>
      <w:r>
        <w:rPr>
          <w:rFonts w:hint="eastAsia" w:asciiTheme="minorEastAsia" w:hAnsiTheme="minorEastAsia" w:eastAsiaTheme="minorEastAsia" w:cstheme="minorEastAsia"/>
          <w:b w:val="0"/>
          <w:bCs w:val="0"/>
          <w:color w:val="auto"/>
          <w:sz w:val="21"/>
          <w:szCs w:val="21"/>
          <w:lang w:val="en-US" w:eastAsia="zh-CN" w:bidi="ar-SA"/>
        </w:rPr>
        <w:t>精制醋酸改造项目检测服务</w:t>
      </w:r>
    </w:p>
    <w:p w14:paraId="2B555F9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726" w:leftChars="0" w:hanging="363" w:firstLineChars="0"/>
        <w:textAlignment w:val="auto"/>
        <w:rPr>
          <w:rFonts w:hint="eastAsia" w:asciiTheme="minorEastAsia" w:hAnsiTheme="minorEastAsia" w:eastAsiaTheme="minorEastAsia" w:cstheme="minorEastAsia"/>
          <w:b/>
          <w:bCs/>
          <w:color w:val="auto"/>
          <w:sz w:val="21"/>
          <w:szCs w:val="21"/>
          <w:lang w:val="en-US" w:eastAsia="zh-CN" w:bidi="ar-SA"/>
        </w:rPr>
      </w:pPr>
      <w:r>
        <w:rPr>
          <w:rFonts w:hint="default" w:asciiTheme="minorEastAsia" w:hAnsiTheme="minorEastAsia" w:eastAsiaTheme="minorEastAsia" w:cstheme="minorEastAsia"/>
          <w:b/>
          <w:bCs/>
          <w:color w:val="auto"/>
          <w:sz w:val="21"/>
          <w:szCs w:val="21"/>
          <w:lang w:val="en-US" w:eastAsia="zh-CN" w:bidi="ar-SA"/>
        </w:rPr>
        <w:t>2.</w:t>
      </w:r>
      <w:r>
        <w:rPr>
          <w:rFonts w:hint="eastAsia" w:asciiTheme="minorEastAsia" w:hAnsiTheme="minorEastAsia" w:eastAsiaTheme="minorEastAsia" w:cstheme="minorEastAsia"/>
          <w:b/>
          <w:bCs/>
          <w:color w:val="auto"/>
          <w:sz w:val="21"/>
          <w:szCs w:val="21"/>
          <w:lang w:val="en-US" w:eastAsia="zh-CN" w:bidi="ar-SA"/>
        </w:rPr>
        <w:t>采 购 人：</w:t>
      </w:r>
      <w:r>
        <w:rPr>
          <w:rFonts w:hint="eastAsia" w:asciiTheme="minorEastAsia" w:hAnsiTheme="minorEastAsia" w:eastAsiaTheme="minorEastAsia" w:cstheme="minorEastAsia"/>
          <w:b w:val="0"/>
          <w:bCs w:val="0"/>
          <w:color w:val="auto"/>
          <w:sz w:val="21"/>
          <w:szCs w:val="21"/>
          <w:lang w:val="en-US" w:eastAsia="zh-CN" w:bidi="ar-SA"/>
        </w:rPr>
        <w:t>江苏索普化工股份有限公司</w:t>
      </w:r>
    </w:p>
    <w:p w14:paraId="24EBA3D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726" w:leftChars="0" w:hanging="363" w:firstLineChars="0"/>
        <w:textAlignment w:val="auto"/>
        <w:rPr>
          <w:rFonts w:hint="eastAsia" w:asciiTheme="minorEastAsia" w:hAnsiTheme="minorEastAsia" w:eastAsiaTheme="minorEastAsia" w:cstheme="minorEastAsia"/>
          <w:b w:val="0"/>
          <w:bCs w:val="0"/>
          <w:color w:val="auto"/>
          <w:sz w:val="21"/>
          <w:szCs w:val="21"/>
          <w:lang w:val="en-US" w:eastAsia="zh-CN" w:bidi="ar-SA"/>
        </w:rPr>
      </w:pPr>
      <w:r>
        <w:rPr>
          <w:rFonts w:hint="default" w:asciiTheme="minorEastAsia" w:hAnsiTheme="minorEastAsia" w:eastAsiaTheme="minorEastAsia" w:cstheme="minorEastAsia"/>
          <w:b/>
          <w:bCs/>
          <w:color w:val="auto"/>
          <w:sz w:val="21"/>
          <w:szCs w:val="21"/>
          <w:lang w:val="en-US" w:eastAsia="zh-CN" w:bidi="ar-SA"/>
        </w:rPr>
        <w:t>3.</w:t>
      </w:r>
      <w:r>
        <w:rPr>
          <w:rFonts w:hint="eastAsia" w:asciiTheme="minorEastAsia" w:hAnsiTheme="minorEastAsia" w:eastAsiaTheme="minorEastAsia" w:cstheme="minorEastAsia"/>
          <w:b/>
          <w:bCs/>
          <w:color w:val="auto"/>
          <w:sz w:val="21"/>
          <w:szCs w:val="21"/>
          <w:lang w:val="en-US" w:eastAsia="zh-CN" w:bidi="ar-SA"/>
        </w:rPr>
        <w:t>报价截止与评审时间：</w:t>
      </w:r>
      <w:r>
        <w:rPr>
          <w:rFonts w:hint="eastAsia" w:asciiTheme="minorEastAsia" w:hAnsiTheme="minorEastAsia" w:eastAsiaTheme="minorEastAsia" w:cstheme="minorEastAsia"/>
          <w:b w:val="0"/>
          <w:bCs w:val="0"/>
          <w:color w:val="auto"/>
          <w:sz w:val="21"/>
          <w:szCs w:val="21"/>
          <w:lang w:val="en-US" w:eastAsia="zh-CN" w:bidi="ar-SA"/>
        </w:rPr>
        <w:t>2026年7月30日14:00（北京时间）</w:t>
      </w:r>
    </w:p>
    <w:p w14:paraId="696D82A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726" w:leftChars="0" w:hanging="363" w:firstLineChars="0"/>
        <w:textAlignment w:val="auto"/>
        <w:rPr>
          <w:rFonts w:hint="eastAsia" w:asciiTheme="minorEastAsia" w:hAnsiTheme="minorEastAsia" w:eastAsiaTheme="minorEastAsia" w:cstheme="minorEastAsia"/>
          <w:b w:val="0"/>
          <w:bCs w:val="0"/>
          <w:color w:val="auto"/>
          <w:sz w:val="21"/>
          <w:szCs w:val="21"/>
          <w:lang w:val="en-US" w:eastAsia="zh-CN" w:bidi="ar-SA"/>
        </w:rPr>
      </w:pPr>
      <w:r>
        <w:rPr>
          <w:rFonts w:hint="default" w:asciiTheme="minorEastAsia" w:hAnsiTheme="minorEastAsia" w:eastAsiaTheme="minorEastAsia" w:cstheme="minorEastAsia"/>
          <w:b/>
          <w:bCs/>
          <w:color w:val="auto"/>
          <w:sz w:val="21"/>
          <w:szCs w:val="21"/>
          <w:lang w:val="en-US" w:eastAsia="zh-CN" w:bidi="ar-SA"/>
        </w:rPr>
        <w:t>4.</w:t>
      </w:r>
      <w:r>
        <w:rPr>
          <w:rFonts w:hint="eastAsia" w:asciiTheme="minorEastAsia" w:hAnsiTheme="minorEastAsia" w:eastAsiaTheme="minorEastAsia" w:cstheme="minorEastAsia"/>
          <w:b/>
          <w:bCs/>
          <w:color w:val="auto"/>
          <w:sz w:val="21"/>
          <w:szCs w:val="21"/>
          <w:lang w:val="en-US" w:eastAsia="zh-CN" w:bidi="ar-SA"/>
        </w:rPr>
        <w:t>评审地点：</w:t>
      </w:r>
      <w:r>
        <w:rPr>
          <w:rFonts w:hint="eastAsia" w:asciiTheme="minorEastAsia" w:hAnsiTheme="minorEastAsia" w:eastAsiaTheme="minorEastAsia" w:cstheme="minorEastAsia"/>
          <w:b w:val="0"/>
          <w:bCs w:val="0"/>
          <w:color w:val="auto"/>
          <w:sz w:val="21"/>
          <w:szCs w:val="21"/>
          <w:lang w:val="en-US" w:eastAsia="zh-CN" w:bidi="ar-SA"/>
        </w:rPr>
        <w:t>江苏索普（集团）有限公司评审中心</w:t>
      </w:r>
    </w:p>
    <w:p w14:paraId="57A490E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726" w:leftChars="0" w:hanging="363" w:firstLineChars="0"/>
        <w:textAlignment w:val="auto"/>
        <w:rPr>
          <w:rFonts w:hint="eastAsia" w:asciiTheme="minorEastAsia" w:hAnsiTheme="minorEastAsia" w:eastAsiaTheme="minorEastAsia" w:cstheme="minorEastAsia"/>
          <w:b w:val="0"/>
          <w:bCs w:val="0"/>
          <w:color w:val="auto"/>
          <w:sz w:val="21"/>
          <w:szCs w:val="21"/>
          <w:lang w:val="en-US" w:eastAsia="zh-CN" w:bidi="ar-SA"/>
        </w:rPr>
      </w:pPr>
      <w:r>
        <w:rPr>
          <w:rFonts w:hint="default" w:asciiTheme="minorEastAsia" w:hAnsiTheme="minorEastAsia" w:eastAsiaTheme="minorEastAsia" w:cstheme="minorEastAsia"/>
          <w:b/>
          <w:bCs/>
          <w:color w:val="auto"/>
          <w:sz w:val="21"/>
          <w:szCs w:val="21"/>
          <w:lang w:val="en-US" w:eastAsia="zh-CN" w:bidi="ar-SA"/>
        </w:rPr>
        <w:t>5.</w:t>
      </w:r>
      <w:r>
        <w:rPr>
          <w:rFonts w:hint="eastAsia" w:asciiTheme="minorEastAsia" w:hAnsiTheme="minorEastAsia" w:eastAsiaTheme="minorEastAsia" w:cstheme="minorEastAsia"/>
          <w:b/>
          <w:bCs/>
          <w:color w:val="auto"/>
          <w:sz w:val="21"/>
          <w:szCs w:val="21"/>
          <w:lang w:val="en-US" w:eastAsia="zh-CN" w:bidi="ar-SA"/>
        </w:rPr>
        <w:t>公示查询：</w:t>
      </w:r>
      <w:r>
        <w:rPr>
          <w:rFonts w:hint="eastAsia" w:asciiTheme="minorEastAsia" w:hAnsiTheme="minorEastAsia" w:eastAsiaTheme="minorEastAsia" w:cstheme="minorEastAsia"/>
          <w:b w:val="0"/>
          <w:bCs w:val="0"/>
          <w:color w:val="auto"/>
          <w:sz w:val="21"/>
          <w:szCs w:val="21"/>
          <w:lang w:val="en-US" w:eastAsia="zh-CN" w:bidi="ar-SA"/>
        </w:rPr>
        <w:t>www.sopo.com.cn</w:t>
      </w:r>
    </w:p>
    <w:p w14:paraId="76821092">
      <w:pPr>
        <w:pStyle w:val="3"/>
        <w:pageBreakBefore w:val="0"/>
        <w:widowControl w:val="0"/>
        <w:kinsoku/>
        <w:wordWrap/>
        <w:overflowPunct/>
        <w:topLinePunct w:val="0"/>
        <w:autoSpaceDE/>
        <w:autoSpaceDN/>
        <w:bidi w:val="0"/>
        <w:adjustRightInd/>
        <w:snapToGrid/>
        <w:spacing w:line="360" w:lineRule="exact"/>
        <w:ind w:firstLine="643" w:firstLineChars="200"/>
        <w:textAlignment w:val="auto"/>
        <w:rPr>
          <w:color w:val="auto"/>
        </w:rPr>
      </w:pPr>
      <w:r>
        <w:rPr>
          <w:color w:val="auto"/>
        </w:rPr>
        <w:t>二、采购</w:t>
      </w:r>
      <w:r>
        <w:rPr>
          <w:rFonts w:hint="eastAsia"/>
          <w:color w:val="auto"/>
          <w:lang w:val="en-US" w:eastAsia="zh-CN"/>
        </w:rPr>
        <w:t>服务</w:t>
      </w:r>
      <w:r>
        <w:rPr>
          <w:color w:val="auto"/>
        </w:rPr>
        <w:t>内容及要求</w:t>
      </w:r>
    </w:p>
    <w:p w14:paraId="15B9386C">
      <w:pPr>
        <w:pageBreakBefore w:val="0"/>
        <w:widowControl w:val="0"/>
        <w:kinsoku/>
        <w:wordWrap/>
        <w:overflowPunct/>
        <w:topLinePunct w:val="0"/>
        <w:autoSpaceDE/>
        <w:autoSpaceDN/>
        <w:bidi w:val="0"/>
        <w:adjustRightInd/>
        <w:snapToGrid/>
        <w:spacing w:line="360" w:lineRule="exact"/>
        <w:ind w:firstLine="210" w:firstLineChars="100"/>
        <w:textAlignment w:val="auto"/>
        <w:rPr>
          <w:rFonts w:hint="eastAsia"/>
          <w:color w:val="auto"/>
          <w:lang w:val="en-US" w:eastAsia="zh-CN"/>
        </w:rPr>
      </w:pPr>
      <w:r>
        <w:rPr>
          <w:rFonts w:hint="eastAsia"/>
          <w:color w:val="auto"/>
          <w:lang w:val="en-US" w:eastAsia="zh-CN"/>
        </w:rPr>
        <w:t xml:space="preserve">（一）采购项目内容及范围    </w:t>
      </w:r>
    </w:p>
    <w:p w14:paraId="3337E598">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color w:val="auto"/>
          <w:lang w:val="en-US" w:eastAsia="zh-CN"/>
        </w:rPr>
      </w:pPr>
      <w:r>
        <w:rPr>
          <w:rFonts w:hint="eastAsia"/>
          <w:color w:val="auto"/>
          <w:lang w:val="en-US" w:eastAsia="zh-CN"/>
        </w:rPr>
        <w:t>1.精制醋酸改造项目所涉及的所有检测（材料、基础、测绘等）；本项目预计总投资为4000万元，以实际发生为准，不接受联合体；</w:t>
      </w:r>
    </w:p>
    <w:p w14:paraId="43D7E0E6">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2.服务期：与施工工期同步、</w:t>
      </w:r>
      <w:r>
        <w:rPr>
          <w:rFonts w:hint="eastAsia" w:ascii="宋体" w:hAnsi="宋体" w:cs="宋体"/>
          <w:bCs/>
          <w:color w:val="auto"/>
          <w:sz w:val="21"/>
          <w:szCs w:val="21"/>
          <w:lang w:val="en-US" w:eastAsia="zh-CN"/>
        </w:rPr>
        <w:t>项目计划工期2026年9月至2027年3月</w:t>
      </w:r>
      <w:r>
        <w:rPr>
          <w:rFonts w:hint="eastAsia"/>
          <w:color w:val="auto"/>
          <w:lang w:val="en-US" w:eastAsia="zh-CN"/>
        </w:rPr>
        <w:t>；</w:t>
      </w:r>
    </w:p>
    <w:p w14:paraId="2C007723">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3.服务地点：江苏镇江；</w:t>
      </w:r>
    </w:p>
    <w:p w14:paraId="0E4DBC39">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color w:val="auto"/>
          <w:lang w:val="en-US" w:eastAsia="zh-CN"/>
        </w:rPr>
      </w:pPr>
      <w:r>
        <w:rPr>
          <w:rFonts w:hint="eastAsia"/>
          <w:color w:val="auto"/>
          <w:lang w:val="en-US" w:eastAsia="zh-CN"/>
        </w:rPr>
        <w:t>4.质量要求或服务标准：符合国家现行施工质量验收规范，达到合格标准</w:t>
      </w:r>
      <w:r>
        <w:rPr>
          <w:rFonts w:hint="eastAsia" w:ascii="宋体" w:hAnsi="宋体" w:eastAsia="宋体" w:cs="宋体"/>
          <w:bCs/>
          <w:color w:val="auto"/>
          <w:sz w:val="21"/>
          <w:szCs w:val="21"/>
        </w:rPr>
        <w:t>；</w:t>
      </w:r>
    </w:p>
    <w:p w14:paraId="3C06393A">
      <w:pPr>
        <w:pStyle w:val="4"/>
        <w:pageBreakBefore w:val="0"/>
        <w:widowControl w:val="0"/>
        <w:kinsoku/>
        <w:wordWrap/>
        <w:overflowPunct/>
        <w:topLinePunct w:val="0"/>
        <w:autoSpaceDE/>
        <w:autoSpaceDN/>
        <w:bidi w:val="0"/>
        <w:adjustRightInd/>
        <w:snapToGrid/>
        <w:spacing w:line="360" w:lineRule="exact"/>
        <w:ind w:firstLine="643" w:firstLineChars="200"/>
        <w:textAlignment w:val="auto"/>
        <w:rPr>
          <w:color w:val="auto"/>
        </w:rPr>
      </w:pPr>
      <w:r>
        <w:rPr>
          <w:rFonts w:hint="eastAsia" w:eastAsia="宋体"/>
          <w:color w:val="auto"/>
          <w:lang w:val="en-US" w:eastAsia="zh-CN"/>
        </w:rPr>
        <w:t>三、报价</w:t>
      </w:r>
      <w:r>
        <w:rPr>
          <w:color w:val="auto"/>
        </w:rPr>
        <w:t>资质</w:t>
      </w:r>
      <w:r>
        <w:rPr>
          <w:rFonts w:hint="eastAsia" w:eastAsia="宋体"/>
          <w:color w:val="auto"/>
          <w:lang w:val="en-US" w:eastAsia="zh-CN"/>
        </w:rPr>
        <w:t>要求</w:t>
      </w:r>
    </w:p>
    <w:p w14:paraId="19503DBB">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color w:val="auto"/>
          <w:lang w:val="en-US" w:eastAsia="zh-CN"/>
        </w:rPr>
      </w:pPr>
      <w:r>
        <w:rPr>
          <w:rFonts w:hint="eastAsia"/>
          <w:color w:val="auto"/>
          <w:lang w:val="en-US" w:eastAsia="zh-CN"/>
        </w:rPr>
        <w:t>（一）报价人必须具有合法的在有效期内的营业执照（提供营业执照复印件并加盖报价人单位公章）；营业执照范围需包含建设工程</w:t>
      </w:r>
      <w:r>
        <w:rPr>
          <w:rFonts w:hint="eastAsia"/>
          <w:color w:val="auto"/>
        </w:rPr>
        <w:t>检验检测与鉴定评价</w:t>
      </w:r>
      <w:r>
        <w:rPr>
          <w:rFonts w:hint="eastAsia" w:cs="Times New Roman"/>
          <w:color w:val="auto"/>
          <w:lang w:val="en-US" w:eastAsia="zh-CN"/>
        </w:rPr>
        <w:t>等</w:t>
      </w:r>
      <w:r>
        <w:rPr>
          <w:rFonts w:hint="eastAsia"/>
          <w:color w:val="auto"/>
          <w:lang w:val="en-US" w:eastAsia="zh-CN"/>
        </w:rPr>
        <w:t>业务。</w:t>
      </w:r>
    </w:p>
    <w:p w14:paraId="73E2F6BD">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（二）其他资质要求：</w:t>
      </w:r>
    </w:p>
    <w:p w14:paraId="2529DDF8">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1．报价人必须具备建设行政主管部门核发的《建设工程质量检测机构资质证书》，资质范围应包含“见证取样检测”和“地基基础检测”等该工程相关检测，并取得省级及以上市场监督管理局颁发的检验检测机构资质认定证书。（提供复印件并加盖公章）</w:t>
      </w:r>
    </w:p>
    <w:p w14:paraId="1D58D4D2">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bookmarkStart w:id="0" w:name="OLE_LINK10"/>
      <w:bookmarkStart w:id="1" w:name="OLE_LINK9"/>
      <w:r>
        <w:rPr>
          <w:rFonts w:hint="eastAsia"/>
          <w:color w:val="auto"/>
          <w:lang w:val="en-US" w:eastAsia="zh-CN"/>
        </w:rPr>
        <w:t>2.</w:t>
      </w:r>
      <w:bookmarkEnd w:id="0"/>
      <w:bookmarkEnd w:id="1"/>
      <w:r>
        <w:rPr>
          <w:rFonts w:hint="eastAsia"/>
          <w:color w:val="auto"/>
          <w:lang w:val="en-US" w:eastAsia="zh-CN"/>
        </w:rPr>
        <w:t>项目负责人应具有工程师或以上技术职称，且具有省级及以上建设行政主管部门核发的建设工程质量检测人员岗位合格证。（提供复印件并加盖公章）</w:t>
      </w:r>
    </w:p>
    <w:p w14:paraId="6820E2F9">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3.项目组成员必须不少于4人（含项目负责人），具有省级及以上建设行政主管部门核发的建设工程质量检测人员岗位合格证。（提供复印件并加盖公章）</w:t>
      </w:r>
    </w:p>
    <w:p w14:paraId="1A486A64">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4.公开采购时审定的项目组人员与实际人员应一致，未经业主同意不得变更。</w:t>
      </w:r>
    </w:p>
    <w:p w14:paraId="3621D70D">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5.本项目不允许任何形式的分包（如沉降观测等），并且防雷接地检测的报告以及该项目检测内容涉及的报告必须得到镇江市工程质量监督站的认可。</w:t>
      </w:r>
    </w:p>
    <w:p w14:paraId="1450D8C5">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（三）根据甲方初步提供的图纸提供初步检测计划及方案。</w:t>
      </w:r>
    </w:p>
    <w:p w14:paraId="5CB14D77">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（四）合同签订后10天内成交人应完成完善检测方案的编制并报质监站审核通过。</w:t>
      </w:r>
    </w:p>
    <w:p w14:paraId="0A63C902">
      <w:pPr>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lang w:val="en-US" w:eastAsia="zh-CN"/>
        </w:rPr>
      </w:pPr>
      <w:r>
        <w:rPr>
          <w:rFonts w:hint="eastAsia"/>
          <w:color w:val="auto"/>
          <w:lang w:val="en-US" w:eastAsia="zh-CN"/>
        </w:rPr>
        <w:t>（五）报价人须具有2023-2025年度三个以上相关业绩，并提供类似业绩证明，若2023-2025年在我公司有服务业绩的可不提供。</w:t>
      </w:r>
    </w:p>
    <w:p w14:paraId="7E91D100">
      <w:pPr>
        <w:pStyle w:val="3"/>
        <w:pageBreakBefore w:val="0"/>
        <w:widowControl w:val="0"/>
        <w:kinsoku/>
        <w:wordWrap/>
        <w:overflowPunct/>
        <w:topLinePunct w:val="0"/>
        <w:autoSpaceDE/>
        <w:autoSpaceDN/>
        <w:bidi w:val="0"/>
        <w:adjustRightInd/>
        <w:snapToGrid/>
        <w:spacing w:line="360" w:lineRule="exact"/>
        <w:ind w:firstLine="640" w:firstLineChars="200"/>
        <w:textAlignment w:val="auto"/>
        <w:rPr>
          <w:color w:val="auto"/>
        </w:rPr>
      </w:pPr>
      <w:r>
        <w:rPr>
          <w:rFonts w:hint="eastAsia" w:ascii="Times New Roman" w:hAnsi="Times New Roman" w:eastAsia="‹ÎSå" w:cs="Times New Roman"/>
          <w:b/>
          <w:color w:val="auto"/>
          <w:sz w:val="32"/>
          <w:szCs w:val="32"/>
          <w:lang w:val="en-US" w:eastAsia="zh-CN" w:bidi="ar-SA"/>
        </w:rPr>
        <w:t>四、</w:t>
      </w:r>
      <w:r>
        <w:rPr>
          <w:color w:val="auto"/>
        </w:rPr>
        <w:t>报价要求</w:t>
      </w:r>
    </w:p>
    <w:p w14:paraId="74662129">
      <w:pPr>
        <w:pStyle w:val="4"/>
        <w:pageBreakBefore w:val="0"/>
        <w:widowControl w:val="0"/>
        <w:kinsoku/>
        <w:wordWrap/>
        <w:overflowPunct/>
        <w:topLinePunct w:val="0"/>
        <w:autoSpaceDE/>
        <w:autoSpaceDN/>
        <w:bidi w:val="0"/>
        <w:adjustRightInd/>
        <w:snapToGrid/>
        <w:spacing w:line="360" w:lineRule="exact"/>
        <w:ind w:firstLine="640" w:firstLineChars="200"/>
        <w:textAlignment w:val="auto"/>
        <w:rPr>
          <w:color w:val="auto"/>
        </w:rPr>
      </w:pPr>
      <w:r>
        <w:rPr>
          <w:color w:val="auto"/>
        </w:rPr>
        <w:t>（一）报价方式</w:t>
      </w:r>
    </w:p>
    <w:p w14:paraId="72D64690">
      <w:pPr>
        <w:pStyle w:val="4"/>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eastAsia="宋体" w:cs="Times New Roman"/>
          <w:b/>
          <w:bCs/>
          <w:color w:val="4874CB" w:themeColor="accent1"/>
          <w:sz w:val="21"/>
          <w:szCs w:val="24"/>
          <w:lang w:val="en-US" w:eastAsia="zh-CN" w:bidi="ar-SA"/>
          <w14:textFill>
            <w14:solidFill>
              <w14:schemeClr w14:val="accent1"/>
            </w14:solidFill>
          </w14:textFill>
        </w:rPr>
      </w:pPr>
      <w:r>
        <w:rPr>
          <w:rFonts w:hint="eastAsia" w:ascii="Times New Roman" w:hAnsi="Times New Roman" w:eastAsia="宋体" w:cs="Times New Roman"/>
          <w:b w:val="0"/>
          <w:color w:val="auto"/>
          <w:sz w:val="21"/>
          <w:szCs w:val="24"/>
          <w:lang w:val="en-US" w:eastAsia="zh-CN" w:bidi="ar-SA"/>
        </w:rPr>
        <w:t>1.报价为含增值税价。如国家税率调整，按合同含税价格/（1+合同约定税率）*（1+国家规定的新税率）调整合同价格开具发票；</w:t>
      </w:r>
    </w:p>
    <w:p w14:paraId="6E64C763">
      <w:pPr>
        <w:pStyle w:val="4"/>
        <w:pageBreakBefore w:val="0"/>
        <w:widowControl w:val="0"/>
        <w:kinsoku/>
        <w:wordWrap/>
        <w:overflowPunct/>
        <w:topLinePunct w:val="0"/>
        <w:autoSpaceDE/>
        <w:autoSpaceDN/>
        <w:bidi w:val="0"/>
        <w:adjustRightInd/>
        <w:snapToGrid/>
        <w:spacing w:line="360" w:lineRule="exact"/>
        <w:ind w:firstLine="640" w:firstLineChars="200"/>
        <w:textAlignment w:val="auto"/>
        <w:rPr>
          <w:color w:val="auto"/>
        </w:rPr>
      </w:pPr>
      <w:r>
        <w:rPr>
          <w:color w:val="auto"/>
        </w:rPr>
        <w:t>（二）付款方式</w:t>
      </w:r>
    </w:p>
    <w:p w14:paraId="5E0D4CCA">
      <w:pPr>
        <w:pStyle w:val="10"/>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240" w:lineRule="auto"/>
        <w:ind w:firstLine="420" w:firstLineChars="200"/>
        <w:textAlignment w:val="auto"/>
        <w:rPr>
          <w:rFonts w:hint="eastAsia" w:cs="宋体"/>
          <w:bCs/>
          <w:color w:val="auto"/>
          <w:sz w:val="21"/>
          <w:szCs w:val="21"/>
          <w:lang w:val="en-US" w:eastAsia="zh-CN"/>
        </w:rPr>
      </w:pPr>
      <w:r>
        <w:rPr>
          <w:rFonts w:hint="eastAsia" w:cs="宋体"/>
          <w:bCs/>
          <w:color w:val="auto"/>
          <w:sz w:val="21"/>
          <w:szCs w:val="21"/>
          <w:lang w:val="en-US" w:eastAsia="zh-CN"/>
        </w:rPr>
        <w:t>1.成交单位完成该项目所有服务内容及要求，并且所有报告通过主管部门审查，开具增值税专用发票，票到60天内付款。</w:t>
      </w:r>
    </w:p>
    <w:p w14:paraId="20C16832">
      <w:pPr>
        <w:pStyle w:val="10"/>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240" w:lineRule="auto"/>
        <w:ind w:firstLine="420" w:firstLineChars="200"/>
        <w:textAlignment w:val="auto"/>
        <w:rPr>
          <w:rFonts w:hint="eastAsia" w:cs="宋体"/>
          <w:bCs/>
          <w:color w:val="auto"/>
          <w:sz w:val="21"/>
          <w:szCs w:val="21"/>
          <w:lang w:val="en-US" w:eastAsia="zh-CN"/>
        </w:rPr>
      </w:pPr>
      <w:r>
        <w:rPr>
          <w:rFonts w:hint="eastAsia" w:cs="宋体"/>
          <w:bCs/>
          <w:color w:val="auto"/>
          <w:sz w:val="21"/>
          <w:szCs w:val="21"/>
          <w:lang w:val="en-US" w:eastAsia="zh-CN"/>
        </w:rPr>
        <w:t>2.成交总价10万元以上付承兑；成交总价10万元以下付现汇。</w:t>
      </w:r>
    </w:p>
    <w:p w14:paraId="25BBE6EE">
      <w:pPr>
        <w:pStyle w:val="10"/>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240" w:lineRule="auto"/>
        <w:ind w:firstLine="420" w:firstLineChars="200"/>
        <w:textAlignment w:val="auto"/>
        <w:rPr>
          <w:rFonts w:hint="eastAsia" w:cs="宋体"/>
          <w:bCs/>
          <w:color w:val="auto"/>
          <w:sz w:val="21"/>
          <w:szCs w:val="21"/>
          <w:lang w:val="en-US" w:eastAsia="zh-CN"/>
        </w:rPr>
      </w:pPr>
      <w:r>
        <w:rPr>
          <w:rFonts w:hint="eastAsia" w:cs="宋体"/>
          <w:bCs/>
          <w:color w:val="auto"/>
          <w:sz w:val="21"/>
          <w:szCs w:val="21"/>
          <w:lang w:val="en-US" w:eastAsia="zh-CN"/>
        </w:rPr>
        <w:t>3.如报价人不接受询价人提出的付款方式，可在线下报价书中明确能够接受的付款方式及付款时间，评审时作为参考。报价为含税价，如有不同请注明。如付款方式涉及到预付款，报价人必须在报价书中提供评审前3个月内中国人民银行征信中心出具的企业信用报告并加盖企业公章。</w:t>
      </w:r>
    </w:p>
    <w:p w14:paraId="0CBFDEEF">
      <w:pPr>
        <w:pStyle w:val="4"/>
        <w:pageBreakBefore w:val="0"/>
        <w:widowControl w:val="0"/>
        <w:kinsoku/>
        <w:wordWrap/>
        <w:overflowPunct/>
        <w:topLinePunct w:val="0"/>
        <w:autoSpaceDE/>
        <w:autoSpaceDN/>
        <w:bidi w:val="0"/>
        <w:adjustRightInd/>
        <w:snapToGrid/>
        <w:spacing w:line="360" w:lineRule="exact"/>
        <w:ind w:firstLine="640" w:firstLineChars="200"/>
        <w:textAlignment w:val="auto"/>
        <w:rPr>
          <w:color w:val="auto"/>
        </w:rPr>
      </w:pPr>
      <w:r>
        <w:rPr>
          <w:color w:val="auto"/>
        </w:rPr>
        <w:t>（三）报价提交方式</w:t>
      </w:r>
    </w:p>
    <w:p w14:paraId="12F2DE97">
      <w:pPr>
        <w:pageBreakBefore w:val="0"/>
        <w:widowControl w:val="0"/>
        <w:numPr>
          <w:ilvl w:val="0"/>
          <w:numId w:val="0"/>
        </w:numPr>
        <w:kinsoku/>
        <w:wordWrap/>
        <w:overflowPunct/>
        <w:topLinePunct w:val="0"/>
        <w:autoSpaceDE/>
        <w:autoSpaceDN/>
        <w:bidi w:val="0"/>
        <w:adjustRightInd/>
        <w:snapToGrid/>
        <w:spacing w:before="0" w:beforeAutospacing="1" w:after="0" w:afterAutospacing="1" w:line="360" w:lineRule="exact"/>
        <w:ind w:firstLine="422" w:firstLineChars="200"/>
        <w:textAlignment w:val="auto"/>
        <w:rPr>
          <w:color w:val="auto"/>
        </w:rPr>
      </w:pPr>
      <w:r>
        <w:rPr>
          <w:b/>
          <w:color w:val="auto"/>
        </w:rPr>
        <w:t>线下报价</w:t>
      </w:r>
      <w:r>
        <w:rPr>
          <w:color w:val="auto"/>
        </w:rPr>
        <w:t>：密封送达</w:t>
      </w:r>
      <w:r>
        <w:rPr>
          <w:rFonts w:hint="eastAsia"/>
          <w:color w:val="auto"/>
          <w:lang w:val="en-US" w:eastAsia="zh-CN"/>
        </w:rPr>
        <w:t>或邮寄送达</w:t>
      </w:r>
      <w:r>
        <w:rPr>
          <w:color w:val="auto"/>
        </w:rPr>
        <w:t>（封条需加盖公章、法人章并注明密封日期；封面注明项目名称、供应商信息、联系方式），</w:t>
      </w:r>
      <w:r>
        <w:rPr>
          <w:rFonts w:hint="eastAsia"/>
          <w:color w:val="auto"/>
          <w:lang w:val="en-US" w:eastAsia="zh-CN"/>
        </w:rPr>
        <w:t>邮寄送达需电联报价联系人告知快递单号，逾期无效</w:t>
      </w:r>
      <w:r>
        <w:rPr>
          <w:color w:val="auto"/>
        </w:rPr>
        <w:t>。</w:t>
      </w:r>
    </w:p>
    <w:p w14:paraId="7C743C17">
      <w:pPr>
        <w:pStyle w:val="4"/>
        <w:pageBreakBefore w:val="0"/>
        <w:widowControl w:val="0"/>
        <w:kinsoku/>
        <w:wordWrap/>
        <w:overflowPunct/>
        <w:topLinePunct w:val="0"/>
        <w:autoSpaceDE/>
        <w:autoSpaceDN/>
        <w:bidi w:val="0"/>
        <w:adjustRightInd/>
        <w:snapToGrid/>
        <w:spacing w:line="360" w:lineRule="exact"/>
        <w:ind w:firstLine="640" w:firstLineChars="200"/>
        <w:textAlignment w:val="auto"/>
        <w:rPr>
          <w:color w:val="auto"/>
        </w:rPr>
      </w:pPr>
      <w:r>
        <w:rPr>
          <w:color w:val="auto"/>
        </w:rPr>
        <w:t>（四）送达地址及联系方式</w:t>
      </w:r>
    </w:p>
    <w:p w14:paraId="218DD9AA">
      <w:pPr>
        <w:pageBreakBefore w:val="0"/>
        <w:widowControl w:val="0"/>
        <w:numPr>
          <w:ilvl w:val="0"/>
          <w:numId w:val="1"/>
        </w:numPr>
        <w:kinsoku/>
        <w:wordWrap/>
        <w:overflowPunct/>
        <w:topLinePunct w:val="0"/>
        <w:autoSpaceDE/>
        <w:autoSpaceDN/>
        <w:bidi w:val="0"/>
        <w:adjustRightInd/>
        <w:snapToGrid/>
        <w:spacing w:before="0" w:beforeAutospacing="1" w:after="0" w:afterAutospacing="1" w:line="360" w:lineRule="exact"/>
        <w:ind w:left="720" w:hanging="360"/>
        <w:textAlignment w:val="auto"/>
        <w:rPr>
          <w:color w:val="auto"/>
        </w:rPr>
      </w:pPr>
      <w:r>
        <w:rPr>
          <w:b/>
          <w:color w:val="auto"/>
        </w:rPr>
        <w:t>收件单位</w:t>
      </w:r>
      <w:r>
        <w:rPr>
          <w:color w:val="auto"/>
        </w:rPr>
        <w:t>：江苏索普化工股份有限公司</w:t>
      </w:r>
    </w:p>
    <w:p w14:paraId="09A9996A">
      <w:pPr>
        <w:pageBreakBefore w:val="0"/>
        <w:widowControl w:val="0"/>
        <w:numPr>
          <w:ilvl w:val="0"/>
          <w:numId w:val="1"/>
        </w:numPr>
        <w:kinsoku/>
        <w:wordWrap/>
        <w:overflowPunct/>
        <w:topLinePunct w:val="0"/>
        <w:autoSpaceDE/>
        <w:autoSpaceDN/>
        <w:bidi w:val="0"/>
        <w:adjustRightInd/>
        <w:snapToGrid/>
        <w:spacing w:before="0" w:beforeAutospacing="1" w:after="0" w:afterAutospacing="1" w:line="360" w:lineRule="exact"/>
        <w:ind w:left="720" w:hanging="360"/>
        <w:textAlignment w:val="auto"/>
        <w:rPr>
          <w:color w:val="auto"/>
        </w:rPr>
      </w:pPr>
      <w:r>
        <w:rPr>
          <w:b/>
          <w:color w:val="auto"/>
        </w:rPr>
        <w:t>地</w:t>
      </w:r>
      <w:r>
        <w:rPr>
          <w:rFonts w:hint="eastAsia"/>
          <w:b/>
          <w:color w:val="auto"/>
          <w:lang w:val="en-US" w:eastAsia="zh-CN"/>
        </w:rPr>
        <w:t xml:space="preserve">    </w:t>
      </w:r>
      <w:r>
        <w:rPr>
          <w:b/>
          <w:color w:val="auto"/>
        </w:rPr>
        <w:t>址</w:t>
      </w:r>
      <w:r>
        <w:rPr>
          <w:color w:val="auto"/>
        </w:rPr>
        <w:t>：江苏省镇江市京口区求索路101号（邮编：212006）</w:t>
      </w:r>
    </w:p>
    <w:p w14:paraId="14CC59C7">
      <w:pPr>
        <w:pageBreakBefore w:val="0"/>
        <w:widowControl w:val="0"/>
        <w:numPr>
          <w:ilvl w:val="0"/>
          <w:numId w:val="1"/>
        </w:numPr>
        <w:kinsoku/>
        <w:wordWrap/>
        <w:overflowPunct/>
        <w:topLinePunct w:val="0"/>
        <w:autoSpaceDE/>
        <w:autoSpaceDN/>
        <w:bidi w:val="0"/>
        <w:adjustRightInd/>
        <w:snapToGrid/>
        <w:spacing w:before="0" w:beforeAutospacing="1" w:after="0" w:afterAutospacing="1" w:line="360" w:lineRule="exact"/>
        <w:ind w:left="720" w:hanging="360"/>
        <w:textAlignment w:val="auto"/>
        <w:rPr>
          <w:rFonts w:hint="default"/>
          <w:color w:val="auto"/>
          <w:lang w:val="en-US"/>
        </w:rPr>
      </w:pPr>
      <w:r>
        <w:rPr>
          <w:b/>
          <w:color w:val="auto"/>
        </w:rPr>
        <w:t>联</w:t>
      </w:r>
      <w:r>
        <w:rPr>
          <w:rFonts w:hint="eastAsia"/>
          <w:b/>
          <w:color w:val="auto"/>
          <w:lang w:val="en-US" w:eastAsia="zh-CN"/>
        </w:rPr>
        <w:t xml:space="preserve"> </w:t>
      </w:r>
      <w:r>
        <w:rPr>
          <w:b/>
          <w:color w:val="auto"/>
        </w:rPr>
        <w:t>系</w:t>
      </w:r>
      <w:r>
        <w:rPr>
          <w:rFonts w:hint="eastAsia"/>
          <w:b/>
          <w:color w:val="auto"/>
          <w:lang w:val="en-US" w:eastAsia="zh-CN"/>
        </w:rPr>
        <w:t xml:space="preserve"> </w:t>
      </w:r>
      <w:r>
        <w:rPr>
          <w:b/>
          <w:color w:val="auto"/>
        </w:rPr>
        <w:t>人</w:t>
      </w:r>
      <w:r>
        <w:rPr>
          <w:color w:val="auto"/>
        </w:rPr>
        <w:t>：</w:t>
      </w:r>
      <w:r>
        <w:rPr>
          <w:rFonts w:hint="eastAsia"/>
          <w:color w:val="auto"/>
          <w:lang w:val="en-US" w:eastAsia="zh-CN"/>
        </w:rPr>
        <w:t>张非</w:t>
      </w:r>
      <w:r>
        <w:rPr>
          <w:color w:val="auto"/>
        </w:rPr>
        <w:t>，电话：</w:t>
      </w:r>
      <w:r>
        <w:rPr>
          <w:rFonts w:hint="eastAsia"/>
          <w:color w:val="auto"/>
          <w:lang w:val="en-US" w:eastAsia="zh-CN"/>
        </w:rPr>
        <w:t>15805288780</w:t>
      </w:r>
    </w:p>
    <w:p w14:paraId="46E1F8B6">
      <w:pPr>
        <w:pStyle w:val="4"/>
        <w:pageBreakBefore w:val="0"/>
        <w:widowControl w:val="0"/>
        <w:kinsoku/>
        <w:wordWrap/>
        <w:overflowPunct/>
        <w:topLinePunct w:val="0"/>
        <w:autoSpaceDE/>
        <w:autoSpaceDN/>
        <w:bidi w:val="0"/>
        <w:adjustRightInd/>
        <w:snapToGrid/>
        <w:spacing w:line="360" w:lineRule="exact"/>
        <w:ind w:firstLine="640" w:firstLineChars="200"/>
        <w:textAlignment w:val="auto"/>
        <w:rPr>
          <w:color w:val="auto"/>
        </w:rPr>
      </w:pPr>
      <w:r>
        <w:rPr>
          <w:color w:val="auto"/>
        </w:rPr>
        <w:t>（五）疑问咨询</w:t>
      </w:r>
    </w:p>
    <w:p w14:paraId="20BA2C34">
      <w:pPr>
        <w:pageBreakBefore w:val="0"/>
        <w:widowControl w:val="0"/>
        <w:numPr>
          <w:ilvl w:val="0"/>
          <w:numId w:val="2"/>
        </w:numPr>
        <w:kinsoku/>
        <w:wordWrap/>
        <w:overflowPunct/>
        <w:topLinePunct w:val="0"/>
        <w:autoSpaceDE/>
        <w:autoSpaceDN/>
        <w:bidi w:val="0"/>
        <w:adjustRightInd/>
        <w:snapToGrid/>
        <w:spacing w:before="0" w:beforeAutospacing="1" w:after="0" w:afterAutospacing="1" w:line="360" w:lineRule="exact"/>
        <w:ind w:left="720" w:hanging="360"/>
        <w:textAlignment w:val="auto"/>
        <w:rPr>
          <w:color w:val="auto"/>
        </w:rPr>
      </w:pPr>
      <w:r>
        <w:rPr>
          <w:rFonts w:hint="eastAsia"/>
          <w:b/>
          <w:color w:val="auto"/>
          <w:lang w:val="en-US" w:eastAsia="zh-CN"/>
        </w:rPr>
        <w:t>报价</w:t>
      </w:r>
      <w:r>
        <w:rPr>
          <w:b/>
          <w:color w:val="auto"/>
        </w:rPr>
        <w:t>联系人</w:t>
      </w:r>
      <w:r>
        <w:rPr>
          <w:color w:val="auto"/>
        </w:rPr>
        <w:t>：</w:t>
      </w:r>
      <w:r>
        <w:rPr>
          <w:rFonts w:hint="eastAsia"/>
          <w:color w:val="auto"/>
          <w:lang w:val="en-US" w:eastAsia="zh-CN"/>
        </w:rPr>
        <w:t>张非     15805288780</w:t>
      </w:r>
    </w:p>
    <w:p w14:paraId="7A111C8A">
      <w:pPr>
        <w:pageBreakBefore w:val="0"/>
        <w:widowControl w:val="0"/>
        <w:numPr>
          <w:ilvl w:val="0"/>
          <w:numId w:val="2"/>
        </w:numPr>
        <w:kinsoku/>
        <w:wordWrap/>
        <w:overflowPunct/>
        <w:topLinePunct w:val="0"/>
        <w:autoSpaceDE/>
        <w:autoSpaceDN/>
        <w:bidi w:val="0"/>
        <w:adjustRightInd/>
        <w:snapToGrid/>
        <w:spacing w:before="0" w:beforeAutospacing="1" w:after="0" w:afterAutospacing="1" w:line="360" w:lineRule="exact"/>
        <w:ind w:left="720" w:hanging="360"/>
        <w:textAlignment w:val="auto"/>
        <w:rPr>
          <w:rFonts w:hint="default"/>
          <w:color w:val="auto"/>
          <w:lang w:val="en-US"/>
        </w:rPr>
      </w:pPr>
      <w:r>
        <w:rPr>
          <w:rFonts w:hint="eastAsia"/>
          <w:b/>
          <w:color w:val="auto"/>
          <w:lang w:val="en-US" w:eastAsia="zh-CN"/>
        </w:rPr>
        <w:t>部门负责人</w:t>
      </w:r>
      <w:r>
        <w:rPr>
          <w:color w:val="auto"/>
        </w:rPr>
        <w:t>：</w:t>
      </w:r>
      <w:r>
        <w:rPr>
          <w:rFonts w:hint="eastAsia"/>
          <w:color w:val="auto"/>
          <w:lang w:val="en-US" w:eastAsia="zh-CN"/>
        </w:rPr>
        <w:t>郭如涛   13952813406</w:t>
      </w:r>
    </w:p>
    <w:p w14:paraId="21BF4B68">
      <w:pPr>
        <w:pStyle w:val="3"/>
        <w:tabs>
          <w:tab w:val="left" w:pos="730"/>
          <w:tab w:val="right" w:leader="dot" w:pos="8296"/>
        </w:tabs>
        <w:ind w:firstLine="643" w:firstLineChars="200"/>
        <w:jc w:val="left"/>
        <w:rPr>
          <w:rFonts w:hint="eastAsia" w:ascii="Times New Roman" w:hAnsi="Times New Roman" w:eastAsia="宋体" w:cs="Times New Roman"/>
          <w:sz w:val="32"/>
          <w:szCs w:val="32"/>
          <w:lang w:val="en-US" w:eastAsia="zh-CN"/>
        </w:rPr>
      </w:pPr>
      <w:r>
        <w:rPr>
          <w:rFonts w:hint="eastAsia" w:ascii="Times New Roman" w:hAnsi="Times New Roman" w:cs="Times New Roman"/>
          <w:sz w:val="32"/>
          <w:szCs w:val="32"/>
          <w:lang w:val="en-US" w:eastAsia="zh-CN"/>
        </w:rPr>
        <w:t>五</w:t>
      </w:r>
      <w:r>
        <w:rPr>
          <w:rFonts w:hint="eastAsia" w:ascii="Times New Roman" w:hAnsi="Times New Roman" w:eastAsia="宋体" w:cs="Times New Roman"/>
          <w:sz w:val="32"/>
          <w:szCs w:val="32"/>
          <w:lang w:val="en-US" w:eastAsia="zh-CN"/>
        </w:rPr>
        <w:t>、其他要求</w:t>
      </w:r>
    </w:p>
    <w:p w14:paraId="0856F2A3">
      <w:pPr>
        <w:numPr>
          <w:ilvl w:val="0"/>
          <w:numId w:val="3"/>
        </w:numPr>
        <w:spacing w:before="0" w:beforeAutospacing="1" w:after="0" w:afterAutospacing="1"/>
        <w:ind w:left="720" w:hanging="360"/>
      </w:pPr>
      <w:r>
        <w:rPr>
          <w:b/>
        </w:rPr>
        <w:t>进场服务材料</w:t>
      </w:r>
      <w:r>
        <w:t>（如需）：</w:t>
      </w:r>
    </w:p>
    <w:p w14:paraId="7E2BEB90">
      <w:pPr>
        <w:numPr>
          <w:ilvl w:val="1"/>
          <w:numId w:val="3"/>
        </w:numPr>
        <w:spacing w:before="0" w:beforeAutospacing="1" w:after="0" w:afterAutospacing="1"/>
        <w:ind w:left="1440" w:hanging="360"/>
      </w:pPr>
      <w:r>
        <w:t>人员保险证明、特种作业资质、安全设备清单、安全管理人员证书；</w:t>
      </w:r>
    </w:p>
    <w:p w14:paraId="5278A02B">
      <w:pPr>
        <w:numPr>
          <w:ilvl w:val="1"/>
          <w:numId w:val="3"/>
        </w:numPr>
        <w:spacing w:before="0" w:beforeAutospacing="1" w:after="0" w:afterAutospacing="1"/>
        <w:ind w:left="1440" w:hanging="360"/>
      </w:pPr>
      <w:r>
        <w:t>施工人员年龄18-60周岁，提供近1个月体检报告（重大疾病或职业禁忌者不得作业）。</w:t>
      </w:r>
    </w:p>
    <w:p w14:paraId="0EFB07E2">
      <w:pPr>
        <w:numPr>
          <w:ilvl w:val="0"/>
          <w:numId w:val="3"/>
        </w:numPr>
        <w:spacing w:before="0" w:beforeAutospacing="1" w:after="0" w:afterAutospacing="1"/>
        <w:ind w:left="720" w:hanging="360"/>
      </w:pPr>
      <w:r>
        <w:rPr>
          <w:b/>
          <w:color w:val="auto"/>
        </w:rPr>
        <w:t>供应商资格</w:t>
      </w:r>
      <w:r>
        <w:rPr>
          <w:color w:val="auto"/>
        </w:rPr>
        <w:t>：不接受失信被执行人、重大违法案件当事人</w:t>
      </w:r>
    </w:p>
    <w:p w14:paraId="548B90C1">
      <w:pPr>
        <w:numPr>
          <w:ilvl w:val="0"/>
          <w:numId w:val="3"/>
        </w:numPr>
        <w:spacing w:before="0" w:beforeAutospacing="1" w:after="0" w:afterAutospacing="1"/>
        <w:ind w:left="720" w:hanging="360"/>
      </w:pPr>
      <w:r>
        <w:rPr>
          <w:b/>
        </w:rPr>
        <w:t>售后服务</w:t>
      </w:r>
      <w:r>
        <w:t>：电话响应≤8小时，明确解决方案。</w:t>
      </w:r>
    </w:p>
    <w:p w14:paraId="7B17B999">
      <w:pPr>
        <w:numPr>
          <w:ilvl w:val="0"/>
          <w:numId w:val="3"/>
        </w:numPr>
        <w:spacing w:before="0" w:beforeAutospacing="1" w:after="0" w:afterAutospacing="1"/>
        <w:ind w:left="720" w:hanging="360"/>
        <w:rPr>
          <w:rFonts w:hint="eastAsia"/>
          <w:sz w:val="32"/>
          <w:szCs w:val="32"/>
          <w:lang w:val="en-US" w:eastAsia="zh-CN"/>
        </w:rPr>
      </w:pPr>
      <w:r>
        <w:rPr>
          <w:b/>
        </w:rPr>
        <w:t>知识产权</w:t>
      </w:r>
      <w:r>
        <w:t>：供应商承担所有知识产权纠纷责任。</w:t>
      </w:r>
    </w:p>
    <w:p w14:paraId="14247EF0">
      <w:pPr>
        <w:pStyle w:val="3"/>
        <w:pageBreakBefore w:val="0"/>
        <w:widowControl w:val="0"/>
        <w:kinsoku/>
        <w:wordWrap/>
        <w:overflowPunct/>
        <w:topLinePunct w:val="0"/>
        <w:autoSpaceDE/>
        <w:autoSpaceDN/>
        <w:bidi w:val="0"/>
        <w:adjustRightInd/>
        <w:snapToGrid/>
        <w:spacing w:line="360" w:lineRule="exact"/>
        <w:ind w:firstLine="643" w:firstLineChars="200"/>
        <w:textAlignment w:val="auto"/>
        <w:rPr>
          <w:color w:val="auto"/>
        </w:rPr>
      </w:pPr>
      <w:r>
        <w:rPr>
          <w:rFonts w:hint="eastAsia"/>
          <w:color w:val="auto"/>
          <w:lang w:val="en-US" w:eastAsia="zh-CN"/>
        </w:rPr>
        <w:t>六</w:t>
      </w:r>
      <w:r>
        <w:rPr>
          <w:color w:val="auto"/>
        </w:rPr>
        <w:t>、评审流程</w:t>
      </w:r>
    </w:p>
    <w:p w14:paraId="31F18230">
      <w:pPr>
        <w:pageBreakBefore w:val="0"/>
        <w:widowControl w:val="0"/>
        <w:numPr>
          <w:ilvl w:val="0"/>
          <w:numId w:val="4"/>
        </w:numPr>
        <w:kinsoku/>
        <w:wordWrap/>
        <w:overflowPunct/>
        <w:topLinePunct w:val="0"/>
        <w:autoSpaceDE/>
        <w:autoSpaceDN/>
        <w:bidi w:val="0"/>
        <w:adjustRightInd/>
        <w:snapToGrid/>
        <w:spacing w:before="0" w:beforeAutospacing="1" w:after="0" w:afterAutospacing="1" w:line="360" w:lineRule="exact"/>
        <w:ind w:left="720" w:hanging="360"/>
        <w:textAlignment w:val="auto"/>
        <w:rPr>
          <w:color w:val="auto"/>
        </w:rPr>
      </w:pPr>
      <w:r>
        <w:rPr>
          <w:b/>
          <w:color w:val="auto"/>
        </w:rPr>
        <w:t>评</w:t>
      </w:r>
      <w:r>
        <w:rPr>
          <w:rFonts w:hint="eastAsia"/>
          <w:b/>
          <w:color w:val="auto"/>
          <w:lang w:val="en-US" w:eastAsia="zh-CN"/>
        </w:rPr>
        <w:t xml:space="preserve">    </w:t>
      </w:r>
      <w:r>
        <w:rPr>
          <w:b/>
          <w:color w:val="auto"/>
        </w:rPr>
        <w:t>审</w:t>
      </w:r>
      <w:r>
        <w:rPr>
          <w:color w:val="auto"/>
        </w:rPr>
        <w:t>：采购人组织评审小组，</w:t>
      </w:r>
      <w:r>
        <w:rPr>
          <w:rFonts w:hint="eastAsia"/>
          <w:color w:val="auto"/>
          <w:lang w:val="en-US" w:eastAsia="zh-CN"/>
        </w:rPr>
        <w:t>评审</w:t>
      </w:r>
      <w:r>
        <w:rPr>
          <w:color w:val="auto"/>
        </w:rPr>
        <w:t>供应商报价，供应商需保持通讯畅通。</w:t>
      </w:r>
    </w:p>
    <w:p w14:paraId="0F994B82">
      <w:pPr>
        <w:pageBreakBefore w:val="0"/>
        <w:widowControl w:val="0"/>
        <w:numPr>
          <w:ilvl w:val="0"/>
          <w:numId w:val="4"/>
        </w:numPr>
        <w:kinsoku/>
        <w:wordWrap/>
        <w:overflowPunct/>
        <w:topLinePunct w:val="0"/>
        <w:autoSpaceDE/>
        <w:autoSpaceDN/>
        <w:bidi w:val="0"/>
        <w:adjustRightInd/>
        <w:snapToGrid/>
        <w:spacing w:before="0" w:beforeAutospacing="1" w:after="0" w:afterAutospacing="1" w:line="360" w:lineRule="exact"/>
        <w:ind w:left="720" w:hanging="360"/>
        <w:textAlignment w:val="auto"/>
        <w:rPr>
          <w:color w:val="auto"/>
        </w:rPr>
      </w:pPr>
      <w:r>
        <w:rPr>
          <w:b/>
          <w:color w:val="auto"/>
        </w:rPr>
        <w:t>评定标准</w:t>
      </w:r>
      <w:r>
        <w:rPr>
          <w:color w:val="auto"/>
        </w:rPr>
        <w:t>：</w:t>
      </w:r>
      <w:r>
        <w:rPr>
          <w:rFonts w:hint="eastAsia" w:ascii="宋体" w:hAnsi="宋体" w:eastAsia="宋体" w:cs="宋体"/>
          <w:bCs/>
          <w:color w:val="auto"/>
          <w:kern w:val="2"/>
          <w:sz w:val="21"/>
          <w:szCs w:val="21"/>
        </w:rPr>
        <w:t>在能够满足采购方技术要求及供货期要求的报价供应商中</w:t>
      </w:r>
      <w:r>
        <w:rPr>
          <w:rFonts w:hint="eastAsia" w:ascii="宋体" w:hAnsi="宋体" w:cs="宋体"/>
          <w:bCs/>
          <w:color w:val="auto"/>
          <w:kern w:val="2"/>
          <w:sz w:val="21"/>
          <w:szCs w:val="21"/>
          <w:lang w:eastAsia="zh-CN"/>
        </w:rPr>
        <w:t>，</w:t>
      </w:r>
      <w:r>
        <w:rPr>
          <w:rFonts w:hint="eastAsia" w:ascii="宋体" w:hAnsi="宋体" w:eastAsia="宋体" w:cs="宋体"/>
          <w:bCs/>
          <w:color w:val="auto"/>
          <w:kern w:val="2"/>
          <w:sz w:val="21"/>
          <w:szCs w:val="21"/>
        </w:rPr>
        <w:t>选择报价</w:t>
      </w:r>
      <w:r>
        <w:rPr>
          <w:rFonts w:hint="eastAsia" w:ascii="宋体" w:hAnsi="宋体" w:eastAsia="宋体" w:cs="宋体"/>
          <w:bCs/>
          <w:color w:val="auto"/>
          <w:kern w:val="2"/>
          <w:sz w:val="21"/>
          <w:szCs w:val="21"/>
          <w:lang w:val="en-US" w:eastAsia="zh-CN"/>
        </w:rPr>
        <w:t>下浮率</w:t>
      </w:r>
      <w:r>
        <w:rPr>
          <w:rFonts w:hint="eastAsia" w:ascii="宋体" w:hAnsi="宋体" w:eastAsia="宋体" w:cs="宋体"/>
          <w:bCs/>
          <w:color w:val="auto"/>
          <w:kern w:val="2"/>
          <w:sz w:val="21"/>
          <w:szCs w:val="21"/>
        </w:rPr>
        <w:t>最</w:t>
      </w:r>
      <w:r>
        <w:rPr>
          <w:rFonts w:hint="eastAsia" w:ascii="宋体" w:hAnsi="宋体" w:eastAsia="宋体" w:cs="宋体"/>
          <w:bCs/>
          <w:color w:val="auto"/>
          <w:kern w:val="2"/>
          <w:sz w:val="21"/>
          <w:szCs w:val="21"/>
          <w:lang w:val="en-US" w:eastAsia="zh-CN"/>
        </w:rPr>
        <w:t>高</w:t>
      </w:r>
      <w:r>
        <w:rPr>
          <w:rFonts w:hint="eastAsia" w:ascii="宋体" w:hAnsi="宋体" w:eastAsia="宋体" w:cs="宋体"/>
          <w:bCs/>
          <w:color w:val="auto"/>
          <w:kern w:val="2"/>
          <w:sz w:val="21"/>
          <w:szCs w:val="21"/>
        </w:rPr>
        <w:t>的一家作为成交候选人。</w:t>
      </w:r>
    </w:p>
    <w:p w14:paraId="3F9E105C">
      <w:pPr>
        <w:pageBreakBefore w:val="0"/>
        <w:widowControl w:val="0"/>
        <w:numPr>
          <w:ilvl w:val="0"/>
          <w:numId w:val="4"/>
        </w:numPr>
        <w:kinsoku/>
        <w:wordWrap/>
        <w:overflowPunct/>
        <w:topLinePunct w:val="0"/>
        <w:autoSpaceDE/>
        <w:autoSpaceDN/>
        <w:bidi w:val="0"/>
        <w:adjustRightInd/>
        <w:snapToGrid/>
        <w:spacing w:before="0" w:beforeAutospacing="1" w:after="0" w:afterAutospacing="1" w:line="360" w:lineRule="exact"/>
        <w:ind w:left="720" w:hanging="360"/>
        <w:textAlignment w:val="auto"/>
        <w:rPr>
          <w:color w:val="auto"/>
        </w:rPr>
      </w:pPr>
      <w:r>
        <w:rPr>
          <w:b/>
          <w:color w:val="auto"/>
        </w:rPr>
        <w:t>询价废止</w:t>
      </w:r>
      <w:r>
        <w:rPr>
          <w:color w:val="auto"/>
        </w:rPr>
        <w:t>：存在串通报价等违规行为的，作废并列入供应商负面清单。</w:t>
      </w:r>
    </w:p>
    <w:p w14:paraId="7C9B8AF9">
      <w:pPr>
        <w:pageBreakBefore w:val="0"/>
        <w:widowControl w:val="0"/>
        <w:numPr>
          <w:ilvl w:val="0"/>
          <w:numId w:val="4"/>
        </w:numPr>
        <w:kinsoku/>
        <w:wordWrap/>
        <w:overflowPunct/>
        <w:topLinePunct w:val="0"/>
        <w:autoSpaceDE/>
        <w:autoSpaceDN/>
        <w:bidi w:val="0"/>
        <w:adjustRightInd/>
        <w:snapToGrid/>
        <w:spacing w:before="0" w:beforeAutospacing="1" w:after="0" w:afterAutospacing="1" w:line="360" w:lineRule="exact"/>
        <w:ind w:left="720" w:hanging="360"/>
        <w:textAlignment w:val="auto"/>
        <w:rPr>
          <w:color w:val="auto"/>
        </w:rPr>
      </w:pPr>
      <w:r>
        <w:rPr>
          <w:b/>
          <w:color w:val="auto"/>
        </w:rPr>
        <w:t>无效报价</w:t>
      </w:r>
      <w:r>
        <w:rPr>
          <w:color w:val="auto"/>
        </w:rPr>
        <w:t>：资质不全、报价空项、不符合技术要求、</w:t>
      </w:r>
      <w:r>
        <w:rPr>
          <w:rFonts w:hint="eastAsia"/>
          <w:color w:val="auto"/>
          <w:lang w:val="en-US" w:eastAsia="zh-CN"/>
        </w:rPr>
        <w:t>不满足服务要求、</w:t>
      </w:r>
      <w:r>
        <w:rPr>
          <w:color w:val="auto"/>
        </w:rPr>
        <w:t>价格明显偏离市场的，作无效处理。</w:t>
      </w:r>
    </w:p>
    <w:p w14:paraId="797A2A8A">
      <w:pPr>
        <w:pStyle w:val="3"/>
        <w:pageBreakBefore w:val="0"/>
        <w:widowControl w:val="0"/>
        <w:kinsoku/>
        <w:wordWrap/>
        <w:overflowPunct/>
        <w:topLinePunct w:val="0"/>
        <w:autoSpaceDE/>
        <w:autoSpaceDN/>
        <w:bidi w:val="0"/>
        <w:adjustRightInd/>
        <w:snapToGrid/>
        <w:spacing w:line="360" w:lineRule="exact"/>
        <w:ind w:firstLine="643" w:firstLineChars="200"/>
        <w:textAlignment w:val="auto"/>
        <w:rPr>
          <w:color w:val="auto"/>
        </w:rPr>
      </w:pPr>
      <w:r>
        <w:rPr>
          <w:rFonts w:hint="eastAsia"/>
          <w:color w:val="auto"/>
          <w:lang w:val="en-US" w:eastAsia="zh-CN"/>
        </w:rPr>
        <w:t>七</w:t>
      </w:r>
      <w:r>
        <w:rPr>
          <w:color w:val="auto"/>
        </w:rPr>
        <w:t>、违约责任</w:t>
      </w:r>
    </w:p>
    <w:p w14:paraId="7673E5BC">
      <w:pPr>
        <w:keepNext/>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Fonts w:hint="eastAsia" w:asciiTheme="minorEastAsia" w:hAnsiTheme="minorEastAsia" w:eastAsiaTheme="minorEastAsia" w:cstheme="minorEastAsia"/>
          <w:b w:val="0"/>
          <w:bCs w:val="0"/>
          <w:color w:val="auto"/>
          <w:sz w:val="21"/>
          <w:szCs w:val="24"/>
          <w:lang w:val="en-US" w:eastAsia="zh-CN" w:bidi="ar-SA"/>
        </w:rPr>
      </w:pPr>
      <w:r>
        <w:rPr>
          <w:rFonts w:hint="eastAsia" w:asciiTheme="minorEastAsia" w:hAnsiTheme="minorEastAsia" w:eastAsiaTheme="minorEastAsia" w:cstheme="minorEastAsia"/>
          <w:b w:val="0"/>
          <w:bCs w:val="0"/>
          <w:color w:val="auto"/>
          <w:sz w:val="21"/>
          <w:szCs w:val="24"/>
          <w:lang w:val="en-US" w:eastAsia="zh-CN" w:bidi="ar-SA"/>
        </w:rPr>
        <w:t>1.违约责任：如成交人没有按照规定的时间提供服务，成交人将支付违约金，违约金逾期每日应按合同总金额的1%计收。但未提供服务超过5日，采购人有权解除合同,并按合同总额20%追究成交人违约责任。</w:t>
      </w:r>
    </w:p>
    <w:p w14:paraId="1CACA1DE">
      <w:pPr>
        <w:keepNext/>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outlineLvl w:val="9"/>
        <w:rPr>
          <w:rFonts w:hint="eastAsia" w:asciiTheme="minorEastAsia" w:hAnsiTheme="minorEastAsia" w:eastAsiaTheme="minorEastAsia" w:cstheme="minorEastAsia"/>
          <w:b w:val="0"/>
          <w:bCs w:val="0"/>
          <w:color w:val="auto"/>
          <w:sz w:val="21"/>
          <w:szCs w:val="24"/>
          <w:lang w:val="en-US" w:eastAsia="zh-CN" w:bidi="ar-SA"/>
        </w:rPr>
      </w:pPr>
      <w:r>
        <w:rPr>
          <w:rFonts w:hint="eastAsia" w:asciiTheme="minorEastAsia" w:hAnsiTheme="minorEastAsia" w:eastAsiaTheme="minorEastAsia" w:cstheme="minorEastAsia"/>
          <w:b w:val="0"/>
          <w:bCs w:val="0"/>
          <w:color w:val="auto"/>
          <w:sz w:val="21"/>
          <w:szCs w:val="24"/>
          <w:lang w:val="en-US" w:eastAsia="zh-CN" w:bidi="ar-SA"/>
        </w:rPr>
        <w:t>2.成交人应严格按照采购询价书约定与采购人签订供需合同，并按合同约定做好服务工作。对成交人所有违背报价书及合同约定的行为，采购人均可持续保留与成交人中止合作的一切权利。　</w:t>
      </w:r>
    </w:p>
    <w:p w14:paraId="1A94C3D1">
      <w:pPr>
        <w:pStyle w:val="3"/>
        <w:pageBreakBefore w:val="0"/>
        <w:widowControl w:val="0"/>
        <w:kinsoku/>
        <w:wordWrap/>
        <w:overflowPunct/>
        <w:topLinePunct w:val="0"/>
        <w:autoSpaceDE/>
        <w:autoSpaceDN/>
        <w:bidi w:val="0"/>
        <w:adjustRightInd/>
        <w:snapToGrid/>
        <w:spacing w:line="360" w:lineRule="exact"/>
        <w:ind w:firstLine="643" w:firstLineChars="200"/>
        <w:textAlignment w:val="auto"/>
        <w:rPr>
          <w:color w:val="auto"/>
        </w:rPr>
      </w:pPr>
      <w:r>
        <w:rPr>
          <w:rFonts w:hint="eastAsia"/>
          <w:color w:val="auto"/>
          <w:lang w:val="en-US" w:eastAsia="zh-CN"/>
        </w:rPr>
        <w:t>八</w:t>
      </w:r>
      <w:r>
        <w:rPr>
          <w:color w:val="auto"/>
        </w:rPr>
        <w:t>、其他事项</w:t>
      </w:r>
    </w:p>
    <w:p w14:paraId="32900D4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726" w:leftChars="0" w:hanging="363" w:firstLineChars="0"/>
        <w:textAlignment w:val="auto"/>
        <w:rPr>
          <w:rFonts w:hint="default" w:ascii="Times New Roman" w:hAnsi="Times New Roman" w:eastAsia="宋体" w:cs="Times New Roman"/>
          <w:b w:val="0"/>
          <w:bCs w:val="0"/>
          <w:color w:val="auto"/>
          <w:sz w:val="21"/>
          <w:szCs w:val="24"/>
          <w:lang w:val="en-US" w:eastAsia="zh-CN" w:bidi="ar-SA"/>
        </w:rPr>
      </w:pPr>
      <w:r>
        <w:rPr>
          <w:rFonts w:hint="eastAsia" w:ascii="Times New Roman" w:hAnsi="Times New Roman" w:eastAsia="宋体" w:cs="Times New Roman"/>
          <w:b w:val="0"/>
          <w:bCs w:val="0"/>
          <w:color w:val="auto"/>
          <w:sz w:val="21"/>
          <w:szCs w:val="24"/>
          <w:lang w:val="en-US" w:eastAsia="zh-CN" w:bidi="ar-SA"/>
        </w:rPr>
        <w:t>1.成交人须按询价书签订合同，违约将面临中止合作风险。</w:t>
      </w:r>
    </w:p>
    <w:p w14:paraId="1E0C3DA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exact"/>
        <w:ind w:left="726" w:leftChars="0" w:hanging="363" w:firstLineChars="0"/>
        <w:textAlignment w:val="auto"/>
        <w:rPr>
          <w:rFonts w:hint="eastAsia" w:ascii="Times New Roman" w:hAnsi="Times New Roman" w:eastAsia="宋体" w:cs="Times New Roman"/>
          <w:b w:val="0"/>
          <w:bCs w:val="0"/>
          <w:color w:val="auto"/>
          <w:sz w:val="21"/>
          <w:szCs w:val="24"/>
          <w:lang w:val="en-US" w:eastAsia="zh-CN" w:bidi="ar-SA"/>
        </w:rPr>
      </w:pPr>
      <w:r>
        <w:rPr>
          <w:rFonts w:hint="eastAsia" w:cs="Times New Roman"/>
          <w:b w:val="0"/>
          <w:bCs w:val="0"/>
          <w:color w:val="auto"/>
          <w:sz w:val="21"/>
          <w:szCs w:val="24"/>
          <w:lang w:val="en-US" w:eastAsia="zh-CN" w:bidi="ar-SA"/>
        </w:rPr>
        <w:t>2</w:t>
      </w:r>
      <w:r>
        <w:rPr>
          <w:rFonts w:hint="eastAsia" w:ascii="Times New Roman" w:hAnsi="Times New Roman" w:eastAsia="宋体" w:cs="Times New Roman"/>
          <w:b w:val="0"/>
          <w:bCs w:val="0"/>
          <w:color w:val="auto"/>
          <w:sz w:val="21"/>
          <w:szCs w:val="24"/>
          <w:lang w:val="en-US" w:eastAsia="zh-CN" w:bidi="ar-SA"/>
        </w:rPr>
        <w:t>.违规供应商将列入负面清单，解释权归江苏索普化工股份有限公司</w:t>
      </w:r>
      <w:r>
        <w:rPr>
          <w:rFonts w:hint="eastAsia"/>
          <w:color w:val="auto"/>
          <w:lang w:val="en-US" w:eastAsia="zh-CN"/>
        </w:rPr>
        <w:t>战略发展部</w:t>
      </w:r>
      <w:r>
        <w:rPr>
          <w:rFonts w:hint="eastAsia" w:ascii="Times New Roman" w:hAnsi="Times New Roman" w:eastAsia="宋体" w:cs="Times New Roman"/>
          <w:b w:val="0"/>
          <w:bCs w:val="0"/>
          <w:color w:val="auto"/>
          <w:sz w:val="21"/>
          <w:szCs w:val="24"/>
          <w:lang w:val="en-US" w:eastAsia="zh-CN" w:bidi="ar-SA"/>
        </w:rPr>
        <w:t>。</w:t>
      </w:r>
    </w:p>
    <w:p w14:paraId="1D48D955">
      <w:pPr>
        <w:jc w:val="right"/>
        <w:rPr>
          <w:color w:val="auto"/>
        </w:rPr>
      </w:pPr>
    </w:p>
    <w:p w14:paraId="754D2544">
      <w:pPr>
        <w:jc w:val="right"/>
        <w:rPr>
          <w:rFonts w:hint="eastAsia"/>
          <w:color w:val="auto"/>
          <w:lang w:val="en-US" w:eastAsia="zh-CN"/>
        </w:rPr>
      </w:pPr>
    </w:p>
    <w:p w14:paraId="7F5142DD">
      <w:pPr>
        <w:jc w:val="right"/>
        <w:rPr>
          <w:color w:val="auto"/>
        </w:rPr>
      </w:pPr>
      <w:r>
        <w:rPr>
          <w:color w:val="auto"/>
        </w:rPr>
        <w:t>江苏索普化工股份有限公司</w:t>
      </w:r>
      <w:r>
        <w:rPr>
          <w:rFonts w:hint="eastAsia"/>
          <w:color w:val="auto"/>
          <w:lang w:val="en-US" w:eastAsia="zh-CN"/>
        </w:rPr>
        <w:t>战略发展部</w:t>
      </w:r>
    </w:p>
    <w:p w14:paraId="26E9FD79">
      <w:pPr>
        <w:jc w:val="right"/>
        <w:rPr>
          <w:color w:val="auto"/>
        </w:rPr>
      </w:pPr>
      <w:r>
        <w:rPr>
          <w:color w:val="auto"/>
        </w:rPr>
        <w:t>日期：</w:t>
      </w:r>
      <w:r>
        <w:rPr>
          <w:rFonts w:hint="eastAsia"/>
          <w:color w:val="auto"/>
          <w:lang w:val="en-US" w:eastAsia="zh-CN"/>
        </w:rPr>
        <w:t>2026</w:t>
      </w:r>
      <w:r>
        <w:rPr>
          <w:color w:val="auto"/>
        </w:rPr>
        <w:t>年</w:t>
      </w:r>
      <w:r>
        <w:rPr>
          <w:rFonts w:hint="eastAsia"/>
          <w:color w:val="auto"/>
          <w:lang w:val="en-US" w:eastAsia="zh-CN"/>
        </w:rPr>
        <w:t>7</w:t>
      </w:r>
      <w:r>
        <w:rPr>
          <w:color w:val="auto"/>
        </w:rPr>
        <w:t>月</w:t>
      </w:r>
      <w:r>
        <w:rPr>
          <w:rFonts w:hint="eastAsia"/>
          <w:color w:val="auto"/>
          <w:lang w:val="en-US" w:eastAsia="zh-CN"/>
        </w:rPr>
        <w:t>13</w:t>
      </w:r>
      <w:r>
        <w:rPr>
          <w:color w:val="auto"/>
        </w:rPr>
        <w:t>日</w:t>
      </w:r>
    </w:p>
    <w:p w14:paraId="3A4F3A57">
      <w:pPr>
        <w:jc w:val="right"/>
        <w:rPr>
          <w:color w:val="auto"/>
        </w:rPr>
      </w:pPr>
      <w:r>
        <w:rPr>
          <w:color w:val="auto"/>
        </w:rPr>
        <w:br w:type="page"/>
      </w:r>
    </w:p>
    <w:p w14:paraId="2E629C24">
      <w:pPr>
        <w:pStyle w:val="3"/>
        <w:rPr>
          <w:rFonts w:hint="default"/>
          <w:color w:val="auto"/>
          <w:lang w:val="en-US" w:eastAsia="zh-CN"/>
        </w:rPr>
      </w:pPr>
      <w:r>
        <w:rPr>
          <w:rFonts w:hint="eastAsia"/>
          <w:color w:val="auto"/>
          <w:lang w:val="en-US" w:eastAsia="zh-CN"/>
        </w:rPr>
        <w:t>附件1</w:t>
      </w:r>
    </w:p>
    <w:p w14:paraId="756083B5">
      <w:pPr>
        <w:pStyle w:val="3"/>
        <w:jc w:val="center"/>
        <w:rPr>
          <w:color w:val="auto"/>
        </w:rPr>
      </w:pPr>
      <w:r>
        <w:rPr>
          <w:color w:val="auto"/>
        </w:rPr>
        <w:t>报价函</w:t>
      </w:r>
    </w:p>
    <w:p w14:paraId="58D07B85">
      <w:pPr>
        <w:rPr>
          <w:color w:val="auto"/>
        </w:rPr>
      </w:pPr>
      <w:r>
        <w:rPr>
          <w:b/>
          <w:color w:val="auto"/>
        </w:rPr>
        <w:t>江苏索普化工股份有限公司：</w:t>
      </w:r>
    </w:p>
    <w:p w14:paraId="03DF583E">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color w:val="auto"/>
        </w:rPr>
      </w:pPr>
      <w:r>
        <w:rPr>
          <w:color w:val="auto"/>
        </w:rPr>
        <w:t>（报价单位全称）授权（全权代表姓名、职务）为全权代表，参加贵方公开询比价活动，报价如下：</w:t>
      </w:r>
    </w:p>
    <w:p w14:paraId="7C177DF4">
      <w:pPr>
        <w:pageBreakBefore w:val="0"/>
        <w:widowControl w:val="0"/>
        <w:numPr>
          <w:ilvl w:val="0"/>
          <w:numId w:val="0"/>
        </w:numPr>
        <w:kinsoku/>
        <w:wordWrap/>
        <w:overflowPunct/>
        <w:topLinePunct w:val="0"/>
        <w:autoSpaceDE/>
        <w:autoSpaceDN/>
        <w:bidi w:val="0"/>
        <w:adjustRightInd/>
        <w:snapToGrid/>
        <w:spacing w:before="0" w:beforeAutospacing="1" w:after="0" w:afterAutospacing="1" w:line="360" w:lineRule="exact"/>
        <w:ind w:firstLine="420" w:firstLineChars="200"/>
        <w:textAlignment w:val="auto"/>
        <w:rPr>
          <w:rFonts w:hint="eastAsia"/>
          <w:color w:val="auto"/>
          <w:lang w:val="en-US" w:eastAsia="zh-CN"/>
        </w:rPr>
      </w:pPr>
      <w:r>
        <w:rPr>
          <w:rFonts w:hint="eastAsia" w:ascii="Times New Roman" w:hAnsi="Times New Roman" w:eastAsia="宋体" w:cs="Times New Roman"/>
          <w:color w:val="auto"/>
          <w:kern w:val="0"/>
          <w:sz w:val="21"/>
          <w:szCs w:val="24"/>
          <w:lang w:val="en-US" w:eastAsia="zh-CN" w:bidi="ar-SA"/>
        </w:rPr>
        <w:t>1.</w:t>
      </w:r>
      <w:r>
        <w:rPr>
          <w:rFonts w:hint="eastAsia"/>
          <w:color w:val="auto"/>
          <w:lang w:eastAsia="zh-CN"/>
        </w:rPr>
        <w:t>精制</w:t>
      </w:r>
      <w:r>
        <w:rPr>
          <w:rFonts w:hint="eastAsia"/>
          <w:color w:val="auto"/>
        </w:rPr>
        <w:t>醋酸</w:t>
      </w:r>
      <w:r>
        <w:rPr>
          <w:rFonts w:hint="eastAsia"/>
          <w:color w:val="auto"/>
          <w:lang w:eastAsia="zh-CN"/>
        </w:rPr>
        <w:t>改造</w:t>
      </w:r>
      <w:r>
        <w:rPr>
          <w:rFonts w:hint="eastAsia"/>
          <w:color w:val="auto"/>
        </w:rPr>
        <w:t>项目</w:t>
      </w:r>
      <w:r>
        <w:rPr>
          <w:rFonts w:hint="eastAsia" w:ascii="宋体" w:hAnsi="宋体" w:eastAsia="宋体" w:cs="宋体"/>
          <w:color w:val="auto"/>
          <w:sz w:val="21"/>
          <w:szCs w:val="21"/>
        </w:rPr>
        <w:t>工程检测服务费报价按照《镇江市建设工程质量检测和建筑材料试验收费标准指导价》（镇检协[2018]9号）规定的收费标准下浮</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该工程项目检测预估总费用约</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元</w:t>
      </w:r>
      <w:r>
        <w:rPr>
          <w:rFonts w:hint="eastAsia" w:ascii="Times New Roman" w:hAnsi="Times New Roman" w:eastAsia="宋体" w:cs="Times New Roman"/>
          <w:color w:val="auto"/>
          <w:kern w:val="0"/>
          <w:sz w:val="21"/>
          <w:szCs w:val="24"/>
          <w:lang w:val="en-US" w:eastAsia="zh-CN" w:bidi="ar-SA"/>
        </w:rPr>
        <w:t>人民币。</w:t>
      </w:r>
    </w:p>
    <w:p w14:paraId="60ACD324">
      <w:pPr>
        <w:numPr>
          <w:ilvl w:val="0"/>
          <w:numId w:val="0"/>
        </w:numPr>
        <w:spacing w:before="0" w:beforeAutospacing="1" w:after="0" w:afterAutospacing="1"/>
        <w:ind w:firstLine="420" w:firstLineChars="200"/>
        <w:rPr>
          <w:rFonts w:hint="eastAsia"/>
          <w:color w:val="auto"/>
          <w:lang w:val="en-US" w:eastAsia="zh-CN"/>
        </w:rPr>
      </w:pPr>
      <w:r>
        <w:rPr>
          <w:rFonts w:hint="eastAsia"/>
          <w:color w:val="auto"/>
          <w:lang w:val="en-US" w:eastAsia="zh-CN"/>
        </w:rPr>
        <w:t>2.我单位选派的项目负责人：</w:t>
      </w:r>
    </w:p>
    <w:p w14:paraId="5D49D853">
      <w:pPr>
        <w:pStyle w:val="7"/>
        <w:spacing w:line="600" w:lineRule="exact"/>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姓名：</w:t>
      </w:r>
      <w:r>
        <w:rPr>
          <w:rFonts w:hint="eastAsia" w:ascii="宋体" w:hAnsi="宋体" w:eastAsia="宋体" w:cs="宋体"/>
          <w:kern w:val="2"/>
          <w:sz w:val="21"/>
          <w:szCs w:val="21"/>
          <w:u w:val="single"/>
          <w:lang w:val="en-US" w:eastAsia="zh-CN"/>
        </w:rPr>
        <w:t xml:space="preserve">        </w:t>
      </w:r>
      <w:r>
        <w:rPr>
          <w:rFonts w:hint="eastAsia" w:ascii="宋体" w:hAnsi="宋体" w:eastAsia="宋体" w:cs="宋体"/>
          <w:kern w:val="2"/>
          <w:sz w:val="21"/>
          <w:szCs w:val="21"/>
        </w:rPr>
        <w:t>身份证号：</w:t>
      </w:r>
      <w:r>
        <w:rPr>
          <w:rFonts w:hint="eastAsia" w:ascii="宋体" w:hAnsi="宋体" w:eastAsia="宋体" w:cs="宋体"/>
          <w:kern w:val="2"/>
          <w:sz w:val="21"/>
          <w:szCs w:val="21"/>
          <w:u w:val="single"/>
          <w:lang w:val="en-US" w:eastAsia="zh-CN"/>
        </w:rPr>
        <w:t xml:space="preserve">                    </w:t>
      </w:r>
      <w:r>
        <w:rPr>
          <w:rFonts w:hint="eastAsia" w:ascii="宋体" w:hAnsi="宋体" w:eastAsia="宋体" w:cs="宋体"/>
          <w:kern w:val="2"/>
          <w:sz w:val="21"/>
          <w:szCs w:val="21"/>
        </w:rPr>
        <w:t xml:space="preserve"> </w:t>
      </w:r>
    </w:p>
    <w:p w14:paraId="1BD2A51E">
      <w:pPr>
        <w:pStyle w:val="7"/>
        <w:spacing w:line="600" w:lineRule="exact"/>
        <w:ind w:firstLine="420" w:firstLineChars="200"/>
        <w:rPr>
          <w:rFonts w:hint="eastAsia" w:ascii="宋体" w:hAnsi="宋体" w:eastAsia="宋体" w:cs="宋体"/>
          <w:color w:val="auto"/>
          <w:kern w:val="1"/>
          <w:sz w:val="21"/>
          <w:szCs w:val="21"/>
        </w:rPr>
      </w:pPr>
      <w:r>
        <w:rPr>
          <w:rFonts w:hint="eastAsia" w:ascii="宋体" w:hAnsi="宋体" w:eastAsia="宋体" w:cs="宋体"/>
          <w:kern w:val="2"/>
          <w:sz w:val="21"/>
          <w:szCs w:val="21"/>
        </w:rPr>
        <w:t>联系方式：</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u w:val="single"/>
          <w:lang w:val="en-US" w:eastAsia="zh-CN"/>
        </w:rPr>
        <w:t xml:space="preserve">               </w:t>
      </w:r>
      <w:r>
        <w:rPr>
          <w:rFonts w:hint="eastAsia" w:ascii="宋体" w:hAnsi="宋体" w:eastAsia="宋体" w:cs="宋体"/>
          <w:sz w:val="21"/>
          <w:szCs w:val="21"/>
        </w:rPr>
        <w:t>。</w:t>
      </w:r>
    </w:p>
    <w:p w14:paraId="7E6B970D">
      <w:pPr>
        <w:numPr>
          <w:ilvl w:val="0"/>
          <w:numId w:val="0"/>
        </w:numPr>
        <w:spacing w:before="0" w:beforeAutospacing="1" w:after="0" w:afterAutospacing="1"/>
        <w:ind w:firstLine="420" w:firstLineChars="200"/>
        <w:rPr>
          <w:color w:val="auto"/>
        </w:rPr>
      </w:pPr>
      <w:r>
        <w:rPr>
          <w:rFonts w:hint="eastAsia"/>
          <w:color w:val="auto"/>
          <w:lang w:val="en-US" w:eastAsia="zh-CN"/>
        </w:rPr>
        <w:t>3.</w:t>
      </w:r>
      <w:r>
        <w:rPr>
          <w:color w:val="auto"/>
        </w:rPr>
        <w:t>我方已审查全部询价书及补充文件，完全接受所有条款，放弃对条款不明或误解的权利；若条款冲突，同意按贵方解释处理。</w:t>
      </w:r>
    </w:p>
    <w:p w14:paraId="7CAEF8E2">
      <w:pPr>
        <w:numPr>
          <w:ilvl w:val="0"/>
          <w:numId w:val="0"/>
        </w:numPr>
        <w:spacing w:before="0" w:beforeAutospacing="1" w:after="0" w:afterAutospacing="1"/>
        <w:ind w:firstLine="420" w:firstLineChars="200"/>
        <w:rPr>
          <w:color w:val="auto"/>
        </w:rPr>
      </w:pPr>
      <w:r>
        <w:rPr>
          <w:rFonts w:hint="eastAsia"/>
          <w:color w:val="auto"/>
          <w:lang w:val="en-US" w:eastAsia="zh-CN"/>
        </w:rPr>
        <w:t>4.</w:t>
      </w:r>
      <w:r>
        <w:rPr>
          <w:color w:val="auto"/>
        </w:rPr>
        <w:t>愿意提供与报价相关的所有数据、资料，理解贵方无义务接受最低价或任何报价。</w:t>
      </w:r>
    </w:p>
    <w:p w14:paraId="6B11732D">
      <w:pPr>
        <w:numPr>
          <w:ilvl w:val="0"/>
          <w:numId w:val="0"/>
        </w:numPr>
        <w:spacing w:before="0" w:beforeAutospacing="1" w:after="0" w:afterAutospacing="1"/>
        <w:ind w:firstLine="422" w:firstLineChars="200"/>
        <w:rPr>
          <w:color w:val="auto"/>
        </w:rPr>
      </w:pPr>
      <w:r>
        <w:rPr>
          <w:rFonts w:hint="eastAsia"/>
          <w:b/>
          <w:color w:val="auto"/>
          <w:lang w:val="en-US" w:eastAsia="zh-CN"/>
        </w:rPr>
        <w:t>5.</w:t>
      </w:r>
      <w:r>
        <w:rPr>
          <w:b/>
          <w:color w:val="auto"/>
        </w:rPr>
        <w:t>不接受项</w:t>
      </w:r>
      <w:r>
        <w:rPr>
          <w:color w:val="auto"/>
        </w:rPr>
        <w:t>：</w:t>
      </w:r>
      <w:r>
        <w:rPr>
          <w:rFonts w:hint="eastAsia"/>
          <w:color w:val="auto"/>
          <w:u w:val="single"/>
          <w:lang w:val="en-US" w:eastAsia="zh-CN"/>
        </w:rPr>
        <w:t xml:space="preserve">                                                           </w:t>
      </w:r>
      <w:r>
        <w:rPr>
          <w:color w:val="auto"/>
        </w:rPr>
        <w:t>。</w:t>
      </w:r>
    </w:p>
    <w:p w14:paraId="1D8C735C">
      <w:pPr>
        <w:rPr>
          <w:color w:val="auto"/>
        </w:rPr>
      </w:pPr>
      <w:r>
        <w:rPr>
          <w:b/>
          <w:color w:val="auto"/>
        </w:rPr>
        <w:t>承诺</w:t>
      </w:r>
      <w:r>
        <w:rPr>
          <w:color w:val="auto"/>
        </w:rPr>
        <w:t>：遵守询价书规定，及时签订合同并履行责任；</w:t>
      </w:r>
      <w:r>
        <w:rPr>
          <w:rFonts w:hint="eastAsia"/>
          <w:color w:val="auto"/>
          <w:lang w:val="en-US" w:eastAsia="zh-CN"/>
        </w:rPr>
        <w:t>不串通报价</w:t>
      </w:r>
      <w:r>
        <w:rPr>
          <w:color w:val="auto"/>
        </w:rPr>
        <w:t>，信息真实有效；接受贵方核查与审计。如违反，承担法律责任及相关处理。</w:t>
      </w:r>
    </w:p>
    <w:p w14:paraId="0F58C863">
      <w:pPr>
        <w:rPr>
          <w:color w:val="auto"/>
        </w:rPr>
      </w:pPr>
    </w:p>
    <w:p w14:paraId="151D0406">
      <w:pPr>
        <w:rPr>
          <w:color w:val="auto"/>
        </w:rPr>
      </w:pPr>
    </w:p>
    <w:p w14:paraId="0F5911FA">
      <w:pPr>
        <w:rPr>
          <w:rFonts w:hint="default" w:eastAsia="宋体"/>
          <w:color w:val="auto"/>
          <w:lang w:val="en-US" w:eastAsia="zh-CN"/>
        </w:rPr>
      </w:pPr>
      <w:r>
        <w:rPr>
          <w:color w:val="auto"/>
        </w:rPr>
        <w:t>全权代表（签字）：________ 联系电话：</w:t>
      </w:r>
      <w:r>
        <w:rPr>
          <w:rFonts w:hint="eastAsia"/>
          <w:color w:val="auto"/>
          <w:u w:val="single"/>
          <w:lang w:val="en-US" w:eastAsia="zh-CN"/>
        </w:rPr>
        <w:t xml:space="preserve">               </w:t>
      </w:r>
    </w:p>
    <w:p w14:paraId="3AFB065B">
      <w:pPr>
        <w:rPr>
          <w:color w:val="auto"/>
        </w:rPr>
      </w:pPr>
    </w:p>
    <w:p w14:paraId="3F8B5B67">
      <w:pPr>
        <w:rPr>
          <w:color w:val="auto"/>
        </w:rPr>
      </w:pPr>
    </w:p>
    <w:p w14:paraId="00829DAD">
      <w:pPr>
        <w:rPr>
          <w:color w:val="auto"/>
        </w:rPr>
      </w:pPr>
      <w:r>
        <w:rPr>
          <w:color w:val="auto"/>
        </w:rPr>
        <w:t>报价单位（盖章）：________ 日期：</w:t>
      </w:r>
      <w:r>
        <w:rPr>
          <w:color w:val="auto"/>
          <w:u w:val="single"/>
        </w:rPr>
        <w:t>_</w:t>
      </w:r>
      <w:r>
        <w:rPr>
          <w:rFonts w:hint="eastAsia"/>
          <w:color w:val="auto"/>
          <w:u w:val="single"/>
          <w:lang w:val="en-US" w:eastAsia="zh-CN"/>
        </w:rPr>
        <w:t xml:space="preserve">  </w:t>
      </w:r>
      <w:r>
        <w:rPr>
          <w:color w:val="auto"/>
          <w:u w:val="single"/>
        </w:rPr>
        <w:t>___</w:t>
      </w:r>
      <w:r>
        <w:rPr>
          <w:color w:val="auto"/>
        </w:rPr>
        <w:t>年</w:t>
      </w:r>
      <w:r>
        <w:rPr>
          <w:color w:val="auto"/>
          <w:u w:val="single"/>
        </w:rPr>
        <w:t>_</w:t>
      </w:r>
      <w:r>
        <w:rPr>
          <w:rFonts w:hint="eastAsia"/>
          <w:color w:val="auto"/>
          <w:u w:val="single"/>
          <w:lang w:val="en-US" w:eastAsia="zh-CN"/>
        </w:rPr>
        <w:t xml:space="preserve">  </w:t>
      </w:r>
      <w:r>
        <w:rPr>
          <w:color w:val="auto"/>
          <w:u w:val="single"/>
        </w:rPr>
        <w:t>_</w:t>
      </w:r>
      <w:r>
        <w:rPr>
          <w:color w:val="auto"/>
        </w:rPr>
        <w:t>月</w:t>
      </w:r>
      <w:r>
        <w:rPr>
          <w:color w:val="auto"/>
          <w:u w:val="single"/>
        </w:rPr>
        <w:t>_</w:t>
      </w:r>
      <w:r>
        <w:rPr>
          <w:rFonts w:hint="eastAsia"/>
          <w:color w:val="auto"/>
          <w:u w:val="single"/>
          <w:lang w:val="en-US" w:eastAsia="zh-CN"/>
        </w:rPr>
        <w:t xml:space="preserve">  </w:t>
      </w:r>
      <w:r>
        <w:rPr>
          <w:color w:val="auto"/>
          <w:u w:val="single"/>
        </w:rPr>
        <w:t>_</w:t>
      </w:r>
      <w:r>
        <w:rPr>
          <w:color w:val="auto"/>
        </w:rPr>
        <w:t>日</w:t>
      </w:r>
    </w:p>
    <w:p w14:paraId="57580ADE">
      <w:pPr>
        <w:pStyle w:val="16"/>
        <w:rPr>
          <w:color w:val="auto"/>
        </w:rPr>
      </w:pPr>
    </w:p>
    <w:p w14:paraId="7CC6AC9C">
      <w:pPr>
        <w:rPr>
          <w:rFonts w:hint="eastAsia"/>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FangSong_GB2312">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1">
    <w:nsid w:val="31670EE2"/>
    <w:multiLevelType w:val="singleLevel"/>
    <w:tmpl w:val="31670EE2"/>
    <w:lvl w:ilvl="0" w:tentative="0">
      <w:start w:val="1"/>
      <w:numFmt w:val="decimal"/>
      <w:lvlText w:val="%1."/>
      <w:lvlJc w:val="left"/>
      <w:pPr>
        <w:ind w:left="720" w:hanging="360"/>
      </w:pPr>
      <w:rPr>
        <w:sz w:val="24"/>
      </w:rPr>
    </w:lvl>
  </w:abstractNum>
  <w:abstractNum w:abstractNumId="2">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3">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6D64"/>
    <w:rsid w:val="01726D66"/>
    <w:rsid w:val="018D3590"/>
    <w:rsid w:val="019C2F1C"/>
    <w:rsid w:val="01C43C76"/>
    <w:rsid w:val="01E82BE0"/>
    <w:rsid w:val="02005B8D"/>
    <w:rsid w:val="0201300E"/>
    <w:rsid w:val="02043728"/>
    <w:rsid w:val="02870FE9"/>
    <w:rsid w:val="03661A20"/>
    <w:rsid w:val="038D038B"/>
    <w:rsid w:val="04350FF4"/>
    <w:rsid w:val="045F303F"/>
    <w:rsid w:val="047D34C5"/>
    <w:rsid w:val="04870970"/>
    <w:rsid w:val="051536FE"/>
    <w:rsid w:val="05C375FE"/>
    <w:rsid w:val="06110369"/>
    <w:rsid w:val="06775EF1"/>
    <w:rsid w:val="06C27A72"/>
    <w:rsid w:val="06E009B8"/>
    <w:rsid w:val="077D779B"/>
    <w:rsid w:val="0818674D"/>
    <w:rsid w:val="08234384"/>
    <w:rsid w:val="0828199A"/>
    <w:rsid w:val="08626C5A"/>
    <w:rsid w:val="091D7025"/>
    <w:rsid w:val="09292DA4"/>
    <w:rsid w:val="096013B9"/>
    <w:rsid w:val="0A486323"/>
    <w:rsid w:val="0A634F0B"/>
    <w:rsid w:val="0B1408EB"/>
    <w:rsid w:val="0B5C7B8D"/>
    <w:rsid w:val="0C526FE5"/>
    <w:rsid w:val="0CB170AE"/>
    <w:rsid w:val="0CC91E41"/>
    <w:rsid w:val="0E1C78AB"/>
    <w:rsid w:val="0E3A41D5"/>
    <w:rsid w:val="0E791F56"/>
    <w:rsid w:val="0EEB5082"/>
    <w:rsid w:val="10AF0EAA"/>
    <w:rsid w:val="11AE3182"/>
    <w:rsid w:val="12922C84"/>
    <w:rsid w:val="134678C7"/>
    <w:rsid w:val="142A108C"/>
    <w:rsid w:val="147931F1"/>
    <w:rsid w:val="148F359A"/>
    <w:rsid w:val="14D05D11"/>
    <w:rsid w:val="15386004"/>
    <w:rsid w:val="154E0FD9"/>
    <w:rsid w:val="15857A3E"/>
    <w:rsid w:val="15924BCE"/>
    <w:rsid w:val="15F1304B"/>
    <w:rsid w:val="16BC4047"/>
    <w:rsid w:val="17920BDE"/>
    <w:rsid w:val="181400AB"/>
    <w:rsid w:val="18DB52A6"/>
    <w:rsid w:val="196654A0"/>
    <w:rsid w:val="19E219A9"/>
    <w:rsid w:val="1A9A04D5"/>
    <w:rsid w:val="1AB96767"/>
    <w:rsid w:val="1AE259D8"/>
    <w:rsid w:val="1B4F7841"/>
    <w:rsid w:val="1B767159"/>
    <w:rsid w:val="1C0D408C"/>
    <w:rsid w:val="1C8D2BE4"/>
    <w:rsid w:val="1D0F08AC"/>
    <w:rsid w:val="1D7C655F"/>
    <w:rsid w:val="1DD27F86"/>
    <w:rsid w:val="1E340C41"/>
    <w:rsid w:val="1E937E31"/>
    <w:rsid w:val="20196340"/>
    <w:rsid w:val="202C0E96"/>
    <w:rsid w:val="228D7161"/>
    <w:rsid w:val="2321346A"/>
    <w:rsid w:val="247C629F"/>
    <w:rsid w:val="24960418"/>
    <w:rsid w:val="24E05525"/>
    <w:rsid w:val="256B4F5E"/>
    <w:rsid w:val="257465B4"/>
    <w:rsid w:val="262477ED"/>
    <w:rsid w:val="26252083"/>
    <w:rsid w:val="27B45173"/>
    <w:rsid w:val="27CC0772"/>
    <w:rsid w:val="27E2170E"/>
    <w:rsid w:val="287B25CD"/>
    <w:rsid w:val="28D8600F"/>
    <w:rsid w:val="29303A5B"/>
    <w:rsid w:val="293D4E4D"/>
    <w:rsid w:val="29B669AE"/>
    <w:rsid w:val="2A226935"/>
    <w:rsid w:val="2B094D4A"/>
    <w:rsid w:val="2B095688"/>
    <w:rsid w:val="2B0C2F93"/>
    <w:rsid w:val="2B21100C"/>
    <w:rsid w:val="2B6007A2"/>
    <w:rsid w:val="2B8C00D9"/>
    <w:rsid w:val="2D2500D2"/>
    <w:rsid w:val="2D6D29C6"/>
    <w:rsid w:val="2D7D3E53"/>
    <w:rsid w:val="2E3A7D7C"/>
    <w:rsid w:val="2E730AF8"/>
    <w:rsid w:val="2E8250B1"/>
    <w:rsid w:val="2ED60E69"/>
    <w:rsid w:val="2EEE0779"/>
    <w:rsid w:val="30DA11D4"/>
    <w:rsid w:val="316B2774"/>
    <w:rsid w:val="31992E3D"/>
    <w:rsid w:val="32597B75"/>
    <w:rsid w:val="331309CD"/>
    <w:rsid w:val="33A81274"/>
    <w:rsid w:val="346C2A8B"/>
    <w:rsid w:val="35362A5A"/>
    <w:rsid w:val="35B41300"/>
    <w:rsid w:val="365B4DB3"/>
    <w:rsid w:val="37743447"/>
    <w:rsid w:val="37E312B6"/>
    <w:rsid w:val="38942371"/>
    <w:rsid w:val="389E4F4F"/>
    <w:rsid w:val="39BA4298"/>
    <w:rsid w:val="39FA0695"/>
    <w:rsid w:val="3A1052D9"/>
    <w:rsid w:val="3A105C66"/>
    <w:rsid w:val="3A606BEE"/>
    <w:rsid w:val="3AAB143A"/>
    <w:rsid w:val="3B421FAF"/>
    <w:rsid w:val="3BE5642F"/>
    <w:rsid w:val="3BF52B59"/>
    <w:rsid w:val="3C4E1893"/>
    <w:rsid w:val="3E0A2E40"/>
    <w:rsid w:val="3E391C30"/>
    <w:rsid w:val="40694322"/>
    <w:rsid w:val="418C651A"/>
    <w:rsid w:val="41A25E6D"/>
    <w:rsid w:val="42A7679F"/>
    <w:rsid w:val="42D81056"/>
    <w:rsid w:val="43476B9D"/>
    <w:rsid w:val="43F46B21"/>
    <w:rsid w:val="445C3E94"/>
    <w:rsid w:val="44FC5765"/>
    <w:rsid w:val="450364A8"/>
    <w:rsid w:val="462F3918"/>
    <w:rsid w:val="465D0485"/>
    <w:rsid w:val="471825FE"/>
    <w:rsid w:val="47CC3F0F"/>
    <w:rsid w:val="4842770F"/>
    <w:rsid w:val="48B85AD9"/>
    <w:rsid w:val="499C12C5"/>
    <w:rsid w:val="4A1E3184"/>
    <w:rsid w:val="4AA30AF1"/>
    <w:rsid w:val="4AC251FD"/>
    <w:rsid w:val="4AE1260F"/>
    <w:rsid w:val="4B2C48CA"/>
    <w:rsid w:val="4BD96800"/>
    <w:rsid w:val="4BE0663F"/>
    <w:rsid w:val="4C3A6B73"/>
    <w:rsid w:val="4C5B5467"/>
    <w:rsid w:val="4D2E4F0D"/>
    <w:rsid w:val="4D3F440D"/>
    <w:rsid w:val="4D45144F"/>
    <w:rsid w:val="4DAE5A6A"/>
    <w:rsid w:val="4E355844"/>
    <w:rsid w:val="4EB42C0C"/>
    <w:rsid w:val="4F8A27C1"/>
    <w:rsid w:val="4FE614EB"/>
    <w:rsid w:val="50B21740"/>
    <w:rsid w:val="50D41344"/>
    <w:rsid w:val="511B3417"/>
    <w:rsid w:val="513A2283"/>
    <w:rsid w:val="515B4796"/>
    <w:rsid w:val="51B46EF1"/>
    <w:rsid w:val="52923265"/>
    <w:rsid w:val="52E77A54"/>
    <w:rsid w:val="52F37FDC"/>
    <w:rsid w:val="53760A56"/>
    <w:rsid w:val="53B447E3"/>
    <w:rsid w:val="54880DC3"/>
    <w:rsid w:val="55D30457"/>
    <w:rsid w:val="564B19BA"/>
    <w:rsid w:val="58113834"/>
    <w:rsid w:val="58505B73"/>
    <w:rsid w:val="591946E0"/>
    <w:rsid w:val="59FD3B96"/>
    <w:rsid w:val="5A702373"/>
    <w:rsid w:val="5B9B1B71"/>
    <w:rsid w:val="5C881239"/>
    <w:rsid w:val="5D5006C5"/>
    <w:rsid w:val="5E3307F9"/>
    <w:rsid w:val="5EF26EAF"/>
    <w:rsid w:val="5FC62152"/>
    <w:rsid w:val="5FED582A"/>
    <w:rsid w:val="60681AA9"/>
    <w:rsid w:val="608A4F08"/>
    <w:rsid w:val="60956BA0"/>
    <w:rsid w:val="626F711E"/>
    <w:rsid w:val="62DD677E"/>
    <w:rsid w:val="62E84689"/>
    <w:rsid w:val="6326564D"/>
    <w:rsid w:val="63860E8D"/>
    <w:rsid w:val="63D27965"/>
    <w:rsid w:val="63F87D96"/>
    <w:rsid w:val="6424218B"/>
    <w:rsid w:val="644665A5"/>
    <w:rsid w:val="64B90B25"/>
    <w:rsid w:val="64EE14FB"/>
    <w:rsid w:val="650D466E"/>
    <w:rsid w:val="6517321B"/>
    <w:rsid w:val="669B6734"/>
    <w:rsid w:val="6830241D"/>
    <w:rsid w:val="68B13297"/>
    <w:rsid w:val="694037F5"/>
    <w:rsid w:val="696F5C56"/>
    <w:rsid w:val="69D87C9F"/>
    <w:rsid w:val="6AD3740D"/>
    <w:rsid w:val="6B090119"/>
    <w:rsid w:val="6B515669"/>
    <w:rsid w:val="6BC3466E"/>
    <w:rsid w:val="6BD26725"/>
    <w:rsid w:val="6DD76B71"/>
    <w:rsid w:val="6EE3511C"/>
    <w:rsid w:val="6F124001"/>
    <w:rsid w:val="6F5D1867"/>
    <w:rsid w:val="6F920B8C"/>
    <w:rsid w:val="704F7FA8"/>
    <w:rsid w:val="708A48C4"/>
    <w:rsid w:val="71296F3C"/>
    <w:rsid w:val="72037883"/>
    <w:rsid w:val="7215431A"/>
    <w:rsid w:val="723B701D"/>
    <w:rsid w:val="72424D2E"/>
    <w:rsid w:val="730731B7"/>
    <w:rsid w:val="748527D2"/>
    <w:rsid w:val="74CB5C46"/>
    <w:rsid w:val="7538695C"/>
    <w:rsid w:val="75956A44"/>
    <w:rsid w:val="766F1A66"/>
    <w:rsid w:val="78C71F36"/>
    <w:rsid w:val="78E73A5B"/>
    <w:rsid w:val="78FA2DA2"/>
    <w:rsid w:val="79224A93"/>
    <w:rsid w:val="79E96551"/>
    <w:rsid w:val="7A61631D"/>
    <w:rsid w:val="7A995229"/>
    <w:rsid w:val="7AB638D0"/>
    <w:rsid w:val="7B106F4E"/>
    <w:rsid w:val="7C105AF1"/>
    <w:rsid w:val="7C261436"/>
    <w:rsid w:val="7CE73E14"/>
    <w:rsid w:val="7D230DDA"/>
    <w:rsid w:val="7D5176F5"/>
    <w:rsid w:val="7D9D293A"/>
    <w:rsid w:val="7DBE565E"/>
    <w:rsid w:val="7DC26844"/>
    <w:rsid w:val="7DDF2F52"/>
    <w:rsid w:val="7EFF2F10"/>
    <w:rsid w:val="7F2037D3"/>
    <w:rsid w:val="7F2903A8"/>
    <w:rsid w:val="7F8C6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pacing w:line="312" w:lineRule="atLeast"/>
      <w:ind w:firstLine="420"/>
      <w:textAlignment w:val="baseline"/>
    </w:pPr>
    <w:rPr>
      <w:color w:val="auto"/>
      <w:kern w:val="2"/>
    </w:rPr>
  </w:style>
  <w:style w:type="paragraph" w:styleId="6">
    <w:name w:val="annotation text"/>
    <w:basedOn w:val="1"/>
    <w:qFormat/>
    <w:uiPriority w:val="0"/>
    <w:pPr>
      <w:jc w:val="left"/>
    </w:pPr>
    <w:rPr>
      <w:color w:val="auto"/>
      <w:kern w:val="2"/>
    </w:rPr>
  </w:style>
  <w:style w:type="paragraph" w:styleId="7">
    <w:name w:val="Body Text"/>
    <w:basedOn w:val="1"/>
    <w:next w:val="8"/>
    <w:unhideWhenUsed/>
    <w:qFormat/>
    <w:uiPriority w:val="99"/>
    <w:pPr>
      <w:spacing w:after="120"/>
    </w:pPr>
  </w:style>
  <w:style w:type="paragraph" w:styleId="8">
    <w:name w:val="Plain Text"/>
    <w:basedOn w:val="1"/>
    <w:unhideWhenUsed/>
    <w:qFormat/>
    <w:uiPriority w:val="99"/>
    <w:rPr>
      <w:rFonts w:ascii="宋体" w:hAnsi="Courier New"/>
      <w:kern w:val="0"/>
      <w:sz w:val="20"/>
      <w:szCs w:val="20"/>
    </w:rPr>
  </w:style>
  <w:style w:type="paragraph" w:styleId="9">
    <w:name w:val="Body Text Indent"/>
    <w:basedOn w:val="1"/>
    <w:unhideWhenUsed/>
    <w:qFormat/>
    <w:uiPriority w:val="99"/>
    <w:pPr>
      <w:spacing w:after="120"/>
      <w:ind w:left="420" w:leftChars="200"/>
    </w:pPr>
  </w:style>
  <w:style w:type="paragraph" w:styleId="10">
    <w:name w:val="HTML Preformatted"/>
    <w:basedOn w:val="1"/>
    <w:unhideWhenUsed/>
    <w:qFormat/>
    <w:uiPriority w:val="99"/>
    <w:pPr>
      <w:jc w:val="left"/>
    </w:pPr>
    <w:rPr>
      <w:rFonts w:hint="eastAsia" w:ascii="宋体" w:hAnsi="宋体"/>
      <w:sz w:val="24"/>
    </w:rPr>
  </w:style>
  <w:style w:type="paragraph" w:styleId="11">
    <w:name w:val="Normal (Web)"/>
    <w:basedOn w:val="1"/>
    <w:unhideWhenUsed/>
    <w:qFormat/>
    <w:uiPriority w:val="0"/>
    <w:pPr>
      <w:widowControl/>
      <w:spacing w:before="100" w:beforeAutospacing="1" w:after="100" w:afterAutospacing="1"/>
      <w:jc w:val="left"/>
    </w:pPr>
    <w:rPr>
      <w:rFonts w:ascii="宋体" w:hAnsi="宋体" w:cs="宋体"/>
      <w:color w:val="auto"/>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Normal Indent1"/>
    <w:basedOn w:val="1"/>
    <w:qFormat/>
    <w:uiPriority w:val="0"/>
    <w:pPr>
      <w:ind w:firstLine="420"/>
    </w:pPr>
    <w:rPr>
      <w:rFonts w:eastAsia="FangSong_GB2312"/>
      <w:sz w:val="24"/>
    </w:rPr>
  </w:style>
  <w:style w:type="paragraph" w:customStyle="1" w:styleId="16">
    <w:name w:val="List Paragraph"/>
    <w:basedOn w:val="1"/>
    <w:qFormat/>
    <w:uiPriority w:val="99"/>
    <w:pPr>
      <w:ind w:left="495" w:firstLine="211"/>
    </w:pPr>
    <w:rPr>
      <w:rFonts w:ascii="宋体" w:hAnsi="宋体" w:cs="宋体"/>
      <w:lang w:val="zh-CN" w:bidi="zh-CN"/>
    </w:rPr>
  </w:style>
  <w:style w:type="character" w:customStyle="1" w:styleId="17">
    <w:name w:val="font91"/>
    <w:basedOn w:val="14"/>
    <w:qFormat/>
    <w:uiPriority w:val="0"/>
    <w:rPr>
      <w:rFonts w:hint="eastAsia" w:ascii="宋体" w:hAnsi="宋体" w:eastAsia="宋体" w:cs="宋体"/>
      <w:color w:val="000000"/>
      <w:sz w:val="16"/>
      <w:szCs w:val="16"/>
      <w:u w:val="none"/>
    </w:rPr>
  </w:style>
  <w:style w:type="character" w:customStyle="1" w:styleId="18">
    <w:name w:val="font101"/>
    <w:basedOn w:val="14"/>
    <w:qFormat/>
    <w:uiPriority w:val="0"/>
    <w:rPr>
      <w:rFonts w:hint="default" w:ascii="Times New Roman" w:hAnsi="Times New Roman" w:cs="Times New Roman"/>
      <w:color w:val="000000"/>
      <w:sz w:val="16"/>
      <w:szCs w:val="16"/>
      <w:u w:val="none"/>
    </w:rPr>
  </w:style>
  <w:style w:type="character" w:customStyle="1" w:styleId="19">
    <w:name w:val="font41"/>
    <w:basedOn w:val="14"/>
    <w:qFormat/>
    <w:uiPriority w:val="0"/>
    <w:rPr>
      <w:rFonts w:hint="eastAsia" w:ascii="宋体" w:hAnsi="宋体" w:eastAsia="宋体" w:cs="宋体"/>
      <w:color w:val="000000"/>
      <w:sz w:val="18"/>
      <w:szCs w:val="18"/>
      <w:u w:val="none"/>
    </w:rPr>
  </w:style>
  <w:style w:type="character" w:customStyle="1" w:styleId="20">
    <w:name w:val="font112"/>
    <w:basedOn w:val="14"/>
    <w:qFormat/>
    <w:uiPriority w:val="0"/>
    <w:rPr>
      <w:rFonts w:hint="eastAsia" w:ascii="宋体" w:hAnsi="宋体" w:eastAsia="宋体" w:cs="宋体"/>
      <w:color w:val="000000"/>
      <w:sz w:val="14"/>
      <w:szCs w:val="14"/>
      <w:u w:val="none"/>
    </w:rPr>
  </w:style>
  <w:style w:type="character" w:customStyle="1" w:styleId="21">
    <w:name w:val="font21"/>
    <w:basedOn w:val="14"/>
    <w:qFormat/>
    <w:uiPriority w:val="0"/>
    <w:rPr>
      <w:rFonts w:hint="eastAsia" w:ascii="宋体" w:hAnsi="宋体" w:eastAsia="宋体" w:cs="宋体"/>
      <w:color w:val="000000"/>
      <w:sz w:val="18"/>
      <w:szCs w:val="18"/>
      <w:u w:val="none"/>
    </w:rPr>
  </w:style>
  <w:style w:type="character" w:customStyle="1" w:styleId="22">
    <w:name w:val="font31"/>
    <w:basedOn w:val="14"/>
    <w:qFormat/>
    <w:uiPriority w:val="0"/>
    <w:rPr>
      <w:rFonts w:hint="default" w:ascii="Times New Roman" w:hAnsi="Times New Roman" w:cs="Times New Roman"/>
      <w:color w:val="000000"/>
      <w:sz w:val="18"/>
      <w:szCs w:val="18"/>
      <w:u w:val="none"/>
    </w:rPr>
  </w:style>
  <w:style w:type="character" w:customStyle="1" w:styleId="23">
    <w:name w:val="font11"/>
    <w:basedOn w:val="14"/>
    <w:qFormat/>
    <w:uiPriority w:val="0"/>
    <w:rPr>
      <w:rFonts w:hint="default" w:ascii="Times New Roman" w:hAnsi="Times New Roman" w:cs="Times New Roman"/>
      <w:color w:val="000000"/>
      <w:sz w:val="18"/>
      <w:szCs w:val="18"/>
      <w:u w:val="none"/>
    </w:rPr>
  </w:style>
  <w:style w:type="character" w:customStyle="1" w:styleId="24">
    <w:name w:val="font81"/>
    <w:basedOn w:val="14"/>
    <w:qFormat/>
    <w:uiPriority w:val="0"/>
    <w:rPr>
      <w:rFonts w:hint="eastAsia" w:ascii="宋体" w:hAnsi="宋体" w:eastAsia="宋体" w:cs="宋体"/>
      <w:color w:val="000000"/>
      <w:sz w:val="18"/>
      <w:szCs w:val="18"/>
      <w:u w:val="none"/>
    </w:rPr>
  </w:style>
  <w:style w:type="character" w:customStyle="1" w:styleId="25">
    <w:name w:val="font71"/>
    <w:basedOn w:val="14"/>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2401</Words>
  <Characters>2609</Characters>
  <Lines>0</Lines>
  <Paragraphs>0</Paragraphs>
  <TotalTime>3</TotalTime>
  <ScaleCrop>false</ScaleCrop>
  <LinksUpToDate>false</LinksUpToDate>
  <CharactersWithSpaces>2783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翟海燕</cp:lastModifiedBy>
  <cp:lastPrinted>2026-01-13T08:37:00Z</cp:lastPrinted>
  <dcterms:modified xsi:type="dcterms:W3CDTF">2026-07-15T03:41:01Z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eyJoZGlkIjoiY2U0M2I3NWQxMmQ0YmFkY2M0ZTQ5ZmI1YmVkM2MyMTMiLCJ1c2VySWQiOiI1ODY0NTI4OTAifQ==</vt:lpwstr>
  </property>
  <property fmtid="{D5CDD505-2E9C-101B-9397-08002B2CF9AE}" pid="4" name="ICV">
    <vt:lpwstr>AC08B15DEC824E5996F0D7D741009FFB_12</vt:lpwstr>
  </property>
</Properties>
</file>