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AF646E">
      <w:pPr>
        <w:pStyle w:val="2"/>
        <w:rPr>
          <w:rFonts w:ascii="方正小标宋简体" w:eastAsia="方正小标宋简体" w:cs="宋体"/>
        </w:rPr>
      </w:pPr>
      <w:r>
        <w:rPr>
          <w:rFonts w:hint="eastAsia" w:ascii="方正小标宋简体" w:hAnsi="宋体" w:eastAsia="方正小标宋简体" w:cs="宋体"/>
        </w:rPr>
        <w:t>镇江海纳川物流产业发展有限责任公司</w:t>
      </w:r>
    </w:p>
    <w:p w14:paraId="5E9BCE96">
      <w:pPr>
        <w:pStyle w:val="2"/>
        <w:rPr>
          <w:rFonts w:ascii="方正小标宋简体" w:eastAsia="方正小标宋简体" w:cs="宋体"/>
        </w:rPr>
      </w:pPr>
      <w:r>
        <w:rPr>
          <w:rFonts w:hint="eastAsia" w:ascii="方正小标宋简体" w:hAnsi="宋体" w:eastAsia="方正小标宋简体" w:cs="宋体"/>
        </w:rPr>
        <w:t>比选文书</w:t>
      </w:r>
    </w:p>
    <w:p w14:paraId="5C59DF70">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我公司现</w:t>
      </w:r>
      <w:r>
        <w:rPr>
          <w:rFonts w:hint="eastAsia" w:ascii="方正仿宋简体" w:hAnsi="方正仿宋简体" w:eastAsia="方正仿宋简体" w:cs="方正仿宋简体"/>
          <w:bCs/>
          <w:sz w:val="32"/>
          <w:szCs w:val="32"/>
          <w:lang w:val="zh-CN"/>
        </w:rPr>
        <w:t>采用自主公开</w:t>
      </w:r>
      <w:r>
        <w:rPr>
          <w:rFonts w:hint="eastAsia" w:ascii="方正仿宋简体" w:hAnsi="方正仿宋简体" w:eastAsia="方正仿宋简体" w:cs="方正仿宋简体"/>
          <w:bCs/>
          <w:sz w:val="32"/>
          <w:szCs w:val="32"/>
        </w:rPr>
        <w:t>采购</w:t>
      </w:r>
      <w:r>
        <w:rPr>
          <w:rFonts w:hint="eastAsia" w:ascii="方正仿宋简体" w:hAnsi="方正仿宋简体" w:eastAsia="方正仿宋简体" w:cs="方正仿宋简体"/>
          <w:bCs/>
          <w:sz w:val="32"/>
          <w:szCs w:val="32"/>
          <w:lang w:val="zh-CN"/>
        </w:rPr>
        <w:t>的方式选定供应商，</w:t>
      </w:r>
      <w:r>
        <w:rPr>
          <w:rFonts w:hint="eastAsia" w:ascii="方正仿宋简体" w:hAnsi="方正仿宋简体" w:eastAsia="方正仿宋简体" w:cs="方正仿宋简体"/>
          <w:sz w:val="32"/>
          <w:szCs w:val="32"/>
        </w:rPr>
        <w:t>欢迎具有相关资质的厂商前来报价。</w:t>
      </w:r>
    </w:p>
    <w:p w14:paraId="1F2DBAD7">
      <w:pPr>
        <w:spacing w:line="600" w:lineRule="exact"/>
        <w:ind w:firstLine="640" w:firstLineChars="200"/>
        <w:rPr>
          <w:rFonts w:ascii="方正仿宋简体" w:hAnsi="方正仿宋简体" w:eastAsia="方正仿宋简体" w:cs="方正仿宋简体"/>
          <w:sz w:val="32"/>
          <w:szCs w:val="32"/>
        </w:rPr>
      </w:pPr>
      <w:r>
        <w:rPr>
          <w:rFonts w:hint="eastAsia" w:ascii="方正黑体_GBK" w:hAnsi="方正黑体_GBK" w:eastAsia="方正黑体_GBK" w:cs="方正黑体_GBK"/>
          <w:sz w:val="32"/>
          <w:szCs w:val="32"/>
        </w:rPr>
        <w:t>一、采购概况</w:t>
      </w:r>
    </w:p>
    <w:p w14:paraId="4EAD5658">
      <w:pPr>
        <w:pStyle w:val="15"/>
        <w:widowControl/>
        <w:spacing w:beforeAutospacing="0" w:afterAutospacing="0" w:line="600" w:lineRule="exact"/>
        <w:ind w:firstLine="640" w:firstLineChars="200"/>
        <w:rPr>
          <w:rFonts w:eastAsia="方正仿宋_GBK"/>
          <w:kern w:val="2"/>
          <w:sz w:val="32"/>
          <w:szCs w:val="32"/>
          <w:u w:val="single"/>
        </w:rPr>
      </w:pPr>
      <w:r>
        <w:rPr>
          <w:rFonts w:eastAsia="方正仿宋_GBK"/>
          <w:sz w:val="32"/>
          <w:szCs w:val="32"/>
        </w:rPr>
        <w:t>（一）</w:t>
      </w:r>
      <w:r>
        <w:rPr>
          <w:rFonts w:eastAsia="方正仿宋_GBK"/>
          <w:bCs/>
          <w:sz w:val="32"/>
          <w:szCs w:val="32"/>
        </w:rPr>
        <w:t>项目名称：</w:t>
      </w:r>
      <w:r>
        <w:rPr>
          <w:rFonts w:eastAsia="方正仿宋_GBK"/>
          <w:kern w:val="2"/>
          <w:sz w:val="32"/>
          <w:szCs w:val="32"/>
          <w:u w:val="single"/>
        </w:rPr>
        <w:t>20260716海纳川地坪及管廊管架防腐；</w:t>
      </w:r>
    </w:p>
    <w:p w14:paraId="59E4F83F">
      <w:pPr>
        <w:spacing w:line="600" w:lineRule="exact"/>
        <w:ind w:firstLine="640" w:firstLineChars="200"/>
        <w:jc w:val="left"/>
        <w:rPr>
          <w:rFonts w:eastAsia="方正仿宋_GBK"/>
          <w:kern w:val="44"/>
          <w:sz w:val="32"/>
          <w:szCs w:val="32"/>
          <w:u w:val="single"/>
        </w:rPr>
      </w:pPr>
      <w:r>
        <w:rPr>
          <w:rFonts w:eastAsia="方正仿宋_GBK"/>
          <w:sz w:val="32"/>
          <w:szCs w:val="32"/>
        </w:rPr>
        <w:t>（二）施工时间：</w:t>
      </w:r>
      <w:r>
        <w:rPr>
          <w:rFonts w:eastAsia="方正仿宋_GBK"/>
          <w:sz w:val="32"/>
          <w:szCs w:val="32"/>
          <w:u w:val="single"/>
        </w:rPr>
        <w:t>合同签订且采购方具备施工条件后，</w:t>
      </w:r>
      <w:r>
        <w:rPr>
          <w:rFonts w:eastAsia="方正仿宋_GBK"/>
          <w:color w:val="FF0000"/>
          <w:sz w:val="32"/>
          <w:szCs w:val="32"/>
          <w:u w:val="single"/>
        </w:rPr>
        <w:t>15个工作日内</w:t>
      </w:r>
      <w:r>
        <w:rPr>
          <w:rFonts w:eastAsia="方正仿宋_GBK"/>
          <w:sz w:val="32"/>
          <w:szCs w:val="32"/>
          <w:u w:val="single"/>
        </w:rPr>
        <w:t>完成；</w:t>
      </w:r>
    </w:p>
    <w:p w14:paraId="4200D041">
      <w:pPr>
        <w:pStyle w:val="2"/>
        <w:ind w:firstLine="640" w:firstLineChars="200"/>
        <w:jc w:val="both"/>
        <w:rPr>
          <w:rFonts w:ascii="Times New Roman" w:hAnsi="Times New Roman" w:eastAsia="方正仿宋_GBK"/>
          <w:sz w:val="28"/>
          <w:szCs w:val="28"/>
          <w:u w:val="single"/>
        </w:rPr>
      </w:pPr>
      <w:r>
        <w:rPr>
          <w:rFonts w:ascii="Times New Roman" w:hAnsi="Times New Roman" w:eastAsia="方正仿宋_GBK"/>
          <w:sz w:val="32"/>
          <w:szCs w:val="32"/>
        </w:rPr>
        <w:t>（三）施工地点：</w:t>
      </w:r>
      <w:r>
        <w:rPr>
          <w:rFonts w:ascii="Times New Roman" w:hAnsi="Times New Roman" w:eastAsia="方正仿宋_GBK"/>
          <w:sz w:val="32"/>
          <w:szCs w:val="32"/>
          <w:u w:val="single"/>
        </w:rPr>
        <w:t>港口运营、储运公司；</w:t>
      </w:r>
    </w:p>
    <w:p w14:paraId="339866A9">
      <w:pPr>
        <w:spacing w:line="600" w:lineRule="exact"/>
        <w:ind w:firstLine="640" w:firstLineChars="200"/>
        <w:jc w:val="left"/>
        <w:rPr>
          <w:rFonts w:eastAsia="方正仿宋_GBK"/>
          <w:sz w:val="32"/>
          <w:szCs w:val="32"/>
        </w:rPr>
      </w:pPr>
      <w:r>
        <w:rPr>
          <w:rFonts w:eastAsia="方正仿宋_GBK"/>
          <w:sz w:val="32"/>
          <w:szCs w:val="32"/>
        </w:rPr>
        <w:t>（四）报价截止时间：</w:t>
      </w:r>
      <w:r>
        <w:rPr>
          <w:rFonts w:hint="eastAsia" w:eastAsia="方正仿宋_GBK"/>
          <w:bCs/>
          <w:sz w:val="32"/>
          <w:szCs w:val="32"/>
          <w:u w:val="single"/>
        </w:rPr>
        <w:t>2026年7月28日下午14:00</w:t>
      </w:r>
      <w:r>
        <w:rPr>
          <w:rFonts w:eastAsia="方正仿宋_GBK"/>
          <w:kern w:val="44"/>
          <w:sz w:val="32"/>
          <w:szCs w:val="32"/>
          <w:u w:val="single"/>
        </w:rPr>
        <w:t>；</w:t>
      </w:r>
    </w:p>
    <w:p w14:paraId="2F065BE6">
      <w:pPr>
        <w:spacing w:line="600" w:lineRule="exact"/>
        <w:ind w:firstLine="640" w:firstLineChars="200"/>
        <w:jc w:val="left"/>
        <w:rPr>
          <w:rFonts w:eastAsia="方正仿宋_GBK"/>
          <w:sz w:val="32"/>
          <w:szCs w:val="32"/>
        </w:rPr>
      </w:pPr>
      <w:r>
        <w:rPr>
          <w:rFonts w:eastAsia="方正仿宋_GBK"/>
          <w:sz w:val="32"/>
          <w:szCs w:val="32"/>
        </w:rPr>
        <w:t>（五）评审时间：</w:t>
      </w:r>
      <w:r>
        <w:rPr>
          <w:rFonts w:hint="eastAsia" w:eastAsia="方正仿宋_GBK"/>
          <w:bCs/>
          <w:sz w:val="32"/>
          <w:szCs w:val="32"/>
          <w:u w:val="single"/>
        </w:rPr>
        <w:t>2026年7月28日下午14:00</w:t>
      </w:r>
      <w:bookmarkStart w:id="4" w:name="_GoBack"/>
      <w:bookmarkEnd w:id="4"/>
      <w:r>
        <w:rPr>
          <w:rFonts w:eastAsia="方正仿宋_GBK"/>
          <w:kern w:val="44"/>
          <w:sz w:val="32"/>
          <w:szCs w:val="32"/>
          <w:u w:val="single"/>
        </w:rPr>
        <w:t>；</w:t>
      </w:r>
    </w:p>
    <w:p w14:paraId="1FECF649">
      <w:pPr>
        <w:spacing w:line="600" w:lineRule="exact"/>
        <w:ind w:firstLine="640" w:firstLineChars="200"/>
        <w:jc w:val="left"/>
        <w:rPr>
          <w:rFonts w:eastAsia="方正仿宋_GBK"/>
          <w:sz w:val="32"/>
          <w:szCs w:val="32"/>
        </w:rPr>
      </w:pPr>
      <w:r>
        <w:rPr>
          <w:rFonts w:eastAsia="方正仿宋_GBK"/>
          <w:sz w:val="32"/>
          <w:szCs w:val="32"/>
        </w:rPr>
        <w:t>（六）评审地点：</w:t>
      </w:r>
      <w:r>
        <w:rPr>
          <w:rFonts w:eastAsia="方正仿宋_GBK"/>
          <w:sz w:val="32"/>
          <w:szCs w:val="32"/>
          <w:u w:val="single"/>
        </w:rPr>
        <w:t>镇江海纳川物流产业发展有限责任公司210</w:t>
      </w:r>
      <w:r>
        <w:rPr>
          <w:rFonts w:eastAsia="方正仿宋_GBK"/>
          <w:sz w:val="32"/>
          <w:szCs w:val="32"/>
        </w:rPr>
        <w:t>；</w:t>
      </w:r>
    </w:p>
    <w:p w14:paraId="7B2B1D83">
      <w:pPr>
        <w:pStyle w:val="8"/>
        <w:spacing w:after="0" w:line="600" w:lineRule="exact"/>
        <w:ind w:firstLine="640" w:firstLineChars="200"/>
        <w:rPr>
          <w:rFonts w:eastAsia="方正仿宋_GBK"/>
          <w:sz w:val="32"/>
          <w:szCs w:val="32"/>
        </w:rPr>
      </w:pPr>
      <w:r>
        <w:rPr>
          <w:rFonts w:eastAsia="方正仿宋_GBK"/>
          <w:sz w:val="32"/>
          <w:szCs w:val="32"/>
        </w:rPr>
        <w:t>（七）中选公示：中选信息将于评审后在江苏索普集团官网公示，请各报价人登录</w:t>
      </w:r>
      <w:r>
        <w:rPr>
          <w:rFonts w:eastAsia="方正仿宋_GBK"/>
          <w:bCs/>
          <w:sz w:val="32"/>
          <w:szCs w:val="32"/>
        </w:rPr>
        <w:t>http://www.sopo.com.cn/</w:t>
      </w:r>
      <w:r>
        <w:rPr>
          <w:rFonts w:eastAsia="方正仿宋_GBK"/>
          <w:sz w:val="32"/>
          <w:szCs w:val="32"/>
        </w:rPr>
        <w:t>查询。</w:t>
      </w:r>
    </w:p>
    <w:p w14:paraId="48A26CE6">
      <w:pPr>
        <w:pStyle w:val="8"/>
        <w:spacing w:after="0" w:line="600" w:lineRule="exact"/>
        <w:ind w:firstLine="640" w:firstLineChars="200"/>
        <w:rPr>
          <w:rFonts w:eastAsia="方正仿宋_GBK"/>
          <w:sz w:val="32"/>
          <w:szCs w:val="32"/>
        </w:rPr>
      </w:pPr>
      <w:r>
        <w:rPr>
          <w:rFonts w:eastAsia="方正仿宋_GBK"/>
          <w:sz w:val="32"/>
          <w:szCs w:val="32"/>
        </w:rPr>
        <w:t>（八）该项目由海纳川统一采购，中选单位根据报价明细分别与镇江海纳川物流产业发展有限责任公司（简称海纳川）、</w:t>
      </w:r>
      <w:r>
        <w:rPr>
          <w:rFonts w:hint="eastAsia" w:eastAsia="方正仿宋_GBK"/>
          <w:sz w:val="32"/>
          <w:szCs w:val="32"/>
        </w:rPr>
        <w:t>江苏省物资集团镇江储运开发有限公司</w:t>
      </w:r>
      <w:r>
        <w:rPr>
          <w:rFonts w:eastAsia="方正仿宋_GBK"/>
          <w:sz w:val="32"/>
          <w:szCs w:val="32"/>
        </w:rPr>
        <w:t>（简称</w:t>
      </w:r>
      <w:r>
        <w:rPr>
          <w:rFonts w:hint="eastAsia" w:eastAsia="方正仿宋_GBK"/>
          <w:sz w:val="32"/>
          <w:szCs w:val="32"/>
        </w:rPr>
        <w:t>储运公司</w:t>
      </w:r>
      <w:r>
        <w:rPr>
          <w:rFonts w:eastAsia="方正仿宋_GBK"/>
          <w:sz w:val="32"/>
          <w:szCs w:val="32"/>
        </w:rPr>
        <w:t>）签订合同。</w:t>
      </w:r>
    </w:p>
    <w:p w14:paraId="5249B49B">
      <w:pPr>
        <w:wordWrap w:val="0"/>
        <w:ind w:firstLine="640" w:firstLineChars="200"/>
        <w:jc w:val="left"/>
        <w:rPr>
          <w:rFonts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二、采购内容</w:t>
      </w:r>
    </w:p>
    <w:p w14:paraId="73B19E88">
      <w:pPr>
        <w:adjustRightInd w:val="0"/>
        <w:snapToGrid w:val="0"/>
        <w:spacing w:line="600" w:lineRule="exact"/>
        <w:ind w:firstLine="640" w:firstLineChars="200"/>
        <w:rPr>
          <w:rFonts w:ascii="仿宋_GB2312" w:hAnsi="仿宋_GB2312" w:eastAsia="仿宋_GB2312" w:cs="仿宋_GB2312"/>
          <w:bCs/>
          <w:kern w:val="1"/>
          <w:sz w:val="32"/>
          <w:szCs w:val="32"/>
        </w:rPr>
      </w:pPr>
      <w:r>
        <w:rPr>
          <w:rFonts w:hint="eastAsia" w:ascii="方正楷体_GBK" w:hAnsi="方正楷体_GBK" w:eastAsia="方正楷体_GBK" w:cs="方正楷体_GBK"/>
          <w:sz w:val="32"/>
          <w:szCs w:val="32"/>
        </w:rPr>
        <w:t>（一）</w:t>
      </w:r>
      <w:r>
        <w:rPr>
          <w:rFonts w:hint="eastAsia" w:ascii="方正仿宋简体" w:hAnsi="方正仿宋简体" w:eastAsia="方正仿宋简体" w:cs="方正仿宋简体"/>
          <w:sz w:val="32"/>
          <w:szCs w:val="32"/>
        </w:rPr>
        <w:t xml:space="preserve">标的物内容  </w:t>
      </w:r>
      <w:r>
        <w:rPr>
          <w:rFonts w:hint="eastAsia" w:ascii="仿宋_GB2312" w:hAnsi="仿宋_GB2312" w:eastAsia="仿宋_GB2312" w:cs="仿宋_GB2312"/>
          <w:bCs/>
          <w:kern w:val="1"/>
          <w:sz w:val="32"/>
          <w:szCs w:val="32"/>
        </w:rPr>
        <w:t xml:space="preserve">  </w:t>
      </w:r>
    </w:p>
    <w:p w14:paraId="0113B61A">
      <w:pPr>
        <w:spacing w:line="600" w:lineRule="exact"/>
        <w:ind w:firstLine="640" w:firstLineChars="200"/>
        <w:jc w:val="left"/>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海纳川地坪及管廊管架防腐</w:t>
      </w:r>
    </w:p>
    <w:p w14:paraId="40447ED3">
      <w:pPr>
        <w:spacing w:line="600" w:lineRule="exact"/>
        <w:ind w:firstLine="640" w:firstLineChars="200"/>
        <w:jc w:val="left"/>
        <w:rPr>
          <w:rFonts w:ascii="方正仿宋简体" w:hAnsi="方正仿宋简体" w:eastAsia="方正仿宋简体" w:cs="方正仿宋简体"/>
          <w:kern w:val="1"/>
          <w:sz w:val="32"/>
          <w:szCs w:val="32"/>
        </w:rPr>
      </w:pPr>
      <w:r>
        <w:rPr>
          <w:rFonts w:hint="eastAsia" w:ascii="方正楷体_GBK" w:hAnsi="方正楷体_GBK" w:eastAsia="方正楷体_GBK" w:cs="方正楷体_GBK"/>
          <w:sz w:val="32"/>
          <w:szCs w:val="32"/>
        </w:rPr>
        <w:t>（二）</w:t>
      </w:r>
      <w:r>
        <w:rPr>
          <w:rFonts w:hint="eastAsia" w:ascii="方正仿宋简体" w:hAnsi="方正仿宋简体" w:eastAsia="方正仿宋简体" w:cs="方正仿宋简体"/>
          <w:kern w:val="1"/>
          <w:sz w:val="32"/>
          <w:szCs w:val="32"/>
        </w:rPr>
        <w:t>技术要求</w:t>
      </w:r>
    </w:p>
    <w:p w14:paraId="76FFD4BC">
      <w:pPr>
        <w:pStyle w:val="14"/>
        <w:widowControl/>
        <w:shd w:val="clear" w:color="auto" w:fill="FFFFFF"/>
        <w:spacing w:line="600" w:lineRule="exact"/>
        <w:ind w:firstLine="640" w:firstLineChars="200"/>
        <w:rPr>
          <w:rFonts w:hint="default" w:ascii="方正仿宋简体" w:hAnsi="方正仿宋简体" w:eastAsia="方正仿宋简体" w:cs="方正仿宋简体"/>
          <w:kern w:val="1"/>
          <w:sz w:val="32"/>
          <w:szCs w:val="32"/>
        </w:rPr>
      </w:pPr>
      <w:r>
        <w:rPr>
          <w:rFonts w:ascii="方正仿宋简体" w:hAnsi="方正仿宋简体" w:eastAsia="方正仿宋简体" w:cs="方正仿宋简体"/>
          <w:kern w:val="1"/>
          <w:sz w:val="32"/>
          <w:szCs w:val="32"/>
        </w:rPr>
        <w:t>1.海纳川港口万方电房地坪防腐</w:t>
      </w:r>
    </w:p>
    <w:tbl>
      <w:tblPr>
        <w:tblStyle w:val="18"/>
        <w:tblW w:w="0" w:type="auto"/>
        <w:tblInd w:w="118"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108" w:type="dxa"/>
          <w:bottom w:w="0" w:type="dxa"/>
          <w:right w:w="108" w:type="dxa"/>
        </w:tblCellMar>
      </w:tblPr>
      <w:tblGrid>
        <w:gridCol w:w="507"/>
        <w:gridCol w:w="3797"/>
        <w:gridCol w:w="1401"/>
        <w:gridCol w:w="2699"/>
      </w:tblGrid>
      <w:tr w14:paraId="79E91AA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70" w:hRule="atLeast"/>
        </w:trPr>
        <w:tc>
          <w:tcPr>
            <w:tcW w:w="0" w:type="auto"/>
            <w:shd w:val="clear" w:color="auto" w:fill="auto"/>
            <w:vAlign w:val="center"/>
          </w:tcPr>
          <w:p w14:paraId="53ADAD44">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位置</w:t>
            </w:r>
          </w:p>
        </w:tc>
        <w:tc>
          <w:tcPr>
            <w:tcW w:w="0" w:type="auto"/>
            <w:shd w:val="clear" w:color="auto" w:fill="auto"/>
            <w:vAlign w:val="center"/>
          </w:tcPr>
          <w:p w14:paraId="32C9458D">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工作量内容（尺寸、面积、工序、技术规范参数）</w:t>
            </w:r>
          </w:p>
        </w:tc>
        <w:tc>
          <w:tcPr>
            <w:tcW w:w="0" w:type="auto"/>
            <w:shd w:val="clear" w:color="auto" w:fill="auto"/>
            <w:vAlign w:val="center"/>
          </w:tcPr>
          <w:p w14:paraId="321055F3">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细化施工管控要求</w:t>
            </w:r>
          </w:p>
        </w:tc>
        <w:tc>
          <w:tcPr>
            <w:tcW w:w="0" w:type="auto"/>
            <w:shd w:val="clear" w:color="auto" w:fill="auto"/>
            <w:vAlign w:val="center"/>
          </w:tcPr>
          <w:p w14:paraId="5283DA46">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验收标准（额外要求）</w:t>
            </w:r>
          </w:p>
        </w:tc>
      </w:tr>
      <w:tr w14:paraId="7F18757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422" w:hRule="atLeast"/>
        </w:trPr>
        <w:tc>
          <w:tcPr>
            <w:tcW w:w="0" w:type="auto"/>
            <w:vMerge w:val="restart"/>
            <w:shd w:val="clear" w:color="auto" w:fill="auto"/>
            <w:vAlign w:val="center"/>
          </w:tcPr>
          <w:p w14:paraId="1666D554">
            <w:pPr>
              <w:widowControl/>
              <w:jc w:val="center"/>
              <w:rPr>
                <w:rFonts w:ascii="宋体" w:hAnsi="宋体" w:cs="宋体"/>
                <w:color w:val="000000"/>
                <w:kern w:val="0"/>
                <w:sz w:val="22"/>
                <w:szCs w:val="22"/>
              </w:rPr>
            </w:pPr>
            <w:r>
              <w:rPr>
                <w:rFonts w:hint="eastAsia" w:ascii="宋体" w:hAnsi="宋体" w:cs="宋体"/>
                <w:color w:val="000000"/>
                <w:kern w:val="0"/>
                <w:sz w:val="22"/>
                <w:szCs w:val="22"/>
              </w:rPr>
              <w:t>港口电房</w:t>
            </w:r>
          </w:p>
        </w:tc>
        <w:tc>
          <w:tcPr>
            <w:tcW w:w="0" w:type="auto"/>
            <w:shd w:val="clear" w:color="auto" w:fill="auto"/>
            <w:vAlign w:val="center"/>
          </w:tcPr>
          <w:p w14:paraId="256F5554">
            <w:pPr>
              <w:widowControl/>
              <w:jc w:val="center"/>
              <w:rPr>
                <w:rFonts w:ascii="宋体" w:hAnsi="宋体" w:cs="宋体"/>
                <w:color w:val="000000"/>
                <w:kern w:val="0"/>
                <w:sz w:val="22"/>
                <w:szCs w:val="22"/>
              </w:rPr>
            </w:pPr>
            <w:r>
              <w:rPr>
                <w:rFonts w:hint="eastAsia" w:ascii="宋体" w:hAnsi="宋体" w:cs="宋体"/>
                <w:color w:val="000000"/>
                <w:kern w:val="0"/>
                <w:sz w:val="22"/>
                <w:szCs w:val="22"/>
              </w:rPr>
              <w:t>万方电房防静电环氧自流平地坪，4 块区域：</w:t>
            </w:r>
          </w:p>
        </w:tc>
        <w:tc>
          <w:tcPr>
            <w:tcW w:w="0" w:type="auto"/>
            <w:shd w:val="clear" w:color="auto" w:fill="auto"/>
            <w:vAlign w:val="center"/>
          </w:tcPr>
          <w:p w14:paraId="518C6747">
            <w:pPr>
              <w:widowControl/>
              <w:jc w:val="center"/>
              <w:rPr>
                <w:rFonts w:ascii="宋体" w:hAnsi="宋体" w:cs="宋体"/>
                <w:color w:val="000000"/>
                <w:kern w:val="0"/>
                <w:sz w:val="22"/>
                <w:szCs w:val="22"/>
              </w:rPr>
            </w:pPr>
            <w:r>
              <w:rPr>
                <w:rFonts w:hint="eastAsia" w:ascii="宋体" w:hAnsi="宋体" w:cs="宋体"/>
                <w:color w:val="000000"/>
                <w:kern w:val="0"/>
                <w:sz w:val="22"/>
                <w:szCs w:val="22"/>
              </w:rPr>
              <w:t>1.除尘：打磨后双遍吸尘+无尘布擦拭，无浮灰方可涂刷；</w:t>
            </w:r>
          </w:p>
        </w:tc>
        <w:tc>
          <w:tcPr>
            <w:tcW w:w="0" w:type="auto"/>
            <w:shd w:val="clear" w:color="auto" w:fill="auto"/>
            <w:vAlign w:val="center"/>
          </w:tcPr>
          <w:p w14:paraId="5DD37B75">
            <w:pPr>
              <w:widowControl/>
              <w:jc w:val="center"/>
              <w:rPr>
                <w:rFonts w:ascii="宋体" w:hAnsi="宋体" w:cs="宋体"/>
                <w:color w:val="000000"/>
                <w:kern w:val="0"/>
                <w:sz w:val="22"/>
                <w:szCs w:val="22"/>
              </w:rPr>
            </w:pPr>
            <w:r>
              <w:rPr>
                <w:rFonts w:hint="eastAsia" w:ascii="宋体" w:hAnsi="宋体" w:cs="宋体"/>
                <w:color w:val="000000"/>
                <w:kern w:val="0"/>
                <w:sz w:val="22"/>
                <w:szCs w:val="22"/>
              </w:rPr>
              <w:t>分四道工序签字验收（基层 / 底漆 / 中涂导电层 / 面漆竣工）；防静电地坪材料进场时需提供产品合格证</w:t>
            </w:r>
          </w:p>
        </w:tc>
      </w:tr>
      <w:tr w14:paraId="4DDFBAB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350" w:hRule="atLeast"/>
        </w:trPr>
        <w:tc>
          <w:tcPr>
            <w:tcW w:w="0" w:type="auto"/>
            <w:vMerge w:val="continue"/>
            <w:vAlign w:val="center"/>
          </w:tcPr>
          <w:p w14:paraId="61A5CF8B">
            <w:pPr>
              <w:widowControl/>
              <w:jc w:val="left"/>
              <w:rPr>
                <w:rFonts w:ascii="宋体" w:hAnsi="宋体" w:cs="宋体"/>
                <w:color w:val="000000"/>
                <w:kern w:val="0"/>
                <w:sz w:val="22"/>
                <w:szCs w:val="22"/>
              </w:rPr>
            </w:pPr>
          </w:p>
        </w:tc>
        <w:tc>
          <w:tcPr>
            <w:tcW w:w="0" w:type="auto"/>
            <w:shd w:val="clear" w:color="auto" w:fill="auto"/>
            <w:vAlign w:val="center"/>
          </w:tcPr>
          <w:p w14:paraId="60CA5D87">
            <w:pPr>
              <w:widowControl/>
              <w:jc w:val="center"/>
              <w:rPr>
                <w:rFonts w:ascii="宋体" w:hAnsi="宋体" w:cs="宋体"/>
                <w:color w:val="000000"/>
                <w:kern w:val="0"/>
                <w:sz w:val="22"/>
                <w:szCs w:val="22"/>
              </w:rPr>
            </w:pPr>
            <w:r>
              <w:rPr>
                <w:rFonts w:hint="eastAsia" w:ascii="宋体" w:hAnsi="宋体" w:cs="宋体"/>
                <w:color w:val="000000"/>
                <w:kern w:val="0"/>
                <w:sz w:val="22"/>
                <w:szCs w:val="22"/>
              </w:rPr>
              <w:t>1.2.4m×13m=31.2㎡；</w:t>
            </w:r>
            <w:r>
              <w:rPr>
                <w:rFonts w:hint="eastAsia" w:ascii="宋体" w:hAnsi="宋体" w:cs="宋体"/>
                <w:color w:val="000000"/>
                <w:kern w:val="0"/>
                <w:sz w:val="22"/>
                <w:szCs w:val="22"/>
              </w:rPr>
              <w:br w:type="textWrapping"/>
            </w:r>
            <w:r>
              <w:rPr>
                <w:rFonts w:hint="eastAsia" w:ascii="宋体" w:hAnsi="宋体" w:cs="宋体"/>
                <w:color w:val="000000"/>
                <w:kern w:val="0"/>
                <w:sz w:val="22"/>
                <w:szCs w:val="22"/>
              </w:rPr>
              <w:t>2.0.5m×6.5m=3.25㎡；</w:t>
            </w:r>
            <w:r>
              <w:rPr>
                <w:rFonts w:hint="eastAsia" w:ascii="宋体" w:hAnsi="宋体" w:cs="宋体"/>
                <w:color w:val="000000"/>
                <w:kern w:val="0"/>
                <w:sz w:val="22"/>
                <w:szCs w:val="22"/>
              </w:rPr>
              <w:br w:type="textWrapping"/>
            </w:r>
            <w:r>
              <w:rPr>
                <w:rFonts w:hint="eastAsia" w:ascii="宋体" w:hAnsi="宋体" w:cs="宋体"/>
                <w:color w:val="000000"/>
                <w:kern w:val="0"/>
                <w:sz w:val="22"/>
                <w:szCs w:val="22"/>
              </w:rPr>
              <w:t>3.0.3m×6.5m=1.95㎡；</w:t>
            </w:r>
            <w:r>
              <w:rPr>
                <w:rFonts w:hint="eastAsia" w:ascii="宋体" w:hAnsi="宋体" w:cs="宋体"/>
                <w:color w:val="000000"/>
                <w:kern w:val="0"/>
                <w:sz w:val="22"/>
                <w:szCs w:val="22"/>
              </w:rPr>
              <w:br w:type="textWrapping"/>
            </w:r>
            <w:r>
              <w:rPr>
                <w:rFonts w:hint="eastAsia" w:ascii="宋体" w:hAnsi="宋体" w:cs="宋体"/>
                <w:color w:val="000000"/>
                <w:kern w:val="0"/>
                <w:sz w:val="22"/>
                <w:szCs w:val="22"/>
              </w:rPr>
              <w:t>4.0.95m×2.5m=2.375㎡；</w:t>
            </w:r>
            <w:r>
              <w:rPr>
                <w:rFonts w:hint="eastAsia" w:ascii="宋体" w:hAnsi="宋体" w:cs="宋体"/>
                <w:color w:val="000000"/>
                <w:kern w:val="0"/>
                <w:sz w:val="22"/>
                <w:szCs w:val="22"/>
              </w:rPr>
              <w:br w:type="textWrapping"/>
            </w:r>
            <w:r>
              <w:rPr>
                <w:rFonts w:hint="eastAsia" w:ascii="宋体" w:hAnsi="宋体" w:cs="宋体"/>
                <w:color w:val="000000"/>
                <w:kern w:val="0"/>
                <w:sz w:val="22"/>
                <w:szCs w:val="22"/>
              </w:rPr>
              <w:t>总面积38.775㎡；</w:t>
            </w:r>
          </w:p>
        </w:tc>
        <w:tc>
          <w:tcPr>
            <w:tcW w:w="0" w:type="auto"/>
            <w:shd w:val="clear" w:color="auto" w:fill="auto"/>
            <w:vAlign w:val="center"/>
          </w:tcPr>
          <w:p w14:paraId="528F2295">
            <w:pPr>
              <w:widowControl/>
              <w:jc w:val="center"/>
              <w:rPr>
                <w:rFonts w:ascii="宋体" w:hAnsi="宋体" w:cs="宋体"/>
                <w:color w:val="000000"/>
                <w:kern w:val="0"/>
                <w:sz w:val="22"/>
                <w:szCs w:val="22"/>
              </w:rPr>
            </w:pPr>
            <w:r>
              <w:rPr>
                <w:rFonts w:hint="eastAsia" w:ascii="宋体" w:hAnsi="宋体" w:cs="宋体"/>
                <w:color w:val="000000"/>
                <w:kern w:val="0"/>
                <w:sz w:val="22"/>
                <w:szCs w:val="22"/>
              </w:rPr>
              <w:t>2.环境：气温＜5℃、湿度＞85% 禁止施工；施工区域封闭防尘；</w:t>
            </w:r>
          </w:p>
        </w:tc>
        <w:tc>
          <w:tcPr>
            <w:tcW w:w="0" w:type="auto"/>
            <w:shd w:val="clear" w:color="auto" w:fill="auto"/>
            <w:vAlign w:val="center"/>
          </w:tcPr>
          <w:p w14:paraId="00DD79CA">
            <w:pPr>
              <w:widowControl/>
              <w:jc w:val="center"/>
              <w:rPr>
                <w:rFonts w:ascii="宋体" w:hAnsi="宋体" w:cs="宋体"/>
                <w:color w:val="000000"/>
                <w:kern w:val="0"/>
                <w:sz w:val="22"/>
                <w:szCs w:val="22"/>
              </w:rPr>
            </w:pPr>
            <w:r>
              <w:rPr>
                <w:rFonts w:hint="eastAsia" w:ascii="宋体" w:hAnsi="宋体" w:cs="宋体"/>
                <w:color w:val="000000"/>
                <w:kern w:val="0"/>
                <w:sz w:val="22"/>
                <w:szCs w:val="22"/>
              </w:rPr>
              <w:t>竣工要求：无气泡漏涂、敲击无空鼓；2m靠尺平整度≤2mm；</w:t>
            </w:r>
          </w:p>
        </w:tc>
      </w:tr>
      <w:tr w14:paraId="3A3D2C1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620" w:hRule="atLeast"/>
        </w:trPr>
        <w:tc>
          <w:tcPr>
            <w:tcW w:w="0" w:type="auto"/>
            <w:vMerge w:val="continue"/>
            <w:vAlign w:val="center"/>
          </w:tcPr>
          <w:p w14:paraId="4183F88C">
            <w:pPr>
              <w:widowControl/>
              <w:jc w:val="left"/>
              <w:rPr>
                <w:rFonts w:ascii="宋体" w:hAnsi="宋体" w:cs="宋体"/>
                <w:color w:val="000000"/>
                <w:kern w:val="0"/>
                <w:sz w:val="22"/>
                <w:szCs w:val="22"/>
              </w:rPr>
            </w:pPr>
          </w:p>
        </w:tc>
        <w:tc>
          <w:tcPr>
            <w:tcW w:w="0" w:type="auto"/>
            <w:shd w:val="clear" w:color="auto" w:fill="auto"/>
            <w:vAlign w:val="center"/>
          </w:tcPr>
          <w:p w14:paraId="544B1315">
            <w:pPr>
              <w:widowControl/>
              <w:jc w:val="center"/>
              <w:rPr>
                <w:rFonts w:ascii="宋体" w:hAnsi="宋体" w:cs="宋体"/>
                <w:color w:val="000000"/>
                <w:kern w:val="0"/>
                <w:sz w:val="22"/>
                <w:szCs w:val="22"/>
              </w:rPr>
            </w:pPr>
            <w:r>
              <w:rPr>
                <w:rFonts w:hint="eastAsia" w:ascii="宋体" w:hAnsi="宋体" w:cs="宋体"/>
                <w:color w:val="000000"/>
                <w:kern w:val="0"/>
                <w:sz w:val="22"/>
                <w:szCs w:val="22"/>
              </w:rPr>
              <w:t>施工工序：地坪清理→机械打磨→基层修补找平→二次除尘→封闭底漆 1 遍→中涂找平层→敷设导电铜带→防静电中涂批刮→防静电面漆涂刷→养护固化→竣工验收；</w:t>
            </w:r>
          </w:p>
        </w:tc>
        <w:tc>
          <w:tcPr>
            <w:tcW w:w="0" w:type="auto"/>
            <w:shd w:val="clear" w:color="auto" w:fill="auto"/>
            <w:vAlign w:val="center"/>
          </w:tcPr>
          <w:p w14:paraId="48D60136">
            <w:pPr>
              <w:widowControl/>
              <w:jc w:val="center"/>
              <w:rPr>
                <w:rFonts w:ascii="宋体" w:hAnsi="宋体" w:cs="宋体"/>
                <w:color w:val="000000"/>
                <w:kern w:val="0"/>
                <w:sz w:val="22"/>
                <w:szCs w:val="22"/>
              </w:rPr>
            </w:pPr>
            <w:r>
              <w:rPr>
                <w:rFonts w:hint="eastAsia" w:ascii="宋体" w:hAnsi="宋体" w:cs="宋体"/>
                <w:color w:val="000000"/>
                <w:kern w:val="0"/>
                <w:sz w:val="22"/>
                <w:szCs w:val="22"/>
              </w:rPr>
              <w:t>3.电房安全：施工前断电通风，现场禁明火、配备干粉灭火器；</w:t>
            </w:r>
          </w:p>
        </w:tc>
        <w:tc>
          <w:tcPr>
            <w:tcW w:w="0" w:type="auto"/>
            <w:shd w:val="clear" w:color="auto" w:fill="auto"/>
            <w:vAlign w:val="center"/>
          </w:tcPr>
          <w:p w14:paraId="327EF90E">
            <w:pPr>
              <w:widowControl/>
              <w:jc w:val="center"/>
              <w:rPr>
                <w:rFonts w:ascii="宋体" w:hAnsi="宋体" w:cs="宋体"/>
                <w:color w:val="000000"/>
                <w:kern w:val="0"/>
                <w:sz w:val="22"/>
                <w:szCs w:val="22"/>
              </w:rPr>
            </w:pPr>
            <w:r>
              <w:rPr>
                <w:rFonts w:hint="eastAsia" w:ascii="宋体" w:hAnsi="宋体" w:cs="宋体"/>
                <w:color w:val="000000"/>
                <w:kern w:val="0"/>
                <w:sz w:val="22"/>
                <w:szCs w:val="22"/>
              </w:rPr>
              <w:t>GB50209-2010《建筑地面工程施工质量验收规范；</w:t>
            </w:r>
            <w:r>
              <w:rPr>
                <w:rFonts w:hint="eastAsia" w:ascii="宋体" w:hAnsi="宋体" w:cs="宋体"/>
                <w:color w:val="000000"/>
                <w:kern w:val="0"/>
                <w:sz w:val="22"/>
                <w:szCs w:val="22"/>
              </w:rPr>
              <w:br w:type="textWrapping"/>
            </w:r>
            <w:r>
              <w:rPr>
                <w:rFonts w:hint="eastAsia" w:ascii="宋体" w:hAnsi="宋体" w:cs="宋体"/>
                <w:color w:val="000000"/>
                <w:kern w:val="0"/>
                <w:sz w:val="22"/>
                <w:szCs w:val="22"/>
              </w:rPr>
              <w:t>GB50944-2013《防静电工程施工与质量验收规范》</w:t>
            </w:r>
            <w:r>
              <w:rPr>
                <w:rFonts w:hint="eastAsia" w:ascii="宋体" w:hAnsi="宋体" w:cs="宋体"/>
                <w:color w:val="000000"/>
                <w:kern w:val="0"/>
                <w:sz w:val="22"/>
                <w:szCs w:val="22"/>
              </w:rPr>
              <w:br w:type="textWrapping"/>
            </w:r>
            <w:r>
              <w:rPr>
                <w:rFonts w:hint="eastAsia" w:ascii="宋体" w:hAnsi="宋体" w:cs="宋体"/>
                <w:color w:val="000000"/>
                <w:kern w:val="0"/>
                <w:sz w:val="22"/>
                <w:szCs w:val="22"/>
              </w:rPr>
              <w:t>SJ/T11294-2018《防静电地坪涂料通用规范》</w:t>
            </w:r>
          </w:p>
        </w:tc>
      </w:tr>
      <w:tr w14:paraId="6BEFB64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080" w:hRule="atLeast"/>
        </w:trPr>
        <w:tc>
          <w:tcPr>
            <w:tcW w:w="0" w:type="auto"/>
            <w:vMerge w:val="continue"/>
            <w:vAlign w:val="center"/>
          </w:tcPr>
          <w:p w14:paraId="72F59098">
            <w:pPr>
              <w:widowControl/>
              <w:jc w:val="left"/>
              <w:rPr>
                <w:rFonts w:ascii="宋体" w:hAnsi="宋体" w:cs="宋体"/>
                <w:color w:val="000000"/>
                <w:kern w:val="0"/>
                <w:sz w:val="22"/>
                <w:szCs w:val="22"/>
              </w:rPr>
            </w:pPr>
          </w:p>
        </w:tc>
        <w:tc>
          <w:tcPr>
            <w:tcW w:w="0" w:type="auto"/>
            <w:shd w:val="clear" w:color="auto" w:fill="auto"/>
            <w:vAlign w:val="center"/>
          </w:tcPr>
          <w:p w14:paraId="1F5C1304">
            <w:pPr>
              <w:widowControl/>
              <w:jc w:val="center"/>
              <w:rPr>
                <w:rFonts w:ascii="宋体" w:hAnsi="宋体" w:cs="宋体"/>
                <w:color w:val="000000"/>
                <w:kern w:val="0"/>
                <w:sz w:val="22"/>
                <w:szCs w:val="22"/>
              </w:rPr>
            </w:pPr>
            <w:r>
              <w:rPr>
                <w:rFonts w:hint="eastAsia" w:ascii="宋体" w:hAnsi="宋体" w:cs="宋体"/>
                <w:color w:val="000000"/>
                <w:kern w:val="0"/>
                <w:sz w:val="22"/>
                <w:szCs w:val="22"/>
              </w:rPr>
              <w:t>技术指标：总干膜厚度≥2mm；</w:t>
            </w:r>
            <w:r>
              <w:rPr>
                <w:rFonts w:hint="eastAsia" w:ascii="宋体" w:hAnsi="宋体" w:cs="宋体"/>
                <w:color w:val="000000"/>
                <w:kern w:val="0"/>
                <w:sz w:val="22"/>
                <w:szCs w:val="22"/>
              </w:rPr>
              <w:br w:type="textWrapping"/>
            </w:r>
            <w:r>
              <w:rPr>
                <w:rFonts w:hint="eastAsia" w:ascii="宋体" w:hAnsi="宋体" w:cs="宋体"/>
                <w:color w:val="000000"/>
                <w:kern w:val="0"/>
                <w:sz w:val="22"/>
                <w:szCs w:val="22"/>
              </w:rPr>
              <w:t>表面/体积电阻 1×10</w:t>
            </w:r>
            <w:r>
              <w:rPr>
                <w:rFonts w:hint="eastAsia" w:ascii="MS Gothic" w:hAnsi="MS Gothic" w:eastAsia="MS Gothic" w:cs="MS Gothic"/>
                <w:color w:val="000000"/>
                <w:kern w:val="0"/>
                <w:sz w:val="22"/>
                <w:szCs w:val="22"/>
              </w:rPr>
              <w:t>⁶</w:t>
            </w:r>
            <w:r>
              <w:rPr>
                <w:rFonts w:hint="eastAsia" w:ascii="宋体" w:hAnsi="宋体" w:cs="宋体"/>
                <w:color w:val="000000"/>
                <w:kern w:val="0"/>
                <w:sz w:val="22"/>
                <w:szCs w:val="22"/>
              </w:rPr>
              <w:t>~1×10</w:t>
            </w:r>
            <w:r>
              <w:rPr>
                <w:rFonts w:hint="eastAsia" w:ascii="MS Gothic" w:hAnsi="MS Gothic" w:eastAsia="MS Gothic" w:cs="MS Gothic"/>
                <w:color w:val="000000"/>
                <w:kern w:val="0"/>
                <w:sz w:val="22"/>
                <w:szCs w:val="22"/>
              </w:rPr>
              <w:t>⁹</w:t>
            </w:r>
            <w:r>
              <w:rPr>
                <w:rFonts w:hint="eastAsia" w:ascii="宋体" w:hAnsi="宋体" w:cs="宋体"/>
                <w:color w:val="000000"/>
                <w:kern w:val="0"/>
                <w:sz w:val="22"/>
                <w:szCs w:val="22"/>
              </w:rPr>
              <w:t>Ω；</w:t>
            </w:r>
            <w:r>
              <w:rPr>
                <w:rFonts w:hint="eastAsia" w:ascii="宋体" w:hAnsi="宋体" w:cs="宋体"/>
                <w:color w:val="000000"/>
                <w:kern w:val="0"/>
                <w:sz w:val="22"/>
                <w:szCs w:val="22"/>
              </w:rPr>
              <w:br w:type="textWrapping"/>
            </w:r>
            <w:r>
              <w:rPr>
                <w:rFonts w:hint="eastAsia" w:ascii="宋体" w:hAnsi="宋体" w:cs="宋体"/>
                <w:color w:val="000000"/>
                <w:kern w:val="0"/>
                <w:sz w:val="22"/>
                <w:szCs w:val="22"/>
              </w:rPr>
              <w:t>导电带间距≤2m，接地网接地电阻＜4Ω；</w:t>
            </w:r>
            <w:r>
              <w:rPr>
                <w:rFonts w:hint="eastAsia" w:ascii="宋体" w:hAnsi="宋体" w:cs="宋体"/>
                <w:color w:val="000000"/>
                <w:kern w:val="0"/>
                <w:sz w:val="22"/>
                <w:szCs w:val="22"/>
              </w:rPr>
              <w:br w:type="textWrapping"/>
            </w:r>
            <w:r>
              <w:rPr>
                <w:rFonts w:hint="eastAsia" w:ascii="宋体" w:hAnsi="宋体" w:cs="宋体"/>
                <w:color w:val="000000"/>
                <w:kern w:val="0"/>
                <w:sz w:val="22"/>
                <w:szCs w:val="22"/>
              </w:rPr>
              <w:t>基层含水率≤8%；材料执行GB/T22374；</w:t>
            </w:r>
          </w:p>
        </w:tc>
        <w:tc>
          <w:tcPr>
            <w:tcW w:w="0" w:type="auto"/>
            <w:shd w:val="clear" w:color="auto" w:fill="auto"/>
            <w:vAlign w:val="center"/>
          </w:tcPr>
          <w:p w14:paraId="6A5CE294">
            <w:pPr>
              <w:widowControl/>
              <w:jc w:val="center"/>
              <w:rPr>
                <w:rFonts w:ascii="宋体" w:hAnsi="宋体" w:cs="宋体"/>
                <w:color w:val="000000"/>
                <w:kern w:val="0"/>
                <w:sz w:val="22"/>
                <w:szCs w:val="22"/>
              </w:rPr>
            </w:pPr>
            <w:r>
              <w:rPr>
                <w:rFonts w:hint="eastAsia" w:ascii="宋体" w:hAnsi="宋体" w:cs="宋体"/>
                <w:color w:val="000000"/>
                <w:kern w:val="0"/>
                <w:sz w:val="22"/>
                <w:szCs w:val="22"/>
              </w:rPr>
              <w:t>4.养护：常温7天，低于10℃延长至10天，养护期禁止踩踏堆载。</w:t>
            </w:r>
          </w:p>
        </w:tc>
        <w:tc>
          <w:tcPr>
            <w:tcW w:w="0" w:type="auto"/>
            <w:shd w:val="clear" w:color="auto" w:fill="auto"/>
            <w:noWrap/>
            <w:vAlign w:val="center"/>
          </w:tcPr>
          <w:p w14:paraId="5440FE0A">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r>
    </w:tbl>
    <w:p w14:paraId="06FFDBB2">
      <w:pPr>
        <w:pStyle w:val="14"/>
        <w:widowControl/>
        <w:shd w:val="clear" w:color="auto" w:fill="FFFFFF"/>
        <w:spacing w:line="600" w:lineRule="exact"/>
        <w:ind w:firstLine="640" w:firstLineChars="200"/>
        <w:rPr>
          <w:rFonts w:hint="default" w:ascii="方正仿宋简体" w:hAnsi="方正仿宋简体" w:eastAsia="方正仿宋简体" w:cs="方正仿宋简体"/>
          <w:kern w:val="1"/>
          <w:sz w:val="32"/>
          <w:szCs w:val="32"/>
        </w:rPr>
      </w:pPr>
    </w:p>
    <w:p w14:paraId="33537D3A">
      <w:pPr>
        <w:pStyle w:val="14"/>
        <w:widowControl/>
        <w:shd w:val="clear" w:color="auto" w:fill="FFFFFF"/>
        <w:spacing w:line="600" w:lineRule="exact"/>
        <w:ind w:firstLine="640" w:firstLineChars="200"/>
        <w:rPr>
          <w:rFonts w:hint="default" w:ascii="方正仿宋简体" w:hAnsi="方正仿宋简体" w:eastAsia="方正仿宋简体" w:cs="方正仿宋简体"/>
          <w:color w:val="333333"/>
          <w:sz w:val="32"/>
          <w:szCs w:val="32"/>
          <w:shd w:val="clear" w:color="auto" w:fill="FFFFFF"/>
        </w:rPr>
      </w:pPr>
      <w:r>
        <w:rPr>
          <w:rFonts w:ascii="方正仿宋简体" w:hAnsi="方正仿宋简体" w:eastAsia="方正仿宋简体" w:cs="方正仿宋简体"/>
          <w:color w:val="333333"/>
          <w:sz w:val="32"/>
          <w:szCs w:val="32"/>
          <w:shd w:val="clear" w:color="auto" w:fill="FFFFFF"/>
        </w:rPr>
        <w:t>2.</w:t>
      </w:r>
      <w:r>
        <w:rPr>
          <w:rFonts w:ascii="方正仿宋简体" w:hAnsi="方正仿宋简体" w:eastAsia="方正仿宋简体" w:cs="方正仿宋简体"/>
          <w:kern w:val="2"/>
          <w:sz w:val="32"/>
          <w:szCs w:val="32"/>
        </w:rPr>
        <w:t>储运公司管廊管架防腐</w:t>
      </w:r>
      <w:r>
        <w:rPr>
          <w:rFonts w:ascii="方正仿宋简体" w:hAnsi="方正仿宋简体" w:eastAsia="方正仿宋简体" w:cs="方正仿宋简体"/>
          <w:color w:val="333333"/>
          <w:sz w:val="32"/>
          <w:szCs w:val="32"/>
          <w:shd w:val="clear" w:color="auto" w:fill="FFFFFF"/>
        </w:rPr>
        <w:t>：</w:t>
      </w:r>
    </w:p>
    <w:tbl>
      <w:tblPr>
        <w:tblStyle w:val="18"/>
        <w:tblW w:w="0" w:type="auto"/>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38"/>
        <w:gridCol w:w="6820"/>
        <w:gridCol w:w="956"/>
      </w:tblGrid>
      <w:tr w14:paraId="55CE53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0" w:type="auto"/>
            <w:gridSpan w:val="3"/>
            <w:shd w:val="clear" w:color="auto" w:fill="auto"/>
            <w:noWrap/>
            <w:vAlign w:val="center"/>
          </w:tcPr>
          <w:p w14:paraId="71D94848">
            <w:pPr>
              <w:widowControl/>
              <w:jc w:val="center"/>
              <w:rPr>
                <w:rFonts w:ascii="宋体" w:hAnsi="宋体" w:cs="宋体"/>
                <w:kern w:val="0"/>
                <w:sz w:val="24"/>
                <w:szCs w:val="24"/>
              </w:rPr>
            </w:pPr>
            <w:r>
              <w:rPr>
                <w:rFonts w:hint="eastAsia" w:ascii="宋体" w:hAnsi="宋体" w:cs="宋体"/>
                <w:kern w:val="0"/>
                <w:sz w:val="24"/>
                <w:szCs w:val="24"/>
              </w:rPr>
              <w:t>管廊管架防腐面积（预估）</w:t>
            </w:r>
          </w:p>
        </w:tc>
      </w:tr>
      <w:tr w14:paraId="49A9EF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0" w:type="auto"/>
            <w:shd w:val="clear" w:color="auto" w:fill="auto"/>
            <w:noWrap/>
            <w:vAlign w:val="center"/>
          </w:tcPr>
          <w:p w14:paraId="72FD4775">
            <w:pPr>
              <w:widowControl/>
              <w:jc w:val="center"/>
              <w:rPr>
                <w:rFonts w:ascii="宋体" w:hAnsi="宋体" w:cs="宋体"/>
                <w:kern w:val="0"/>
                <w:sz w:val="24"/>
                <w:szCs w:val="24"/>
              </w:rPr>
            </w:pPr>
            <w:r>
              <w:rPr>
                <w:rFonts w:hint="eastAsia" w:ascii="宋体" w:hAnsi="宋体" w:cs="宋体"/>
                <w:kern w:val="0"/>
                <w:sz w:val="24"/>
                <w:szCs w:val="24"/>
              </w:rPr>
              <w:t>序号</w:t>
            </w:r>
          </w:p>
        </w:tc>
        <w:tc>
          <w:tcPr>
            <w:tcW w:w="0" w:type="auto"/>
            <w:shd w:val="clear" w:color="auto" w:fill="auto"/>
            <w:noWrap/>
            <w:vAlign w:val="center"/>
          </w:tcPr>
          <w:p w14:paraId="7CCD2B96">
            <w:pPr>
              <w:widowControl/>
              <w:jc w:val="center"/>
              <w:rPr>
                <w:rFonts w:ascii="宋体" w:hAnsi="宋体" w:cs="宋体"/>
                <w:kern w:val="0"/>
                <w:sz w:val="24"/>
                <w:szCs w:val="24"/>
              </w:rPr>
            </w:pPr>
            <w:r>
              <w:rPr>
                <w:rFonts w:hint="eastAsia" w:ascii="宋体" w:hAnsi="宋体" w:cs="宋体"/>
                <w:kern w:val="0"/>
                <w:sz w:val="24"/>
                <w:szCs w:val="24"/>
              </w:rPr>
              <w:t>维修内容</w:t>
            </w:r>
          </w:p>
        </w:tc>
        <w:tc>
          <w:tcPr>
            <w:tcW w:w="0" w:type="auto"/>
            <w:shd w:val="clear" w:color="auto" w:fill="auto"/>
            <w:noWrap/>
            <w:vAlign w:val="center"/>
          </w:tcPr>
          <w:p w14:paraId="700B993B">
            <w:pPr>
              <w:widowControl/>
              <w:jc w:val="center"/>
              <w:rPr>
                <w:rFonts w:ascii="宋体" w:hAnsi="宋体" w:cs="宋体"/>
                <w:kern w:val="0"/>
                <w:sz w:val="24"/>
                <w:szCs w:val="24"/>
              </w:rPr>
            </w:pPr>
            <w:r>
              <w:rPr>
                <w:rFonts w:hint="eastAsia" w:ascii="宋体" w:hAnsi="宋体" w:cs="宋体"/>
                <w:kern w:val="0"/>
                <w:sz w:val="24"/>
                <w:szCs w:val="24"/>
              </w:rPr>
              <w:t>面积㎡</w:t>
            </w:r>
          </w:p>
        </w:tc>
      </w:tr>
      <w:tr w14:paraId="449563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0" w:type="auto"/>
            <w:shd w:val="clear" w:color="auto" w:fill="auto"/>
            <w:noWrap/>
            <w:vAlign w:val="center"/>
          </w:tcPr>
          <w:p w14:paraId="35950D07">
            <w:pPr>
              <w:widowControl/>
              <w:jc w:val="center"/>
              <w:rPr>
                <w:rFonts w:ascii="宋体" w:hAnsi="宋体" w:cs="宋体"/>
                <w:kern w:val="0"/>
                <w:sz w:val="24"/>
                <w:szCs w:val="24"/>
              </w:rPr>
            </w:pPr>
            <w:r>
              <w:rPr>
                <w:rFonts w:hint="eastAsia" w:ascii="宋体" w:hAnsi="宋体" w:cs="宋体"/>
                <w:kern w:val="0"/>
                <w:sz w:val="24"/>
                <w:szCs w:val="24"/>
              </w:rPr>
              <w:t>1</w:t>
            </w:r>
          </w:p>
        </w:tc>
        <w:tc>
          <w:tcPr>
            <w:tcW w:w="0" w:type="auto"/>
            <w:shd w:val="clear" w:color="auto" w:fill="auto"/>
            <w:noWrap/>
            <w:vAlign w:val="center"/>
          </w:tcPr>
          <w:p w14:paraId="4F9AEE44">
            <w:pPr>
              <w:widowControl/>
              <w:jc w:val="center"/>
              <w:rPr>
                <w:rFonts w:ascii="宋体" w:hAnsi="宋体" w:cs="宋体"/>
                <w:kern w:val="0"/>
                <w:sz w:val="24"/>
                <w:szCs w:val="24"/>
              </w:rPr>
            </w:pPr>
            <w:r>
              <w:rPr>
                <w:rFonts w:hint="eastAsia" w:ascii="宋体" w:hAnsi="宋体" w:cs="宋体"/>
                <w:kern w:val="0"/>
                <w:sz w:val="24"/>
                <w:szCs w:val="24"/>
              </w:rPr>
              <w:t>1.手柄 [10×2.6×11个]  DN25（1.7+0.8）×11个</w:t>
            </w:r>
          </w:p>
        </w:tc>
        <w:tc>
          <w:tcPr>
            <w:tcW w:w="0" w:type="auto"/>
            <w:shd w:val="clear" w:color="auto" w:fill="auto"/>
            <w:noWrap/>
            <w:vAlign w:val="center"/>
          </w:tcPr>
          <w:p w14:paraId="13236887">
            <w:pPr>
              <w:widowControl/>
              <w:jc w:val="center"/>
              <w:rPr>
                <w:rFonts w:ascii="宋体" w:hAnsi="宋体" w:cs="宋体"/>
                <w:kern w:val="0"/>
                <w:sz w:val="24"/>
                <w:szCs w:val="24"/>
              </w:rPr>
            </w:pPr>
            <w:r>
              <w:rPr>
                <w:rFonts w:hint="eastAsia" w:ascii="宋体" w:hAnsi="宋体" w:cs="宋体"/>
                <w:kern w:val="0"/>
                <w:sz w:val="24"/>
                <w:szCs w:val="24"/>
              </w:rPr>
              <w:t>12.15</w:t>
            </w:r>
          </w:p>
        </w:tc>
      </w:tr>
      <w:tr w14:paraId="51A49A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0" w:type="auto"/>
            <w:shd w:val="clear" w:color="auto" w:fill="auto"/>
            <w:noWrap/>
            <w:vAlign w:val="center"/>
          </w:tcPr>
          <w:p w14:paraId="7B056C68">
            <w:pPr>
              <w:widowControl/>
              <w:jc w:val="center"/>
              <w:rPr>
                <w:rFonts w:ascii="宋体" w:hAnsi="宋体" w:cs="宋体"/>
                <w:kern w:val="0"/>
                <w:sz w:val="24"/>
                <w:szCs w:val="24"/>
              </w:rPr>
            </w:pPr>
            <w:r>
              <w:rPr>
                <w:rFonts w:hint="eastAsia" w:ascii="宋体" w:hAnsi="宋体" w:cs="宋体"/>
                <w:kern w:val="0"/>
                <w:sz w:val="24"/>
                <w:szCs w:val="24"/>
              </w:rPr>
              <w:t>2</w:t>
            </w:r>
          </w:p>
        </w:tc>
        <w:tc>
          <w:tcPr>
            <w:tcW w:w="0" w:type="auto"/>
            <w:shd w:val="clear" w:color="auto" w:fill="auto"/>
            <w:noWrap/>
            <w:vAlign w:val="center"/>
          </w:tcPr>
          <w:p w14:paraId="7AEFD9C9">
            <w:pPr>
              <w:widowControl/>
              <w:jc w:val="center"/>
              <w:rPr>
                <w:rFonts w:ascii="宋体" w:hAnsi="宋体" w:cs="宋体"/>
                <w:kern w:val="0"/>
                <w:sz w:val="24"/>
                <w:szCs w:val="24"/>
              </w:rPr>
            </w:pPr>
            <w:r>
              <w:rPr>
                <w:rFonts w:hint="eastAsia" w:ascii="宋体" w:hAnsi="宋体" w:cs="宋体"/>
                <w:kern w:val="0"/>
                <w:sz w:val="24"/>
                <w:szCs w:val="24"/>
              </w:rPr>
              <w:t>H250×250×5.5×4根×2层*3组</w:t>
            </w:r>
          </w:p>
        </w:tc>
        <w:tc>
          <w:tcPr>
            <w:tcW w:w="0" w:type="auto"/>
            <w:shd w:val="clear" w:color="auto" w:fill="auto"/>
            <w:noWrap/>
            <w:vAlign w:val="center"/>
          </w:tcPr>
          <w:p w14:paraId="53A09126">
            <w:pPr>
              <w:widowControl/>
              <w:jc w:val="center"/>
              <w:rPr>
                <w:rFonts w:ascii="宋体" w:hAnsi="宋体" w:cs="宋体"/>
                <w:kern w:val="0"/>
                <w:sz w:val="24"/>
                <w:szCs w:val="24"/>
              </w:rPr>
            </w:pPr>
            <w:r>
              <w:rPr>
                <w:rFonts w:hint="eastAsia" w:ascii="宋体" w:hAnsi="宋体" w:cs="宋体"/>
                <w:kern w:val="0"/>
                <w:sz w:val="24"/>
                <w:szCs w:val="24"/>
              </w:rPr>
              <w:t>199.32</w:t>
            </w:r>
          </w:p>
        </w:tc>
      </w:tr>
      <w:tr w14:paraId="0ADDBD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0" w:type="auto"/>
            <w:vMerge w:val="restart"/>
            <w:shd w:val="clear" w:color="auto" w:fill="auto"/>
            <w:noWrap/>
            <w:vAlign w:val="center"/>
          </w:tcPr>
          <w:p w14:paraId="075BC73B">
            <w:pPr>
              <w:widowControl/>
              <w:jc w:val="center"/>
              <w:rPr>
                <w:rFonts w:ascii="宋体" w:hAnsi="宋体" w:cs="宋体"/>
                <w:kern w:val="0"/>
                <w:sz w:val="24"/>
                <w:szCs w:val="24"/>
              </w:rPr>
            </w:pPr>
            <w:r>
              <w:rPr>
                <w:rFonts w:hint="eastAsia" w:ascii="宋体" w:hAnsi="宋体" w:cs="宋体"/>
                <w:kern w:val="0"/>
                <w:sz w:val="24"/>
                <w:szCs w:val="24"/>
              </w:rPr>
              <w:t>3</w:t>
            </w:r>
          </w:p>
        </w:tc>
        <w:tc>
          <w:tcPr>
            <w:tcW w:w="0" w:type="auto"/>
            <w:shd w:val="clear" w:color="auto" w:fill="auto"/>
            <w:noWrap/>
            <w:vAlign w:val="center"/>
          </w:tcPr>
          <w:p w14:paraId="54A77BB7">
            <w:pPr>
              <w:widowControl/>
              <w:jc w:val="center"/>
              <w:rPr>
                <w:rFonts w:ascii="宋体" w:hAnsi="宋体" w:cs="宋体"/>
                <w:kern w:val="0"/>
                <w:sz w:val="24"/>
                <w:szCs w:val="24"/>
              </w:rPr>
            </w:pPr>
            <w:r>
              <w:rPr>
                <w:rFonts w:hint="eastAsia" w:ascii="宋体" w:hAnsi="宋体" w:cs="宋体"/>
                <w:kern w:val="0"/>
                <w:sz w:val="24"/>
                <w:szCs w:val="24"/>
              </w:rPr>
              <w:t>H300×200×11米×2根×2层*3组</w:t>
            </w:r>
          </w:p>
        </w:tc>
        <w:tc>
          <w:tcPr>
            <w:tcW w:w="0" w:type="auto"/>
            <w:shd w:val="clear" w:color="auto" w:fill="auto"/>
            <w:noWrap/>
            <w:vAlign w:val="center"/>
          </w:tcPr>
          <w:p w14:paraId="3CC318B9">
            <w:pPr>
              <w:widowControl/>
              <w:jc w:val="center"/>
              <w:rPr>
                <w:rFonts w:ascii="宋体" w:hAnsi="宋体" w:cs="宋体"/>
                <w:kern w:val="0"/>
                <w:sz w:val="24"/>
                <w:szCs w:val="24"/>
              </w:rPr>
            </w:pPr>
            <w:r>
              <w:rPr>
                <w:rFonts w:hint="eastAsia" w:ascii="宋体" w:hAnsi="宋体" w:cs="宋体"/>
                <w:kern w:val="0"/>
                <w:sz w:val="24"/>
                <w:szCs w:val="24"/>
              </w:rPr>
              <w:t>184.30</w:t>
            </w:r>
          </w:p>
        </w:tc>
      </w:tr>
      <w:tr w14:paraId="1097AF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0" w:type="auto"/>
            <w:vMerge w:val="continue"/>
            <w:vAlign w:val="center"/>
          </w:tcPr>
          <w:p w14:paraId="1BEFD1F5">
            <w:pPr>
              <w:widowControl/>
              <w:jc w:val="left"/>
              <w:rPr>
                <w:rFonts w:ascii="宋体" w:hAnsi="宋体" w:cs="宋体"/>
                <w:kern w:val="0"/>
                <w:sz w:val="24"/>
                <w:szCs w:val="24"/>
              </w:rPr>
            </w:pPr>
          </w:p>
        </w:tc>
        <w:tc>
          <w:tcPr>
            <w:tcW w:w="0" w:type="auto"/>
            <w:shd w:val="clear" w:color="auto" w:fill="auto"/>
            <w:noWrap/>
            <w:vAlign w:val="center"/>
          </w:tcPr>
          <w:p w14:paraId="3F0B48E8">
            <w:pPr>
              <w:widowControl/>
              <w:jc w:val="center"/>
              <w:rPr>
                <w:rFonts w:ascii="宋体" w:hAnsi="宋体" w:cs="宋体"/>
                <w:kern w:val="0"/>
                <w:sz w:val="24"/>
                <w:szCs w:val="24"/>
              </w:rPr>
            </w:pPr>
            <w:r>
              <w:rPr>
                <w:rFonts w:hint="eastAsia" w:ascii="宋体" w:hAnsi="宋体" w:cs="宋体"/>
                <w:kern w:val="0"/>
                <w:sz w:val="24"/>
                <w:szCs w:val="24"/>
              </w:rPr>
              <w:t>新超管架H200×200×2米×4根*3组</w:t>
            </w:r>
          </w:p>
        </w:tc>
        <w:tc>
          <w:tcPr>
            <w:tcW w:w="0" w:type="auto"/>
            <w:shd w:val="clear" w:color="auto" w:fill="auto"/>
            <w:noWrap/>
            <w:vAlign w:val="center"/>
          </w:tcPr>
          <w:p w14:paraId="78E88652">
            <w:pPr>
              <w:widowControl/>
              <w:jc w:val="center"/>
              <w:rPr>
                <w:rFonts w:ascii="宋体" w:hAnsi="宋体" w:cs="宋体"/>
                <w:kern w:val="0"/>
                <w:sz w:val="24"/>
                <w:szCs w:val="24"/>
              </w:rPr>
            </w:pPr>
            <w:r>
              <w:rPr>
                <w:rFonts w:hint="eastAsia" w:ascii="宋体" w:hAnsi="宋体" w:cs="宋体"/>
                <w:kern w:val="0"/>
                <w:sz w:val="24"/>
                <w:szCs w:val="24"/>
              </w:rPr>
              <w:t>29.04</w:t>
            </w:r>
          </w:p>
        </w:tc>
      </w:tr>
      <w:tr w14:paraId="323EDD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0" w:type="auto"/>
            <w:vMerge w:val="continue"/>
            <w:vAlign w:val="center"/>
          </w:tcPr>
          <w:p w14:paraId="4D327183">
            <w:pPr>
              <w:widowControl/>
              <w:jc w:val="left"/>
              <w:rPr>
                <w:rFonts w:ascii="宋体" w:hAnsi="宋体" w:cs="宋体"/>
                <w:kern w:val="0"/>
                <w:sz w:val="24"/>
                <w:szCs w:val="24"/>
              </w:rPr>
            </w:pPr>
          </w:p>
        </w:tc>
        <w:tc>
          <w:tcPr>
            <w:tcW w:w="0" w:type="auto"/>
            <w:shd w:val="clear" w:color="auto" w:fill="auto"/>
            <w:noWrap/>
            <w:vAlign w:val="center"/>
          </w:tcPr>
          <w:p w14:paraId="030761F3">
            <w:pPr>
              <w:widowControl/>
              <w:jc w:val="center"/>
              <w:rPr>
                <w:rFonts w:ascii="宋体" w:hAnsi="宋体" w:cs="宋体"/>
                <w:kern w:val="0"/>
                <w:sz w:val="24"/>
                <w:szCs w:val="24"/>
              </w:rPr>
            </w:pPr>
            <w:r>
              <w:rPr>
                <w:rFonts w:hint="eastAsia" w:ascii="宋体" w:hAnsi="宋体" w:cs="宋体"/>
                <w:kern w:val="0"/>
                <w:sz w:val="24"/>
                <w:szCs w:val="24"/>
              </w:rPr>
              <w:t>∠90×90×4米×6根*3组   0.3×0.4×11块×2面*3组</w:t>
            </w:r>
          </w:p>
        </w:tc>
        <w:tc>
          <w:tcPr>
            <w:tcW w:w="0" w:type="auto"/>
            <w:shd w:val="clear" w:color="auto" w:fill="auto"/>
            <w:noWrap/>
            <w:vAlign w:val="center"/>
          </w:tcPr>
          <w:p w14:paraId="4F2DD989">
            <w:pPr>
              <w:widowControl/>
              <w:jc w:val="center"/>
              <w:rPr>
                <w:rFonts w:ascii="宋体" w:hAnsi="宋体" w:cs="宋体"/>
                <w:kern w:val="0"/>
                <w:sz w:val="24"/>
                <w:szCs w:val="24"/>
              </w:rPr>
            </w:pPr>
            <w:r>
              <w:rPr>
                <w:rFonts w:hint="eastAsia" w:ascii="宋体" w:hAnsi="宋体" w:cs="宋体"/>
                <w:kern w:val="0"/>
                <w:sz w:val="24"/>
                <w:szCs w:val="24"/>
              </w:rPr>
              <w:t>33.84</w:t>
            </w:r>
          </w:p>
        </w:tc>
      </w:tr>
      <w:tr w14:paraId="2AE5E0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0" w:type="auto"/>
            <w:vMerge w:val="restart"/>
            <w:shd w:val="clear" w:color="auto" w:fill="auto"/>
            <w:noWrap/>
            <w:vAlign w:val="center"/>
          </w:tcPr>
          <w:p w14:paraId="373D8FBD">
            <w:pPr>
              <w:widowControl/>
              <w:jc w:val="center"/>
              <w:rPr>
                <w:rFonts w:ascii="宋体" w:hAnsi="宋体" w:cs="宋体"/>
                <w:kern w:val="0"/>
                <w:sz w:val="24"/>
                <w:szCs w:val="24"/>
              </w:rPr>
            </w:pPr>
            <w:r>
              <w:rPr>
                <w:rFonts w:hint="eastAsia" w:ascii="宋体" w:hAnsi="宋体" w:cs="宋体"/>
                <w:kern w:val="0"/>
                <w:sz w:val="24"/>
                <w:szCs w:val="24"/>
              </w:rPr>
              <w:t>4</w:t>
            </w:r>
          </w:p>
        </w:tc>
        <w:tc>
          <w:tcPr>
            <w:tcW w:w="0" w:type="auto"/>
            <w:shd w:val="clear" w:color="auto" w:fill="auto"/>
            <w:noWrap/>
            <w:vAlign w:val="center"/>
          </w:tcPr>
          <w:p w14:paraId="16ADA64B">
            <w:pPr>
              <w:widowControl/>
              <w:jc w:val="center"/>
              <w:rPr>
                <w:rFonts w:ascii="宋体" w:hAnsi="宋体" w:cs="宋体"/>
                <w:kern w:val="0"/>
                <w:sz w:val="24"/>
                <w:szCs w:val="24"/>
              </w:rPr>
            </w:pPr>
            <w:r>
              <w:rPr>
                <w:rFonts w:hint="eastAsia" w:ascii="宋体" w:hAnsi="宋体" w:cs="宋体"/>
                <w:kern w:val="0"/>
                <w:sz w:val="24"/>
                <w:szCs w:val="24"/>
              </w:rPr>
              <w:t>H 200×200×6米×3根*3组</w:t>
            </w:r>
          </w:p>
        </w:tc>
        <w:tc>
          <w:tcPr>
            <w:tcW w:w="0" w:type="auto"/>
            <w:shd w:val="clear" w:color="auto" w:fill="auto"/>
            <w:noWrap/>
            <w:vAlign w:val="center"/>
          </w:tcPr>
          <w:p w14:paraId="6D152652">
            <w:pPr>
              <w:widowControl/>
              <w:jc w:val="center"/>
              <w:rPr>
                <w:rFonts w:ascii="宋体" w:hAnsi="宋体" w:cs="宋体"/>
                <w:kern w:val="0"/>
                <w:sz w:val="24"/>
                <w:szCs w:val="24"/>
              </w:rPr>
            </w:pPr>
            <w:r>
              <w:rPr>
                <w:rFonts w:hint="eastAsia" w:ascii="宋体" w:hAnsi="宋体" w:cs="宋体"/>
                <w:kern w:val="0"/>
                <w:sz w:val="24"/>
                <w:szCs w:val="24"/>
              </w:rPr>
              <w:t>65.34</w:t>
            </w:r>
          </w:p>
        </w:tc>
      </w:tr>
      <w:tr w14:paraId="5F399C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0" w:type="auto"/>
            <w:vMerge w:val="continue"/>
            <w:vAlign w:val="center"/>
          </w:tcPr>
          <w:p w14:paraId="7A40632C">
            <w:pPr>
              <w:widowControl/>
              <w:jc w:val="left"/>
              <w:rPr>
                <w:rFonts w:ascii="宋体" w:hAnsi="宋体" w:cs="宋体"/>
                <w:kern w:val="0"/>
                <w:sz w:val="24"/>
                <w:szCs w:val="24"/>
              </w:rPr>
            </w:pPr>
          </w:p>
        </w:tc>
        <w:tc>
          <w:tcPr>
            <w:tcW w:w="0" w:type="auto"/>
            <w:shd w:val="clear" w:color="auto" w:fill="auto"/>
            <w:noWrap/>
            <w:vAlign w:val="center"/>
          </w:tcPr>
          <w:p w14:paraId="558AB416">
            <w:pPr>
              <w:widowControl/>
              <w:jc w:val="center"/>
              <w:rPr>
                <w:rFonts w:ascii="宋体" w:hAnsi="宋体" w:cs="宋体"/>
                <w:kern w:val="0"/>
                <w:sz w:val="24"/>
                <w:szCs w:val="24"/>
              </w:rPr>
            </w:pPr>
            <w:r>
              <w:rPr>
                <w:rFonts w:hint="eastAsia" w:ascii="宋体" w:hAnsi="宋体" w:cs="宋体"/>
                <w:kern w:val="0"/>
                <w:sz w:val="24"/>
                <w:szCs w:val="24"/>
              </w:rPr>
              <w:t>[10×8米*3组</w:t>
            </w:r>
          </w:p>
        </w:tc>
        <w:tc>
          <w:tcPr>
            <w:tcW w:w="0" w:type="auto"/>
            <w:shd w:val="clear" w:color="auto" w:fill="auto"/>
            <w:noWrap/>
            <w:vAlign w:val="center"/>
          </w:tcPr>
          <w:p w14:paraId="1C220D7B">
            <w:pPr>
              <w:widowControl/>
              <w:jc w:val="center"/>
              <w:rPr>
                <w:rFonts w:ascii="宋体" w:hAnsi="宋体" w:cs="宋体"/>
                <w:kern w:val="0"/>
                <w:sz w:val="24"/>
                <w:szCs w:val="24"/>
              </w:rPr>
            </w:pPr>
            <w:r>
              <w:rPr>
                <w:rFonts w:hint="eastAsia" w:ascii="宋体" w:hAnsi="宋体" w:cs="宋体"/>
                <w:kern w:val="0"/>
                <w:sz w:val="24"/>
                <w:szCs w:val="24"/>
              </w:rPr>
              <w:t>9.41</w:t>
            </w:r>
          </w:p>
        </w:tc>
      </w:tr>
      <w:tr w14:paraId="76285E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0" w:type="auto"/>
            <w:shd w:val="clear" w:color="auto" w:fill="auto"/>
            <w:noWrap/>
            <w:vAlign w:val="center"/>
          </w:tcPr>
          <w:p w14:paraId="04B32B17">
            <w:pPr>
              <w:widowControl/>
              <w:jc w:val="center"/>
              <w:rPr>
                <w:rFonts w:ascii="宋体" w:hAnsi="宋体" w:cs="宋体"/>
                <w:kern w:val="0"/>
                <w:sz w:val="24"/>
                <w:szCs w:val="24"/>
              </w:rPr>
            </w:pPr>
            <w:r>
              <w:rPr>
                <w:rFonts w:hint="eastAsia" w:ascii="宋体" w:hAnsi="宋体" w:cs="宋体"/>
                <w:kern w:val="0"/>
                <w:sz w:val="24"/>
                <w:szCs w:val="24"/>
              </w:rPr>
              <w:t>5</w:t>
            </w:r>
          </w:p>
        </w:tc>
        <w:tc>
          <w:tcPr>
            <w:tcW w:w="0" w:type="auto"/>
            <w:shd w:val="clear" w:color="auto" w:fill="auto"/>
            <w:noWrap/>
            <w:vAlign w:val="center"/>
          </w:tcPr>
          <w:p w14:paraId="7BF8B490">
            <w:pPr>
              <w:widowControl/>
              <w:jc w:val="center"/>
              <w:rPr>
                <w:rFonts w:ascii="宋体" w:hAnsi="宋体" w:cs="宋体"/>
                <w:kern w:val="0"/>
                <w:sz w:val="24"/>
                <w:szCs w:val="24"/>
              </w:rPr>
            </w:pPr>
            <w:r>
              <w:rPr>
                <w:rFonts w:hint="eastAsia" w:ascii="宋体" w:hAnsi="宋体" w:cs="宋体"/>
                <w:kern w:val="0"/>
                <w:sz w:val="24"/>
                <w:szCs w:val="24"/>
              </w:rPr>
              <w:t>消防管 φ168×20+5+36+38+30  支架[10×0.5×50只</w:t>
            </w:r>
          </w:p>
        </w:tc>
        <w:tc>
          <w:tcPr>
            <w:tcW w:w="0" w:type="auto"/>
            <w:shd w:val="clear" w:color="auto" w:fill="auto"/>
            <w:noWrap/>
            <w:vAlign w:val="center"/>
          </w:tcPr>
          <w:p w14:paraId="25794CE5">
            <w:pPr>
              <w:widowControl/>
              <w:jc w:val="center"/>
              <w:rPr>
                <w:rFonts w:ascii="宋体" w:hAnsi="宋体" w:cs="宋体"/>
                <w:kern w:val="0"/>
                <w:sz w:val="24"/>
                <w:szCs w:val="24"/>
              </w:rPr>
            </w:pPr>
            <w:r>
              <w:rPr>
                <w:rFonts w:hint="eastAsia" w:ascii="宋体" w:hAnsi="宋体" w:cs="宋体"/>
                <w:kern w:val="0"/>
                <w:sz w:val="24"/>
                <w:szCs w:val="24"/>
              </w:rPr>
              <w:t>77.85</w:t>
            </w:r>
          </w:p>
        </w:tc>
      </w:tr>
      <w:tr w14:paraId="3205E4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0" w:type="auto"/>
            <w:shd w:val="clear" w:color="auto" w:fill="auto"/>
            <w:noWrap/>
            <w:vAlign w:val="center"/>
          </w:tcPr>
          <w:p w14:paraId="47ABA70E">
            <w:pPr>
              <w:widowControl/>
              <w:jc w:val="center"/>
              <w:rPr>
                <w:rFonts w:ascii="宋体" w:hAnsi="宋体" w:cs="宋体"/>
                <w:kern w:val="0"/>
                <w:sz w:val="24"/>
                <w:szCs w:val="24"/>
              </w:rPr>
            </w:pPr>
            <w:r>
              <w:rPr>
                <w:rFonts w:hint="eastAsia" w:ascii="宋体" w:hAnsi="宋体" w:cs="宋体"/>
                <w:kern w:val="0"/>
                <w:sz w:val="24"/>
                <w:szCs w:val="24"/>
              </w:rPr>
              <w:t>6</w:t>
            </w:r>
          </w:p>
        </w:tc>
        <w:tc>
          <w:tcPr>
            <w:tcW w:w="0" w:type="auto"/>
            <w:shd w:val="clear" w:color="auto" w:fill="auto"/>
            <w:noWrap/>
            <w:vAlign w:val="center"/>
          </w:tcPr>
          <w:p w14:paraId="03781FE4">
            <w:pPr>
              <w:widowControl/>
              <w:jc w:val="center"/>
              <w:rPr>
                <w:rFonts w:ascii="宋体" w:hAnsi="宋体" w:cs="宋体"/>
                <w:kern w:val="0"/>
                <w:sz w:val="24"/>
                <w:szCs w:val="24"/>
              </w:rPr>
            </w:pPr>
            <w:r>
              <w:rPr>
                <w:rFonts w:hint="eastAsia" w:ascii="宋体" w:hAnsi="宋体" w:cs="宋体"/>
                <w:kern w:val="0"/>
                <w:sz w:val="24"/>
                <w:szCs w:val="24"/>
              </w:rPr>
              <w:t>平台 工200×1.4米×4根+3米×2根</w:t>
            </w:r>
          </w:p>
        </w:tc>
        <w:tc>
          <w:tcPr>
            <w:tcW w:w="0" w:type="auto"/>
            <w:shd w:val="clear" w:color="auto" w:fill="auto"/>
            <w:noWrap/>
            <w:vAlign w:val="center"/>
          </w:tcPr>
          <w:p w14:paraId="2A7461AB">
            <w:pPr>
              <w:widowControl/>
              <w:jc w:val="center"/>
              <w:rPr>
                <w:rFonts w:ascii="宋体" w:hAnsi="宋体" w:cs="宋体"/>
                <w:kern w:val="0"/>
                <w:sz w:val="24"/>
                <w:szCs w:val="24"/>
              </w:rPr>
            </w:pPr>
            <w:r>
              <w:rPr>
                <w:rFonts w:hint="eastAsia" w:ascii="宋体" w:hAnsi="宋体" w:cs="宋体"/>
                <w:kern w:val="0"/>
                <w:sz w:val="24"/>
                <w:szCs w:val="24"/>
              </w:rPr>
              <w:t>9.28</w:t>
            </w:r>
          </w:p>
        </w:tc>
      </w:tr>
      <w:tr w14:paraId="2DF22C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0" w:type="auto"/>
            <w:vMerge w:val="restart"/>
            <w:shd w:val="clear" w:color="auto" w:fill="auto"/>
            <w:noWrap/>
            <w:vAlign w:val="center"/>
          </w:tcPr>
          <w:p w14:paraId="32CCA233">
            <w:pPr>
              <w:widowControl/>
              <w:jc w:val="center"/>
              <w:rPr>
                <w:rFonts w:ascii="宋体" w:hAnsi="宋体" w:cs="宋体"/>
                <w:kern w:val="0"/>
                <w:sz w:val="24"/>
                <w:szCs w:val="24"/>
              </w:rPr>
            </w:pPr>
            <w:r>
              <w:rPr>
                <w:rFonts w:hint="eastAsia" w:ascii="宋体" w:hAnsi="宋体" w:cs="宋体"/>
                <w:kern w:val="0"/>
                <w:sz w:val="24"/>
                <w:szCs w:val="24"/>
              </w:rPr>
              <w:t>7</w:t>
            </w:r>
          </w:p>
        </w:tc>
        <w:tc>
          <w:tcPr>
            <w:tcW w:w="0" w:type="auto"/>
            <w:shd w:val="clear" w:color="auto" w:fill="auto"/>
            <w:noWrap/>
            <w:vAlign w:val="center"/>
          </w:tcPr>
          <w:p w14:paraId="36E869DC">
            <w:pPr>
              <w:widowControl/>
              <w:jc w:val="center"/>
              <w:rPr>
                <w:rFonts w:ascii="宋体" w:hAnsi="宋体" w:cs="宋体"/>
                <w:kern w:val="0"/>
                <w:sz w:val="24"/>
                <w:szCs w:val="24"/>
              </w:rPr>
            </w:pPr>
            <w:r>
              <w:rPr>
                <w:rFonts w:hint="eastAsia" w:ascii="宋体" w:hAnsi="宋体" w:cs="宋体"/>
                <w:kern w:val="0"/>
                <w:sz w:val="24"/>
                <w:szCs w:val="24"/>
              </w:rPr>
              <w:t>#字架 [160×4米×4根+8米   1米×8根</w:t>
            </w:r>
          </w:p>
        </w:tc>
        <w:tc>
          <w:tcPr>
            <w:tcW w:w="0" w:type="auto"/>
            <w:shd w:val="clear" w:color="auto" w:fill="auto"/>
            <w:noWrap/>
            <w:vAlign w:val="center"/>
          </w:tcPr>
          <w:p w14:paraId="30019F88">
            <w:pPr>
              <w:widowControl/>
              <w:jc w:val="center"/>
              <w:rPr>
                <w:rFonts w:ascii="宋体" w:hAnsi="宋体" w:cs="宋体"/>
                <w:kern w:val="0"/>
                <w:sz w:val="24"/>
                <w:szCs w:val="24"/>
              </w:rPr>
            </w:pPr>
            <w:r>
              <w:rPr>
                <w:rFonts w:hint="eastAsia" w:ascii="宋体" w:hAnsi="宋体" w:cs="宋体"/>
                <w:kern w:val="0"/>
                <w:sz w:val="24"/>
                <w:szCs w:val="24"/>
              </w:rPr>
              <w:t>15.56</w:t>
            </w:r>
          </w:p>
        </w:tc>
      </w:tr>
      <w:tr w14:paraId="29A9F5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0" w:type="auto"/>
            <w:vMerge w:val="continue"/>
            <w:vAlign w:val="center"/>
          </w:tcPr>
          <w:p w14:paraId="453A86DC">
            <w:pPr>
              <w:widowControl/>
              <w:jc w:val="left"/>
              <w:rPr>
                <w:rFonts w:ascii="宋体" w:hAnsi="宋体" w:cs="宋体"/>
                <w:kern w:val="0"/>
                <w:sz w:val="24"/>
                <w:szCs w:val="24"/>
              </w:rPr>
            </w:pPr>
          </w:p>
        </w:tc>
        <w:tc>
          <w:tcPr>
            <w:tcW w:w="0" w:type="auto"/>
            <w:shd w:val="clear" w:color="auto" w:fill="auto"/>
            <w:noWrap/>
            <w:vAlign w:val="center"/>
          </w:tcPr>
          <w:p w14:paraId="22B7353E">
            <w:pPr>
              <w:widowControl/>
              <w:jc w:val="center"/>
              <w:rPr>
                <w:rFonts w:ascii="宋体" w:hAnsi="宋体" w:cs="宋体"/>
                <w:kern w:val="0"/>
                <w:sz w:val="24"/>
                <w:szCs w:val="24"/>
              </w:rPr>
            </w:pPr>
            <w:r>
              <w:rPr>
                <w:rFonts w:hint="eastAsia" w:ascii="宋体" w:hAnsi="宋体" w:cs="宋体"/>
                <w:kern w:val="0"/>
                <w:sz w:val="24"/>
                <w:szCs w:val="24"/>
              </w:rPr>
              <w:t>H250×（4米×2根+3米×2组</w:t>
            </w:r>
          </w:p>
        </w:tc>
        <w:tc>
          <w:tcPr>
            <w:tcW w:w="0" w:type="auto"/>
            <w:shd w:val="clear" w:color="auto" w:fill="auto"/>
            <w:noWrap/>
            <w:vAlign w:val="center"/>
          </w:tcPr>
          <w:p w14:paraId="47223EAF">
            <w:pPr>
              <w:widowControl/>
              <w:jc w:val="center"/>
              <w:rPr>
                <w:rFonts w:ascii="宋体" w:hAnsi="宋体" w:cs="宋体"/>
                <w:kern w:val="0"/>
                <w:sz w:val="24"/>
                <w:szCs w:val="24"/>
              </w:rPr>
            </w:pPr>
            <w:r>
              <w:rPr>
                <w:rFonts w:hint="eastAsia" w:ascii="宋体" w:hAnsi="宋体" w:cs="宋体"/>
                <w:kern w:val="0"/>
                <w:sz w:val="24"/>
                <w:szCs w:val="24"/>
              </w:rPr>
              <w:t>33.22</w:t>
            </w:r>
          </w:p>
        </w:tc>
      </w:tr>
      <w:tr w14:paraId="5F760A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0" w:type="auto"/>
            <w:shd w:val="clear" w:color="auto" w:fill="auto"/>
            <w:noWrap/>
            <w:vAlign w:val="center"/>
          </w:tcPr>
          <w:p w14:paraId="0C979015">
            <w:pPr>
              <w:widowControl/>
              <w:jc w:val="center"/>
              <w:rPr>
                <w:rFonts w:ascii="宋体" w:hAnsi="宋体" w:cs="宋体"/>
                <w:kern w:val="0"/>
                <w:sz w:val="24"/>
                <w:szCs w:val="24"/>
              </w:rPr>
            </w:pPr>
            <w:r>
              <w:rPr>
                <w:rFonts w:hint="eastAsia" w:ascii="宋体" w:hAnsi="宋体" w:cs="宋体"/>
                <w:kern w:val="0"/>
                <w:sz w:val="24"/>
                <w:szCs w:val="24"/>
              </w:rPr>
              <w:t>8</w:t>
            </w:r>
          </w:p>
        </w:tc>
        <w:tc>
          <w:tcPr>
            <w:tcW w:w="0" w:type="auto"/>
            <w:shd w:val="clear" w:color="auto" w:fill="auto"/>
            <w:noWrap/>
            <w:vAlign w:val="center"/>
          </w:tcPr>
          <w:p w14:paraId="743C3FDF">
            <w:pPr>
              <w:widowControl/>
              <w:jc w:val="center"/>
              <w:rPr>
                <w:rFonts w:ascii="宋体" w:hAnsi="宋体" w:cs="宋体"/>
                <w:kern w:val="0"/>
                <w:sz w:val="24"/>
                <w:szCs w:val="24"/>
              </w:rPr>
            </w:pPr>
            <w:r>
              <w:rPr>
                <w:rFonts w:hint="eastAsia" w:ascii="宋体" w:hAnsi="宋体" w:cs="宋体"/>
                <w:kern w:val="0"/>
                <w:sz w:val="24"/>
                <w:szCs w:val="24"/>
              </w:rPr>
              <w:t>污水收集箱（1×2米×高1米×5面）×2台</w:t>
            </w:r>
          </w:p>
        </w:tc>
        <w:tc>
          <w:tcPr>
            <w:tcW w:w="0" w:type="auto"/>
            <w:shd w:val="clear" w:color="auto" w:fill="auto"/>
            <w:noWrap/>
            <w:vAlign w:val="center"/>
          </w:tcPr>
          <w:p w14:paraId="08BCEEBF">
            <w:pPr>
              <w:widowControl/>
              <w:jc w:val="center"/>
              <w:rPr>
                <w:rFonts w:ascii="宋体" w:hAnsi="宋体" w:cs="宋体"/>
                <w:kern w:val="0"/>
                <w:sz w:val="24"/>
                <w:szCs w:val="24"/>
              </w:rPr>
            </w:pPr>
            <w:r>
              <w:rPr>
                <w:rFonts w:hint="eastAsia" w:ascii="宋体" w:hAnsi="宋体" w:cs="宋体"/>
                <w:kern w:val="0"/>
                <w:sz w:val="24"/>
                <w:szCs w:val="24"/>
              </w:rPr>
              <w:t>14.00</w:t>
            </w:r>
          </w:p>
        </w:tc>
      </w:tr>
      <w:tr w14:paraId="479387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0" w:type="auto"/>
            <w:shd w:val="clear" w:color="auto" w:fill="auto"/>
            <w:noWrap/>
            <w:vAlign w:val="center"/>
          </w:tcPr>
          <w:p w14:paraId="4F443331">
            <w:pPr>
              <w:widowControl/>
              <w:jc w:val="center"/>
              <w:rPr>
                <w:rFonts w:ascii="宋体" w:hAnsi="宋体" w:cs="宋体"/>
                <w:kern w:val="0"/>
                <w:sz w:val="24"/>
                <w:szCs w:val="24"/>
              </w:rPr>
            </w:pPr>
            <w:r>
              <w:rPr>
                <w:rFonts w:hint="eastAsia" w:ascii="宋体" w:hAnsi="宋体" w:cs="宋体"/>
                <w:kern w:val="0"/>
                <w:sz w:val="24"/>
                <w:szCs w:val="24"/>
              </w:rPr>
              <w:t>9</w:t>
            </w:r>
          </w:p>
        </w:tc>
        <w:tc>
          <w:tcPr>
            <w:tcW w:w="0" w:type="auto"/>
            <w:shd w:val="clear" w:color="auto" w:fill="auto"/>
            <w:noWrap/>
            <w:vAlign w:val="center"/>
          </w:tcPr>
          <w:p w14:paraId="239C7AEB">
            <w:pPr>
              <w:widowControl/>
              <w:jc w:val="center"/>
              <w:rPr>
                <w:rFonts w:ascii="宋体" w:hAnsi="宋体" w:cs="宋体"/>
                <w:kern w:val="0"/>
                <w:sz w:val="24"/>
                <w:szCs w:val="24"/>
              </w:rPr>
            </w:pPr>
            <w:r>
              <w:rPr>
                <w:rFonts w:hint="eastAsia" w:ascii="宋体" w:hAnsi="宋体" w:cs="宋体"/>
                <w:kern w:val="0"/>
                <w:sz w:val="24"/>
                <w:szCs w:val="24"/>
              </w:rPr>
              <w:t>2#平台盖板（1×2米）×2台</w:t>
            </w:r>
          </w:p>
        </w:tc>
        <w:tc>
          <w:tcPr>
            <w:tcW w:w="0" w:type="auto"/>
            <w:shd w:val="clear" w:color="auto" w:fill="auto"/>
            <w:noWrap/>
            <w:vAlign w:val="center"/>
          </w:tcPr>
          <w:p w14:paraId="0B4E1583">
            <w:pPr>
              <w:widowControl/>
              <w:jc w:val="center"/>
              <w:rPr>
                <w:rFonts w:ascii="宋体" w:hAnsi="宋体" w:cs="宋体"/>
                <w:kern w:val="0"/>
                <w:sz w:val="24"/>
                <w:szCs w:val="24"/>
              </w:rPr>
            </w:pPr>
            <w:r>
              <w:rPr>
                <w:rFonts w:hint="eastAsia" w:ascii="宋体" w:hAnsi="宋体" w:cs="宋体"/>
                <w:kern w:val="0"/>
                <w:sz w:val="24"/>
                <w:szCs w:val="24"/>
              </w:rPr>
              <w:t>4.00</w:t>
            </w:r>
          </w:p>
        </w:tc>
      </w:tr>
      <w:tr w14:paraId="09C57E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0" w:type="auto"/>
            <w:vMerge w:val="restart"/>
            <w:shd w:val="clear" w:color="auto" w:fill="auto"/>
            <w:noWrap/>
            <w:vAlign w:val="center"/>
          </w:tcPr>
          <w:p w14:paraId="3A48AE4E">
            <w:pPr>
              <w:widowControl/>
              <w:jc w:val="center"/>
              <w:rPr>
                <w:rFonts w:ascii="宋体" w:hAnsi="宋体" w:cs="宋体"/>
                <w:kern w:val="0"/>
                <w:sz w:val="24"/>
                <w:szCs w:val="24"/>
              </w:rPr>
            </w:pPr>
            <w:r>
              <w:rPr>
                <w:rFonts w:hint="eastAsia" w:ascii="宋体" w:hAnsi="宋体" w:cs="宋体"/>
                <w:kern w:val="0"/>
                <w:sz w:val="24"/>
                <w:szCs w:val="24"/>
              </w:rPr>
              <w:t>10</w:t>
            </w:r>
          </w:p>
        </w:tc>
        <w:tc>
          <w:tcPr>
            <w:tcW w:w="0" w:type="auto"/>
            <w:shd w:val="clear" w:color="auto" w:fill="auto"/>
            <w:noWrap/>
            <w:vAlign w:val="center"/>
          </w:tcPr>
          <w:p w14:paraId="1E5C5724">
            <w:pPr>
              <w:widowControl/>
              <w:jc w:val="center"/>
              <w:rPr>
                <w:rFonts w:ascii="宋体" w:hAnsi="宋体" w:cs="宋体"/>
                <w:kern w:val="0"/>
                <w:sz w:val="24"/>
                <w:szCs w:val="24"/>
              </w:rPr>
            </w:pPr>
            <w:r>
              <w:rPr>
                <w:rFonts w:hint="eastAsia" w:ascii="宋体" w:hAnsi="宋体" w:cs="宋体"/>
                <w:kern w:val="0"/>
                <w:sz w:val="24"/>
                <w:szCs w:val="24"/>
              </w:rPr>
              <w:t>支架∠70×5米</w:t>
            </w:r>
          </w:p>
        </w:tc>
        <w:tc>
          <w:tcPr>
            <w:tcW w:w="0" w:type="auto"/>
            <w:shd w:val="clear" w:color="auto" w:fill="auto"/>
            <w:noWrap/>
            <w:vAlign w:val="center"/>
          </w:tcPr>
          <w:p w14:paraId="4D124BA5">
            <w:pPr>
              <w:widowControl/>
              <w:jc w:val="center"/>
              <w:rPr>
                <w:rFonts w:ascii="宋体" w:hAnsi="宋体" w:cs="宋体"/>
                <w:kern w:val="0"/>
                <w:sz w:val="24"/>
                <w:szCs w:val="24"/>
              </w:rPr>
            </w:pPr>
            <w:r>
              <w:rPr>
                <w:rFonts w:hint="eastAsia" w:ascii="宋体" w:hAnsi="宋体" w:cs="宋体"/>
                <w:kern w:val="0"/>
                <w:sz w:val="24"/>
                <w:szCs w:val="24"/>
              </w:rPr>
              <w:t>1.40</w:t>
            </w:r>
          </w:p>
        </w:tc>
      </w:tr>
      <w:tr w14:paraId="0342DA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0" w:type="auto"/>
            <w:vMerge w:val="continue"/>
            <w:vAlign w:val="center"/>
          </w:tcPr>
          <w:p w14:paraId="3305573E">
            <w:pPr>
              <w:widowControl/>
              <w:jc w:val="left"/>
              <w:rPr>
                <w:rFonts w:ascii="宋体" w:hAnsi="宋体" w:cs="宋体"/>
                <w:kern w:val="0"/>
                <w:sz w:val="24"/>
                <w:szCs w:val="24"/>
              </w:rPr>
            </w:pPr>
          </w:p>
        </w:tc>
        <w:tc>
          <w:tcPr>
            <w:tcW w:w="0" w:type="auto"/>
            <w:shd w:val="clear" w:color="auto" w:fill="auto"/>
            <w:noWrap/>
            <w:vAlign w:val="center"/>
          </w:tcPr>
          <w:p w14:paraId="1ADB7411">
            <w:pPr>
              <w:widowControl/>
              <w:jc w:val="center"/>
              <w:rPr>
                <w:rFonts w:ascii="宋体" w:hAnsi="宋体" w:cs="宋体"/>
                <w:kern w:val="0"/>
                <w:sz w:val="24"/>
                <w:szCs w:val="24"/>
              </w:rPr>
            </w:pPr>
            <w:r>
              <w:rPr>
                <w:rFonts w:hint="eastAsia" w:ascii="宋体" w:hAnsi="宋体" w:cs="宋体"/>
                <w:kern w:val="0"/>
                <w:sz w:val="24"/>
                <w:szCs w:val="24"/>
              </w:rPr>
              <w:t>H350×（1.8×4根+3.5×2根）</w:t>
            </w:r>
          </w:p>
        </w:tc>
        <w:tc>
          <w:tcPr>
            <w:tcW w:w="0" w:type="auto"/>
            <w:shd w:val="clear" w:color="auto" w:fill="auto"/>
            <w:noWrap/>
            <w:vAlign w:val="center"/>
          </w:tcPr>
          <w:p w14:paraId="52C09AA5">
            <w:pPr>
              <w:widowControl/>
              <w:jc w:val="center"/>
              <w:rPr>
                <w:rFonts w:ascii="宋体" w:hAnsi="宋体" w:cs="宋体"/>
                <w:kern w:val="0"/>
                <w:sz w:val="24"/>
                <w:szCs w:val="24"/>
              </w:rPr>
            </w:pPr>
            <w:r>
              <w:rPr>
                <w:rFonts w:hint="eastAsia" w:ascii="宋体" w:hAnsi="宋体" w:cs="宋体"/>
                <w:kern w:val="0"/>
                <w:sz w:val="24"/>
                <w:szCs w:val="24"/>
              </w:rPr>
              <w:t>29.82</w:t>
            </w:r>
          </w:p>
        </w:tc>
      </w:tr>
      <w:tr w14:paraId="31988C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0" w:type="auto"/>
            <w:vMerge w:val="continue"/>
            <w:vAlign w:val="center"/>
          </w:tcPr>
          <w:p w14:paraId="367C7A3A">
            <w:pPr>
              <w:widowControl/>
              <w:jc w:val="left"/>
              <w:rPr>
                <w:rFonts w:ascii="宋体" w:hAnsi="宋体" w:cs="宋体"/>
                <w:kern w:val="0"/>
                <w:sz w:val="24"/>
                <w:szCs w:val="24"/>
              </w:rPr>
            </w:pPr>
          </w:p>
        </w:tc>
        <w:tc>
          <w:tcPr>
            <w:tcW w:w="0" w:type="auto"/>
            <w:shd w:val="clear" w:color="auto" w:fill="auto"/>
            <w:noWrap/>
            <w:vAlign w:val="center"/>
          </w:tcPr>
          <w:p w14:paraId="3D43F14B">
            <w:pPr>
              <w:widowControl/>
              <w:jc w:val="center"/>
              <w:rPr>
                <w:rFonts w:ascii="宋体" w:hAnsi="宋体" w:cs="宋体"/>
                <w:kern w:val="0"/>
                <w:sz w:val="24"/>
                <w:szCs w:val="24"/>
              </w:rPr>
            </w:pPr>
            <w:r>
              <w:rPr>
                <w:rFonts w:hint="eastAsia" w:ascii="宋体" w:hAnsi="宋体" w:cs="宋体"/>
                <w:kern w:val="0"/>
                <w:sz w:val="24"/>
                <w:szCs w:val="24"/>
              </w:rPr>
              <w:t>DN25×94米</w:t>
            </w:r>
          </w:p>
        </w:tc>
        <w:tc>
          <w:tcPr>
            <w:tcW w:w="0" w:type="auto"/>
            <w:shd w:val="clear" w:color="auto" w:fill="auto"/>
            <w:noWrap/>
            <w:vAlign w:val="center"/>
          </w:tcPr>
          <w:p w14:paraId="1F35333C">
            <w:pPr>
              <w:widowControl/>
              <w:jc w:val="center"/>
              <w:rPr>
                <w:rFonts w:ascii="宋体" w:hAnsi="宋体" w:cs="宋体"/>
                <w:kern w:val="0"/>
                <w:sz w:val="24"/>
                <w:szCs w:val="24"/>
              </w:rPr>
            </w:pPr>
            <w:r>
              <w:rPr>
                <w:rFonts w:hint="eastAsia" w:ascii="宋体" w:hAnsi="宋体" w:cs="宋体"/>
                <w:kern w:val="0"/>
                <w:sz w:val="24"/>
                <w:szCs w:val="24"/>
              </w:rPr>
              <w:t>10.04</w:t>
            </w:r>
          </w:p>
        </w:tc>
      </w:tr>
      <w:tr w14:paraId="1B9B23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0" w:type="auto"/>
            <w:vMerge w:val="continue"/>
            <w:vAlign w:val="center"/>
          </w:tcPr>
          <w:p w14:paraId="2DBAC5C4">
            <w:pPr>
              <w:widowControl/>
              <w:jc w:val="left"/>
              <w:rPr>
                <w:rFonts w:ascii="宋体" w:hAnsi="宋体" w:cs="宋体"/>
                <w:kern w:val="0"/>
                <w:sz w:val="24"/>
                <w:szCs w:val="24"/>
              </w:rPr>
            </w:pPr>
          </w:p>
        </w:tc>
        <w:tc>
          <w:tcPr>
            <w:tcW w:w="0" w:type="auto"/>
            <w:shd w:val="clear" w:color="auto" w:fill="auto"/>
            <w:noWrap/>
            <w:vAlign w:val="center"/>
          </w:tcPr>
          <w:p w14:paraId="3962B458">
            <w:pPr>
              <w:widowControl/>
              <w:jc w:val="center"/>
              <w:rPr>
                <w:rFonts w:ascii="宋体" w:hAnsi="宋体" w:cs="宋体"/>
                <w:kern w:val="0"/>
                <w:sz w:val="24"/>
                <w:szCs w:val="24"/>
              </w:rPr>
            </w:pPr>
            <w:r>
              <w:rPr>
                <w:rFonts w:hint="eastAsia" w:ascii="宋体" w:hAnsi="宋体" w:cs="宋体"/>
                <w:kern w:val="0"/>
                <w:sz w:val="24"/>
                <w:szCs w:val="24"/>
              </w:rPr>
              <w:t xml:space="preserve"> [250×（3米×2根+2米）×3台</w:t>
            </w:r>
          </w:p>
        </w:tc>
        <w:tc>
          <w:tcPr>
            <w:tcW w:w="0" w:type="auto"/>
            <w:shd w:val="clear" w:color="auto" w:fill="auto"/>
            <w:noWrap/>
            <w:vAlign w:val="center"/>
          </w:tcPr>
          <w:p w14:paraId="54EB35E9">
            <w:pPr>
              <w:widowControl/>
              <w:jc w:val="center"/>
              <w:rPr>
                <w:rFonts w:ascii="宋体" w:hAnsi="宋体" w:cs="宋体"/>
                <w:kern w:val="0"/>
                <w:sz w:val="24"/>
                <w:szCs w:val="24"/>
              </w:rPr>
            </w:pPr>
            <w:r>
              <w:rPr>
                <w:rFonts w:hint="eastAsia" w:ascii="宋体" w:hAnsi="宋体" w:cs="宋体"/>
                <w:kern w:val="0"/>
                <w:sz w:val="24"/>
                <w:szCs w:val="24"/>
              </w:rPr>
              <w:t>19.68</w:t>
            </w:r>
          </w:p>
        </w:tc>
      </w:tr>
      <w:tr w14:paraId="2B18F0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0" w:type="auto"/>
            <w:vMerge w:val="continue"/>
            <w:vAlign w:val="center"/>
          </w:tcPr>
          <w:p w14:paraId="6002A1D2">
            <w:pPr>
              <w:widowControl/>
              <w:jc w:val="left"/>
              <w:rPr>
                <w:rFonts w:ascii="宋体" w:hAnsi="宋体" w:cs="宋体"/>
                <w:kern w:val="0"/>
                <w:sz w:val="24"/>
                <w:szCs w:val="24"/>
              </w:rPr>
            </w:pPr>
          </w:p>
        </w:tc>
        <w:tc>
          <w:tcPr>
            <w:tcW w:w="0" w:type="auto"/>
            <w:shd w:val="clear" w:color="auto" w:fill="auto"/>
            <w:noWrap/>
            <w:vAlign w:val="center"/>
          </w:tcPr>
          <w:p w14:paraId="44170085">
            <w:pPr>
              <w:widowControl/>
              <w:jc w:val="center"/>
              <w:rPr>
                <w:rFonts w:ascii="宋体" w:hAnsi="宋体" w:cs="宋体"/>
                <w:kern w:val="0"/>
                <w:sz w:val="24"/>
                <w:szCs w:val="24"/>
              </w:rPr>
            </w:pPr>
            <w:r>
              <w:rPr>
                <w:rFonts w:hint="eastAsia" w:ascii="宋体" w:hAnsi="宋体" w:cs="宋体"/>
                <w:kern w:val="0"/>
                <w:sz w:val="24"/>
                <w:szCs w:val="24"/>
              </w:rPr>
              <w:t>0.8×1.1×8块×2面×3台</w:t>
            </w:r>
          </w:p>
        </w:tc>
        <w:tc>
          <w:tcPr>
            <w:tcW w:w="0" w:type="auto"/>
            <w:shd w:val="clear" w:color="auto" w:fill="auto"/>
            <w:noWrap/>
            <w:vAlign w:val="center"/>
          </w:tcPr>
          <w:p w14:paraId="228A8944">
            <w:pPr>
              <w:widowControl/>
              <w:jc w:val="center"/>
              <w:rPr>
                <w:rFonts w:ascii="宋体" w:hAnsi="宋体" w:cs="宋体"/>
                <w:kern w:val="0"/>
                <w:sz w:val="24"/>
                <w:szCs w:val="24"/>
              </w:rPr>
            </w:pPr>
            <w:r>
              <w:rPr>
                <w:rFonts w:hint="eastAsia" w:ascii="宋体" w:hAnsi="宋体" w:cs="宋体"/>
                <w:kern w:val="0"/>
                <w:sz w:val="24"/>
                <w:szCs w:val="24"/>
              </w:rPr>
              <w:t>42.24</w:t>
            </w:r>
          </w:p>
        </w:tc>
      </w:tr>
      <w:tr w14:paraId="1A5EFE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0" w:type="auto"/>
            <w:vMerge w:val="restart"/>
            <w:shd w:val="clear" w:color="auto" w:fill="auto"/>
            <w:noWrap/>
            <w:vAlign w:val="center"/>
          </w:tcPr>
          <w:p w14:paraId="598DB5C0">
            <w:pPr>
              <w:widowControl/>
              <w:jc w:val="center"/>
              <w:rPr>
                <w:rFonts w:ascii="宋体" w:hAnsi="宋体" w:cs="宋体"/>
                <w:kern w:val="0"/>
                <w:sz w:val="24"/>
                <w:szCs w:val="24"/>
              </w:rPr>
            </w:pPr>
            <w:r>
              <w:rPr>
                <w:rFonts w:hint="eastAsia" w:ascii="宋体" w:hAnsi="宋体" w:cs="宋体"/>
                <w:kern w:val="0"/>
                <w:sz w:val="24"/>
                <w:szCs w:val="24"/>
              </w:rPr>
              <w:t>11</w:t>
            </w:r>
          </w:p>
        </w:tc>
        <w:tc>
          <w:tcPr>
            <w:tcW w:w="0" w:type="auto"/>
            <w:shd w:val="clear" w:color="auto" w:fill="auto"/>
            <w:noWrap/>
            <w:vAlign w:val="center"/>
          </w:tcPr>
          <w:p w14:paraId="34CE8203">
            <w:pPr>
              <w:widowControl/>
              <w:jc w:val="center"/>
              <w:rPr>
                <w:rFonts w:ascii="宋体" w:hAnsi="宋体" w:cs="宋体"/>
                <w:kern w:val="0"/>
                <w:sz w:val="24"/>
                <w:szCs w:val="24"/>
              </w:rPr>
            </w:pPr>
            <w:r>
              <w:rPr>
                <w:rFonts w:hint="eastAsia" w:ascii="宋体" w:hAnsi="宋体" w:cs="宋体"/>
                <w:kern w:val="0"/>
                <w:sz w:val="24"/>
                <w:szCs w:val="24"/>
              </w:rPr>
              <w:t>管支架 H350×0.8×3×3组</w:t>
            </w:r>
          </w:p>
        </w:tc>
        <w:tc>
          <w:tcPr>
            <w:tcW w:w="0" w:type="auto"/>
            <w:shd w:val="clear" w:color="auto" w:fill="auto"/>
            <w:noWrap/>
            <w:vAlign w:val="center"/>
          </w:tcPr>
          <w:p w14:paraId="3941A4F8">
            <w:pPr>
              <w:widowControl/>
              <w:jc w:val="center"/>
              <w:rPr>
                <w:rFonts w:ascii="宋体" w:hAnsi="宋体" w:cs="宋体"/>
                <w:kern w:val="0"/>
                <w:sz w:val="24"/>
                <w:szCs w:val="24"/>
              </w:rPr>
            </w:pPr>
            <w:r>
              <w:rPr>
                <w:rFonts w:hint="eastAsia" w:ascii="宋体" w:hAnsi="宋体" w:cs="宋体"/>
                <w:kern w:val="0"/>
                <w:sz w:val="24"/>
                <w:szCs w:val="24"/>
              </w:rPr>
              <w:t>15.12</w:t>
            </w:r>
          </w:p>
        </w:tc>
      </w:tr>
      <w:tr w14:paraId="41E4AD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0" w:type="auto"/>
            <w:vMerge w:val="continue"/>
            <w:vAlign w:val="center"/>
          </w:tcPr>
          <w:p w14:paraId="55C0AC32">
            <w:pPr>
              <w:widowControl/>
              <w:jc w:val="left"/>
              <w:rPr>
                <w:rFonts w:ascii="宋体" w:hAnsi="宋体" w:cs="宋体"/>
                <w:kern w:val="0"/>
                <w:sz w:val="24"/>
                <w:szCs w:val="24"/>
              </w:rPr>
            </w:pPr>
          </w:p>
        </w:tc>
        <w:tc>
          <w:tcPr>
            <w:tcW w:w="0" w:type="auto"/>
            <w:shd w:val="clear" w:color="auto" w:fill="auto"/>
            <w:noWrap/>
            <w:vAlign w:val="center"/>
          </w:tcPr>
          <w:p w14:paraId="18DFCDAE">
            <w:pPr>
              <w:widowControl/>
              <w:jc w:val="center"/>
              <w:rPr>
                <w:rFonts w:ascii="宋体" w:hAnsi="宋体" w:cs="宋体"/>
                <w:kern w:val="0"/>
                <w:sz w:val="24"/>
                <w:szCs w:val="24"/>
              </w:rPr>
            </w:pPr>
            <w:r>
              <w:rPr>
                <w:rFonts w:hint="eastAsia" w:ascii="宋体" w:hAnsi="宋体" w:cs="宋体"/>
                <w:kern w:val="0"/>
                <w:sz w:val="24"/>
                <w:szCs w:val="24"/>
              </w:rPr>
              <w:t>底板0.4×1×1面</w:t>
            </w:r>
          </w:p>
        </w:tc>
        <w:tc>
          <w:tcPr>
            <w:tcW w:w="0" w:type="auto"/>
            <w:shd w:val="clear" w:color="auto" w:fill="auto"/>
            <w:noWrap/>
            <w:vAlign w:val="center"/>
          </w:tcPr>
          <w:p w14:paraId="361BC3DA">
            <w:pPr>
              <w:widowControl/>
              <w:jc w:val="center"/>
              <w:rPr>
                <w:rFonts w:ascii="宋体" w:hAnsi="宋体" w:cs="宋体"/>
                <w:kern w:val="0"/>
                <w:sz w:val="24"/>
                <w:szCs w:val="24"/>
              </w:rPr>
            </w:pPr>
            <w:r>
              <w:rPr>
                <w:rFonts w:hint="eastAsia" w:ascii="宋体" w:hAnsi="宋体" w:cs="宋体"/>
                <w:kern w:val="0"/>
                <w:sz w:val="24"/>
                <w:szCs w:val="24"/>
              </w:rPr>
              <w:t>0.40</w:t>
            </w:r>
          </w:p>
        </w:tc>
      </w:tr>
      <w:tr w14:paraId="153771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0" w:type="auto"/>
            <w:vMerge w:val="continue"/>
            <w:vAlign w:val="center"/>
          </w:tcPr>
          <w:p w14:paraId="65F7B6F5">
            <w:pPr>
              <w:widowControl/>
              <w:jc w:val="left"/>
              <w:rPr>
                <w:rFonts w:ascii="宋体" w:hAnsi="宋体" w:cs="宋体"/>
                <w:kern w:val="0"/>
                <w:sz w:val="24"/>
                <w:szCs w:val="24"/>
              </w:rPr>
            </w:pPr>
          </w:p>
        </w:tc>
        <w:tc>
          <w:tcPr>
            <w:tcW w:w="0" w:type="auto"/>
            <w:shd w:val="clear" w:color="auto" w:fill="auto"/>
            <w:noWrap/>
            <w:vAlign w:val="center"/>
          </w:tcPr>
          <w:p w14:paraId="3C59D579">
            <w:pPr>
              <w:widowControl/>
              <w:jc w:val="center"/>
              <w:rPr>
                <w:rFonts w:ascii="宋体" w:hAnsi="宋体" w:cs="宋体"/>
                <w:kern w:val="0"/>
                <w:sz w:val="24"/>
                <w:szCs w:val="24"/>
              </w:rPr>
            </w:pPr>
            <w:r>
              <w:rPr>
                <w:rFonts w:hint="eastAsia" w:ascii="宋体" w:hAnsi="宋体" w:cs="宋体"/>
                <w:kern w:val="0"/>
                <w:sz w:val="24"/>
                <w:szCs w:val="24"/>
              </w:rPr>
              <w:t xml:space="preserve"> 宽0.6×高0.4×长1.2×5面</w:t>
            </w:r>
          </w:p>
        </w:tc>
        <w:tc>
          <w:tcPr>
            <w:tcW w:w="0" w:type="auto"/>
            <w:shd w:val="clear" w:color="auto" w:fill="auto"/>
            <w:noWrap/>
            <w:vAlign w:val="center"/>
          </w:tcPr>
          <w:p w14:paraId="6B57C416">
            <w:pPr>
              <w:widowControl/>
              <w:jc w:val="center"/>
              <w:rPr>
                <w:rFonts w:ascii="宋体" w:hAnsi="宋体" w:cs="宋体"/>
                <w:kern w:val="0"/>
                <w:sz w:val="24"/>
                <w:szCs w:val="24"/>
              </w:rPr>
            </w:pPr>
            <w:r>
              <w:rPr>
                <w:rFonts w:hint="eastAsia" w:ascii="宋体" w:hAnsi="宋体" w:cs="宋体"/>
                <w:kern w:val="0"/>
                <w:sz w:val="24"/>
                <w:szCs w:val="24"/>
              </w:rPr>
              <w:t>1.68</w:t>
            </w:r>
          </w:p>
        </w:tc>
      </w:tr>
      <w:tr w14:paraId="302F15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0" w:type="auto"/>
            <w:vMerge w:val="continue"/>
            <w:vAlign w:val="center"/>
          </w:tcPr>
          <w:p w14:paraId="19E8115B">
            <w:pPr>
              <w:widowControl/>
              <w:jc w:val="left"/>
              <w:rPr>
                <w:rFonts w:ascii="宋体" w:hAnsi="宋体" w:cs="宋体"/>
                <w:kern w:val="0"/>
                <w:sz w:val="24"/>
                <w:szCs w:val="24"/>
              </w:rPr>
            </w:pPr>
          </w:p>
        </w:tc>
        <w:tc>
          <w:tcPr>
            <w:tcW w:w="0" w:type="auto"/>
            <w:shd w:val="clear" w:color="auto" w:fill="auto"/>
            <w:noWrap/>
            <w:vAlign w:val="center"/>
          </w:tcPr>
          <w:p w14:paraId="78EDF700">
            <w:pPr>
              <w:widowControl/>
              <w:jc w:val="center"/>
              <w:rPr>
                <w:rFonts w:ascii="宋体" w:hAnsi="宋体" w:cs="宋体"/>
                <w:kern w:val="0"/>
                <w:sz w:val="24"/>
                <w:szCs w:val="24"/>
              </w:rPr>
            </w:pPr>
            <w:r>
              <w:rPr>
                <w:rFonts w:hint="eastAsia" w:ascii="宋体" w:hAnsi="宋体" w:cs="宋体"/>
                <w:kern w:val="0"/>
                <w:sz w:val="24"/>
                <w:szCs w:val="24"/>
              </w:rPr>
              <w:t>支架[10×2×10只</w:t>
            </w:r>
          </w:p>
        </w:tc>
        <w:tc>
          <w:tcPr>
            <w:tcW w:w="0" w:type="auto"/>
            <w:shd w:val="clear" w:color="auto" w:fill="auto"/>
            <w:noWrap/>
            <w:vAlign w:val="center"/>
          </w:tcPr>
          <w:p w14:paraId="7B8C4D36">
            <w:pPr>
              <w:widowControl/>
              <w:jc w:val="center"/>
              <w:rPr>
                <w:rFonts w:ascii="宋体" w:hAnsi="宋体" w:cs="宋体"/>
                <w:kern w:val="0"/>
                <w:sz w:val="24"/>
                <w:szCs w:val="24"/>
              </w:rPr>
            </w:pPr>
            <w:r>
              <w:rPr>
                <w:rFonts w:hint="eastAsia" w:ascii="宋体" w:hAnsi="宋体" w:cs="宋体"/>
                <w:kern w:val="0"/>
                <w:sz w:val="24"/>
                <w:szCs w:val="24"/>
              </w:rPr>
              <w:t>7.84</w:t>
            </w:r>
          </w:p>
        </w:tc>
      </w:tr>
      <w:tr w14:paraId="500455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0" w:type="auto"/>
            <w:shd w:val="clear" w:color="auto" w:fill="auto"/>
            <w:noWrap/>
            <w:vAlign w:val="center"/>
          </w:tcPr>
          <w:p w14:paraId="4EF22721">
            <w:pPr>
              <w:widowControl/>
              <w:jc w:val="center"/>
              <w:rPr>
                <w:rFonts w:ascii="宋体" w:hAnsi="宋体" w:cs="宋体"/>
                <w:kern w:val="0"/>
                <w:sz w:val="24"/>
                <w:szCs w:val="24"/>
              </w:rPr>
            </w:pPr>
            <w:r>
              <w:rPr>
                <w:rFonts w:hint="eastAsia" w:ascii="宋体" w:hAnsi="宋体" w:cs="宋体"/>
                <w:kern w:val="0"/>
                <w:sz w:val="24"/>
                <w:szCs w:val="24"/>
              </w:rPr>
              <w:t>12</w:t>
            </w:r>
          </w:p>
        </w:tc>
        <w:tc>
          <w:tcPr>
            <w:tcW w:w="0" w:type="auto"/>
            <w:shd w:val="clear" w:color="auto" w:fill="auto"/>
            <w:noWrap/>
            <w:vAlign w:val="center"/>
          </w:tcPr>
          <w:p w14:paraId="4F9802B8">
            <w:pPr>
              <w:widowControl/>
              <w:jc w:val="center"/>
              <w:rPr>
                <w:rFonts w:ascii="宋体" w:hAnsi="宋体" w:cs="宋体"/>
                <w:kern w:val="0"/>
                <w:sz w:val="24"/>
                <w:szCs w:val="24"/>
              </w:rPr>
            </w:pPr>
            <w:r>
              <w:rPr>
                <w:rFonts w:hint="eastAsia" w:ascii="宋体" w:hAnsi="宋体" w:cs="宋体"/>
                <w:kern w:val="0"/>
                <w:sz w:val="24"/>
                <w:szCs w:val="24"/>
              </w:rPr>
              <w:t>（岸电驻机）约50㎡</w:t>
            </w:r>
          </w:p>
        </w:tc>
        <w:tc>
          <w:tcPr>
            <w:tcW w:w="0" w:type="auto"/>
            <w:shd w:val="clear" w:color="auto" w:fill="auto"/>
            <w:noWrap/>
            <w:vAlign w:val="center"/>
          </w:tcPr>
          <w:p w14:paraId="1D4A5632">
            <w:pPr>
              <w:widowControl/>
              <w:jc w:val="center"/>
              <w:rPr>
                <w:rFonts w:ascii="宋体" w:hAnsi="宋体" w:cs="宋体"/>
                <w:kern w:val="0"/>
                <w:sz w:val="24"/>
                <w:szCs w:val="24"/>
              </w:rPr>
            </w:pPr>
            <w:r>
              <w:rPr>
                <w:rFonts w:hint="eastAsia" w:ascii="宋体" w:hAnsi="宋体" w:cs="宋体"/>
                <w:kern w:val="0"/>
                <w:sz w:val="24"/>
                <w:szCs w:val="24"/>
              </w:rPr>
              <w:t>50.00</w:t>
            </w:r>
          </w:p>
        </w:tc>
      </w:tr>
      <w:tr w14:paraId="0C879D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0" w:type="auto"/>
            <w:vMerge w:val="restart"/>
            <w:shd w:val="clear" w:color="auto" w:fill="auto"/>
            <w:noWrap/>
            <w:vAlign w:val="center"/>
          </w:tcPr>
          <w:p w14:paraId="11FB484A">
            <w:pPr>
              <w:widowControl/>
              <w:jc w:val="center"/>
              <w:rPr>
                <w:rFonts w:ascii="宋体" w:hAnsi="宋体" w:cs="宋体"/>
                <w:kern w:val="0"/>
                <w:sz w:val="24"/>
                <w:szCs w:val="24"/>
              </w:rPr>
            </w:pPr>
            <w:r>
              <w:rPr>
                <w:rFonts w:hint="eastAsia" w:ascii="宋体" w:hAnsi="宋体" w:cs="宋体"/>
                <w:kern w:val="0"/>
                <w:sz w:val="24"/>
                <w:szCs w:val="24"/>
              </w:rPr>
              <w:t>13</w:t>
            </w:r>
          </w:p>
        </w:tc>
        <w:tc>
          <w:tcPr>
            <w:tcW w:w="0" w:type="auto"/>
            <w:shd w:val="clear" w:color="auto" w:fill="auto"/>
            <w:noWrap/>
            <w:vAlign w:val="center"/>
          </w:tcPr>
          <w:p w14:paraId="29EE37AC">
            <w:pPr>
              <w:widowControl/>
              <w:jc w:val="center"/>
              <w:rPr>
                <w:rFonts w:ascii="宋体" w:hAnsi="宋体" w:cs="宋体"/>
                <w:kern w:val="0"/>
                <w:sz w:val="24"/>
                <w:szCs w:val="24"/>
              </w:rPr>
            </w:pPr>
            <w:r>
              <w:rPr>
                <w:rFonts w:hint="eastAsia" w:ascii="宋体" w:hAnsi="宋体" w:cs="宋体"/>
                <w:kern w:val="0"/>
                <w:sz w:val="24"/>
                <w:szCs w:val="24"/>
              </w:rPr>
              <w:t>新超沥青管支架 H200×2×2根  1米×2根×10只</w:t>
            </w:r>
          </w:p>
        </w:tc>
        <w:tc>
          <w:tcPr>
            <w:tcW w:w="0" w:type="auto"/>
            <w:shd w:val="clear" w:color="auto" w:fill="auto"/>
            <w:noWrap/>
            <w:vAlign w:val="center"/>
          </w:tcPr>
          <w:p w14:paraId="7D4BDC8F">
            <w:pPr>
              <w:widowControl/>
              <w:jc w:val="center"/>
              <w:rPr>
                <w:rFonts w:ascii="宋体" w:hAnsi="宋体" w:cs="宋体"/>
                <w:kern w:val="0"/>
                <w:sz w:val="24"/>
                <w:szCs w:val="24"/>
              </w:rPr>
            </w:pPr>
            <w:r>
              <w:rPr>
                <w:rFonts w:hint="eastAsia" w:ascii="宋体" w:hAnsi="宋体" w:cs="宋体"/>
                <w:kern w:val="0"/>
                <w:sz w:val="24"/>
                <w:szCs w:val="24"/>
              </w:rPr>
              <w:t>29.04</w:t>
            </w:r>
          </w:p>
        </w:tc>
      </w:tr>
      <w:tr w14:paraId="6EE365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0" w:type="auto"/>
            <w:vMerge w:val="continue"/>
            <w:vAlign w:val="center"/>
          </w:tcPr>
          <w:p w14:paraId="04D286AA">
            <w:pPr>
              <w:widowControl/>
              <w:jc w:val="left"/>
              <w:rPr>
                <w:rFonts w:ascii="宋体" w:hAnsi="宋体" w:cs="宋体"/>
                <w:kern w:val="0"/>
                <w:sz w:val="24"/>
                <w:szCs w:val="24"/>
              </w:rPr>
            </w:pPr>
          </w:p>
        </w:tc>
        <w:tc>
          <w:tcPr>
            <w:tcW w:w="0" w:type="auto"/>
            <w:shd w:val="clear" w:color="auto" w:fill="auto"/>
            <w:noWrap/>
            <w:vAlign w:val="center"/>
          </w:tcPr>
          <w:p w14:paraId="07658B25">
            <w:pPr>
              <w:widowControl/>
              <w:jc w:val="center"/>
              <w:rPr>
                <w:rFonts w:ascii="宋体" w:hAnsi="宋体" w:cs="宋体"/>
                <w:kern w:val="0"/>
                <w:sz w:val="24"/>
                <w:szCs w:val="24"/>
              </w:rPr>
            </w:pPr>
            <w:r>
              <w:rPr>
                <w:rFonts w:hint="eastAsia" w:ascii="宋体" w:hAnsi="宋体" w:cs="宋体"/>
                <w:kern w:val="0"/>
                <w:sz w:val="24"/>
                <w:szCs w:val="24"/>
              </w:rPr>
              <w:t>地脚0.5×0.4×2，爬梯</w:t>
            </w:r>
            <w:r>
              <w:rPr>
                <w:rFonts w:hint="eastAsia" w:ascii="MS Gothic" w:hAnsi="MS Gothic" w:eastAsia="MS Gothic" w:cs="MS Gothic"/>
                <w:kern w:val="0"/>
                <w:sz w:val="24"/>
                <w:szCs w:val="24"/>
              </w:rPr>
              <w:t>∅</w:t>
            </w:r>
            <w:r>
              <w:rPr>
                <w:rFonts w:hint="eastAsia" w:ascii="宋体" w:hAnsi="宋体" w:cs="宋体"/>
                <w:kern w:val="0"/>
                <w:sz w:val="24"/>
                <w:szCs w:val="24"/>
              </w:rPr>
              <w:t>48*30米 ∠50*50*26米  板0.2米*2米*4块</w:t>
            </w:r>
          </w:p>
        </w:tc>
        <w:tc>
          <w:tcPr>
            <w:tcW w:w="0" w:type="auto"/>
            <w:shd w:val="clear" w:color="auto" w:fill="auto"/>
            <w:noWrap/>
            <w:vAlign w:val="center"/>
          </w:tcPr>
          <w:p w14:paraId="492B597F">
            <w:pPr>
              <w:widowControl/>
              <w:jc w:val="center"/>
              <w:rPr>
                <w:rFonts w:ascii="宋体" w:hAnsi="宋体" w:cs="宋体"/>
                <w:kern w:val="0"/>
                <w:sz w:val="24"/>
                <w:szCs w:val="24"/>
              </w:rPr>
            </w:pPr>
            <w:r>
              <w:rPr>
                <w:rFonts w:hint="eastAsia" w:ascii="宋体" w:hAnsi="宋体" w:cs="宋体"/>
                <w:kern w:val="0"/>
                <w:sz w:val="24"/>
                <w:szCs w:val="24"/>
              </w:rPr>
              <w:t>13.32</w:t>
            </w:r>
          </w:p>
        </w:tc>
      </w:tr>
      <w:tr w14:paraId="3B9133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0" w:hRule="atLeast"/>
        </w:trPr>
        <w:tc>
          <w:tcPr>
            <w:tcW w:w="0" w:type="auto"/>
            <w:shd w:val="clear" w:color="auto" w:fill="auto"/>
            <w:noWrap/>
            <w:vAlign w:val="center"/>
          </w:tcPr>
          <w:p w14:paraId="738A57FC">
            <w:pPr>
              <w:widowControl/>
              <w:jc w:val="center"/>
              <w:rPr>
                <w:rFonts w:ascii="宋体" w:hAnsi="宋体" w:cs="宋体"/>
                <w:kern w:val="0"/>
                <w:sz w:val="24"/>
                <w:szCs w:val="24"/>
              </w:rPr>
            </w:pPr>
            <w:r>
              <w:rPr>
                <w:rFonts w:hint="eastAsia" w:ascii="宋体" w:hAnsi="宋体" w:cs="宋体"/>
                <w:kern w:val="0"/>
                <w:sz w:val="24"/>
                <w:szCs w:val="24"/>
              </w:rPr>
              <w:t>14</w:t>
            </w:r>
          </w:p>
        </w:tc>
        <w:tc>
          <w:tcPr>
            <w:tcW w:w="0" w:type="auto"/>
            <w:shd w:val="clear" w:color="auto" w:fill="auto"/>
            <w:vAlign w:val="center"/>
          </w:tcPr>
          <w:p w14:paraId="13AAF907">
            <w:pPr>
              <w:widowControl/>
              <w:jc w:val="center"/>
              <w:rPr>
                <w:rFonts w:ascii="宋体" w:hAnsi="宋体" w:cs="宋体"/>
                <w:kern w:val="0"/>
                <w:sz w:val="24"/>
                <w:szCs w:val="24"/>
              </w:rPr>
            </w:pPr>
            <w:r>
              <w:rPr>
                <w:rFonts w:hint="eastAsia" w:ascii="宋体" w:hAnsi="宋体" w:cs="宋体"/>
                <w:kern w:val="0"/>
                <w:sz w:val="24"/>
                <w:szCs w:val="24"/>
              </w:rPr>
              <w:t>H250×250 （ 0.7米*2根  2米*1根  脚板0.5米*0.5米*2块  筋板0.1米*0.25米*6块*2面*2组）*17跨</w:t>
            </w:r>
          </w:p>
        </w:tc>
        <w:tc>
          <w:tcPr>
            <w:tcW w:w="0" w:type="auto"/>
            <w:shd w:val="clear" w:color="auto" w:fill="auto"/>
            <w:noWrap/>
            <w:vAlign w:val="center"/>
          </w:tcPr>
          <w:p w14:paraId="08BB0119">
            <w:pPr>
              <w:widowControl/>
              <w:jc w:val="center"/>
              <w:rPr>
                <w:rFonts w:ascii="宋体" w:hAnsi="宋体" w:cs="宋体"/>
                <w:kern w:val="0"/>
                <w:sz w:val="24"/>
                <w:szCs w:val="24"/>
              </w:rPr>
            </w:pPr>
            <w:r>
              <w:rPr>
                <w:rFonts w:hint="eastAsia" w:ascii="宋体" w:hAnsi="宋体" w:cs="宋体"/>
                <w:kern w:val="0"/>
                <w:sz w:val="24"/>
                <w:szCs w:val="24"/>
              </w:rPr>
              <w:t>59.78</w:t>
            </w:r>
          </w:p>
        </w:tc>
      </w:tr>
      <w:tr w14:paraId="1F06E8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0" w:hRule="atLeast"/>
        </w:trPr>
        <w:tc>
          <w:tcPr>
            <w:tcW w:w="0" w:type="auto"/>
            <w:shd w:val="clear" w:color="auto" w:fill="auto"/>
            <w:noWrap/>
            <w:vAlign w:val="center"/>
          </w:tcPr>
          <w:p w14:paraId="0633CF2B">
            <w:pPr>
              <w:widowControl/>
              <w:jc w:val="center"/>
              <w:rPr>
                <w:rFonts w:ascii="宋体" w:hAnsi="宋体" w:cs="宋体"/>
                <w:kern w:val="0"/>
                <w:sz w:val="24"/>
                <w:szCs w:val="24"/>
              </w:rPr>
            </w:pPr>
            <w:r>
              <w:rPr>
                <w:rFonts w:hint="eastAsia" w:ascii="宋体" w:hAnsi="宋体" w:cs="宋体"/>
                <w:kern w:val="0"/>
                <w:sz w:val="24"/>
                <w:szCs w:val="24"/>
              </w:rPr>
              <w:t>15</w:t>
            </w:r>
          </w:p>
        </w:tc>
        <w:tc>
          <w:tcPr>
            <w:tcW w:w="0" w:type="auto"/>
            <w:shd w:val="clear" w:color="auto" w:fill="auto"/>
            <w:vAlign w:val="center"/>
          </w:tcPr>
          <w:p w14:paraId="2A2E4C12">
            <w:pPr>
              <w:widowControl/>
              <w:jc w:val="center"/>
              <w:rPr>
                <w:rFonts w:ascii="宋体" w:hAnsi="宋体" w:cs="宋体"/>
                <w:kern w:val="0"/>
                <w:sz w:val="24"/>
                <w:szCs w:val="24"/>
              </w:rPr>
            </w:pPr>
            <w:r>
              <w:rPr>
                <w:rFonts w:hint="eastAsia" w:ascii="宋体" w:hAnsi="宋体" w:cs="宋体"/>
                <w:kern w:val="0"/>
                <w:sz w:val="24"/>
                <w:szCs w:val="24"/>
              </w:rPr>
              <w:t>H250×250 （ 1.5米*2根  2米*1根  脚板0.5米*0.5米*2块  筋板0.1米*0.25米*12块*2面）*14组   工字钢Ι18 （0.7米*2根 +2米*1根）*14组</w:t>
            </w:r>
          </w:p>
        </w:tc>
        <w:tc>
          <w:tcPr>
            <w:tcW w:w="0" w:type="auto"/>
            <w:shd w:val="clear" w:color="auto" w:fill="auto"/>
            <w:noWrap/>
            <w:vAlign w:val="center"/>
          </w:tcPr>
          <w:p w14:paraId="666A6633">
            <w:pPr>
              <w:widowControl/>
              <w:jc w:val="center"/>
              <w:rPr>
                <w:rFonts w:ascii="宋体" w:hAnsi="宋体" w:cs="宋体"/>
                <w:kern w:val="0"/>
                <w:sz w:val="24"/>
                <w:szCs w:val="24"/>
              </w:rPr>
            </w:pPr>
            <w:r>
              <w:rPr>
                <w:rFonts w:hint="eastAsia" w:ascii="宋体" w:hAnsi="宋体" w:cs="宋体"/>
                <w:kern w:val="0"/>
                <w:sz w:val="24"/>
                <w:szCs w:val="24"/>
              </w:rPr>
              <w:t>151.14</w:t>
            </w:r>
          </w:p>
        </w:tc>
      </w:tr>
      <w:tr w14:paraId="000300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0" w:hRule="atLeast"/>
        </w:trPr>
        <w:tc>
          <w:tcPr>
            <w:tcW w:w="0" w:type="auto"/>
            <w:shd w:val="clear" w:color="auto" w:fill="auto"/>
            <w:noWrap/>
            <w:vAlign w:val="center"/>
          </w:tcPr>
          <w:p w14:paraId="2F3BA527">
            <w:pPr>
              <w:widowControl/>
              <w:jc w:val="center"/>
              <w:rPr>
                <w:rFonts w:ascii="宋体" w:hAnsi="宋体" w:cs="宋体"/>
                <w:kern w:val="0"/>
                <w:sz w:val="24"/>
                <w:szCs w:val="24"/>
              </w:rPr>
            </w:pPr>
            <w:r>
              <w:rPr>
                <w:rFonts w:hint="eastAsia" w:ascii="宋体" w:hAnsi="宋体" w:cs="宋体"/>
                <w:kern w:val="0"/>
                <w:sz w:val="24"/>
                <w:szCs w:val="24"/>
              </w:rPr>
              <w:t>16</w:t>
            </w:r>
          </w:p>
        </w:tc>
        <w:tc>
          <w:tcPr>
            <w:tcW w:w="0" w:type="auto"/>
            <w:shd w:val="clear" w:color="auto" w:fill="auto"/>
            <w:vAlign w:val="center"/>
          </w:tcPr>
          <w:p w14:paraId="01148E11">
            <w:pPr>
              <w:widowControl/>
              <w:jc w:val="center"/>
              <w:rPr>
                <w:rFonts w:ascii="宋体" w:hAnsi="宋体" w:cs="宋体"/>
                <w:kern w:val="0"/>
                <w:sz w:val="24"/>
                <w:szCs w:val="24"/>
              </w:rPr>
            </w:pPr>
            <w:r>
              <w:rPr>
                <w:rFonts w:hint="eastAsia" w:ascii="宋体" w:hAnsi="宋体" w:cs="宋体"/>
                <w:kern w:val="0"/>
                <w:sz w:val="24"/>
                <w:szCs w:val="24"/>
              </w:rPr>
              <w:t>H200×200 （ 1.5米*3根    脚板0.5米*0.4米*2块  筋板0.1米*0.25米*12块*2面）*16组   工字钢Ι18 （0.7米*2根 +1.5米*1根）*16组</w:t>
            </w:r>
          </w:p>
        </w:tc>
        <w:tc>
          <w:tcPr>
            <w:tcW w:w="0" w:type="auto"/>
            <w:shd w:val="clear" w:color="auto" w:fill="auto"/>
            <w:noWrap/>
            <w:vAlign w:val="center"/>
          </w:tcPr>
          <w:p w14:paraId="0B8DF1DC">
            <w:pPr>
              <w:widowControl/>
              <w:jc w:val="center"/>
              <w:rPr>
                <w:rFonts w:ascii="宋体" w:hAnsi="宋体" w:cs="宋体"/>
                <w:kern w:val="0"/>
                <w:sz w:val="24"/>
                <w:szCs w:val="24"/>
              </w:rPr>
            </w:pPr>
            <w:r>
              <w:rPr>
                <w:rFonts w:hint="eastAsia" w:ascii="宋体" w:hAnsi="宋体" w:cs="宋体"/>
                <w:kern w:val="0"/>
                <w:sz w:val="24"/>
                <w:szCs w:val="24"/>
              </w:rPr>
              <w:t>137.46</w:t>
            </w:r>
          </w:p>
        </w:tc>
      </w:tr>
      <w:tr w14:paraId="688C0B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0" w:type="auto"/>
            <w:shd w:val="clear" w:color="auto" w:fill="auto"/>
            <w:noWrap/>
            <w:vAlign w:val="center"/>
          </w:tcPr>
          <w:p w14:paraId="6B21D08C">
            <w:pPr>
              <w:widowControl/>
              <w:jc w:val="center"/>
              <w:rPr>
                <w:rFonts w:ascii="宋体" w:hAnsi="宋体" w:cs="宋体"/>
                <w:kern w:val="0"/>
                <w:sz w:val="24"/>
                <w:szCs w:val="24"/>
              </w:rPr>
            </w:pPr>
            <w:r>
              <w:rPr>
                <w:rFonts w:hint="eastAsia" w:ascii="宋体" w:hAnsi="宋体" w:cs="宋体"/>
                <w:kern w:val="0"/>
                <w:sz w:val="24"/>
                <w:szCs w:val="24"/>
              </w:rPr>
              <w:t>　</w:t>
            </w:r>
          </w:p>
        </w:tc>
        <w:tc>
          <w:tcPr>
            <w:tcW w:w="0" w:type="auto"/>
            <w:shd w:val="clear" w:color="auto" w:fill="auto"/>
            <w:noWrap/>
            <w:vAlign w:val="center"/>
          </w:tcPr>
          <w:p w14:paraId="3C498C72">
            <w:pPr>
              <w:widowControl/>
              <w:jc w:val="center"/>
              <w:rPr>
                <w:rFonts w:ascii="宋体" w:hAnsi="宋体" w:cs="宋体"/>
                <w:kern w:val="0"/>
                <w:sz w:val="24"/>
                <w:szCs w:val="24"/>
              </w:rPr>
            </w:pPr>
            <w:r>
              <w:rPr>
                <w:rFonts w:hint="eastAsia" w:ascii="宋体" w:hAnsi="宋体" w:cs="宋体"/>
                <w:kern w:val="0"/>
                <w:sz w:val="24"/>
                <w:szCs w:val="24"/>
              </w:rPr>
              <w:t>合计</w:t>
            </w:r>
          </w:p>
        </w:tc>
        <w:tc>
          <w:tcPr>
            <w:tcW w:w="0" w:type="auto"/>
            <w:shd w:val="clear" w:color="000000" w:fill="FFFF00"/>
            <w:noWrap/>
            <w:vAlign w:val="center"/>
          </w:tcPr>
          <w:p w14:paraId="27BAAC2C">
            <w:pPr>
              <w:widowControl/>
              <w:jc w:val="center"/>
              <w:rPr>
                <w:rFonts w:ascii="宋体" w:hAnsi="宋体" w:cs="宋体"/>
                <w:kern w:val="0"/>
                <w:sz w:val="24"/>
                <w:szCs w:val="24"/>
              </w:rPr>
            </w:pPr>
            <w:r>
              <w:rPr>
                <w:rFonts w:hint="eastAsia" w:ascii="宋体" w:hAnsi="宋体" w:cs="宋体"/>
                <w:kern w:val="0"/>
                <w:sz w:val="24"/>
                <w:szCs w:val="24"/>
              </w:rPr>
              <w:t>1256.27</w:t>
            </w:r>
          </w:p>
        </w:tc>
      </w:tr>
    </w:tbl>
    <w:p w14:paraId="556FB5B7">
      <w:pPr>
        <w:pStyle w:val="2"/>
        <w:keepNext w:val="0"/>
        <w:keepLines w:val="0"/>
        <w:widowControl/>
        <w:shd w:val="clear" w:color="auto" w:fill="FFFFFF"/>
        <w:ind w:firstLine="640" w:firstLineChars="200"/>
        <w:jc w:val="left"/>
        <w:rPr>
          <w:rFonts w:ascii="方正仿宋简体" w:hAnsi="方正仿宋简体" w:eastAsia="方正仿宋简体" w:cs="方正仿宋简体"/>
          <w:kern w:val="2"/>
          <w:sz w:val="32"/>
          <w:szCs w:val="32"/>
        </w:rPr>
      </w:pPr>
      <w:r>
        <w:rPr>
          <w:rFonts w:hint="eastAsia" w:ascii="方正仿宋简体" w:hAnsi="方正仿宋简体" w:eastAsia="方正仿宋简体" w:cs="方正仿宋简体"/>
          <w:kern w:val="2"/>
          <w:sz w:val="32"/>
          <w:szCs w:val="32"/>
        </w:rPr>
        <w:t>施工工艺：1-13项动力除重锈，环氧带锈底漆二遍、环氧云铁一遍、聚氨脂面漆二遍，高度0-6米；14-16项动力除中锈，环氧带锈底漆二遍、环氧云铁一遍、聚氨脂面漆二遍，高度0-6米。</w:t>
      </w:r>
    </w:p>
    <w:p w14:paraId="1FCF0444">
      <w:pPr>
        <w:pStyle w:val="14"/>
        <w:widowControl/>
        <w:shd w:val="clear" w:color="auto" w:fill="FFFFFF"/>
        <w:spacing w:line="600" w:lineRule="exact"/>
        <w:ind w:firstLine="640" w:firstLineChars="200"/>
        <w:rPr>
          <w:rFonts w:hint="default" w:ascii="方正仿宋简体" w:hAnsi="方正仿宋简体" w:eastAsia="方正仿宋简体" w:cs="方正仿宋简体"/>
          <w:kern w:val="2"/>
          <w:sz w:val="32"/>
          <w:szCs w:val="32"/>
        </w:rPr>
      </w:pPr>
      <w:r>
        <w:rPr>
          <w:rFonts w:hint="default" w:ascii="方正仿宋简体" w:hAnsi="方正仿宋简体" w:eastAsia="方正仿宋简体" w:cs="方正仿宋简体"/>
          <w:kern w:val="2"/>
          <w:sz w:val="32"/>
          <w:szCs w:val="32"/>
        </w:rPr>
        <w:t>3</w:t>
      </w:r>
      <w:r>
        <w:rPr>
          <w:rFonts w:ascii="方正仿宋简体" w:hAnsi="方正仿宋简体" w:eastAsia="方正仿宋简体" w:cs="方正仿宋简体"/>
          <w:kern w:val="2"/>
          <w:sz w:val="32"/>
          <w:szCs w:val="32"/>
        </w:rPr>
        <w:t>.承包方式：包工、包料。</w:t>
      </w:r>
      <w:r>
        <w:rPr>
          <w:rFonts w:ascii="方正仿宋简体" w:hAnsi="方正仿宋简体" w:eastAsia="方正仿宋简体" w:cs="方正仿宋简体"/>
          <w:color w:val="333333"/>
          <w:sz w:val="32"/>
          <w:szCs w:val="32"/>
          <w:shd w:val="clear" w:color="auto" w:fill="FFFFFF"/>
        </w:rPr>
        <w:t>以上所有涂料均需提供质量合格证明文件，符合国家标准或规范的合法产品。</w:t>
      </w:r>
    </w:p>
    <w:p w14:paraId="22E96DC4">
      <w:pPr>
        <w:pStyle w:val="14"/>
        <w:widowControl/>
        <w:shd w:val="clear" w:color="auto" w:fill="FFFFFF"/>
        <w:spacing w:line="600" w:lineRule="exact"/>
        <w:ind w:firstLine="640" w:firstLineChars="200"/>
        <w:rPr>
          <w:rFonts w:hint="default" w:ascii="方正仿宋简体" w:hAnsi="方正仿宋简体" w:eastAsia="方正仿宋简体" w:cs="方正仿宋简体"/>
          <w:sz w:val="32"/>
          <w:szCs w:val="32"/>
        </w:rPr>
      </w:pPr>
      <w:r>
        <w:rPr>
          <w:rFonts w:hint="default" w:ascii="方正仿宋简体" w:hAnsi="方正仿宋简体" w:eastAsia="方正仿宋简体" w:cs="方正仿宋简体"/>
          <w:sz w:val="32"/>
          <w:szCs w:val="32"/>
        </w:rPr>
        <w:t>4</w:t>
      </w:r>
      <w:r>
        <w:rPr>
          <w:rFonts w:ascii="方正仿宋简体" w:hAnsi="方正仿宋简体" w:eastAsia="方正仿宋简体" w:cs="方正仿宋简体"/>
          <w:sz w:val="32"/>
          <w:szCs w:val="32"/>
        </w:rPr>
        <w:t>.一切机械辅助设施（如，吊车、叉车、脚手架、曲臂车等）须在符合安全规范及安全性能的前提下由成交方自行解决，其它在施工中任何可能发生的费用，如</w:t>
      </w:r>
      <w:r>
        <w:rPr>
          <w:rFonts w:ascii="方正仿宋简体" w:hAnsi="方正仿宋简体" w:eastAsia="方正仿宋简体" w:cs="方正仿宋简体"/>
          <w:color w:val="FF0000"/>
          <w:sz w:val="32"/>
          <w:szCs w:val="32"/>
        </w:rPr>
        <w:t>、拆除费</w:t>
      </w:r>
      <w:r>
        <w:rPr>
          <w:rFonts w:ascii="方正仿宋简体" w:hAnsi="方正仿宋简体" w:eastAsia="方正仿宋简体" w:cs="方正仿宋简体"/>
          <w:sz w:val="32"/>
          <w:szCs w:val="32"/>
        </w:rPr>
        <w:t>、赶工加班费、设备材料保管费、运输搬运费、</w:t>
      </w:r>
      <w:r>
        <w:rPr>
          <w:rFonts w:ascii="方正仿宋简体" w:hAnsi="方正仿宋简体" w:eastAsia="方正仿宋简体" w:cs="方正仿宋简体"/>
          <w:color w:val="FF0000"/>
          <w:sz w:val="32"/>
          <w:szCs w:val="32"/>
        </w:rPr>
        <w:t>施工垃圾清理费（政府指定垃圾处理点）</w:t>
      </w:r>
      <w:r>
        <w:rPr>
          <w:rFonts w:ascii="方正仿宋简体" w:hAnsi="方正仿宋简体" w:eastAsia="方正仿宋简体" w:cs="方正仿宋简体"/>
          <w:sz w:val="32"/>
          <w:szCs w:val="32"/>
        </w:rPr>
        <w:t>、围挡搭设费等都应包含在报价中。</w:t>
      </w:r>
    </w:p>
    <w:p w14:paraId="25781513">
      <w:pPr>
        <w:pStyle w:val="14"/>
        <w:widowControl/>
        <w:shd w:val="clear" w:color="auto" w:fill="FFFFFF"/>
        <w:spacing w:line="600" w:lineRule="exact"/>
        <w:ind w:firstLine="640" w:firstLineChars="200"/>
        <w:rPr>
          <w:rFonts w:hint="default" w:ascii="方正仿宋简体" w:hAnsi="方正仿宋简体" w:eastAsia="方正仿宋简体" w:cs="方正仿宋简体"/>
          <w:kern w:val="2"/>
          <w:sz w:val="32"/>
          <w:szCs w:val="32"/>
        </w:rPr>
      </w:pPr>
      <w:r>
        <w:rPr>
          <w:rFonts w:hint="default" w:ascii="方正仿宋简体" w:hAnsi="方正仿宋简体" w:eastAsia="方正仿宋简体" w:cs="方正仿宋简体"/>
          <w:sz w:val="32"/>
          <w:szCs w:val="32"/>
        </w:rPr>
        <w:t>5</w:t>
      </w:r>
      <w:r>
        <w:rPr>
          <w:rFonts w:ascii="方正仿宋简体" w:hAnsi="方正仿宋简体" w:eastAsia="方正仿宋简体" w:cs="方正仿宋简体"/>
          <w:sz w:val="32"/>
          <w:szCs w:val="32"/>
        </w:rPr>
        <w:t>.</w:t>
      </w:r>
      <w:r>
        <w:rPr>
          <w:rFonts w:ascii="方正仿宋简体" w:hAnsi="方正仿宋简体" w:eastAsia="方正仿宋简体" w:cs="方正仿宋简体"/>
          <w:kern w:val="2"/>
          <w:sz w:val="32"/>
          <w:szCs w:val="32"/>
        </w:rPr>
        <w:t>施工涉及动火作业、高处作业等，须审批危险作业票证，</w:t>
      </w:r>
      <w:r>
        <w:rPr>
          <w:rFonts w:ascii="方正仿宋简体" w:hAnsi="方正仿宋简体" w:eastAsia="方正仿宋简体" w:cs="方正仿宋简体"/>
          <w:b/>
          <w:bCs/>
          <w:color w:val="FF0000"/>
          <w:kern w:val="2"/>
          <w:sz w:val="32"/>
          <w:szCs w:val="32"/>
        </w:rPr>
        <w:t>提醒报价人认真计算，合理报价</w:t>
      </w:r>
      <w:r>
        <w:rPr>
          <w:rFonts w:ascii="方正仿宋简体" w:hAnsi="方正仿宋简体" w:eastAsia="方正仿宋简体" w:cs="方正仿宋简体"/>
          <w:kern w:val="2"/>
          <w:sz w:val="32"/>
          <w:szCs w:val="32"/>
        </w:rPr>
        <w:t>。</w:t>
      </w:r>
    </w:p>
    <w:p w14:paraId="4415B5EC">
      <w:pPr>
        <w:pStyle w:val="14"/>
        <w:widowControl/>
        <w:shd w:val="clear" w:color="auto" w:fill="FFFFFF"/>
        <w:spacing w:line="600" w:lineRule="exact"/>
        <w:ind w:firstLine="640" w:firstLineChars="200"/>
        <w:jc w:val="both"/>
        <w:rPr>
          <w:rFonts w:hint="default" w:ascii="方正仿宋简体" w:hAnsi="方正仿宋简体" w:eastAsia="方正仿宋简体" w:cs="方正仿宋简体"/>
          <w:sz w:val="32"/>
          <w:szCs w:val="32"/>
        </w:rPr>
      </w:pPr>
      <w:r>
        <w:rPr>
          <w:rFonts w:hint="default" w:ascii="方正仿宋简体" w:hAnsi="方正仿宋简体" w:eastAsia="方正仿宋简体" w:cs="方正仿宋简体"/>
          <w:sz w:val="32"/>
          <w:szCs w:val="32"/>
        </w:rPr>
        <w:t>6</w:t>
      </w:r>
      <w:r>
        <w:rPr>
          <w:rFonts w:ascii="方正仿宋简体" w:hAnsi="方正仿宋简体" w:eastAsia="方正仿宋简体" w:cs="方正仿宋简体"/>
          <w:sz w:val="32"/>
          <w:szCs w:val="32"/>
        </w:rPr>
        <w:t>.每天施工完成后，施工现场由报价人负责清理，原则上要做到“工完料尽场地清”。</w:t>
      </w:r>
    </w:p>
    <w:p w14:paraId="42592795">
      <w:pPr>
        <w:pStyle w:val="14"/>
        <w:widowControl/>
        <w:shd w:val="clear" w:color="auto" w:fill="FFFFFF"/>
        <w:spacing w:line="600" w:lineRule="exact"/>
        <w:ind w:firstLine="640" w:firstLineChars="200"/>
        <w:jc w:val="both"/>
        <w:rPr>
          <w:rFonts w:hint="default" w:ascii="方正仿宋简体" w:hAnsi="方正仿宋简体" w:eastAsia="方正仿宋简体" w:cs="方正仿宋简体"/>
          <w:sz w:val="32"/>
          <w:szCs w:val="32"/>
        </w:rPr>
      </w:pPr>
      <w:r>
        <w:rPr>
          <w:rFonts w:hint="default" w:ascii="方正仿宋简体" w:hAnsi="方正仿宋简体" w:eastAsia="方正仿宋简体" w:cs="方正仿宋简体"/>
          <w:sz w:val="32"/>
          <w:szCs w:val="32"/>
        </w:rPr>
        <w:t>7</w:t>
      </w:r>
      <w:r>
        <w:rPr>
          <w:rFonts w:ascii="方正仿宋简体" w:hAnsi="方正仿宋简体" w:eastAsia="方正仿宋简体" w:cs="方正仿宋简体"/>
          <w:sz w:val="32"/>
          <w:szCs w:val="32"/>
        </w:rPr>
        <w:t>.涉及防爆区域作业，成交方应使用具备防爆功能的工器具。</w:t>
      </w:r>
    </w:p>
    <w:p w14:paraId="55D57F60">
      <w:pPr>
        <w:pStyle w:val="14"/>
        <w:widowControl/>
        <w:shd w:val="clear" w:color="auto" w:fill="FFFFFF"/>
        <w:spacing w:line="600" w:lineRule="exact"/>
        <w:ind w:firstLine="640" w:firstLineChars="200"/>
        <w:rPr>
          <w:rFonts w:hint="default" w:ascii="方正仿宋简体" w:hAnsi="方正仿宋简体" w:eastAsia="方正仿宋简体" w:cs="方正仿宋简体"/>
          <w:sz w:val="32"/>
          <w:szCs w:val="32"/>
        </w:rPr>
      </w:pPr>
      <w:r>
        <w:rPr>
          <w:rFonts w:hint="default" w:ascii="方正仿宋简体" w:hAnsi="方正仿宋简体" w:eastAsia="方正仿宋简体" w:cs="方正仿宋简体"/>
          <w:sz w:val="32"/>
          <w:szCs w:val="32"/>
        </w:rPr>
        <w:t>8</w:t>
      </w:r>
      <w:r>
        <w:rPr>
          <w:rFonts w:ascii="方正仿宋简体" w:hAnsi="方正仿宋简体" w:eastAsia="方正仿宋简体" w:cs="方正仿宋简体"/>
          <w:sz w:val="32"/>
          <w:szCs w:val="32"/>
        </w:rPr>
        <w:t>.质保期，竣工验收合格后之日起</w:t>
      </w:r>
      <w:r>
        <w:rPr>
          <w:rFonts w:hint="default" w:ascii="方正仿宋简体" w:hAnsi="方正仿宋简体" w:eastAsia="方正仿宋简体" w:cs="方正仿宋简体"/>
          <w:color w:val="FF0000"/>
          <w:sz w:val="32"/>
          <w:szCs w:val="32"/>
          <w:u w:val="single"/>
        </w:rPr>
        <w:t>2</w:t>
      </w:r>
      <w:r>
        <w:rPr>
          <w:rFonts w:ascii="方正仿宋简体" w:hAnsi="方正仿宋简体" w:eastAsia="方正仿宋简体" w:cs="方正仿宋简体"/>
          <w:sz w:val="32"/>
          <w:szCs w:val="32"/>
        </w:rPr>
        <w:t>年。</w:t>
      </w:r>
    </w:p>
    <w:p w14:paraId="4BB4D10D">
      <w:pPr>
        <w:pStyle w:val="14"/>
        <w:widowControl/>
        <w:shd w:val="clear" w:color="auto" w:fill="FFFFFF"/>
        <w:spacing w:line="600" w:lineRule="exact"/>
        <w:ind w:firstLine="640" w:firstLineChars="200"/>
        <w:jc w:val="both"/>
        <w:rPr>
          <w:rFonts w:hint="default" w:ascii="方正仿宋简体" w:hAnsi="方正仿宋简体" w:eastAsia="方正仿宋简体" w:cs="方正仿宋简体"/>
          <w:sz w:val="32"/>
          <w:szCs w:val="32"/>
        </w:rPr>
      </w:pPr>
      <w:r>
        <w:rPr>
          <w:rFonts w:hint="default" w:ascii="方正仿宋简体" w:hAnsi="方正仿宋简体" w:eastAsia="方正仿宋简体" w:cs="方正仿宋简体"/>
          <w:sz w:val="32"/>
          <w:szCs w:val="32"/>
        </w:rPr>
        <w:t>9</w:t>
      </w:r>
      <w:r>
        <w:rPr>
          <w:rFonts w:ascii="方正仿宋简体" w:hAnsi="方正仿宋简体" w:eastAsia="方正仿宋简体" w:cs="方正仿宋简体"/>
          <w:sz w:val="32"/>
          <w:szCs w:val="32"/>
        </w:rPr>
        <w:t>.</w:t>
      </w:r>
      <w:r>
        <w:rPr>
          <w:rFonts w:ascii="方正仿宋简体" w:hAnsi="方正仿宋简体" w:eastAsia="方正仿宋简体" w:cs="方正仿宋简体"/>
          <w:kern w:val="2"/>
          <w:sz w:val="32"/>
          <w:szCs w:val="32"/>
        </w:rPr>
        <w:t>工程报价为含税价，请注明税率。</w:t>
      </w:r>
    </w:p>
    <w:p w14:paraId="7ECCAF42">
      <w:pPr>
        <w:pStyle w:val="2"/>
        <w:keepNext w:val="0"/>
        <w:keepLines w:val="0"/>
        <w:widowControl/>
        <w:shd w:val="clear" w:color="auto" w:fill="FFFFFF"/>
        <w:ind w:firstLine="640" w:firstLineChars="200"/>
        <w:jc w:val="left"/>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1</w:t>
      </w:r>
      <w:r>
        <w:rPr>
          <w:rFonts w:ascii="方正仿宋简体" w:hAnsi="方正仿宋简体" w:eastAsia="方正仿宋简体" w:cs="方正仿宋简体"/>
          <w:bCs/>
          <w:sz w:val="32"/>
          <w:szCs w:val="32"/>
        </w:rPr>
        <w:t>0</w:t>
      </w:r>
      <w:r>
        <w:rPr>
          <w:rFonts w:hint="eastAsia" w:ascii="方正仿宋简体" w:hAnsi="方正仿宋简体" w:eastAsia="方正仿宋简体" w:cs="方正仿宋简体"/>
          <w:bCs/>
          <w:sz w:val="32"/>
          <w:szCs w:val="32"/>
        </w:rPr>
        <w:t>.施工质量及验收标准：</w:t>
      </w:r>
      <w:r>
        <w:rPr>
          <w:rFonts w:hint="eastAsia" w:ascii="方正仿宋简体" w:hAnsi="方正仿宋简体" w:eastAsia="方正仿宋简体" w:cs="方正仿宋简体"/>
          <w:bCs/>
          <w:sz w:val="32"/>
          <w:szCs w:val="32"/>
          <w:lang w:val="zh-CN"/>
        </w:rPr>
        <w:t>《</w:t>
      </w:r>
      <w:r>
        <w:rPr>
          <w:rFonts w:hint="eastAsia" w:ascii="方正仿宋简体" w:hAnsi="方正仿宋简体" w:eastAsia="方正仿宋简体" w:cs="方正仿宋简体"/>
          <w:bCs/>
          <w:sz w:val="32"/>
          <w:szCs w:val="32"/>
        </w:rPr>
        <w:t>工业设备及管道防腐蚀工程施工规范</w:t>
      </w:r>
      <w:r>
        <w:rPr>
          <w:rFonts w:hint="eastAsia" w:ascii="方正仿宋简体" w:hAnsi="方正仿宋简体" w:eastAsia="方正仿宋简体" w:cs="方正仿宋简体"/>
          <w:bCs/>
          <w:sz w:val="32"/>
          <w:szCs w:val="32"/>
          <w:lang w:val="zh-CN"/>
        </w:rPr>
        <w:t>》</w:t>
      </w:r>
      <w:r>
        <w:rPr>
          <w:rFonts w:hint="eastAsia" w:ascii="方正仿宋简体" w:hAnsi="方正仿宋简体" w:eastAsia="方正仿宋简体" w:cs="方正仿宋简体"/>
          <w:bCs/>
          <w:sz w:val="32"/>
          <w:szCs w:val="32"/>
        </w:rPr>
        <w:t>GB50726-2011</w:t>
      </w:r>
      <w:r>
        <w:rPr>
          <w:rFonts w:hint="eastAsia" w:ascii="方正仿宋简体" w:hAnsi="方正仿宋简体" w:eastAsia="方正仿宋简体" w:cs="方正仿宋简体"/>
          <w:bCs/>
          <w:sz w:val="32"/>
          <w:szCs w:val="32"/>
          <w:lang w:val="zh-CN"/>
        </w:rPr>
        <w:t>；《</w:t>
      </w:r>
      <w:r>
        <w:rPr>
          <w:rFonts w:hint="eastAsia" w:ascii="方正仿宋简体" w:hAnsi="方正仿宋简体" w:eastAsia="方正仿宋简体" w:cs="方正仿宋简体"/>
          <w:bCs/>
          <w:sz w:val="32"/>
          <w:szCs w:val="32"/>
        </w:rPr>
        <w:t>防腐蚀涂层技术规范</w:t>
      </w:r>
      <w:r>
        <w:rPr>
          <w:rFonts w:hint="eastAsia" w:ascii="方正仿宋简体" w:hAnsi="方正仿宋简体" w:eastAsia="方正仿宋简体" w:cs="方正仿宋简体"/>
          <w:bCs/>
          <w:sz w:val="32"/>
          <w:szCs w:val="32"/>
          <w:lang w:val="zh-CN"/>
        </w:rPr>
        <w:t>》</w:t>
      </w:r>
      <w:r>
        <w:rPr>
          <w:rFonts w:hint="eastAsia" w:ascii="方正仿宋简体" w:hAnsi="方正仿宋简体" w:eastAsia="方正仿宋简体" w:cs="方正仿宋简体"/>
          <w:bCs/>
          <w:sz w:val="32"/>
          <w:szCs w:val="32"/>
        </w:rPr>
        <w:t>HG/T4077-2009；</w:t>
      </w:r>
      <w:r>
        <w:rPr>
          <w:rFonts w:hint="eastAsia" w:ascii="方正仿宋简体" w:hAnsi="方正仿宋简体" w:eastAsia="方正仿宋简体" w:cs="方正仿宋简体"/>
          <w:bCs/>
          <w:sz w:val="32"/>
          <w:szCs w:val="32"/>
          <w:lang w:val="zh-CN"/>
        </w:rPr>
        <w:t>《</w:t>
      </w:r>
      <w:r>
        <w:rPr>
          <w:rFonts w:hint="eastAsia" w:ascii="方正仿宋简体" w:hAnsi="方正仿宋简体" w:eastAsia="方正仿宋简体" w:cs="方正仿宋简体"/>
          <w:bCs/>
          <w:sz w:val="32"/>
          <w:szCs w:val="32"/>
        </w:rPr>
        <w:t>石油化工设备及管道涂料防腐蚀设计规范</w:t>
      </w:r>
      <w:r>
        <w:rPr>
          <w:rFonts w:hint="eastAsia" w:ascii="方正仿宋简体" w:hAnsi="方正仿宋简体" w:eastAsia="方正仿宋简体" w:cs="方正仿宋简体"/>
          <w:bCs/>
          <w:sz w:val="32"/>
          <w:szCs w:val="32"/>
          <w:lang w:val="zh-CN"/>
        </w:rPr>
        <w:t>》</w:t>
      </w:r>
      <w:r>
        <w:rPr>
          <w:rFonts w:hint="eastAsia" w:ascii="方正仿宋简体" w:hAnsi="方正仿宋简体" w:eastAsia="方正仿宋简体" w:cs="方正仿宋简体"/>
          <w:bCs/>
          <w:sz w:val="32"/>
          <w:szCs w:val="32"/>
        </w:rPr>
        <w:t>SH/T3022-2011；</w:t>
      </w:r>
      <w:r>
        <w:rPr>
          <w:rFonts w:hint="eastAsia" w:ascii="方正仿宋简体" w:hAnsi="方正仿宋简体" w:eastAsia="方正仿宋简体" w:cs="方正仿宋简体"/>
          <w:bCs/>
          <w:sz w:val="32"/>
          <w:szCs w:val="32"/>
          <w:lang w:val="zh-CN"/>
        </w:rPr>
        <w:t>《</w:t>
      </w:r>
      <w:r>
        <w:rPr>
          <w:rFonts w:hint="eastAsia" w:ascii="方正仿宋简体" w:hAnsi="方正仿宋简体" w:eastAsia="方正仿宋简体" w:cs="方正仿宋简体"/>
          <w:bCs/>
          <w:sz w:val="32"/>
          <w:szCs w:val="32"/>
        </w:rPr>
        <w:t>工业设备及管道防腐蚀工程施工质量验收规范</w:t>
      </w:r>
      <w:r>
        <w:rPr>
          <w:rFonts w:hint="eastAsia" w:ascii="方正仿宋简体" w:hAnsi="方正仿宋简体" w:eastAsia="方正仿宋简体" w:cs="方正仿宋简体"/>
          <w:bCs/>
          <w:sz w:val="32"/>
          <w:szCs w:val="32"/>
          <w:lang w:val="zh-CN"/>
        </w:rPr>
        <w:t>》</w:t>
      </w:r>
      <w:r>
        <w:rPr>
          <w:rFonts w:hint="eastAsia" w:ascii="方正仿宋简体" w:hAnsi="方正仿宋简体" w:eastAsia="方正仿宋简体" w:cs="方正仿宋简体"/>
          <w:bCs/>
          <w:sz w:val="32"/>
          <w:szCs w:val="32"/>
        </w:rPr>
        <w:t>GB50727-2011。包括但不限于以上施工质量及验收标准，未具体给出之规范或标准均不应低于国家规范或标准。</w:t>
      </w:r>
    </w:p>
    <w:p w14:paraId="65B81255">
      <w:pPr>
        <w:wordWrap w:val="0"/>
        <w:ind w:firstLine="640" w:firstLineChars="200"/>
        <w:jc w:val="left"/>
        <w:rPr>
          <w:rFonts w:ascii="方正仿宋简体" w:hAnsi="方正仿宋简体" w:eastAsia="方正仿宋简体" w:cs="方正仿宋简体"/>
          <w:bCs/>
          <w:sz w:val="32"/>
          <w:szCs w:val="32"/>
        </w:rPr>
      </w:pPr>
      <w:r>
        <w:rPr>
          <w:rFonts w:hint="eastAsia" w:ascii="方正黑体_GBK" w:hAnsi="方正黑体_GBK" w:eastAsia="方正黑体_GBK" w:cs="方正黑体_GBK"/>
          <w:sz w:val="32"/>
          <w:szCs w:val="32"/>
        </w:rPr>
        <w:t>三、报价人资质与要求</w:t>
      </w:r>
    </w:p>
    <w:p w14:paraId="04A8F8BC">
      <w:pPr>
        <w:spacing w:line="600" w:lineRule="exact"/>
        <w:ind w:firstLine="640" w:firstLineChars="200"/>
        <w:jc w:val="left"/>
        <w:rPr>
          <w:rFonts w:ascii="方正仿宋简体" w:hAnsi="方正仿宋简体" w:eastAsia="方正仿宋简体" w:cs="方正仿宋简体"/>
          <w:sz w:val="32"/>
          <w:szCs w:val="32"/>
        </w:rPr>
      </w:pPr>
      <w:r>
        <w:rPr>
          <w:rFonts w:hint="eastAsia" w:ascii="方正楷体_GBK" w:hAnsi="方正楷体_GBK" w:eastAsia="方正楷体_GBK" w:cs="方正楷体_GBK"/>
          <w:sz w:val="32"/>
          <w:szCs w:val="32"/>
        </w:rPr>
        <w:t>（一）</w:t>
      </w:r>
      <w:r>
        <w:rPr>
          <w:rFonts w:hint="eastAsia" w:ascii="方正仿宋简体" w:hAnsi="方正仿宋简体" w:eastAsia="方正仿宋简体" w:cs="方正仿宋简体"/>
          <w:sz w:val="32"/>
          <w:szCs w:val="32"/>
        </w:rPr>
        <w:t>报价人必须具备中华人民共和国境内生产或经营的合法资质；</w:t>
      </w:r>
    </w:p>
    <w:p w14:paraId="0B5E47F7">
      <w:pPr>
        <w:spacing w:line="600" w:lineRule="exact"/>
        <w:ind w:firstLine="640" w:firstLineChars="200"/>
        <w:jc w:val="left"/>
        <w:rPr>
          <w:rFonts w:ascii="方正仿宋简体" w:hAnsi="方正仿宋简体" w:eastAsia="方正仿宋简体" w:cs="方正仿宋简体"/>
          <w:sz w:val="32"/>
          <w:szCs w:val="32"/>
        </w:rPr>
      </w:pPr>
      <w:r>
        <w:rPr>
          <w:rFonts w:hint="eastAsia" w:ascii="方正楷体_GBK" w:hAnsi="方正楷体_GBK" w:eastAsia="方正楷体_GBK" w:cs="方正楷体_GBK"/>
          <w:sz w:val="32"/>
          <w:szCs w:val="32"/>
        </w:rPr>
        <w:t>（二）</w:t>
      </w:r>
      <w:r>
        <w:rPr>
          <w:rFonts w:hint="eastAsia" w:ascii="方正仿宋简体" w:hAnsi="方正仿宋简体" w:eastAsia="方正仿宋简体" w:cs="方正仿宋简体"/>
          <w:sz w:val="32"/>
          <w:szCs w:val="32"/>
        </w:rPr>
        <w:t>其他资质要求：</w:t>
      </w:r>
    </w:p>
    <w:p w14:paraId="25871485">
      <w:pPr>
        <w:pStyle w:val="14"/>
        <w:widowControl/>
        <w:shd w:val="clear" w:color="auto" w:fill="FFFFFF"/>
        <w:spacing w:line="600" w:lineRule="exact"/>
        <w:ind w:firstLine="640" w:firstLineChars="200"/>
        <w:rPr>
          <w:rFonts w:hint="default" w:ascii="方正仿宋简体" w:eastAsia="方正仿宋简体" w:cs="仿宋_GB2312"/>
          <w:color w:val="FF0000"/>
          <w:sz w:val="32"/>
          <w:szCs w:val="32"/>
        </w:rPr>
      </w:pPr>
      <w:r>
        <w:rPr>
          <w:rFonts w:ascii="方正仿宋简体" w:hAnsi="方正仿宋简体" w:eastAsia="方正仿宋简体" w:cs="方正仿宋简体"/>
          <w:kern w:val="2"/>
          <w:sz w:val="32"/>
          <w:szCs w:val="32"/>
        </w:rPr>
        <w:t>1.企业单位需提供《营业执照》（三证合一）；</w:t>
      </w:r>
      <w:bookmarkStart w:id="0" w:name="OLE_LINK2"/>
      <w:r>
        <w:rPr>
          <w:rFonts w:ascii="方正仿宋简体" w:hAnsi="方正仿宋简体" w:eastAsia="方正仿宋简体" w:cs="方正仿宋简体"/>
          <w:sz w:val="32"/>
          <w:szCs w:val="32"/>
        </w:rPr>
        <w:t>报价函；</w:t>
      </w:r>
      <w:r>
        <w:rPr>
          <w:rFonts w:ascii="方正仿宋简体" w:hAnsi="方正仿宋简体" w:eastAsia="方正仿宋简体" w:cs="方正仿宋简体"/>
          <w:color w:val="FF0000"/>
          <w:sz w:val="32"/>
          <w:szCs w:val="32"/>
        </w:rPr>
        <w:t>防腐资质证书三级以上（含三级）</w:t>
      </w:r>
      <w:bookmarkEnd w:id="0"/>
      <w:r>
        <w:rPr>
          <w:rFonts w:ascii="方正仿宋简体" w:hAnsi="方正仿宋简体" w:eastAsia="方正仿宋简体" w:cs="方正仿宋简体"/>
          <w:color w:val="FF0000"/>
          <w:sz w:val="32"/>
          <w:szCs w:val="32"/>
        </w:rPr>
        <w:t>；专职安全员证书1本（安全生产考核合格证书：C证）；安全管理机构设置说明；安全生产许可证；</w:t>
      </w:r>
      <w:r>
        <w:rPr>
          <w:rFonts w:ascii="方正仿宋简体" w:hAnsi="方正仿宋简体" w:eastAsia="方正仿宋简体" w:cs="方正仿宋简体"/>
          <w:color w:val="FF0000"/>
          <w:kern w:val="2"/>
          <w:sz w:val="32"/>
          <w:szCs w:val="32"/>
        </w:rPr>
        <w:t>具备履行合同所必需的设备和专业技术能力的书面声明，详见附件2；法人授权书，详见附件3；参加采购活动前3年内在经营活动中没有重大违法记录的书面声明，详见附件4。</w:t>
      </w:r>
      <w:r>
        <w:rPr>
          <w:rFonts w:ascii="方正仿宋简体" w:eastAsia="方正仿宋简体" w:cs="仿宋_GB2312"/>
          <w:sz w:val="32"/>
          <w:szCs w:val="32"/>
        </w:rPr>
        <w:t>（以上资格证明文件均可提供复印件，但需</w:t>
      </w:r>
      <w:r>
        <w:rPr>
          <w:rFonts w:ascii="方正仿宋简体" w:hAnsi="方正仿宋简体" w:eastAsia="方正仿宋简体" w:cs="方正仿宋简体"/>
          <w:sz w:val="32"/>
          <w:szCs w:val="32"/>
        </w:rPr>
        <w:t>加盖</w:t>
      </w:r>
      <w:r>
        <w:rPr>
          <w:rFonts w:ascii="方正仿宋简体" w:eastAsia="方正仿宋简体" w:cs="仿宋_GB2312"/>
          <w:b/>
          <w:bCs/>
          <w:color w:val="FF0000"/>
          <w:sz w:val="32"/>
          <w:szCs w:val="32"/>
        </w:rPr>
        <w:t>公章</w:t>
      </w:r>
      <w:r>
        <w:rPr>
          <w:rFonts w:ascii="方正仿宋简体" w:eastAsia="方正仿宋简体" w:cs="仿宋_GB2312"/>
          <w:sz w:val="32"/>
          <w:szCs w:val="32"/>
        </w:rPr>
        <w:t>或报价</w:t>
      </w:r>
      <w:r>
        <w:rPr>
          <w:rFonts w:ascii="方正仿宋简体" w:eastAsia="方正仿宋简体" w:cs="仿宋_GB2312"/>
          <w:b/>
          <w:bCs/>
          <w:sz w:val="32"/>
          <w:szCs w:val="32"/>
        </w:rPr>
        <w:t>专用章</w:t>
      </w:r>
      <w:r>
        <w:rPr>
          <w:rFonts w:ascii="方正仿宋简体" w:hAnsi="方正仿宋简体" w:eastAsia="方正仿宋简体" w:cs="方正仿宋简体"/>
          <w:sz w:val="32"/>
          <w:szCs w:val="32"/>
        </w:rPr>
        <w:t>）</w:t>
      </w:r>
      <w:r>
        <w:rPr>
          <w:rFonts w:ascii="方正仿宋简体" w:eastAsia="方正仿宋简体" w:cs="仿宋_GB2312"/>
          <w:sz w:val="32"/>
          <w:szCs w:val="32"/>
        </w:rPr>
        <w:t>。</w:t>
      </w:r>
      <w:r>
        <w:rPr>
          <w:rFonts w:ascii="方正仿宋简体" w:eastAsia="方正仿宋简体" w:cs="仿宋_GB2312"/>
          <w:color w:val="FF0000"/>
          <w:sz w:val="32"/>
          <w:szCs w:val="32"/>
        </w:rPr>
        <w:t>注：</w:t>
      </w:r>
      <w:r>
        <w:rPr>
          <w:rFonts w:ascii="方正仿宋简体" w:eastAsia="方正仿宋简体" w:cs="仿宋_GB2312"/>
          <w:sz w:val="32"/>
          <w:szCs w:val="32"/>
        </w:rPr>
        <w:t>在采购单位1年内有同类型业绩且以上资格证明文件均合法有效的企业可不提供以上资格证明文件）</w:t>
      </w:r>
    </w:p>
    <w:p w14:paraId="67F17096">
      <w:pPr>
        <w:spacing w:line="600" w:lineRule="exact"/>
        <w:ind w:firstLine="640" w:firstLineChars="200"/>
        <w:jc w:val="left"/>
        <w:rPr>
          <w:rFonts w:ascii="方正仿宋简体" w:eastAsia="方正仿宋简体" w:cs="仿宋_GB2312"/>
          <w:color w:val="FF0000"/>
          <w:sz w:val="32"/>
          <w:szCs w:val="32"/>
        </w:rPr>
      </w:pPr>
      <w:r>
        <w:rPr>
          <w:rFonts w:hint="eastAsia" w:ascii="方正仿宋简体" w:hAnsi="方正仿宋简体" w:eastAsia="方正仿宋简体" w:cs="方正仿宋简体"/>
          <w:sz w:val="32"/>
          <w:szCs w:val="32"/>
        </w:rPr>
        <w:t>确定中选后，在签订合同前，</w:t>
      </w:r>
      <w:r>
        <w:rPr>
          <w:rFonts w:hint="eastAsia" w:ascii="方正仿宋简体" w:hAnsi="方正仿宋简体" w:eastAsia="方正仿宋简体" w:cs="方正仿宋简体"/>
          <w:color w:val="FF0000"/>
          <w:kern w:val="1"/>
          <w:sz w:val="32"/>
          <w:szCs w:val="32"/>
        </w:rPr>
        <w:t>需提供</w:t>
      </w:r>
      <w:r>
        <w:rPr>
          <w:rFonts w:hint="eastAsia" w:ascii="仿宋" w:hAnsi="仿宋" w:eastAsia="仿宋" w:cs="仿宋"/>
          <w:color w:val="FF0000"/>
          <w:sz w:val="32"/>
          <w:szCs w:val="32"/>
        </w:rPr>
        <w:t>一般纳税人证明材料、</w:t>
      </w:r>
      <w:r>
        <w:rPr>
          <w:rFonts w:hint="eastAsia" w:ascii="方正仿宋简体" w:eastAsia="方正仿宋简体" w:cs="仿宋_GB2312"/>
          <w:color w:val="FF0000"/>
          <w:sz w:val="32"/>
          <w:szCs w:val="32"/>
        </w:rPr>
        <w:t>承包单位与派遣作业人员的劳务</w:t>
      </w:r>
      <w:r>
        <w:rPr>
          <w:rFonts w:ascii="方正仿宋简体" w:eastAsia="方正仿宋简体" w:cs="仿宋_GB2312"/>
          <w:color w:val="FF0000"/>
          <w:sz w:val="32"/>
          <w:szCs w:val="32"/>
        </w:rPr>
        <w:t>合同</w:t>
      </w:r>
      <w:r>
        <w:rPr>
          <w:rFonts w:hint="eastAsia" w:ascii="方正仿宋简体" w:eastAsia="方正仿宋简体" w:cs="仿宋_GB2312"/>
          <w:color w:val="FF0000"/>
          <w:sz w:val="32"/>
          <w:szCs w:val="32"/>
        </w:rPr>
        <w:t>或</w:t>
      </w:r>
      <w:r>
        <w:rPr>
          <w:rFonts w:ascii="方正仿宋简体" w:eastAsia="方正仿宋简体" w:cs="仿宋_GB2312"/>
          <w:color w:val="FF0000"/>
          <w:sz w:val="32"/>
          <w:szCs w:val="32"/>
        </w:rPr>
        <w:t>劳</w:t>
      </w:r>
      <w:r>
        <w:rPr>
          <w:rFonts w:hint="eastAsia" w:ascii="方正仿宋简体" w:eastAsia="方正仿宋简体" w:cs="仿宋_GB2312"/>
          <w:color w:val="FF0000"/>
          <w:sz w:val="32"/>
          <w:szCs w:val="32"/>
        </w:rPr>
        <w:t>动</w:t>
      </w:r>
      <w:r>
        <w:rPr>
          <w:rFonts w:ascii="方正仿宋简体" w:eastAsia="方正仿宋简体" w:cs="仿宋_GB2312"/>
          <w:color w:val="FF0000"/>
          <w:sz w:val="32"/>
          <w:szCs w:val="32"/>
        </w:rPr>
        <w:t>合同</w:t>
      </w:r>
      <w:r>
        <w:rPr>
          <w:rFonts w:hint="eastAsia" w:ascii="方正仿宋简体" w:eastAsia="方正仿宋简体" w:cs="仿宋_GB2312"/>
          <w:color w:val="FF0000"/>
          <w:sz w:val="32"/>
          <w:szCs w:val="32"/>
        </w:rPr>
        <w:t>、作业人员工伤保险证明或人身意外伤害保险缴纳证明。根据施工工期要求，至少提供本单位2位工人的缴纳证明，同时须提供本公司安全生产责任险缴纳证明。现场配备1名专职安全员，具有专职安全员证书，负责现场安全文明施工</w:t>
      </w:r>
      <w:r>
        <w:rPr>
          <w:rFonts w:hint="eastAsia" w:ascii="方正仿宋简体" w:eastAsia="方正仿宋简体" w:cs="仿宋_GB2312"/>
          <w:sz w:val="32"/>
          <w:szCs w:val="32"/>
        </w:rPr>
        <w:t>(以上资格证明证件均可提供复印件，但需加盖公章)</w:t>
      </w:r>
      <w:r>
        <w:rPr>
          <w:rFonts w:hint="eastAsia" w:ascii="方正仿宋简体" w:eastAsia="方正仿宋简体" w:cs="仿宋_GB2312"/>
          <w:color w:val="FF0000"/>
          <w:sz w:val="32"/>
          <w:szCs w:val="32"/>
        </w:rPr>
        <w:t>。</w:t>
      </w:r>
    </w:p>
    <w:p w14:paraId="5B1E49D2">
      <w:pPr>
        <w:wordWrap w:val="0"/>
        <w:adjustRightInd w:val="0"/>
        <w:snapToGrid w:val="0"/>
        <w:spacing w:line="600" w:lineRule="exact"/>
        <w:ind w:firstLine="640" w:firstLineChars="200"/>
        <w:jc w:val="left"/>
        <w:rPr>
          <w:rFonts w:ascii="方正仿宋简体" w:hAnsi="方正仿宋简体" w:eastAsia="方正仿宋简体" w:cs="方正仿宋简体"/>
          <w:kern w:val="1"/>
          <w:sz w:val="32"/>
          <w:szCs w:val="32"/>
        </w:rPr>
      </w:pPr>
      <w:r>
        <w:rPr>
          <w:rFonts w:hint="eastAsia" w:ascii="方正仿宋简体" w:hAnsi="方正仿宋简体" w:eastAsia="方正仿宋简体" w:cs="方正仿宋简体"/>
          <w:kern w:val="1"/>
          <w:sz w:val="32"/>
          <w:szCs w:val="32"/>
        </w:rPr>
        <w:t>2.中选单位与采购单位签订合同时，须按照海纳川相关安全管理规定签订或提供《外包项目(工程)安全生产管理协议书》并依照《海纳川承包商安全环保管理制度》管理；施工前，采购</w:t>
      </w:r>
      <w:r>
        <w:rPr>
          <w:rFonts w:ascii="方正仿宋简体" w:hAnsi="方正仿宋简体" w:eastAsia="方正仿宋简体" w:cs="方正仿宋简体"/>
          <w:kern w:val="1"/>
          <w:sz w:val="32"/>
          <w:szCs w:val="32"/>
        </w:rPr>
        <w:t>方</w:t>
      </w:r>
      <w:r>
        <w:rPr>
          <w:rFonts w:hint="eastAsia" w:ascii="方正仿宋简体" w:hAnsi="方正仿宋简体" w:eastAsia="方正仿宋简体" w:cs="方正仿宋简体"/>
          <w:kern w:val="1"/>
          <w:sz w:val="32"/>
          <w:szCs w:val="32"/>
        </w:rPr>
        <w:t>应</w:t>
      </w:r>
      <w:r>
        <w:rPr>
          <w:rFonts w:ascii="方正仿宋简体" w:hAnsi="方正仿宋简体" w:eastAsia="方正仿宋简体" w:cs="方正仿宋简体"/>
          <w:kern w:val="1"/>
          <w:sz w:val="32"/>
          <w:szCs w:val="32"/>
        </w:rPr>
        <w:t>按</w:t>
      </w:r>
      <w:r>
        <w:rPr>
          <w:rFonts w:hint="eastAsia" w:ascii="方正仿宋简体" w:hAnsi="方正仿宋简体" w:eastAsia="方正仿宋简体" w:cs="方正仿宋简体"/>
          <w:kern w:val="1"/>
          <w:sz w:val="32"/>
          <w:szCs w:val="32"/>
        </w:rPr>
        <w:t>《生产经营单位安全生产培训规范》(DB32/4530-2023</w:t>
      </w:r>
      <w:r>
        <w:rPr>
          <w:rFonts w:ascii="方正仿宋简体" w:hAnsi="方正仿宋简体" w:eastAsia="方正仿宋简体" w:cs="方正仿宋简体"/>
          <w:kern w:val="1"/>
          <w:sz w:val="32"/>
          <w:szCs w:val="32"/>
        </w:rPr>
        <w:t>)对</w:t>
      </w:r>
      <w:r>
        <w:rPr>
          <w:rFonts w:hint="eastAsia" w:ascii="方正仿宋简体" w:hAnsi="方正仿宋简体" w:eastAsia="方正仿宋简体" w:cs="方正仿宋简体"/>
          <w:kern w:val="1"/>
          <w:sz w:val="32"/>
          <w:szCs w:val="32"/>
        </w:rPr>
        <w:t>成交方</w:t>
      </w:r>
      <w:r>
        <w:rPr>
          <w:rFonts w:ascii="方正仿宋简体" w:hAnsi="方正仿宋简体" w:eastAsia="方正仿宋简体" w:cs="方正仿宋简体"/>
          <w:kern w:val="1"/>
          <w:sz w:val="32"/>
          <w:szCs w:val="32"/>
        </w:rPr>
        <w:t>施工人员进行培训和考试</w:t>
      </w:r>
      <w:r>
        <w:rPr>
          <w:rFonts w:hint="eastAsia" w:ascii="方正仿宋简体" w:hAnsi="方正仿宋简体" w:eastAsia="方正仿宋简体" w:cs="方正仿宋简体"/>
          <w:kern w:val="1"/>
          <w:sz w:val="32"/>
          <w:szCs w:val="32"/>
        </w:rPr>
        <w:t>（</w:t>
      </w:r>
      <w:r>
        <w:rPr>
          <w:rFonts w:hint="eastAsia" w:ascii="方正仿宋简体" w:hAnsi="方正仿宋简体" w:eastAsia="方正仿宋简体" w:cs="方正仿宋简体"/>
          <w:color w:val="FF0000"/>
          <w:kern w:val="1"/>
          <w:sz w:val="32"/>
          <w:szCs w:val="32"/>
        </w:rPr>
        <w:t>培训地点：港口运营公司，培训时间：8小时</w:t>
      </w:r>
      <w:r>
        <w:rPr>
          <w:rFonts w:hint="eastAsia" w:ascii="方正仿宋简体" w:hAnsi="方正仿宋简体" w:eastAsia="方正仿宋简体" w:cs="方正仿宋简体"/>
          <w:kern w:val="1"/>
          <w:sz w:val="32"/>
          <w:szCs w:val="32"/>
        </w:rPr>
        <w:t>），考试合格人员，方能赴属地办理作业票证进行作业</w:t>
      </w:r>
      <w:r>
        <w:rPr>
          <w:rFonts w:hint="eastAsia" w:ascii="方正仿宋简体" w:hAnsi="方正仿宋简体" w:eastAsia="方正仿宋简体" w:cs="方正仿宋简体"/>
          <w:sz w:val="32"/>
          <w:szCs w:val="32"/>
        </w:rPr>
        <w:t>。</w:t>
      </w:r>
    </w:p>
    <w:p w14:paraId="6E385175">
      <w:pPr>
        <w:wordWrap w:val="0"/>
        <w:adjustRightInd w:val="0"/>
        <w:snapToGrid w:val="0"/>
        <w:spacing w:line="600" w:lineRule="exact"/>
        <w:ind w:firstLine="640" w:firstLineChars="200"/>
        <w:jc w:val="left"/>
        <w:rPr>
          <w:rFonts w:ascii="方正仿宋简体" w:hAnsi="方正仿宋简体" w:eastAsia="方正仿宋简体" w:cs="方正仿宋简体"/>
          <w:kern w:val="1"/>
          <w:sz w:val="32"/>
          <w:szCs w:val="32"/>
        </w:rPr>
      </w:pPr>
      <w:r>
        <w:rPr>
          <w:rFonts w:hint="eastAsia" w:ascii="方正仿宋简体" w:hAnsi="方正仿宋简体" w:eastAsia="方正仿宋简体" w:cs="方正仿宋简体"/>
          <w:kern w:val="1"/>
          <w:sz w:val="32"/>
          <w:szCs w:val="32"/>
        </w:rPr>
        <w:t>3.作业过程中，若涉及特种作业（如登高等）的需提供相应的特种作业证，必须人证一致，且在有效期内。</w:t>
      </w:r>
    </w:p>
    <w:p w14:paraId="188009AA">
      <w:pPr>
        <w:wordWrap w:val="0"/>
        <w:adjustRightInd w:val="0"/>
        <w:snapToGrid w:val="0"/>
        <w:spacing w:line="600" w:lineRule="exact"/>
        <w:ind w:firstLine="640" w:firstLineChars="200"/>
        <w:jc w:val="left"/>
        <w:rPr>
          <w:rFonts w:ascii="方正仿宋简体" w:hAnsi="方正仿宋简体" w:eastAsia="方正仿宋简体" w:cs="方正仿宋简体"/>
          <w:kern w:val="1"/>
          <w:sz w:val="32"/>
          <w:szCs w:val="32"/>
        </w:rPr>
      </w:pPr>
      <w:r>
        <w:rPr>
          <w:rFonts w:hint="eastAsia" w:ascii="方正仿宋简体" w:hAnsi="方正仿宋简体" w:eastAsia="方正仿宋简体" w:cs="方正仿宋简体"/>
          <w:kern w:val="1"/>
          <w:sz w:val="32"/>
          <w:szCs w:val="32"/>
        </w:rPr>
        <w:t>4.成交方应具备良好的售后服务能力，要求电话联系后</w:t>
      </w:r>
      <w:r>
        <w:rPr>
          <w:rFonts w:hint="eastAsia" w:ascii="方正仿宋简体" w:hAnsi="方正仿宋简体" w:eastAsia="方正仿宋简体" w:cs="方正仿宋简体"/>
          <w:color w:val="FF0000"/>
          <w:kern w:val="1"/>
          <w:sz w:val="32"/>
          <w:szCs w:val="32"/>
          <w:u w:val="single"/>
        </w:rPr>
        <w:t>8小时</w:t>
      </w:r>
      <w:r>
        <w:rPr>
          <w:rFonts w:hint="eastAsia" w:ascii="方正仿宋简体" w:hAnsi="方正仿宋简体" w:eastAsia="方正仿宋简体" w:cs="方正仿宋简体"/>
          <w:kern w:val="1"/>
          <w:sz w:val="32"/>
          <w:szCs w:val="32"/>
        </w:rPr>
        <w:t>内必须给予回复，明确解决方案，必要时需来我公司作技术指导。</w:t>
      </w:r>
    </w:p>
    <w:p w14:paraId="03963A0C">
      <w:pPr>
        <w:wordWrap w:val="0"/>
        <w:adjustRightInd w:val="0"/>
        <w:snapToGrid w:val="0"/>
        <w:spacing w:line="600" w:lineRule="exact"/>
        <w:ind w:firstLine="640" w:firstLineChars="200"/>
        <w:jc w:val="left"/>
        <w:rPr>
          <w:rFonts w:ascii="方正仿宋简体" w:hAnsi="方正仿宋简体" w:eastAsia="方正仿宋简体" w:cs="方正仿宋简体"/>
          <w:color w:val="FF0000"/>
          <w:kern w:val="1"/>
          <w:sz w:val="32"/>
          <w:szCs w:val="32"/>
        </w:rPr>
      </w:pPr>
      <w:r>
        <w:rPr>
          <w:rFonts w:hint="eastAsia" w:ascii="方正仿宋简体" w:hAnsi="方正仿宋简体" w:eastAsia="方正仿宋简体" w:cs="方正仿宋简体"/>
          <w:kern w:val="1"/>
          <w:sz w:val="32"/>
          <w:szCs w:val="32"/>
        </w:rPr>
        <w:t>5.成交方所供产品引起的知识产权方面的纠纷，由成交</w:t>
      </w:r>
      <w:r>
        <w:rPr>
          <w:rFonts w:hint="eastAsia" w:ascii="方正仿宋简体" w:hAnsi="方正仿宋简体" w:eastAsia="方正仿宋简体" w:cs="方正仿宋简体"/>
          <w:color w:val="FF0000"/>
          <w:kern w:val="1"/>
          <w:sz w:val="32"/>
          <w:szCs w:val="32"/>
        </w:rPr>
        <w:t>方承担一切后果，采购方不承担任何责任。</w:t>
      </w:r>
    </w:p>
    <w:p w14:paraId="19EF7DF1">
      <w:pPr>
        <w:wordWrap w:val="0"/>
        <w:adjustRightInd w:val="0"/>
        <w:snapToGrid w:val="0"/>
        <w:spacing w:line="600" w:lineRule="exact"/>
        <w:ind w:firstLine="640" w:firstLineChars="200"/>
        <w:jc w:val="left"/>
        <w:rPr>
          <w:rFonts w:ascii="方正仿宋简体" w:hAnsi="方正仿宋简体" w:eastAsia="方正仿宋简体" w:cs="方正仿宋简体"/>
          <w:kern w:val="1"/>
          <w:sz w:val="32"/>
          <w:szCs w:val="32"/>
        </w:rPr>
      </w:pPr>
      <w:r>
        <w:rPr>
          <w:rFonts w:hint="eastAsia" w:ascii="方正仿宋简体" w:hAnsi="方正仿宋简体" w:eastAsia="方正仿宋简体" w:cs="方正仿宋简体"/>
          <w:kern w:val="1"/>
          <w:sz w:val="32"/>
          <w:szCs w:val="32"/>
        </w:rPr>
        <w:t>6.不接受被列入失信被执行人、重大违法案件当事人比选。</w:t>
      </w:r>
    </w:p>
    <w:p w14:paraId="7E7C9F65">
      <w:pPr>
        <w:pStyle w:val="3"/>
        <w:spacing w:before="0" w:after="0" w:line="600" w:lineRule="exact"/>
        <w:ind w:firstLine="640" w:firstLineChars="200"/>
        <w:rPr>
          <w:rFonts w:ascii="方正黑体_GBK" w:hAnsi="方正黑体_GBK" w:eastAsia="方正黑体_GBK" w:cs="方正黑体_GBK"/>
          <w:b w:val="0"/>
          <w:szCs w:val="32"/>
        </w:rPr>
      </w:pPr>
      <w:r>
        <w:rPr>
          <w:rFonts w:hint="eastAsia" w:ascii="方正黑体_GBK" w:hAnsi="方正黑体_GBK" w:eastAsia="方正黑体_GBK" w:cs="方正黑体_GBK"/>
          <w:b w:val="0"/>
          <w:szCs w:val="32"/>
        </w:rPr>
        <w:t>四、现场踏勘</w:t>
      </w:r>
    </w:p>
    <w:p w14:paraId="1FCA93F8">
      <w:pPr>
        <w:wordWrap w:val="0"/>
        <w:adjustRightInd w:val="0"/>
        <w:snapToGrid w:val="0"/>
        <w:spacing w:line="600" w:lineRule="exact"/>
        <w:ind w:firstLine="640" w:firstLineChars="200"/>
        <w:jc w:val="left"/>
        <w:rPr>
          <w:rFonts w:ascii="方正仿宋简体" w:hAnsi="方正仿宋简体" w:eastAsia="方正仿宋简体" w:cs="方正仿宋简体"/>
          <w:kern w:val="1"/>
          <w:sz w:val="32"/>
          <w:szCs w:val="32"/>
        </w:rPr>
      </w:pPr>
      <w:r>
        <w:rPr>
          <w:rFonts w:hint="eastAsia" w:ascii="方正楷体_GBK" w:hAnsi="方正楷体_GBK" w:eastAsia="方正楷体_GBK" w:cs="方正楷体_GBK"/>
          <w:bCs/>
          <w:kern w:val="1"/>
          <w:sz w:val="32"/>
          <w:szCs w:val="32"/>
        </w:rPr>
        <w:t>（一）</w:t>
      </w:r>
      <w:r>
        <w:rPr>
          <w:rFonts w:hint="eastAsia" w:ascii="方正仿宋简体" w:hAnsi="方正仿宋简体" w:eastAsia="方正仿宋简体" w:cs="方正仿宋简体"/>
          <w:kern w:val="1"/>
          <w:sz w:val="32"/>
          <w:szCs w:val="32"/>
        </w:rPr>
        <w:t>采购人在踏勘现场中介绍的工程场地和相关的周边环境情况，供报价人在编制报价文件时参考，采购人不对报价人据此作出的判断和决策负责。</w:t>
      </w:r>
    </w:p>
    <w:p w14:paraId="07AA2D3A">
      <w:pPr>
        <w:wordWrap w:val="0"/>
        <w:adjustRightInd w:val="0"/>
        <w:snapToGrid w:val="0"/>
        <w:spacing w:line="600" w:lineRule="exact"/>
        <w:ind w:firstLine="640" w:firstLineChars="200"/>
        <w:jc w:val="left"/>
        <w:rPr>
          <w:rFonts w:ascii="方正仿宋简体" w:hAnsi="方正仿宋简体" w:eastAsia="方正仿宋简体" w:cs="方正仿宋简体"/>
          <w:kern w:val="1"/>
          <w:sz w:val="32"/>
          <w:szCs w:val="32"/>
        </w:rPr>
      </w:pPr>
      <w:r>
        <w:rPr>
          <w:rFonts w:hint="eastAsia" w:ascii="方正楷体_GBK" w:hAnsi="方正楷体_GBK" w:eastAsia="方正楷体_GBK" w:cs="方正楷体_GBK"/>
          <w:bCs/>
          <w:kern w:val="1"/>
          <w:sz w:val="32"/>
          <w:szCs w:val="32"/>
        </w:rPr>
        <w:t>（二）</w:t>
      </w:r>
      <w:r>
        <w:rPr>
          <w:rFonts w:hint="eastAsia" w:ascii="方正仿宋简体" w:hAnsi="方正仿宋简体" w:eastAsia="方正仿宋简体" w:cs="方正仿宋简体"/>
          <w:kern w:val="1"/>
          <w:sz w:val="32"/>
          <w:szCs w:val="32"/>
        </w:rPr>
        <w:t>本项目由于施工环境的复杂性，建议报价人员到现场进行踏勘，对未踏勘造成的一切后果由报价人自行承担，现场踏勘不作为报价资格的必要条件。</w:t>
      </w:r>
    </w:p>
    <w:p w14:paraId="3D95F8B7">
      <w:pPr>
        <w:spacing w:line="600" w:lineRule="exact"/>
        <w:ind w:firstLine="640" w:firstLineChars="200"/>
        <w:jc w:val="left"/>
        <w:rPr>
          <w:rFonts w:eastAsia="方正仿宋简体"/>
          <w:sz w:val="32"/>
          <w:szCs w:val="32"/>
        </w:rPr>
      </w:pPr>
      <w:r>
        <w:rPr>
          <w:rFonts w:hint="eastAsia" w:ascii="方正楷体_GBK" w:hAnsi="方正楷体_GBK" w:eastAsia="方正楷体_GBK" w:cs="方正楷体_GBK"/>
          <w:bCs/>
          <w:kern w:val="1"/>
          <w:sz w:val="32"/>
          <w:szCs w:val="32"/>
        </w:rPr>
        <w:t>（三）</w:t>
      </w:r>
      <w:r>
        <w:rPr>
          <w:rFonts w:hint="eastAsia" w:ascii="方正仿宋简体" w:hAnsi="方正仿宋简体" w:eastAsia="方正仿宋简体" w:cs="方正仿宋简体"/>
          <w:bCs/>
          <w:sz w:val="32"/>
          <w:szCs w:val="32"/>
        </w:rPr>
        <w:t>凡来我公司现场踏勘人员需按照我公司的相关规定进行有关安全规定及安全注意事项的培训教育。</w:t>
      </w:r>
    </w:p>
    <w:p w14:paraId="522ADBA1">
      <w:pPr>
        <w:pStyle w:val="9"/>
        <w:spacing w:line="600" w:lineRule="exact"/>
        <w:ind w:firstLine="640" w:firstLineChars="200"/>
        <w:rPr>
          <w:rFonts w:ascii="方正仿宋简体" w:hAnsi="方正仿宋简体" w:eastAsia="方正黑体_GBK" w:cs="方正仿宋简体"/>
          <w:bCs/>
          <w:sz w:val="32"/>
          <w:szCs w:val="32"/>
        </w:rPr>
      </w:pPr>
      <w:r>
        <w:rPr>
          <w:rFonts w:hint="eastAsia" w:ascii="方正黑体_GBK" w:hAnsi="方正黑体_GBK" w:eastAsia="方正黑体_GBK" w:cs="方正黑体_GBK"/>
          <w:kern w:val="2"/>
          <w:sz w:val="32"/>
          <w:szCs w:val="32"/>
        </w:rPr>
        <w:t>五、报价</w:t>
      </w:r>
    </w:p>
    <w:p w14:paraId="42B78DA1">
      <w:pPr>
        <w:tabs>
          <w:tab w:val="left" w:pos="960"/>
          <w:tab w:val="left" w:pos="1920"/>
          <w:tab w:val="left" w:pos="8222"/>
        </w:tabs>
        <w:spacing w:line="560" w:lineRule="exact"/>
        <w:ind w:firstLine="640" w:firstLineChars="200"/>
        <w:rPr>
          <w:rFonts w:ascii="方正仿宋简体" w:hAnsi="方正仿宋简体" w:eastAsia="方正仿宋简体" w:cs="方正仿宋简体"/>
          <w:bCs/>
          <w:sz w:val="32"/>
          <w:szCs w:val="32"/>
        </w:rPr>
      </w:pPr>
      <w:r>
        <w:rPr>
          <w:rFonts w:hint="eastAsia" w:ascii="方正楷体_GBK" w:hAnsi="方正楷体_GBK" w:eastAsia="方正楷体_GBK" w:cs="方正楷体_GBK"/>
          <w:bCs/>
          <w:kern w:val="1"/>
          <w:sz w:val="32"/>
          <w:szCs w:val="32"/>
        </w:rPr>
        <w:t>（一）</w:t>
      </w:r>
      <w:r>
        <w:rPr>
          <w:rFonts w:hint="eastAsia" w:ascii="方正仿宋简体" w:hAnsi="方正仿宋简体" w:eastAsia="方正仿宋简体" w:cs="方正仿宋简体"/>
          <w:bCs/>
          <w:kern w:val="1"/>
          <w:sz w:val="32"/>
          <w:szCs w:val="32"/>
        </w:rPr>
        <w:t>报价方式：</w:t>
      </w:r>
      <w:r>
        <w:rPr>
          <w:rFonts w:hint="eastAsia" w:ascii="方正仿宋简体" w:hAnsi="方正仿宋简体" w:eastAsia="方正仿宋简体" w:cs="方正仿宋简体"/>
          <w:bCs/>
          <w:sz w:val="32"/>
          <w:szCs w:val="32"/>
        </w:rPr>
        <w:t>报价为含增值税总价。如国家税率进行调整，则本合同不含增值税单价不变，按照调整后的增值税税率进行结算调整含税总价。</w:t>
      </w:r>
    </w:p>
    <w:p w14:paraId="5B4B12A6">
      <w:pPr>
        <w:adjustRightInd w:val="0"/>
        <w:snapToGrid w:val="0"/>
        <w:spacing w:line="600" w:lineRule="exact"/>
        <w:ind w:firstLine="640" w:firstLineChars="200"/>
        <w:jc w:val="left"/>
        <w:rPr>
          <w:rFonts w:ascii="方正仿宋简体" w:hAnsi="方正仿宋简体" w:eastAsia="方正仿宋简体" w:cs="方正仿宋简体"/>
          <w:bCs/>
          <w:color w:val="0000FF"/>
          <w:kern w:val="0"/>
          <w:sz w:val="32"/>
          <w:szCs w:val="32"/>
        </w:rPr>
      </w:pPr>
      <w:r>
        <w:rPr>
          <w:rFonts w:hint="eastAsia" w:ascii="方正楷体_GBK" w:hAnsi="方正楷体_GBK" w:eastAsia="方正楷体_GBK" w:cs="方正楷体_GBK"/>
          <w:bCs/>
          <w:kern w:val="1"/>
          <w:sz w:val="32"/>
          <w:szCs w:val="32"/>
        </w:rPr>
        <w:t>（二）</w:t>
      </w:r>
      <w:r>
        <w:rPr>
          <w:rFonts w:hint="eastAsia" w:ascii="方正仿宋简体" w:hAnsi="方正仿宋简体" w:eastAsia="方正仿宋简体" w:cs="方正仿宋简体"/>
          <w:bCs/>
          <w:kern w:val="1"/>
          <w:sz w:val="32"/>
          <w:szCs w:val="32"/>
        </w:rPr>
        <w:t>付款方式：</w:t>
      </w:r>
      <w:r>
        <w:rPr>
          <w:rFonts w:hint="eastAsia" w:ascii="方正仿宋简体" w:hAnsi="方正仿宋简体" w:eastAsia="方正仿宋简体" w:cs="方正仿宋简体"/>
          <w:bCs/>
          <w:kern w:val="1"/>
          <w:sz w:val="32"/>
          <w:szCs w:val="32"/>
          <w:u w:val="single"/>
        </w:rPr>
        <w:t>项目</w:t>
      </w:r>
      <w:r>
        <w:rPr>
          <w:rFonts w:hint="eastAsia" w:ascii="方正仿宋简体" w:hAnsi="方正仿宋简体" w:eastAsia="方正仿宋简体" w:cs="方正仿宋简体"/>
          <w:bCs/>
          <w:kern w:val="0"/>
          <w:sz w:val="32"/>
          <w:szCs w:val="32"/>
          <w:u w:val="single"/>
        </w:rPr>
        <w:t>竣工验收合格后，成交方根据采购方提供的审计认定单价格开具增值税专用发票，采购方收到发票后60日内以网银</w:t>
      </w:r>
      <w:r>
        <w:rPr>
          <w:rFonts w:hint="eastAsia" w:ascii="方正仿宋简体" w:hAnsi="方正仿宋简体" w:eastAsia="方正仿宋简体" w:cs="方正仿宋简体"/>
          <w:kern w:val="1"/>
          <w:sz w:val="32"/>
          <w:szCs w:val="32"/>
          <w:u w:val="single"/>
        </w:rPr>
        <w:t>方式付款</w:t>
      </w:r>
      <w:r>
        <w:rPr>
          <w:rFonts w:ascii="方正仿宋简体" w:hAnsi="方正仿宋简体" w:eastAsia="方正仿宋简体" w:cs="方正仿宋简体"/>
          <w:kern w:val="1"/>
          <w:sz w:val="32"/>
          <w:szCs w:val="32"/>
          <w:u w:val="single"/>
        </w:rPr>
        <w:t>9</w:t>
      </w:r>
      <w:r>
        <w:rPr>
          <w:rFonts w:hint="eastAsia" w:ascii="方正仿宋简体" w:hAnsi="方正仿宋简体" w:eastAsia="方正仿宋简体" w:cs="方正仿宋简体"/>
          <w:kern w:val="1"/>
          <w:sz w:val="32"/>
          <w:szCs w:val="32"/>
          <w:u w:val="single"/>
        </w:rPr>
        <w:t>0</w:t>
      </w:r>
      <w:r>
        <w:rPr>
          <w:rFonts w:hint="eastAsia" w:ascii="方正仿宋简体" w:hAnsi="方正仿宋简体" w:eastAsia="方正仿宋简体" w:cs="方正仿宋简体"/>
          <w:bCs/>
          <w:kern w:val="0"/>
          <w:sz w:val="32"/>
          <w:szCs w:val="32"/>
          <w:u w:val="single"/>
        </w:rPr>
        <w:t>%，剩余1</w:t>
      </w:r>
      <w:r>
        <w:rPr>
          <w:rFonts w:ascii="方正仿宋简体" w:hAnsi="方正仿宋简体" w:eastAsia="方正仿宋简体" w:cs="方正仿宋简体"/>
          <w:bCs/>
          <w:kern w:val="0"/>
          <w:sz w:val="32"/>
          <w:szCs w:val="32"/>
          <w:u w:val="single"/>
        </w:rPr>
        <w:t>0%为质保金，</w:t>
      </w:r>
      <w:r>
        <w:rPr>
          <w:rFonts w:hint="eastAsia" w:ascii="方正仿宋简体" w:hAnsi="方正仿宋简体" w:eastAsia="方正仿宋简体" w:cs="方正仿宋简体"/>
          <w:bCs/>
          <w:kern w:val="0"/>
          <w:sz w:val="32"/>
          <w:szCs w:val="32"/>
          <w:u w:val="single"/>
        </w:rPr>
        <w:t>2年无质量问题后支付</w:t>
      </w:r>
      <w:r>
        <w:rPr>
          <w:rFonts w:hint="eastAsia" w:ascii="方正仿宋简体" w:hAnsi="方正仿宋简体" w:eastAsia="方正仿宋简体" w:cs="方正仿宋简体"/>
          <w:bCs/>
          <w:kern w:val="1"/>
          <w:sz w:val="32"/>
          <w:szCs w:val="32"/>
          <w:u w:val="single"/>
        </w:rPr>
        <w:t>。</w:t>
      </w:r>
      <w:r>
        <w:rPr>
          <w:rFonts w:hint="eastAsia" w:ascii="方正仿宋简体" w:hAnsi="方正仿宋简体" w:eastAsia="方正仿宋简体" w:cs="方正仿宋简体"/>
          <w:bCs/>
          <w:kern w:val="1"/>
          <w:sz w:val="32"/>
          <w:szCs w:val="32"/>
        </w:rPr>
        <w:t>（</w:t>
      </w:r>
      <w:r>
        <w:rPr>
          <w:rFonts w:hint="eastAsia" w:ascii="方正仿宋简体" w:hAnsi="方正仿宋简体" w:eastAsia="方正仿宋简体" w:cs="方正仿宋简体"/>
          <w:bCs/>
          <w:kern w:val="0"/>
          <w:sz w:val="32"/>
          <w:szCs w:val="32"/>
        </w:rPr>
        <w:t>如报价人不接受采购人提出的付款方式，可在报价书中明确能够接受的付款方式及付款时间，评审时作为参考。报价为含税价，请注明税率。</w:t>
      </w:r>
      <w:r>
        <w:rPr>
          <w:rFonts w:hint="eastAsia" w:ascii="方正仿宋简体" w:hAnsi="方正仿宋简体" w:eastAsia="方正仿宋简体" w:cs="方正仿宋简体"/>
          <w:bCs/>
          <w:kern w:val="1"/>
          <w:sz w:val="32"/>
          <w:szCs w:val="32"/>
        </w:rPr>
        <w:t>）</w:t>
      </w:r>
      <w:r>
        <w:rPr>
          <w:rFonts w:hint="eastAsia" w:ascii="方正仿宋简体" w:hAnsi="方正仿宋简体" w:eastAsia="方正仿宋简体" w:cs="方正仿宋简体"/>
          <w:bCs/>
          <w:kern w:val="0"/>
          <w:sz w:val="32"/>
          <w:szCs w:val="32"/>
        </w:rPr>
        <w:t>如付款方式涉及到预付款，报价人必须在报价文件中提供评审前3个月内中国人民银行征信中心出具的企业信用报告并加盖企业公章。</w:t>
      </w:r>
    </w:p>
    <w:p w14:paraId="30C6153E">
      <w:pPr>
        <w:pStyle w:val="17"/>
        <w:spacing w:line="560" w:lineRule="exact"/>
        <w:ind w:left="0" w:firstLine="640" w:firstLineChars="200"/>
        <w:rPr>
          <w:rFonts w:ascii="方正仿宋简体" w:hAnsi="方正仿宋简体" w:eastAsia="方正仿宋简体" w:cs="方正仿宋简体"/>
          <w:bCs/>
          <w:kern w:val="1"/>
          <w:szCs w:val="32"/>
        </w:rPr>
      </w:pPr>
      <w:r>
        <w:rPr>
          <w:rFonts w:hint="eastAsia" w:ascii="方正楷体_GBK" w:hAnsi="方正楷体_GBK" w:eastAsia="方正楷体_GBK" w:cs="方正楷体_GBK"/>
          <w:bCs/>
          <w:kern w:val="1"/>
          <w:szCs w:val="32"/>
        </w:rPr>
        <w:t>（三）</w:t>
      </w:r>
      <w:r>
        <w:rPr>
          <w:rFonts w:hint="eastAsia" w:ascii="方正仿宋简体" w:hAnsi="方正仿宋简体" w:eastAsia="方正仿宋简体" w:cs="方正仿宋简体"/>
          <w:bCs/>
          <w:kern w:val="1"/>
          <w:szCs w:val="32"/>
        </w:rPr>
        <w:t>竣工结算按实际工作量结算，若施工过程中发生工程变更，相关单价确定，合同中有约定的按合同约定执行，合同中有类似的参照类似的执行，如无参照，则按2014 年《江苏省安装工程计价表》，《江苏省建筑与装饰工程计价表（2014年版）》、《江苏省建设工程费用定额（2014年）》苏建价[2014]299号。主、辅价格按照镇江市当期造价信息价计价。如当期信息价没有的，以甲方核定的为准。甲方委托索普集团审计部进行审计，除本合同特别约定的外，其余参照索普集团相关规定执行。</w:t>
      </w:r>
    </w:p>
    <w:p w14:paraId="3E8B20ED">
      <w:p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楷体_GBK" w:hAnsi="方正楷体_GBK" w:eastAsia="方正楷体_GBK" w:cs="方正楷体_GBK"/>
          <w:bCs/>
          <w:kern w:val="1"/>
          <w:sz w:val="32"/>
          <w:szCs w:val="32"/>
        </w:rPr>
        <w:t>（四）</w:t>
      </w:r>
      <w:r>
        <w:rPr>
          <w:rFonts w:hint="eastAsia" w:ascii="方正仿宋简体" w:hAnsi="方正仿宋简体" w:eastAsia="方正仿宋简体" w:cs="方正仿宋简体"/>
          <w:bCs/>
          <w:kern w:val="1"/>
          <w:sz w:val="32"/>
          <w:szCs w:val="32"/>
        </w:rPr>
        <w:t>本项目报价通过</w:t>
      </w:r>
      <w:r>
        <w:rPr>
          <w:rFonts w:hint="eastAsia" w:ascii="方正仿宋简体" w:hAnsi="方正仿宋简体" w:eastAsia="方正仿宋简体" w:cs="方正仿宋简体"/>
          <w:bCs/>
          <w:color w:val="FF0000"/>
          <w:kern w:val="1"/>
          <w:sz w:val="32"/>
          <w:szCs w:val="32"/>
        </w:rPr>
        <w:t>线下</w:t>
      </w:r>
      <w:r>
        <w:rPr>
          <w:rFonts w:hint="eastAsia" w:ascii="方正仿宋简体" w:hAnsi="方正仿宋简体" w:eastAsia="方正仿宋简体" w:cs="方正仿宋简体"/>
          <w:bCs/>
          <w:kern w:val="1"/>
          <w:sz w:val="32"/>
          <w:szCs w:val="32"/>
        </w:rPr>
        <w:t>方式进行：</w:t>
      </w:r>
    </w:p>
    <w:p w14:paraId="70F0492E">
      <w:pPr>
        <w:pStyle w:val="8"/>
        <w:spacing w:after="0"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bCs/>
          <w:kern w:val="1"/>
          <w:sz w:val="32"/>
          <w:szCs w:val="32"/>
        </w:rPr>
        <w:t>采用线下报价应</w:t>
      </w:r>
      <w:r>
        <w:rPr>
          <w:rFonts w:hint="eastAsia" w:ascii="方正仿宋简体" w:hAnsi="方正仿宋简体" w:eastAsia="方正仿宋简体" w:cs="方正仿宋简体"/>
          <w:bCs/>
          <w:sz w:val="32"/>
          <w:szCs w:val="32"/>
        </w:rPr>
        <w:t>将报价书及相关资料以密封袋形式送达并加盖公章；在密封袋封面上需注明报价项目名称、报价人名称、联系人、联系电话等；</w:t>
      </w:r>
      <w:r>
        <w:rPr>
          <w:rFonts w:hint="eastAsia" w:ascii="方正仿宋简体" w:hAnsi="方正仿宋简体" w:eastAsia="方正仿宋简体" w:cs="方正仿宋简体"/>
          <w:kern w:val="1"/>
          <w:sz w:val="32"/>
          <w:szCs w:val="32"/>
        </w:rPr>
        <w:t>并要求在报价截止时间之前送达，逾期将作为无效报价处理</w:t>
      </w:r>
      <w:r>
        <w:rPr>
          <w:rFonts w:hint="eastAsia" w:ascii="方正仿宋简体" w:hAnsi="方正仿宋简体" w:eastAsia="方正仿宋简体" w:cs="方正仿宋简体"/>
          <w:bCs/>
          <w:kern w:val="1"/>
          <w:sz w:val="32"/>
          <w:szCs w:val="32"/>
        </w:rPr>
        <w:t>。</w:t>
      </w:r>
    </w:p>
    <w:p w14:paraId="3BECEDE2">
      <w:pPr>
        <w:wordWrap w:val="0"/>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楷体_GBK" w:hAnsi="方正楷体_GBK" w:eastAsia="方正楷体_GBK" w:cs="方正楷体_GBK"/>
          <w:bCs/>
          <w:kern w:val="1"/>
          <w:sz w:val="32"/>
          <w:szCs w:val="32"/>
        </w:rPr>
        <w:t>（五）</w:t>
      </w:r>
      <w:r>
        <w:rPr>
          <w:rFonts w:hint="eastAsia" w:ascii="方正仿宋简体" w:hAnsi="方正仿宋简体" w:eastAsia="方正仿宋简体" w:cs="方正仿宋简体"/>
          <w:bCs/>
          <w:kern w:val="1"/>
          <w:sz w:val="32"/>
          <w:szCs w:val="32"/>
        </w:rPr>
        <w:t>采用线下报价的，报价文件请密封邮寄：</w:t>
      </w:r>
    </w:p>
    <w:p w14:paraId="4C3DADAD">
      <w:pPr>
        <w:pStyle w:val="29"/>
        <w:tabs>
          <w:tab w:val="left" w:pos="180"/>
        </w:tabs>
        <w:wordWrap w:val="0"/>
        <w:adjustRightInd w:val="0"/>
        <w:snapToGrid w:val="0"/>
        <w:spacing w:line="600" w:lineRule="exact"/>
        <w:ind w:firstLine="640"/>
        <w:jc w:val="left"/>
        <w:rPr>
          <w:rFonts w:ascii="方正仿宋简体" w:hAnsi="方正仿宋简体" w:eastAsia="方正仿宋简体" w:cs="方正仿宋简体"/>
          <w:bCs/>
          <w:kern w:val="1"/>
          <w:sz w:val="30"/>
          <w:szCs w:val="30"/>
        </w:rPr>
      </w:pPr>
      <w:r>
        <w:rPr>
          <w:rFonts w:hint="eastAsia" w:ascii="方正仿宋简体" w:hAnsi="方正仿宋简体" w:eastAsia="方正仿宋简体" w:cs="方正仿宋简体"/>
          <w:bCs/>
          <w:kern w:val="1"/>
          <w:sz w:val="32"/>
          <w:szCs w:val="32"/>
        </w:rPr>
        <w:t>公司：</w:t>
      </w:r>
      <w:r>
        <w:rPr>
          <w:rFonts w:hint="eastAsia" w:ascii="方正仿宋简体" w:hAnsi="方正仿宋简体" w:eastAsia="方正仿宋简体" w:cs="方正仿宋简体"/>
          <w:bCs/>
          <w:kern w:val="1"/>
          <w:sz w:val="30"/>
          <w:szCs w:val="30"/>
        </w:rPr>
        <w:t>镇江海纳川物流产业发展有限责任公司审计风控部</w:t>
      </w:r>
    </w:p>
    <w:p w14:paraId="451F070B">
      <w:pPr>
        <w:wordWrap w:val="0"/>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地址：江苏省镇江市京口区求索路66号</w:t>
      </w:r>
    </w:p>
    <w:p w14:paraId="25B5A3EB">
      <w:pPr>
        <w:wordWrap w:val="0"/>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邮编：212006</w:t>
      </w:r>
    </w:p>
    <w:p w14:paraId="38E0453A">
      <w:pPr>
        <w:wordWrap w:val="0"/>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收件人：杨雨琦</w:t>
      </w:r>
    </w:p>
    <w:p w14:paraId="274FBFE8">
      <w:pPr>
        <w:wordWrap w:val="0"/>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联系电话：13952943464</w:t>
      </w:r>
    </w:p>
    <w:p w14:paraId="060E248E">
      <w:p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楷体_GBK" w:hAnsi="方正楷体_GBK" w:eastAsia="方正楷体_GBK" w:cs="方正楷体_GBK"/>
          <w:bCs/>
          <w:kern w:val="1"/>
          <w:sz w:val="32"/>
          <w:szCs w:val="32"/>
        </w:rPr>
        <w:t>（六）</w:t>
      </w:r>
      <w:r>
        <w:rPr>
          <w:rFonts w:hint="eastAsia" w:ascii="方正仿宋简体" w:hAnsi="方正仿宋简体" w:eastAsia="方正仿宋简体" w:cs="方正仿宋简体"/>
          <w:bCs/>
          <w:kern w:val="1"/>
          <w:sz w:val="32"/>
          <w:szCs w:val="32"/>
        </w:rPr>
        <w:t>凡对比选文书条款有疑义的，请在评审前按以下方式联系：</w:t>
      </w:r>
    </w:p>
    <w:p w14:paraId="36817B5D">
      <w:pPr>
        <w:pStyle w:val="29"/>
        <w:tabs>
          <w:tab w:val="left" w:pos="180"/>
        </w:tabs>
        <w:wordWrap w:val="0"/>
        <w:adjustRightInd w:val="0"/>
        <w:snapToGrid w:val="0"/>
        <w:spacing w:line="600" w:lineRule="exact"/>
        <w:ind w:firstLine="64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联系单位：镇江海纳川物流产业发展有限责任公司</w:t>
      </w:r>
    </w:p>
    <w:p w14:paraId="4AD6CFE9">
      <w:pPr>
        <w:adjustRightInd w:val="0"/>
        <w:snapToGrid w:val="0"/>
        <w:spacing w:line="600" w:lineRule="exact"/>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 xml:space="preserve">    地址：江苏省镇江市京口区求索路66号，邮编：212006</w:t>
      </w:r>
    </w:p>
    <w:p w14:paraId="7DD9BA15">
      <w:p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采购部门联系人：王帆      电话：</w:t>
      </w:r>
      <w:r>
        <w:rPr>
          <w:rFonts w:ascii="方正仿宋简体" w:hAnsi="方正仿宋简体" w:eastAsia="方正仿宋简体" w:cs="方正仿宋简体"/>
          <w:bCs/>
          <w:kern w:val="1"/>
          <w:sz w:val="32"/>
          <w:szCs w:val="32"/>
        </w:rPr>
        <w:t>18261973530</w:t>
      </w:r>
    </w:p>
    <w:p w14:paraId="7AB5A60B">
      <w:pPr>
        <w:pStyle w:val="9"/>
        <w:spacing w:line="600" w:lineRule="exact"/>
        <w:ind w:firstLine="640" w:firstLineChars="200"/>
        <w:rPr>
          <w:rFonts w:ascii="方正黑体_GBK" w:hAnsi="方正黑体_GBK" w:eastAsia="方正黑体_GBK" w:cs="方正黑体_GBK"/>
          <w:kern w:val="2"/>
          <w:sz w:val="32"/>
          <w:szCs w:val="32"/>
        </w:rPr>
      </w:pPr>
      <w:r>
        <w:rPr>
          <w:rFonts w:hint="eastAsia" w:ascii="方正黑体_GBK" w:hAnsi="方正黑体_GBK" w:eastAsia="方正黑体_GBK" w:cs="方正黑体_GBK"/>
          <w:kern w:val="2"/>
          <w:sz w:val="32"/>
          <w:szCs w:val="32"/>
        </w:rPr>
        <w:t>六、评审流程：</w:t>
      </w:r>
    </w:p>
    <w:p w14:paraId="3D676F56">
      <w:pPr>
        <w:pStyle w:val="9"/>
        <w:spacing w:line="600" w:lineRule="exact"/>
        <w:ind w:firstLine="640" w:firstLineChars="200"/>
        <w:rPr>
          <w:rFonts w:ascii="方正黑体_GBK" w:hAnsi="方正黑体_GBK" w:eastAsia="方正黑体_GBK" w:cs="方正黑体_GBK"/>
          <w:kern w:val="2"/>
          <w:sz w:val="32"/>
          <w:szCs w:val="32"/>
        </w:rPr>
      </w:pPr>
      <w:r>
        <w:rPr>
          <w:rFonts w:hint="eastAsia" w:ascii="方正楷体_GBK" w:hAnsi="方正楷体_GBK" w:eastAsia="方正楷体_GBK" w:cs="方正楷体_GBK"/>
          <w:bCs/>
          <w:kern w:val="1"/>
          <w:sz w:val="32"/>
          <w:szCs w:val="32"/>
        </w:rPr>
        <w:t>（一）</w:t>
      </w:r>
      <w:r>
        <w:rPr>
          <w:rFonts w:hint="eastAsia" w:ascii="方正仿宋简体" w:hAnsi="方正仿宋简体" w:eastAsia="方正仿宋简体" w:cs="方正仿宋简体"/>
          <w:bCs/>
          <w:kern w:val="1"/>
          <w:sz w:val="32"/>
          <w:szCs w:val="32"/>
        </w:rPr>
        <w:t>评审</w:t>
      </w:r>
    </w:p>
    <w:p w14:paraId="38F19241">
      <w:pPr>
        <w:pStyle w:val="8"/>
        <w:spacing w:after="0" w:line="600" w:lineRule="exact"/>
        <w:ind w:firstLine="640" w:firstLineChars="200"/>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本项目由采购人组织评审小组负责评审工作，对各供应商报价进行评审，确定最终成交人。</w:t>
      </w:r>
    </w:p>
    <w:p w14:paraId="42D67617">
      <w:pPr>
        <w:pStyle w:val="8"/>
        <w:spacing w:after="0" w:line="600" w:lineRule="exact"/>
        <w:ind w:firstLine="640" w:firstLineChars="200"/>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1.请各供应商保持通讯畅通，便于评审小组在评审现场电话联系</w:t>
      </w:r>
      <w:r>
        <w:rPr>
          <w:rFonts w:hint="eastAsia" w:ascii="方正仿宋简体" w:hAnsi="方正仿宋简体" w:eastAsia="方正仿宋简体" w:cs="方正仿宋简体"/>
          <w:sz w:val="32"/>
          <w:szCs w:val="32"/>
        </w:rPr>
        <w:t>确认比选文书中的相关信息，报价人必须及时回复评审过程中采购人提出的问题，合理解释报价文件与比选文书的偏离。如评审小组在评审现场10分钟内电话联系不上报价人，且报价文件与比选文书的偏离影响中选结果，则视为报价人主动放弃本项目报价，评审结束后不再接受报价人的任何解释</w:t>
      </w:r>
      <w:r>
        <w:rPr>
          <w:rFonts w:hint="eastAsia" w:ascii="方正仿宋简体" w:hAnsi="方正仿宋简体" w:eastAsia="方正仿宋简体" w:cs="方正仿宋简体"/>
          <w:bCs/>
          <w:kern w:val="1"/>
          <w:sz w:val="32"/>
          <w:szCs w:val="32"/>
        </w:rPr>
        <w:t>。</w:t>
      </w:r>
    </w:p>
    <w:p w14:paraId="01242F70">
      <w:pPr>
        <w:pStyle w:val="8"/>
        <w:spacing w:after="0"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bCs/>
          <w:kern w:val="1"/>
          <w:sz w:val="32"/>
          <w:szCs w:val="32"/>
        </w:rPr>
        <w:t xml:space="preserve">2.评审小组不得泄露各供应商的报价。   </w:t>
      </w:r>
    </w:p>
    <w:p w14:paraId="57FD5900">
      <w:pPr>
        <w:spacing w:line="360" w:lineRule="auto"/>
        <w:ind w:firstLine="640" w:firstLineChars="200"/>
        <w:jc w:val="left"/>
        <w:rPr>
          <w:rFonts w:ascii="方正仿宋简体" w:hAnsi="方正仿宋简体" w:eastAsia="方正仿宋简体" w:cs="方正仿宋简体"/>
          <w:sz w:val="32"/>
          <w:szCs w:val="32"/>
        </w:rPr>
      </w:pPr>
      <w:r>
        <w:rPr>
          <w:rFonts w:hint="eastAsia" w:ascii="方正楷体_GBK" w:hAnsi="方正楷体_GBK" w:eastAsia="方正楷体_GBK" w:cs="方正楷体_GBK"/>
          <w:bCs/>
          <w:kern w:val="1"/>
          <w:sz w:val="32"/>
          <w:szCs w:val="32"/>
        </w:rPr>
        <w:t>（二）</w:t>
      </w:r>
      <w:r>
        <w:rPr>
          <w:rFonts w:hint="eastAsia" w:ascii="方正仿宋简体" w:hAnsi="方正仿宋简体" w:eastAsia="方正仿宋简体" w:cs="方正仿宋简体"/>
          <w:bCs/>
          <w:kern w:val="1"/>
          <w:sz w:val="32"/>
          <w:szCs w:val="32"/>
        </w:rPr>
        <w:t>评定</w:t>
      </w:r>
    </w:p>
    <w:p w14:paraId="6D103FD2">
      <w:pPr>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1.综合</w:t>
      </w:r>
    </w:p>
    <w:p w14:paraId="4DC0EED7">
      <w:pPr>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采取综合评审方法进行打分，具体按价格得分、技术得分、商务得分（得分比例根据货物内容确定）三个方面进行评审，并按综合得分由高到低顺序推选一名成交人。</w:t>
      </w:r>
    </w:p>
    <w:p w14:paraId="4F5086D3">
      <w:pPr>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2.通用</w:t>
      </w:r>
      <w:r>
        <w:rPr>
          <w:rFonts w:hint="eastAsia" w:ascii="方正仿宋简体" w:hAnsi="方正仿宋简体" w:eastAsia="方正仿宋简体" w:cs="方正仿宋简体"/>
          <w:color w:val="FF0000"/>
          <w:sz w:val="32"/>
          <w:szCs w:val="32"/>
        </w:rPr>
        <w:t>（本次采用该种评审方式）</w:t>
      </w:r>
    </w:p>
    <w:p w14:paraId="0830F8E7">
      <w:pPr>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 xml:space="preserve"> 在能够满足采购人技术要求及供货期要求的供应商中选择总价最低的一家供应商作为成交人。在能够满足采购人技术要求及供货期要求的供应商中选择总价最低的一家供应商作为成交人。评审中出现两家或多家单位价格一致且同时属于最低价时，优先考虑与我司长期合作的单位。</w:t>
      </w:r>
    </w:p>
    <w:p w14:paraId="0EB7FD70">
      <w:p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楷体_GBK" w:hAnsi="方正楷体_GBK" w:eastAsia="方正楷体_GBK" w:cs="方正楷体_GBK"/>
          <w:bCs/>
          <w:kern w:val="1"/>
          <w:sz w:val="32"/>
          <w:szCs w:val="32"/>
        </w:rPr>
        <w:t>（三）</w:t>
      </w:r>
      <w:r>
        <w:rPr>
          <w:rFonts w:hint="eastAsia" w:ascii="方正仿宋简体" w:hAnsi="方正仿宋简体" w:eastAsia="方正仿宋简体" w:cs="方正仿宋简体"/>
          <w:bCs/>
          <w:kern w:val="1"/>
          <w:sz w:val="32"/>
          <w:szCs w:val="32"/>
        </w:rPr>
        <w:t>询价废止及无效报价</w:t>
      </w:r>
    </w:p>
    <w:p w14:paraId="6C2955C5">
      <w:p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1.采购人如发现询比价过程中有串通报价、陪同报价等扰乱采购人经营秩序的</w:t>
      </w:r>
      <w:r>
        <w:rPr>
          <w:rFonts w:hint="eastAsia" w:ascii="仿宋_GB2312" w:hAnsi="宋体" w:eastAsia="仿宋_GB2312" w:cs="仿宋_GB2312"/>
          <w:color w:val="2C2C2C"/>
          <w:sz w:val="30"/>
          <w:szCs w:val="30"/>
          <w:shd w:val="clear" w:color="auto" w:fill="FFFFFF"/>
        </w:rPr>
        <w:t>恶劣情况</w:t>
      </w:r>
      <w:r>
        <w:rPr>
          <w:rFonts w:hint="eastAsia" w:ascii="方正仿宋简体" w:hAnsi="方正仿宋简体" w:eastAsia="方正仿宋简体" w:cs="方正仿宋简体"/>
          <w:bCs/>
          <w:kern w:val="1"/>
          <w:sz w:val="32"/>
          <w:szCs w:val="32"/>
        </w:rPr>
        <w:t>，经采购人评审小组评定可作询价废止处理，并可将相关供应商列入供应商负面清单，一年内不再接受参与报价工作。</w:t>
      </w:r>
    </w:p>
    <w:p w14:paraId="28F8A6B8">
      <w:p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楷体_GBK" w:cs="方正仿宋简体"/>
          <w:bCs/>
          <w:kern w:val="1"/>
          <w:sz w:val="32"/>
          <w:szCs w:val="32"/>
        </w:rPr>
        <w:t>2.</w:t>
      </w:r>
      <w:r>
        <w:rPr>
          <w:rFonts w:hint="eastAsia" w:ascii="方正仿宋简体" w:hAnsi="方正仿宋简体" w:eastAsia="方正仿宋简体" w:cs="方正仿宋简体"/>
          <w:bCs/>
          <w:kern w:val="1"/>
          <w:sz w:val="32"/>
          <w:szCs w:val="32"/>
        </w:rPr>
        <w:t>凡报价人不具备</w:t>
      </w:r>
      <w:r>
        <w:rPr>
          <w:rFonts w:hint="eastAsia" w:ascii="方正仿宋简体" w:hAnsi="方正仿宋简体" w:eastAsia="方正仿宋简体" w:cs="方正仿宋简体"/>
          <w:bCs/>
          <w:color w:val="FF0000"/>
          <w:kern w:val="1"/>
          <w:sz w:val="32"/>
          <w:szCs w:val="32"/>
        </w:rPr>
        <w:t>采购人明确要求资质的</w:t>
      </w:r>
      <w:r>
        <w:rPr>
          <w:rFonts w:hint="eastAsia" w:ascii="方正仿宋简体" w:hAnsi="方正仿宋简体" w:eastAsia="方正仿宋简体" w:cs="方正仿宋简体"/>
          <w:bCs/>
          <w:kern w:val="1"/>
          <w:sz w:val="32"/>
          <w:szCs w:val="32"/>
        </w:rPr>
        <w:t>，或报价文件填写不完整、报价有空项的，或不符合技术要求条款的，或者存在其他不符合采购人有关要求的问题，经采购人评审小组评定，可作</w:t>
      </w:r>
      <w:r>
        <w:rPr>
          <w:rFonts w:hint="eastAsia" w:ascii="方正仿宋简体" w:hAnsi="方正仿宋简体" w:eastAsia="方正仿宋简体" w:cs="方正仿宋简体"/>
          <w:b/>
          <w:bCs/>
          <w:color w:val="FF0000"/>
          <w:kern w:val="1"/>
          <w:sz w:val="32"/>
          <w:szCs w:val="32"/>
        </w:rPr>
        <w:t>无效报价</w:t>
      </w:r>
      <w:r>
        <w:rPr>
          <w:rFonts w:hint="eastAsia" w:ascii="方正仿宋简体" w:hAnsi="方正仿宋简体" w:eastAsia="方正仿宋简体" w:cs="方正仿宋简体"/>
          <w:bCs/>
          <w:kern w:val="1"/>
          <w:sz w:val="32"/>
          <w:szCs w:val="32"/>
        </w:rPr>
        <w:t>处理。</w:t>
      </w:r>
    </w:p>
    <w:p w14:paraId="4F2D1CC5">
      <w:pPr>
        <w:adjustRightInd w:val="0"/>
        <w:snapToGrid w:val="0"/>
        <w:spacing w:line="600" w:lineRule="exact"/>
        <w:ind w:firstLine="640" w:firstLineChars="200"/>
        <w:jc w:val="left"/>
        <w:rPr>
          <w:rFonts w:ascii="方正仿宋简体" w:hAnsi="方正仿宋简体" w:eastAsia="方正仿宋简体" w:cs="方正仿宋简体"/>
          <w:bCs/>
          <w:color w:val="0000FF"/>
          <w:kern w:val="1"/>
          <w:sz w:val="32"/>
          <w:szCs w:val="32"/>
        </w:rPr>
      </w:pPr>
      <w:r>
        <w:rPr>
          <w:rFonts w:hint="eastAsia" w:ascii="方正仿宋简体" w:hAnsi="方正仿宋简体" w:eastAsia="方正仿宋简体" w:cs="方正仿宋简体"/>
          <w:bCs/>
          <w:kern w:val="1"/>
          <w:sz w:val="32"/>
          <w:szCs w:val="32"/>
        </w:rPr>
        <w:t>3.报价人应如实提供符合市场规律和自身成本的合理报价。如果报价人的报价与市场价格明显偏离并因此影响了采购活动的公正合理性，损害了采购人的正当利益，经采购人评审小组评定，可作</w:t>
      </w:r>
      <w:r>
        <w:rPr>
          <w:rFonts w:hint="eastAsia" w:ascii="方正仿宋简体" w:hAnsi="方正仿宋简体" w:eastAsia="方正仿宋简体" w:cs="方正仿宋简体"/>
          <w:b/>
          <w:bCs/>
          <w:color w:val="FF0000"/>
          <w:kern w:val="1"/>
          <w:sz w:val="32"/>
          <w:szCs w:val="32"/>
        </w:rPr>
        <w:t>无效报价</w:t>
      </w:r>
      <w:r>
        <w:rPr>
          <w:rFonts w:hint="eastAsia" w:ascii="方正仿宋简体" w:hAnsi="方正仿宋简体" w:eastAsia="方正仿宋简体" w:cs="方正仿宋简体"/>
          <w:bCs/>
          <w:kern w:val="1"/>
          <w:sz w:val="32"/>
          <w:szCs w:val="32"/>
        </w:rPr>
        <w:t>处理。</w:t>
      </w:r>
    </w:p>
    <w:p w14:paraId="259A212B">
      <w:pPr>
        <w:adjustRightInd w:val="0"/>
        <w:snapToGrid w:val="0"/>
        <w:spacing w:line="600" w:lineRule="exact"/>
        <w:ind w:firstLine="643" w:firstLineChars="200"/>
        <w:rPr>
          <w:rFonts w:ascii="方正仿宋简体" w:hAnsi="方正仿宋简体" w:eastAsia="方正仿宋简体" w:cs="方正仿宋简体"/>
          <w:bCs/>
          <w:color w:val="FF0000"/>
          <w:kern w:val="1"/>
          <w:sz w:val="32"/>
          <w:szCs w:val="32"/>
          <w:highlight w:val="green"/>
        </w:rPr>
      </w:pPr>
      <w:r>
        <w:rPr>
          <w:rFonts w:hint="eastAsia" w:ascii="方正黑体_GBK" w:hAnsi="方正黑体_GBK" w:eastAsia="方正黑体_GBK" w:cs="方正黑体_GBK"/>
          <w:b/>
          <w:kern w:val="1"/>
          <w:sz w:val="32"/>
          <w:szCs w:val="32"/>
        </w:rPr>
        <w:t>七、其他注意事项：</w:t>
      </w:r>
    </w:p>
    <w:p w14:paraId="7331934A">
      <w:pPr>
        <w:adjustRightInd w:val="0"/>
        <w:snapToGrid w:val="0"/>
        <w:spacing w:line="600" w:lineRule="exact"/>
        <w:ind w:firstLine="640" w:firstLineChars="200"/>
        <w:jc w:val="left"/>
        <w:rPr>
          <w:rFonts w:ascii="方正仿宋简体" w:hAnsi="方正仿宋简体" w:eastAsia="方正仿宋简体" w:cs="方正仿宋简体"/>
          <w:bCs/>
          <w:color w:val="000000"/>
          <w:kern w:val="1"/>
          <w:sz w:val="32"/>
          <w:szCs w:val="32"/>
        </w:rPr>
      </w:pPr>
      <w:r>
        <w:rPr>
          <w:rFonts w:hint="eastAsia" w:ascii="方正楷体_GBK" w:hAnsi="方正楷体_GBK" w:eastAsia="方正楷体_GBK" w:cs="方正楷体_GBK"/>
          <w:bCs/>
          <w:color w:val="000000"/>
          <w:kern w:val="1"/>
          <w:sz w:val="32"/>
          <w:szCs w:val="32"/>
        </w:rPr>
        <w:t>（一）</w:t>
      </w:r>
      <w:r>
        <w:rPr>
          <w:rFonts w:hint="eastAsia" w:ascii="方正仿宋简体" w:hAnsi="方正仿宋简体" w:eastAsia="方正仿宋简体" w:cs="方正仿宋简体"/>
          <w:bCs/>
          <w:color w:val="000000"/>
          <w:kern w:val="1"/>
          <w:sz w:val="32"/>
          <w:szCs w:val="32"/>
        </w:rPr>
        <w:t>未经采购人允许,报价人不得以任何方式将本项目分包给第三方，否则按本合同总价的10%作为违约金，同时采购人有权终止本合同。　　</w:t>
      </w:r>
    </w:p>
    <w:p w14:paraId="1AC62A58">
      <w:pPr>
        <w:adjustRightInd w:val="0"/>
        <w:snapToGrid w:val="0"/>
        <w:spacing w:line="600" w:lineRule="exact"/>
        <w:ind w:firstLine="640" w:firstLineChars="200"/>
        <w:jc w:val="left"/>
        <w:rPr>
          <w:color w:val="000000"/>
          <w:sz w:val="32"/>
          <w:szCs w:val="32"/>
        </w:rPr>
      </w:pPr>
      <w:r>
        <w:rPr>
          <w:rFonts w:hint="eastAsia" w:ascii="方正楷体_GBK" w:hAnsi="方正楷体_GBK" w:eastAsia="方正楷体_GBK" w:cs="方正楷体_GBK"/>
          <w:bCs/>
          <w:color w:val="000000"/>
          <w:kern w:val="1"/>
          <w:sz w:val="32"/>
          <w:szCs w:val="32"/>
        </w:rPr>
        <w:t>（二）</w:t>
      </w:r>
      <w:r>
        <w:rPr>
          <w:rFonts w:hint="eastAsia" w:ascii="方正仿宋简体" w:hAnsi="方正仿宋简体" w:eastAsia="方正仿宋简体" w:cs="方正仿宋简体"/>
          <w:bCs/>
          <w:color w:val="000000"/>
          <w:kern w:val="1"/>
          <w:sz w:val="32"/>
          <w:szCs w:val="32"/>
        </w:rPr>
        <w:t>成交人中选以后应严格按照比选文书约定与采购方签定供需合同，并按合同约定做好物资供应和服务工作。对成交人所有违背比选文书及合同约定的行为，采购人均可持续保留与成交方中止合作的一切权利。</w:t>
      </w:r>
    </w:p>
    <w:p w14:paraId="1B871A86">
      <w:pPr>
        <w:adjustRightInd w:val="0"/>
        <w:snapToGrid w:val="0"/>
        <w:spacing w:line="600" w:lineRule="exact"/>
        <w:ind w:firstLine="640" w:firstLineChars="200"/>
        <w:jc w:val="left"/>
        <w:rPr>
          <w:rFonts w:ascii="方正仿宋简体" w:hAnsi="方正仿宋简体" w:eastAsia="方正仿宋简体" w:cs="方正仿宋简体"/>
          <w:bCs/>
          <w:color w:val="000000"/>
          <w:kern w:val="1"/>
          <w:sz w:val="32"/>
          <w:szCs w:val="32"/>
        </w:rPr>
      </w:pPr>
      <w:r>
        <w:rPr>
          <w:rFonts w:hint="eastAsia" w:ascii="方正楷体_GBK" w:hAnsi="方正楷体_GBK" w:eastAsia="方正楷体_GBK" w:cs="方正楷体_GBK"/>
          <w:bCs/>
          <w:color w:val="000000"/>
          <w:kern w:val="1"/>
          <w:sz w:val="32"/>
          <w:szCs w:val="32"/>
        </w:rPr>
        <w:t>（三）</w:t>
      </w:r>
      <w:r>
        <w:rPr>
          <w:rFonts w:hint="eastAsia" w:ascii="方正仿宋简体" w:hAnsi="方正仿宋简体" w:eastAsia="方正仿宋简体" w:cs="方正仿宋简体"/>
          <w:bCs/>
          <w:color w:val="000000"/>
          <w:kern w:val="1"/>
          <w:sz w:val="32"/>
          <w:szCs w:val="32"/>
        </w:rPr>
        <w:t>对需检验的品种，经采购人检验部门检验合格后方能收货，否则做退、换货处理；长期合约的成交人如出现三次产品质量不合格的情况，视为成交人无能力保障产品质量，采购人有权终止此次采购合同的执行。</w:t>
      </w:r>
    </w:p>
    <w:p w14:paraId="4EDA69C5">
      <w:pPr>
        <w:adjustRightInd w:val="0"/>
        <w:snapToGrid w:val="0"/>
        <w:spacing w:line="600" w:lineRule="exact"/>
        <w:ind w:firstLine="640" w:firstLineChars="200"/>
        <w:jc w:val="left"/>
        <w:rPr>
          <w:rFonts w:ascii="方正仿宋简体" w:hAnsi="方正仿宋简体" w:eastAsia="方正仿宋简体" w:cs="方正仿宋简体"/>
          <w:bCs/>
          <w:color w:val="000000"/>
          <w:kern w:val="1"/>
          <w:sz w:val="32"/>
          <w:szCs w:val="32"/>
        </w:rPr>
      </w:pPr>
      <w:r>
        <w:rPr>
          <w:rFonts w:hint="eastAsia" w:ascii="方正楷体_GBK" w:hAnsi="方正楷体_GBK" w:eastAsia="方正楷体_GBK" w:cs="方正楷体_GBK"/>
          <w:bCs/>
          <w:color w:val="000000"/>
          <w:kern w:val="1"/>
          <w:sz w:val="32"/>
          <w:szCs w:val="32"/>
        </w:rPr>
        <w:t>（四）</w:t>
      </w:r>
      <w:r>
        <w:rPr>
          <w:rFonts w:hint="eastAsia" w:ascii="方正仿宋简体" w:hAnsi="方正仿宋简体" w:eastAsia="方正仿宋简体" w:cs="方正仿宋简体"/>
          <w:bCs/>
          <w:color w:val="000000"/>
          <w:kern w:val="1"/>
          <w:sz w:val="32"/>
          <w:szCs w:val="32"/>
        </w:rPr>
        <w:t>如因报价人不能正常履约，对采购人生产经营活动造成影响的，报价人除承担合同总价10%的违约金外，由此产生的营运损失由报价人另行承担。</w:t>
      </w:r>
    </w:p>
    <w:p w14:paraId="3EDEC698">
      <w:pPr>
        <w:adjustRightInd w:val="0"/>
        <w:snapToGrid w:val="0"/>
        <w:spacing w:line="600" w:lineRule="exact"/>
        <w:ind w:firstLine="640" w:firstLineChars="200"/>
        <w:rPr>
          <w:rFonts w:ascii="方正仿宋简体" w:hAnsi="方正仿宋简体" w:eastAsia="方正仿宋简体" w:cs="方正仿宋简体"/>
          <w:bCs/>
          <w:color w:val="000000"/>
          <w:kern w:val="1"/>
          <w:sz w:val="32"/>
          <w:szCs w:val="32"/>
        </w:rPr>
      </w:pPr>
      <w:r>
        <w:rPr>
          <w:rFonts w:hint="eastAsia" w:ascii="方正楷体_GBK" w:hAnsi="方正楷体_GBK" w:eastAsia="方正楷体_GBK" w:cs="方正楷体_GBK"/>
          <w:bCs/>
          <w:color w:val="000000"/>
          <w:kern w:val="1"/>
          <w:sz w:val="32"/>
          <w:szCs w:val="32"/>
        </w:rPr>
        <w:t>（五）</w:t>
      </w:r>
      <w:r>
        <w:rPr>
          <w:rFonts w:hint="eastAsia" w:ascii="方正仿宋简体" w:hAnsi="方正仿宋简体" w:eastAsia="方正仿宋简体" w:cs="方正仿宋简体"/>
          <w:bCs/>
          <w:color w:val="000000"/>
          <w:kern w:val="1"/>
          <w:sz w:val="32"/>
          <w:szCs w:val="32"/>
        </w:rPr>
        <w:t>因报价人原因，工作不能按比选文书规定的期限完成，违约金从本项目款中扣除，每延迟一天按本项目款的</w:t>
      </w:r>
      <w:r>
        <w:rPr>
          <w:rFonts w:hint="eastAsia" w:ascii="方正仿宋简体" w:hAnsi="方正仿宋简体" w:eastAsia="方正仿宋简体" w:cs="方正仿宋简体"/>
          <w:bCs/>
          <w:color w:val="FF0000"/>
          <w:kern w:val="1"/>
          <w:sz w:val="32"/>
          <w:szCs w:val="32"/>
          <w:u w:val="single"/>
        </w:rPr>
        <w:t>千分之三</w:t>
      </w:r>
      <w:r>
        <w:rPr>
          <w:rFonts w:hint="eastAsia" w:ascii="方正仿宋简体" w:hAnsi="方正仿宋简体" w:eastAsia="方正仿宋简体" w:cs="方正仿宋简体"/>
          <w:bCs/>
          <w:color w:val="000000"/>
          <w:kern w:val="1"/>
          <w:sz w:val="32"/>
          <w:szCs w:val="32"/>
        </w:rPr>
        <w:t>计收违约金，违约金从本合同款中扣除，不足部分由报价人另行支付（如有异议请在报价时注明）。不能在规定的期限完成本项目，延期超过20日(含20天)，采购人有权解除合同，要求报价方应自收到采购方通知后五日内返还未完成的项目款，以上述约定的每日逾期违约金比例为基准，计算至实际履行之日，最高不超过合同总价款的10%。（如有异议请在报价时注明）。因报价人违约给采购人造成的损失违约金不足以弥补的，由报价人另行补足。</w:t>
      </w:r>
    </w:p>
    <w:p w14:paraId="01DAB573">
      <w:pPr>
        <w:spacing w:line="600" w:lineRule="exact"/>
        <w:ind w:firstLine="640" w:firstLineChars="200"/>
        <w:rPr>
          <w:rFonts w:ascii="方正仿宋简体" w:hAnsi="方正仿宋简体" w:eastAsia="方正仿宋简体" w:cs="方正仿宋简体"/>
          <w:bCs/>
          <w:color w:val="000000"/>
          <w:kern w:val="1"/>
          <w:sz w:val="32"/>
          <w:szCs w:val="32"/>
        </w:rPr>
      </w:pPr>
      <w:r>
        <w:rPr>
          <w:rFonts w:hint="eastAsia" w:ascii="方正楷体_GBK" w:hAnsi="方正楷体_GBK" w:eastAsia="方正楷体_GBK" w:cs="方正楷体_GBK"/>
          <w:bCs/>
          <w:color w:val="000000"/>
          <w:kern w:val="1"/>
          <w:sz w:val="32"/>
          <w:szCs w:val="32"/>
        </w:rPr>
        <w:t>（六）</w:t>
      </w:r>
      <w:r>
        <w:rPr>
          <w:rFonts w:hint="eastAsia" w:ascii="方正仿宋简体" w:hAnsi="方正仿宋简体" w:eastAsia="方正仿宋简体" w:cs="方正仿宋简体"/>
          <w:bCs/>
          <w:color w:val="000000"/>
          <w:kern w:val="1"/>
          <w:sz w:val="32"/>
          <w:szCs w:val="32"/>
        </w:rPr>
        <w:t>报价人项目完成后，经验收不合格的，采购人可选择以下处理方式：</w:t>
      </w:r>
    </w:p>
    <w:p w14:paraId="013B3D9E">
      <w:pPr>
        <w:spacing w:line="580" w:lineRule="exact"/>
        <w:ind w:firstLine="640" w:firstLineChars="200"/>
        <w:rPr>
          <w:rFonts w:ascii="方正仿宋简体" w:hAnsi="方正仿宋简体" w:eastAsia="方正仿宋简体" w:cs="方正仿宋简体"/>
          <w:bCs/>
          <w:color w:val="000000"/>
          <w:kern w:val="1"/>
          <w:sz w:val="32"/>
          <w:szCs w:val="32"/>
        </w:rPr>
      </w:pPr>
      <w:r>
        <w:rPr>
          <w:rFonts w:hint="eastAsia" w:ascii="方正仿宋简体" w:hAnsi="方正仿宋简体" w:eastAsia="方正仿宋简体" w:cs="方正仿宋简体"/>
          <w:bCs/>
          <w:color w:val="000000"/>
          <w:kern w:val="1"/>
          <w:sz w:val="32"/>
          <w:szCs w:val="32"/>
        </w:rPr>
        <w:t>1.采购人选择重新维修的，重新维修过程中产生的费用由报价人全部承担，且需在采购人第一次验收不合格之日起1日内开始重新维修，逾期未完成的，违约责任参照（五）执行。如果出现两次验收不合格的情况，采购人有权解除合同，并有权要求报价人赔偿合同总价款的10%违约金给采购人（如有异议请在报价时注明）。报价人造成的损失违约金不足以弥补的，由报价人另行补足。</w:t>
      </w:r>
    </w:p>
    <w:p w14:paraId="5A173C63">
      <w:pPr>
        <w:spacing w:line="580" w:lineRule="exact"/>
        <w:ind w:firstLine="640" w:firstLineChars="200"/>
        <w:rPr>
          <w:rFonts w:ascii="方正仿宋简体" w:hAnsi="方正仿宋简体" w:eastAsia="方正仿宋简体" w:cs="方正仿宋简体"/>
          <w:bCs/>
          <w:color w:val="000000"/>
          <w:kern w:val="1"/>
          <w:sz w:val="32"/>
          <w:szCs w:val="32"/>
        </w:rPr>
      </w:pPr>
      <w:r>
        <w:rPr>
          <w:rFonts w:hint="eastAsia" w:ascii="方正仿宋简体" w:hAnsi="方正仿宋简体" w:eastAsia="方正仿宋简体" w:cs="方正仿宋简体"/>
          <w:bCs/>
          <w:color w:val="000000"/>
          <w:kern w:val="1"/>
          <w:sz w:val="32"/>
          <w:szCs w:val="32"/>
        </w:rPr>
        <w:t>2.采购人选择解除合同的，报价人需无条件返还本项目采购人提供的所有物品，并按采购人要求的时间运输至采购人指定地点，采购人有权要求报价人赔偿合同总价款的10%违约金给采购人（如有异议请在报价时注明）。</w:t>
      </w:r>
    </w:p>
    <w:p w14:paraId="621BE01E">
      <w:pPr>
        <w:spacing w:line="580" w:lineRule="exact"/>
        <w:ind w:firstLine="640" w:firstLineChars="200"/>
        <w:rPr>
          <w:rFonts w:ascii="方正仿宋简体" w:hAnsi="方正仿宋简体" w:eastAsia="方正仿宋简体" w:cs="方正仿宋简体"/>
          <w:bCs/>
          <w:color w:val="000000"/>
          <w:kern w:val="1"/>
          <w:sz w:val="32"/>
          <w:szCs w:val="32"/>
        </w:rPr>
      </w:pPr>
      <w:r>
        <w:rPr>
          <w:rFonts w:hint="eastAsia" w:ascii="方正仿宋简体" w:hAnsi="方正仿宋简体" w:eastAsia="方正仿宋简体" w:cs="方正仿宋简体"/>
          <w:bCs/>
          <w:color w:val="000000"/>
          <w:kern w:val="1"/>
          <w:sz w:val="32"/>
          <w:szCs w:val="32"/>
        </w:rPr>
        <w:t>3.因报价人的项目质量、逾期完成等原因给采购人造成经济损失的，由报价人承担全部责任（如有异议请在报价时注明）。</w:t>
      </w:r>
    </w:p>
    <w:p w14:paraId="674F24DE">
      <w:pPr>
        <w:spacing w:line="600" w:lineRule="exact"/>
        <w:ind w:firstLine="640" w:firstLineChars="200"/>
        <w:rPr>
          <w:rFonts w:ascii="方正仿宋简体" w:hAnsi="方正仿宋简体" w:eastAsia="方正仿宋简体" w:cs="方正仿宋简体"/>
          <w:bCs/>
          <w:color w:val="000000"/>
          <w:kern w:val="1"/>
          <w:sz w:val="32"/>
          <w:szCs w:val="32"/>
        </w:rPr>
      </w:pPr>
      <w:r>
        <w:rPr>
          <w:rFonts w:hint="eastAsia" w:ascii="方正楷体_GBK" w:hAnsi="方正楷体_GBK" w:eastAsia="方正楷体_GBK" w:cs="方正楷体_GBK"/>
          <w:bCs/>
          <w:color w:val="000000"/>
          <w:kern w:val="1"/>
          <w:sz w:val="32"/>
          <w:szCs w:val="32"/>
        </w:rPr>
        <w:t>（七）</w:t>
      </w:r>
      <w:r>
        <w:rPr>
          <w:rFonts w:hint="eastAsia" w:ascii="方正仿宋简体" w:hAnsi="方正仿宋简体" w:eastAsia="方正仿宋简体" w:cs="方正仿宋简体"/>
          <w:bCs/>
          <w:color w:val="000000"/>
          <w:kern w:val="1"/>
          <w:sz w:val="32"/>
          <w:szCs w:val="32"/>
        </w:rPr>
        <w:t>成交人应严格按照比选文书约定与采购方签定供需合同，并按合同约定做好物资供应和服务工作。对成交人所有违背比选文书及合同约定的行为，采购人均可持续保留与成交方中止合作的一切权利。　</w:t>
      </w:r>
    </w:p>
    <w:p w14:paraId="55FE3CDE">
      <w:pPr>
        <w:spacing w:line="600" w:lineRule="exact"/>
        <w:ind w:firstLine="640" w:firstLineChars="200"/>
        <w:rPr>
          <w:rFonts w:ascii="方正仿宋简体" w:hAnsi="方正仿宋简体" w:eastAsia="方正仿宋简体" w:cs="方正仿宋简体"/>
          <w:bCs/>
          <w:color w:val="000000"/>
          <w:kern w:val="1"/>
          <w:sz w:val="32"/>
          <w:szCs w:val="32"/>
        </w:rPr>
      </w:pPr>
      <w:r>
        <w:rPr>
          <w:rFonts w:hint="eastAsia" w:ascii="方正楷体_GBK" w:hAnsi="方正楷体_GBK" w:eastAsia="方正楷体_GBK" w:cs="方正楷体_GBK"/>
          <w:bCs/>
          <w:color w:val="000000"/>
          <w:kern w:val="1"/>
          <w:sz w:val="32"/>
          <w:szCs w:val="32"/>
        </w:rPr>
        <w:t>（八）</w:t>
      </w:r>
      <w:r>
        <w:rPr>
          <w:rFonts w:hint="eastAsia" w:ascii="方正仿宋简体" w:hAnsi="方正仿宋简体" w:eastAsia="方正仿宋简体" w:cs="方正仿宋简体"/>
          <w:bCs/>
          <w:color w:val="000000"/>
          <w:kern w:val="1"/>
          <w:sz w:val="32"/>
          <w:szCs w:val="32"/>
        </w:rPr>
        <w:t>报价人在中选后无正当理由不与采购人签订合同的，将承担违约责任，列入采购人供应商负面清单。</w:t>
      </w:r>
    </w:p>
    <w:p w14:paraId="79E9FDF1">
      <w:pPr>
        <w:spacing w:line="600" w:lineRule="exact"/>
        <w:ind w:firstLine="640" w:firstLineChars="200"/>
        <w:rPr>
          <w:rFonts w:ascii="方正仿宋简体" w:hAnsi="方正仿宋简体" w:eastAsia="方正仿宋简体" w:cs="方正仿宋简体"/>
          <w:bCs/>
          <w:color w:val="000000"/>
          <w:kern w:val="1"/>
          <w:sz w:val="32"/>
          <w:szCs w:val="32"/>
        </w:rPr>
      </w:pPr>
      <w:r>
        <w:rPr>
          <w:rFonts w:hint="eastAsia" w:ascii="方正楷体_GBK" w:hAnsi="方正楷体_GBK" w:eastAsia="方正楷体_GBK" w:cs="方正楷体_GBK"/>
          <w:bCs/>
          <w:color w:val="000000"/>
          <w:kern w:val="1"/>
          <w:sz w:val="32"/>
          <w:szCs w:val="32"/>
        </w:rPr>
        <w:t>（九）</w:t>
      </w:r>
      <w:r>
        <w:rPr>
          <w:rFonts w:hint="eastAsia" w:ascii="方正仿宋简体" w:hAnsi="方正仿宋简体" w:eastAsia="方正仿宋简体" w:cs="方正仿宋简体"/>
          <w:bCs/>
          <w:color w:val="000000"/>
          <w:kern w:val="1"/>
          <w:sz w:val="32"/>
          <w:szCs w:val="32"/>
        </w:rPr>
        <w:t>报价人应详细阅读本招比选文书，参与报价即视为对本招比选文书所列之条款均表示接受。</w:t>
      </w:r>
    </w:p>
    <w:p w14:paraId="79A4D762">
      <w:pPr>
        <w:adjustRightInd w:val="0"/>
        <w:snapToGrid w:val="0"/>
        <w:spacing w:line="600" w:lineRule="exact"/>
        <w:ind w:firstLine="640" w:firstLineChars="200"/>
        <w:rPr>
          <w:rFonts w:ascii="方正仿宋简体" w:hAnsi="方正仿宋简体" w:eastAsia="方正仿宋简体" w:cs="方正仿宋简体"/>
          <w:bCs/>
          <w:color w:val="000000"/>
          <w:kern w:val="1"/>
          <w:sz w:val="32"/>
          <w:szCs w:val="32"/>
        </w:rPr>
      </w:pPr>
      <w:r>
        <w:rPr>
          <w:rFonts w:hint="eastAsia" w:ascii="方正楷体_GBK" w:hAnsi="方正楷体_GBK" w:eastAsia="方正楷体_GBK" w:cs="方正楷体_GBK"/>
          <w:bCs/>
          <w:color w:val="000000"/>
          <w:kern w:val="1"/>
          <w:sz w:val="32"/>
          <w:szCs w:val="32"/>
        </w:rPr>
        <w:t>（十）</w:t>
      </w:r>
      <w:r>
        <w:rPr>
          <w:rFonts w:hint="eastAsia" w:ascii="方正仿宋简体" w:hAnsi="方正仿宋简体" w:eastAsia="方正仿宋简体" w:cs="方正仿宋简体"/>
          <w:bCs/>
          <w:color w:val="000000"/>
          <w:kern w:val="1"/>
          <w:sz w:val="32"/>
          <w:szCs w:val="32"/>
        </w:rPr>
        <w:t>采购人对违反约定的报价人或成交人将按《</w:t>
      </w:r>
      <w:r>
        <w:rPr>
          <w:rFonts w:ascii="方正仿宋简体" w:hAnsi="方正仿宋简体" w:eastAsia="方正仿宋简体" w:cs="方正仿宋简体"/>
          <w:bCs/>
          <w:color w:val="000000"/>
          <w:kern w:val="1"/>
          <w:sz w:val="32"/>
          <w:szCs w:val="32"/>
        </w:rPr>
        <w:t>镇江</w:t>
      </w:r>
    </w:p>
    <w:p w14:paraId="267489C8">
      <w:pPr>
        <w:spacing w:line="600" w:lineRule="exact"/>
        <w:rPr>
          <w:rFonts w:ascii="方正仿宋简体" w:hAnsi="方正仿宋简体" w:eastAsia="方正仿宋简体" w:cs="方正仿宋简体"/>
          <w:bCs/>
          <w:color w:val="000000"/>
          <w:kern w:val="1"/>
          <w:sz w:val="32"/>
          <w:szCs w:val="32"/>
        </w:rPr>
      </w:pPr>
      <w:r>
        <w:rPr>
          <w:rFonts w:ascii="方正仿宋简体" w:hAnsi="方正仿宋简体" w:eastAsia="方正仿宋简体" w:cs="方正仿宋简体"/>
          <w:bCs/>
          <w:color w:val="000000"/>
          <w:kern w:val="1"/>
          <w:sz w:val="32"/>
          <w:szCs w:val="32"/>
        </w:rPr>
        <w:t>海纳川采购管理规定</w:t>
      </w:r>
      <w:r>
        <w:rPr>
          <w:rFonts w:hint="eastAsia" w:ascii="方正仿宋简体" w:hAnsi="方正仿宋简体" w:eastAsia="方正仿宋简体" w:cs="方正仿宋简体"/>
          <w:bCs/>
          <w:color w:val="000000"/>
          <w:kern w:val="1"/>
          <w:sz w:val="32"/>
          <w:szCs w:val="32"/>
        </w:rPr>
        <w:t>》中供应商管理对报价人进行管理考核（详见附件1）。</w:t>
      </w:r>
    </w:p>
    <w:p w14:paraId="034A45B5">
      <w:pPr>
        <w:spacing w:line="600" w:lineRule="exact"/>
        <w:ind w:firstLine="640" w:firstLineChars="200"/>
        <w:rPr>
          <w:rFonts w:ascii="方正仿宋简体" w:hAnsi="方正仿宋简体" w:eastAsia="方正仿宋简体" w:cs="方正仿宋简体"/>
          <w:bCs/>
          <w:color w:val="000000"/>
          <w:kern w:val="1"/>
          <w:sz w:val="32"/>
          <w:szCs w:val="32"/>
        </w:rPr>
      </w:pPr>
      <w:r>
        <w:rPr>
          <w:rFonts w:hint="eastAsia" w:ascii="方正楷体_GBK" w:hAnsi="方正楷体_GBK" w:eastAsia="方正楷体_GBK" w:cs="方正楷体_GBK"/>
          <w:bCs/>
          <w:color w:val="000000"/>
          <w:kern w:val="1"/>
          <w:sz w:val="32"/>
          <w:szCs w:val="32"/>
        </w:rPr>
        <w:t>（十一）</w:t>
      </w:r>
      <w:r>
        <w:rPr>
          <w:rFonts w:hint="eastAsia" w:ascii="方正仿宋简体" w:hAnsi="方正仿宋简体" w:eastAsia="方正仿宋简体" w:cs="方正仿宋简体"/>
          <w:bCs/>
          <w:color w:val="000000"/>
          <w:kern w:val="1"/>
          <w:sz w:val="32"/>
          <w:szCs w:val="32"/>
        </w:rPr>
        <w:t>外协作业人员需先进行安全教育培训。</w:t>
      </w:r>
    </w:p>
    <w:p w14:paraId="661F7544">
      <w:pPr>
        <w:spacing w:line="600" w:lineRule="exact"/>
        <w:ind w:firstLine="640" w:firstLineChars="200"/>
        <w:rPr>
          <w:rFonts w:ascii="方正仿宋简体" w:hAnsi="方正仿宋简体" w:eastAsia="方正仿宋简体" w:cs="方正仿宋简体"/>
          <w:bCs/>
          <w:color w:val="000000"/>
          <w:kern w:val="1"/>
          <w:sz w:val="32"/>
          <w:szCs w:val="32"/>
        </w:rPr>
      </w:pPr>
      <w:r>
        <w:rPr>
          <w:rFonts w:hint="eastAsia" w:ascii="方正楷体_GBK" w:hAnsi="方正楷体_GBK" w:eastAsia="方正楷体_GBK" w:cs="方正楷体_GBK"/>
          <w:bCs/>
          <w:color w:val="000000"/>
          <w:kern w:val="1"/>
          <w:sz w:val="32"/>
          <w:szCs w:val="32"/>
        </w:rPr>
        <w:t>（十二）</w:t>
      </w:r>
      <w:r>
        <w:rPr>
          <w:rFonts w:hint="eastAsia" w:ascii="方正仿宋简体" w:hAnsi="方正仿宋简体" w:eastAsia="方正仿宋简体" w:cs="方正仿宋简体"/>
          <w:bCs/>
          <w:color w:val="000000"/>
          <w:kern w:val="1"/>
          <w:sz w:val="32"/>
          <w:szCs w:val="32"/>
        </w:rPr>
        <w:t>本次采购为企业自主公开采购，属生产经营性商务行为，解释权归镇江海纳川物流产业发展有限责任公司所有。</w:t>
      </w:r>
    </w:p>
    <w:p w14:paraId="1BC2318F">
      <w:pPr>
        <w:spacing w:line="600" w:lineRule="exact"/>
        <w:ind w:firstLine="640" w:firstLineChars="200"/>
        <w:rPr>
          <w:rFonts w:ascii="方正仿宋简体" w:hAnsi="方正仿宋简体" w:eastAsia="方正仿宋简体" w:cs="方正仿宋简体"/>
          <w:bCs/>
          <w:color w:val="000000"/>
          <w:kern w:val="1"/>
          <w:sz w:val="32"/>
          <w:szCs w:val="32"/>
        </w:rPr>
      </w:pPr>
    </w:p>
    <w:p w14:paraId="22B2AD7A">
      <w:pPr>
        <w:spacing w:line="600" w:lineRule="exact"/>
        <w:ind w:firstLine="640" w:firstLineChars="200"/>
        <w:rPr>
          <w:rFonts w:ascii="方正仿宋简体" w:hAnsi="方正仿宋简体" w:eastAsia="方正仿宋简体" w:cs="方正仿宋简体"/>
          <w:bCs/>
          <w:color w:val="000000"/>
          <w:kern w:val="1"/>
          <w:sz w:val="32"/>
          <w:szCs w:val="32"/>
        </w:rPr>
      </w:pPr>
    </w:p>
    <w:p w14:paraId="2FFB89B3">
      <w:pPr>
        <w:spacing w:line="600" w:lineRule="exact"/>
        <w:ind w:firstLine="640" w:firstLineChars="200"/>
        <w:rPr>
          <w:rFonts w:ascii="方正仿宋简体" w:hAnsi="方正仿宋简体" w:eastAsia="方正仿宋简体" w:cs="方正仿宋简体"/>
          <w:bCs/>
          <w:color w:val="000000"/>
          <w:kern w:val="1"/>
          <w:sz w:val="32"/>
          <w:szCs w:val="32"/>
        </w:rPr>
      </w:pPr>
    </w:p>
    <w:p w14:paraId="33F2D638">
      <w:pPr>
        <w:spacing w:line="600" w:lineRule="exact"/>
        <w:ind w:firstLine="640" w:firstLineChars="200"/>
        <w:rPr>
          <w:rFonts w:ascii="方正仿宋简体" w:hAnsi="方正仿宋简体" w:eastAsia="方正仿宋简体" w:cs="方正仿宋简体"/>
          <w:bCs/>
          <w:color w:val="000000"/>
          <w:kern w:val="1"/>
          <w:sz w:val="32"/>
          <w:szCs w:val="32"/>
        </w:rPr>
      </w:pPr>
    </w:p>
    <w:p w14:paraId="74B41590">
      <w:pPr>
        <w:spacing w:line="600" w:lineRule="exact"/>
        <w:ind w:firstLine="640" w:firstLineChars="200"/>
        <w:rPr>
          <w:rFonts w:ascii="方正仿宋简体" w:hAnsi="方正仿宋简体" w:eastAsia="方正仿宋简体" w:cs="方正仿宋简体"/>
          <w:bCs/>
          <w:color w:val="000000"/>
          <w:kern w:val="1"/>
          <w:sz w:val="32"/>
          <w:szCs w:val="32"/>
        </w:rPr>
      </w:pPr>
    </w:p>
    <w:p w14:paraId="7898E8D3">
      <w:pPr>
        <w:spacing w:line="600" w:lineRule="exact"/>
        <w:ind w:firstLine="640" w:firstLineChars="200"/>
        <w:rPr>
          <w:rFonts w:ascii="方正仿宋简体" w:hAnsi="方正仿宋简体" w:eastAsia="方正仿宋简体" w:cs="方正仿宋简体"/>
          <w:bCs/>
          <w:color w:val="000000"/>
          <w:kern w:val="1"/>
          <w:sz w:val="32"/>
          <w:szCs w:val="32"/>
        </w:rPr>
      </w:pPr>
    </w:p>
    <w:p w14:paraId="4298767A">
      <w:pPr>
        <w:spacing w:line="600" w:lineRule="exact"/>
        <w:ind w:firstLine="640" w:firstLineChars="200"/>
        <w:rPr>
          <w:rFonts w:ascii="方正仿宋简体" w:hAnsi="方正仿宋简体" w:eastAsia="方正仿宋简体" w:cs="方正仿宋简体"/>
          <w:bCs/>
          <w:color w:val="000000"/>
          <w:kern w:val="1"/>
          <w:sz w:val="32"/>
          <w:szCs w:val="32"/>
        </w:rPr>
      </w:pPr>
    </w:p>
    <w:p w14:paraId="187E3762">
      <w:pPr>
        <w:spacing w:line="600" w:lineRule="exact"/>
        <w:ind w:firstLine="640" w:firstLineChars="200"/>
        <w:rPr>
          <w:rFonts w:ascii="方正仿宋简体" w:hAnsi="方正仿宋简体" w:eastAsia="方正仿宋简体" w:cs="方正仿宋简体"/>
          <w:bCs/>
          <w:color w:val="000000"/>
          <w:kern w:val="1"/>
          <w:sz w:val="32"/>
          <w:szCs w:val="32"/>
        </w:rPr>
      </w:pPr>
    </w:p>
    <w:p w14:paraId="10F264FA">
      <w:pPr>
        <w:spacing w:line="600" w:lineRule="exact"/>
        <w:ind w:firstLine="640" w:firstLineChars="200"/>
        <w:rPr>
          <w:rFonts w:ascii="方正仿宋简体" w:hAnsi="方正仿宋简体" w:eastAsia="方正仿宋简体" w:cs="方正仿宋简体"/>
          <w:bCs/>
          <w:color w:val="000000"/>
          <w:kern w:val="1"/>
          <w:sz w:val="32"/>
          <w:szCs w:val="32"/>
        </w:rPr>
      </w:pPr>
    </w:p>
    <w:p w14:paraId="04437E88">
      <w:pPr>
        <w:spacing w:line="600" w:lineRule="exact"/>
        <w:ind w:firstLine="640" w:firstLineChars="200"/>
        <w:rPr>
          <w:rFonts w:ascii="方正仿宋简体" w:hAnsi="方正仿宋简体" w:eastAsia="方正仿宋简体" w:cs="方正仿宋简体"/>
          <w:bCs/>
          <w:color w:val="000000"/>
          <w:kern w:val="1"/>
          <w:sz w:val="32"/>
          <w:szCs w:val="32"/>
        </w:rPr>
      </w:pPr>
    </w:p>
    <w:p w14:paraId="01E4A51F">
      <w:pPr>
        <w:spacing w:line="600" w:lineRule="exact"/>
        <w:ind w:firstLine="640" w:firstLineChars="200"/>
        <w:rPr>
          <w:rFonts w:ascii="方正仿宋简体" w:hAnsi="方正仿宋简体" w:eastAsia="方正仿宋简体" w:cs="方正仿宋简体"/>
          <w:bCs/>
          <w:color w:val="000000"/>
          <w:kern w:val="1"/>
          <w:sz w:val="32"/>
          <w:szCs w:val="32"/>
        </w:rPr>
      </w:pPr>
    </w:p>
    <w:p w14:paraId="443A5C55">
      <w:pPr>
        <w:spacing w:line="600" w:lineRule="exact"/>
        <w:ind w:firstLine="640" w:firstLineChars="200"/>
        <w:rPr>
          <w:rFonts w:ascii="方正仿宋简体" w:hAnsi="方正仿宋简体" w:eastAsia="方正仿宋简体" w:cs="方正仿宋简体"/>
          <w:bCs/>
          <w:color w:val="000000"/>
          <w:kern w:val="1"/>
          <w:sz w:val="32"/>
          <w:szCs w:val="32"/>
        </w:rPr>
      </w:pPr>
    </w:p>
    <w:p w14:paraId="25B06FB1">
      <w:pPr>
        <w:spacing w:line="600" w:lineRule="exact"/>
        <w:ind w:firstLine="640" w:firstLineChars="200"/>
        <w:rPr>
          <w:rFonts w:ascii="方正仿宋简体" w:hAnsi="方正仿宋简体" w:eastAsia="方正仿宋简体" w:cs="方正仿宋简体"/>
          <w:bCs/>
          <w:color w:val="000000"/>
          <w:kern w:val="1"/>
          <w:sz w:val="32"/>
          <w:szCs w:val="32"/>
        </w:rPr>
      </w:pPr>
    </w:p>
    <w:p w14:paraId="3217E084">
      <w:pPr>
        <w:spacing w:line="600" w:lineRule="exact"/>
        <w:ind w:firstLine="640" w:firstLineChars="200"/>
        <w:rPr>
          <w:rFonts w:ascii="方正仿宋简体" w:hAnsi="方正仿宋简体" w:eastAsia="方正仿宋简体" w:cs="方正仿宋简体"/>
          <w:bCs/>
          <w:color w:val="000000"/>
          <w:kern w:val="1"/>
          <w:sz w:val="32"/>
          <w:szCs w:val="32"/>
        </w:rPr>
      </w:pPr>
    </w:p>
    <w:p w14:paraId="750E5552">
      <w:pPr>
        <w:spacing w:line="600" w:lineRule="exact"/>
        <w:rPr>
          <w:rFonts w:ascii="方正仿宋简体" w:hAnsi="方正仿宋简体" w:eastAsia="方正仿宋简体" w:cs="方正仿宋简体"/>
          <w:bCs/>
          <w:color w:val="000000"/>
          <w:kern w:val="1"/>
          <w:sz w:val="32"/>
          <w:szCs w:val="32"/>
        </w:rPr>
      </w:pPr>
    </w:p>
    <w:p w14:paraId="38B545C3">
      <w:pPr>
        <w:pStyle w:val="2"/>
        <w:rPr>
          <w:rFonts w:ascii="方正小标宋简体" w:hAnsi="方正小标宋简体" w:eastAsia="方正小标宋简体" w:cs="方正小标宋简体"/>
          <w:szCs w:val="44"/>
        </w:rPr>
      </w:pPr>
      <w:r>
        <w:rPr>
          <w:rFonts w:hint="eastAsia" w:ascii="方正小标宋简体" w:hAnsi="方正小标宋简体" w:eastAsia="方正小标宋简体" w:cs="方正小标宋简体"/>
          <w:szCs w:val="44"/>
        </w:rPr>
        <w:t>报价函</w:t>
      </w:r>
    </w:p>
    <w:p w14:paraId="4DBC65E1">
      <w:pPr>
        <w:rPr>
          <w:sz w:val="32"/>
          <w:szCs w:val="32"/>
        </w:rPr>
      </w:pPr>
    </w:p>
    <w:p w14:paraId="6D4AD3F4">
      <w:pPr>
        <w:pStyle w:val="2"/>
        <w:jc w:val="both"/>
        <w:rPr>
          <w:rFonts w:ascii="方正仿宋简体" w:hAnsi="方正仿宋简体" w:eastAsia="方正仿宋简体" w:cs="方正仿宋简体"/>
          <w:kern w:val="1"/>
          <w:sz w:val="32"/>
          <w:szCs w:val="32"/>
        </w:rPr>
      </w:pPr>
      <w:r>
        <w:rPr>
          <w:rFonts w:hint="eastAsia" w:ascii="方正仿宋简体" w:hAnsi="方正仿宋简体" w:eastAsia="方正仿宋简体" w:cs="方正仿宋简体"/>
          <w:kern w:val="1"/>
          <w:sz w:val="32"/>
          <w:szCs w:val="32"/>
        </w:rPr>
        <w:t>镇江海纳川物流产业发展有限责任公司：</w:t>
      </w:r>
    </w:p>
    <w:p w14:paraId="61E13057">
      <w:pPr>
        <w:spacing w:line="600" w:lineRule="exact"/>
        <w:ind w:firstLine="640" w:firstLineChars="200"/>
        <w:jc w:val="left"/>
        <w:rPr>
          <w:rFonts w:ascii="方正仿宋简体" w:hAnsi="方正仿宋简体" w:eastAsia="方正仿宋简体" w:cs="方正仿宋简体"/>
          <w:kern w:val="1"/>
          <w:sz w:val="32"/>
          <w:szCs w:val="32"/>
        </w:rPr>
      </w:pPr>
      <w:r>
        <w:rPr>
          <w:rFonts w:hint="eastAsia" w:ascii="方正仿宋简体" w:hAnsi="方正仿宋简体" w:eastAsia="方正仿宋简体" w:cs="方正仿宋简体"/>
          <w:kern w:val="1"/>
          <w:sz w:val="32"/>
          <w:szCs w:val="32"/>
        </w:rPr>
        <w:t>报价单位全称：</w:t>
      </w:r>
      <w:r>
        <w:rPr>
          <w:rFonts w:hint="eastAsia" w:ascii="方正仿宋简体" w:hAnsi="方正仿宋简体" w:eastAsia="方正仿宋简体" w:cs="方正仿宋简体"/>
          <w:kern w:val="1"/>
          <w:sz w:val="32"/>
          <w:szCs w:val="32"/>
          <w:u w:val="single"/>
        </w:rPr>
        <w:t xml:space="preserve">          </w:t>
      </w:r>
      <w:r>
        <w:rPr>
          <w:rFonts w:hint="eastAsia" w:ascii="方正仿宋简体" w:hAnsi="方正仿宋简体" w:eastAsia="方正仿宋简体" w:cs="方正仿宋简体"/>
          <w:kern w:val="1"/>
          <w:sz w:val="32"/>
          <w:szCs w:val="32"/>
        </w:rPr>
        <w:t>；授权全权代表姓名：</w:t>
      </w:r>
      <w:r>
        <w:rPr>
          <w:rFonts w:hint="eastAsia" w:ascii="方正仿宋简体" w:hAnsi="方正仿宋简体" w:eastAsia="方正仿宋简体" w:cs="方正仿宋简体"/>
          <w:kern w:val="1"/>
          <w:sz w:val="32"/>
          <w:szCs w:val="32"/>
          <w:u w:val="single"/>
        </w:rPr>
        <w:t xml:space="preserve">       </w:t>
      </w:r>
      <w:r>
        <w:rPr>
          <w:rFonts w:hint="eastAsia" w:ascii="方正仿宋简体" w:hAnsi="方正仿宋简体" w:eastAsia="方正仿宋简体" w:cs="方正仿宋简体"/>
          <w:kern w:val="1"/>
          <w:sz w:val="32"/>
          <w:szCs w:val="32"/>
        </w:rPr>
        <w:t>为全权代表，参加贵方组织的采购有关活动，并对该项目进行报价。</w:t>
      </w:r>
    </w:p>
    <w:p w14:paraId="6E5D3660">
      <w:pPr>
        <w:widowControl/>
        <w:spacing w:line="600" w:lineRule="exact"/>
        <w:ind w:firstLine="640" w:firstLineChars="200"/>
        <w:jc w:val="left"/>
        <w:textAlignment w:val="center"/>
        <w:rPr>
          <w:rFonts w:ascii="方正仿宋简体" w:hAnsi="方正仿宋简体" w:eastAsia="方正仿宋简体" w:cs="方正仿宋简体"/>
          <w:color w:val="FF0000"/>
          <w:kern w:val="1"/>
          <w:sz w:val="32"/>
          <w:szCs w:val="32"/>
        </w:rPr>
      </w:pPr>
      <w:r>
        <w:rPr>
          <w:rFonts w:hint="eastAsia" w:ascii="方正仿宋简体" w:hAnsi="方正仿宋简体" w:eastAsia="方正仿宋简体" w:cs="方正仿宋简体"/>
          <w:kern w:val="1"/>
          <w:sz w:val="32"/>
          <w:szCs w:val="32"/>
        </w:rPr>
        <w:t>一、报价项目的总报价（含税）为</w:t>
      </w:r>
      <w:r>
        <w:rPr>
          <w:rFonts w:hint="eastAsia" w:ascii="方正仿宋简体" w:hAnsi="方正仿宋简体" w:eastAsia="方正仿宋简体" w:cs="方正仿宋简体"/>
          <w:kern w:val="1"/>
          <w:sz w:val="32"/>
          <w:szCs w:val="32"/>
          <w:u w:val="single"/>
        </w:rPr>
        <w:softHyphen/>
      </w:r>
      <w:r>
        <w:rPr>
          <w:rFonts w:hint="eastAsia" w:ascii="方正仿宋简体" w:hAnsi="方正仿宋简体" w:eastAsia="方正仿宋简体" w:cs="方正仿宋简体"/>
          <w:kern w:val="1"/>
          <w:sz w:val="32"/>
          <w:szCs w:val="32"/>
          <w:u w:val="single"/>
        </w:rPr>
        <w:t xml:space="preserve">      </w:t>
      </w:r>
      <w:r>
        <w:rPr>
          <w:rFonts w:hint="eastAsia" w:ascii="方正仿宋简体" w:hAnsi="方正仿宋简体" w:eastAsia="方正仿宋简体" w:cs="方正仿宋简体"/>
          <w:kern w:val="1"/>
          <w:sz w:val="32"/>
          <w:szCs w:val="32"/>
        </w:rPr>
        <w:t xml:space="preserve"> (大写）元人民币；不含税价款:</w:t>
      </w:r>
      <w:r>
        <w:rPr>
          <w:rFonts w:hint="eastAsia" w:ascii="方正仿宋简体" w:hAnsi="方正仿宋简体" w:eastAsia="方正仿宋简体" w:cs="方正仿宋简体"/>
          <w:kern w:val="1"/>
          <w:sz w:val="32"/>
          <w:szCs w:val="32"/>
          <w:u w:val="single"/>
        </w:rPr>
        <w:softHyphen/>
      </w:r>
      <w:r>
        <w:rPr>
          <w:rFonts w:hint="eastAsia" w:ascii="方正仿宋简体" w:hAnsi="方正仿宋简体" w:eastAsia="方正仿宋简体" w:cs="方正仿宋简体"/>
          <w:kern w:val="1"/>
          <w:sz w:val="32"/>
          <w:szCs w:val="32"/>
          <w:u w:val="single"/>
        </w:rPr>
        <w:t xml:space="preserve">      </w:t>
      </w:r>
      <w:r>
        <w:rPr>
          <w:rFonts w:hint="eastAsia" w:ascii="方正仿宋简体" w:hAnsi="方正仿宋简体" w:eastAsia="方正仿宋简体" w:cs="方正仿宋简体"/>
          <w:kern w:val="1"/>
          <w:sz w:val="32"/>
          <w:szCs w:val="32"/>
        </w:rPr>
        <w:t>，税额:</w:t>
      </w:r>
      <w:r>
        <w:rPr>
          <w:rFonts w:hint="eastAsia" w:ascii="方正仿宋简体" w:hAnsi="方正仿宋简体" w:eastAsia="方正仿宋简体" w:cs="方正仿宋简体"/>
          <w:kern w:val="1"/>
          <w:sz w:val="32"/>
          <w:szCs w:val="32"/>
          <w:u w:val="single"/>
        </w:rPr>
        <w:softHyphen/>
      </w:r>
      <w:r>
        <w:rPr>
          <w:rFonts w:hint="eastAsia" w:ascii="方正仿宋简体" w:hAnsi="方正仿宋简体" w:eastAsia="方正仿宋简体" w:cs="方正仿宋简体"/>
          <w:kern w:val="1"/>
          <w:sz w:val="32"/>
          <w:szCs w:val="32"/>
          <w:u w:val="single"/>
        </w:rPr>
        <w:t xml:space="preserve">      </w:t>
      </w:r>
      <w:r>
        <w:rPr>
          <w:rFonts w:hint="eastAsia" w:ascii="方正仿宋简体" w:hAnsi="方正仿宋简体" w:eastAsia="方正仿宋简体" w:cs="方正仿宋简体"/>
          <w:kern w:val="1"/>
          <w:sz w:val="32"/>
          <w:szCs w:val="32"/>
        </w:rPr>
        <w:t>；税率</w:t>
      </w:r>
      <w:r>
        <w:rPr>
          <w:rFonts w:hint="eastAsia" w:ascii="方正仿宋简体" w:hAnsi="方正仿宋简体" w:eastAsia="方正仿宋简体" w:cs="方正仿宋简体"/>
          <w:kern w:val="1"/>
          <w:sz w:val="32"/>
          <w:szCs w:val="32"/>
          <w:u w:val="single"/>
        </w:rPr>
        <w:t xml:space="preserve">       </w:t>
      </w:r>
      <w:r>
        <w:rPr>
          <w:rFonts w:hint="eastAsia" w:ascii="方正仿宋简体" w:hAnsi="方正仿宋简体" w:eastAsia="方正仿宋简体" w:cs="方正仿宋简体"/>
          <w:kern w:val="1"/>
          <w:sz w:val="32"/>
          <w:szCs w:val="32"/>
        </w:rPr>
        <w:t>%。（若存在小数点，最多保留2位。）</w:t>
      </w:r>
    </w:p>
    <w:p w14:paraId="14802BAB">
      <w:pPr>
        <w:spacing w:line="600" w:lineRule="exact"/>
        <w:ind w:firstLine="640" w:firstLineChars="200"/>
        <w:jc w:val="left"/>
        <w:rPr>
          <w:rFonts w:ascii="方正仿宋简体" w:hAnsi="方正仿宋简体" w:eastAsia="方正仿宋简体" w:cs="方正仿宋简体"/>
          <w:b/>
          <w:bCs/>
          <w:sz w:val="32"/>
          <w:szCs w:val="32"/>
        </w:rPr>
      </w:pPr>
      <w:r>
        <w:rPr>
          <w:rFonts w:hint="eastAsia" w:ascii="方正仿宋简体" w:hAnsi="方正仿宋简体" w:eastAsia="方正仿宋简体" w:cs="方正仿宋简体"/>
          <w:sz w:val="32"/>
          <w:szCs w:val="32"/>
        </w:rPr>
        <w:t>二、报价格式</w:t>
      </w:r>
    </w:p>
    <w:tbl>
      <w:tblPr>
        <w:tblStyle w:val="18"/>
        <w:tblW w:w="10491" w:type="dxa"/>
        <w:tblInd w:w="-885" w:type="dxa"/>
        <w:tblLayout w:type="autofit"/>
        <w:tblCellMar>
          <w:top w:w="0" w:type="dxa"/>
          <w:left w:w="108" w:type="dxa"/>
          <w:bottom w:w="0" w:type="dxa"/>
          <w:right w:w="108" w:type="dxa"/>
        </w:tblCellMar>
      </w:tblPr>
      <w:tblGrid>
        <w:gridCol w:w="668"/>
        <w:gridCol w:w="1176"/>
        <w:gridCol w:w="4111"/>
        <w:gridCol w:w="1134"/>
        <w:gridCol w:w="1275"/>
        <w:gridCol w:w="1418"/>
        <w:gridCol w:w="709"/>
      </w:tblGrid>
      <w:tr w14:paraId="5999F570">
        <w:tblPrEx>
          <w:tblCellMar>
            <w:top w:w="0" w:type="dxa"/>
            <w:left w:w="108" w:type="dxa"/>
            <w:bottom w:w="0" w:type="dxa"/>
            <w:right w:w="108" w:type="dxa"/>
          </w:tblCellMar>
        </w:tblPrEx>
        <w:trPr>
          <w:trHeight w:val="315" w:hRule="atLeast"/>
        </w:trPr>
        <w:tc>
          <w:tcPr>
            <w:tcW w:w="66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67A0204">
            <w:pPr>
              <w:widowControl/>
              <w:jc w:val="center"/>
              <w:rPr>
                <w:kern w:val="0"/>
                <w:sz w:val="22"/>
                <w:szCs w:val="22"/>
              </w:rPr>
            </w:pPr>
            <w:r>
              <w:rPr>
                <w:rFonts w:hint="eastAsia" w:ascii="方正仿宋_GBK" w:eastAsia="方正仿宋_GBK"/>
                <w:kern w:val="0"/>
                <w:sz w:val="22"/>
                <w:szCs w:val="22"/>
              </w:rPr>
              <w:t>序号</w:t>
            </w:r>
          </w:p>
        </w:tc>
        <w:tc>
          <w:tcPr>
            <w:tcW w:w="1176" w:type="dxa"/>
            <w:tcBorders>
              <w:top w:val="single" w:color="000000" w:sz="8" w:space="0"/>
              <w:left w:val="nil"/>
              <w:bottom w:val="single" w:color="000000" w:sz="8" w:space="0"/>
              <w:right w:val="single" w:color="000000" w:sz="8" w:space="0"/>
            </w:tcBorders>
            <w:shd w:val="clear" w:color="auto" w:fill="auto"/>
            <w:vAlign w:val="center"/>
          </w:tcPr>
          <w:p w14:paraId="1C53FB85">
            <w:pPr>
              <w:widowControl/>
              <w:jc w:val="center"/>
              <w:rPr>
                <w:kern w:val="0"/>
                <w:sz w:val="22"/>
                <w:szCs w:val="22"/>
              </w:rPr>
            </w:pPr>
            <w:r>
              <w:rPr>
                <w:rFonts w:hint="eastAsia" w:ascii="方正仿宋_GBK" w:eastAsia="方正仿宋_GBK"/>
                <w:kern w:val="0"/>
                <w:sz w:val="22"/>
                <w:szCs w:val="22"/>
              </w:rPr>
              <w:t>项目主体</w:t>
            </w:r>
          </w:p>
        </w:tc>
        <w:tc>
          <w:tcPr>
            <w:tcW w:w="4111" w:type="dxa"/>
            <w:tcBorders>
              <w:top w:val="single" w:color="000000" w:sz="8" w:space="0"/>
              <w:left w:val="nil"/>
              <w:bottom w:val="single" w:color="000000" w:sz="8" w:space="0"/>
              <w:right w:val="single" w:color="000000" w:sz="8" w:space="0"/>
            </w:tcBorders>
            <w:shd w:val="clear" w:color="auto" w:fill="auto"/>
            <w:vAlign w:val="center"/>
          </w:tcPr>
          <w:p w14:paraId="3679CF93">
            <w:pPr>
              <w:widowControl/>
              <w:jc w:val="center"/>
              <w:rPr>
                <w:kern w:val="0"/>
                <w:sz w:val="22"/>
                <w:szCs w:val="22"/>
              </w:rPr>
            </w:pPr>
            <w:r>
              <w:rPr>
                <w:rFonts w:hint="eastAsia" w:ascii="方正仿宋_GBK" w:eastAsia="方正仿宋_GBK"/>
                <w:kern w:val="0"/>
                <w:sz w:val="22"/>
                <w:szCs w:val="22"/>
              </w:rPr>
              <w:t>标的名称</w:t>
            </w:r>
          </w:p>
        </w:tc>
        <w:tc>
          <w:tcPr>
            <w:tcW w:w="1134" w:type="dxa"/>
            <w:tcBorders>
              <w:top w:val="single" w:color="000000" w:sz="8" w:space="0"/>
              <w:left w:val="nil"/>
              <w:bottom w:val="single" w:color="000000" w:sz="8" w:space="0"/>
              <w:right w:val="single" w:color="000000" w:sz="8" w:space="0"/>
            </w:tcBorders>
            <w:shd w:val="clear" w:color="auto" w:fill="auto"/>
            <w:vAlign w:val="center"/>
          </w:tcPr>
          <w:p w14:paraId="2512967A">
            <w:pPr>
              <w:widowControl/>
              <w:jc w:val="center"/>
              <w:rPr>
                <w:kern w:val="0"/>
                <w:sz w:val="22"/>
                <w:szCs w:val="22"/>
              </w:rPr>
            </w:pPr>
            <w:r>
              <w:rPr>
                <w:rFonts w:hint="eastAsia" w:ascii="方正仿宋_GBK" w:eastAsia="方正仿宋_GBK"/>
                <w:kern w:val="0"/>
                <w:sz w:val="22"/>
                <w:szCs w:val="22"/>
              </w:rPr>
              <w:t>数量（㎡）</w:t>
            </w:r>
          </w:p>
        </w:tc>
        <w:tc>
          <w:tcPr>
            <w:tcW w:w="1275" w:type="dxa"/>
            <w:tcBorders>
              <w:top w:val="single" w:color="000000" w:sz="8" w:space="0"/>
              <w:left w:val="nil"/>
              <w:bottom w:val="single" w:color="000000" w:sz="8" w:space="0"/>
              <w:right w:val="single" w:color="000000" w:sz="8" w:space="0"/>
            </w:tcBorders>
            <w:shd w:val="clear" w:color="auto" w:fill="auto"/>
            <w:vAlign w:val="center"/>
          </w:tcPr>
          <w:p w14:paraId="7E95894B">
            <w:pPr>
              <w:widowControl/>
              <w:jc w:val="center"/>
              <w:rPr>
                <w:kern w:val="0"/>
                <w:sz w:val="22"/>
                <w:szCs w:val="22"/>
              </w:rPr>
            </w:pPr>
            <w:r>
              <w:rPr>
                <w:rFonts w:hint="eastAsia" w:ascii="方正仿宋_GBK" w:eastAsia="方正仿宋_GBK"/>
                <w:kern w:val="0"/>
                <w:sz w:val="22"/>
                <w:szCs w:val="22"/>
              </w:rPr>
              <w:t>单价</w:t>
            </w:r>
          </w:p>
        </w:tc>
        <w:tc>
          <w:tcPr>
            <w:tcW w:w="1418" w:type="dxa"/>
            <w:tcBorders>
              <w:top w:val="single" w:color="000000" w:sz="8" w:space="0"/>
              <w:left w:val="nil"/>
              <w:bottom w:val="single" w:color="000000" w:sz="8" w:space="0"/>
              <w:right w:val="single" w:color="000000" w:sz="8" w:space="0"/>
            </w:tcBorders>
            <w:shd w:val="clear" w:color="auto" w:fill="auto"/>
            <w:vAlign w:val="center"/>
          </w:tcPr>
          <w:p w14:paraId="5CD9A2EC">
            <w:pPr>
              <w:widowControl/>
              <w:jc w:val="center"/>
              <w:rPr>
                <w:kern w:val="0"/>
                <w:sz w:val="22"/>
                <w:szCs w:val="22"/>
              </w:rPr>
            </w:pPr>
            <w:r>
              <w:rPr>
                <w:rFonts w:hint="eastAsia" w:ascii="方正仿宋_GBK" w:eastAsia="方正仿宋_GBK"/>
                <w:kern w:val="0"/>
                <w:sz w:val="22"/>
                <w:szCs w:val="22"/>
              </w:rPr>
              <w:t>报价（含税）</w:t>
            </w:r>
          </w:p>
        </w:tc>
        <w:tc>
          <w:tcPr>
            <w:tcW w:w="709" w:type="dxa"/>
            <w:tcBorders>
              <w:top w:val="single" w:color="000000" w:sz="8" w:space="0"/>
              <w:left w:val="nil"/>
              <w:bottom w:val="single" w:color="000000" w:sz="8" w:space="0"/>
              <w:right w:val="single" w:color="000000" w:sz="8" w:space="0"/>
            </w:tcBorders>
            <w:shd w:val="clear" w:color="auto" w:fill="auto"/>
            <w:vAlign w:val="center"/>
          </w:tcPr>
          <w:p w14:paraId="6C63CBB7">
            <w:pPr>
              <w:widowControl/>
              <w:jc w:val="center"/>
              <w:rPr>
                <w:kern w:val="0"/>
                <w:sz w:val="22"/>
                <w:szCs w:val="22"/>
              </w:rPr>
            </w:pPr>
            <w:r>
              <w:rPr>
                <w:rFonts w:hint="eastAsia" w:ascii="方正仿宋_GBK" w:eastAsia="方正仿宋_GBK"/>
                <w:kern w:val="0"/>
                <w:sz w:val="22"/>
                <w:szCs w:val="22"/>
              </w:rPr>
              <w:t>税率</w:t>
            </w:r>
          </w:p>
        </w:tc>
      </w:tr>
      <w:tr w14:paraId="68E9D2BA">
        <w:tblPrEx>
          <w:tblCellMar>
            <w:top w:w="0" w:type="dxa"/>
            <w:left w:w="108" w:type="dxa"/>
            <w:bottom w:w="0" w:type="dxa"/>
            <w:right w:w="108" w:type="dxa"/>
          </w:tblCellMar>
        </w:tblPrEx>
        <w:trPr>
          <w:trHeight w:val="315" w:hRule="atLeast"/>
        </w:trPr>
        <w:tc>
          <w:tcPr>
            <w:tcW w:w="668" w:type="dxa"/>
            <w:tcBorders>
              <w:top w:val="nil"/>
              <w:left w:val="single" w:color="000000" w:sz="8" w:space="0"/>
              <w:bottom w:val="single" w:color="000000" w:sz="8" w:space="0"/>
              <w:right w:val="single" w:color="000000" w:sz="8" w:space="0"/>
            </w:tcBorders>
            <w:shd w:val="clear" w:color="auto" w:fill="auto"/>
            <w:vAlign w:val="center"/>
          </w:tcPr>
          <w:p w14:paraId="753FDBC3">
            <w:pPr>
              <w:widowControl/>
              <w:jc w:val="center"/>
              <w:rPr>
                <w:kern w:val="0"/>
                <w:sz w:val="22"/>
                <w:szCs w:val="22"/>
              </w:rPr>
            </w:pPr>
            <w:r>
              <w:rPr>
                <w:kern w:val="0"/>
                <w:sz w:val="22"/>
                <w:szCs w:val="22"/>
              </w:rPr>
              <w:t>1</w:t>
            </w:r>
          </w:p>
        </w:tc>
        <w:tc>
          <w:tcPr>
            <w:tcW w:w="1176" w:type="dxa"/>
            <w:tcBorders>
              <w:top w:val="nil"/>
              <w:left w:val="nil"/>
              <w:bottom w:val="single" w:color="000000" w:sz="8" w:space="0"/>
              <w:right w:val="single" w:color="000000" w:sz="8" w:space="0"/>
            </w:tcBorders>
            <w:shd w:val="clear" w:color="auto" w:fill="auto"/>
            <w:vAlign w:val="center"/>
          </w:tcPr>
          <w:p w14:paraId="6305195E">
            <w:pPr>
              <w:widowControl/>
              <w:jc w:val="center"/>
              <w:rPr>
                <w:kern w:val="0"/>
                <w:sz w:val="22"/>
                <w:szCs w:val="22"/>
              </w:rPr>
            </w:pPr>
            <w:r>
              <w:rPr>
                <w:rFonts w:hint="eastAsia" w:ascii="方正仿宋_GBK" w:eastAsia="方正仿宋_GBK"/>
                <w:kern w:val="0"/>
                <w:sz w:val="22"/>
                <w:szCs w:val="22"/>
              </w:rPr>
              <w:t>海纳川</w:t>
            </w:r>
          </w:p>
        </w:tc>
        <w:tc>
          <w:tcPr>
            <w:tcW w:w="4111" w:type="dxa"/>
            <w:tcBorders>
              <w:top w:val="nil"/>
              <w:left w:val="nil"/>
              <w:bottom w:val="single" w:color="000000" w:sz="8" w:space="0"/>
              <w:right w:val="single" w:color="000000" w:sz="8" w:space="0"/>
            </w:tcBorders>
            <w:shd w:val="clear" w:color="auto" w:fill="auto"/>
            <w:vAlign w:val="center"/>
          </w:tcPr>
          <w:p w14:paraId="7ADC2B4F">
            <w:pPr>
              <w:widowControl/>
              <w:jc w:val="center"/>
              <w:rPr>
                <w:rFonts w:ascii="方正仿宋_GBK" w:hAnsi="宋体" w:eastAsia="方正仿宋_GBK" w:cs="宋体"/>
                <w:color w:val="333333"/>
                <w:kern w:val="0"/>
                <w:sz w:val="22"/>
                <w:szCs w:val="22"/>
              </w:rPr>
            </w:pPr>
            <w:r>
              <w:rPr>
                <w:rFonts w:hint="eastAsia" w:ascii="方正仿宋_GBK" w:hAnsi="宋体" w:eastAsia="方正仿宋_GBK" w:cs="宋体"/>
                <w:color w:val="333333"/>
                <w:kern w:val="0"/>
                <w:sz w:val="22"/>
                <w:szCs w:val="22"/>
              </w:rPr>
              <w:t>万方电房环氧地坪</w:t>
            </w:r>
          </w:p>
        </w:tc>
        <w:tc>
          <w:tcPr>
            <w:tcW w:w="1134" w:type="dxa"/>
            <w:tcBorders>
              <w:top w:val="nil"/>
              <w:left w:val="nil"/>
              <w:bottom w:val="single" w:color="000000" w:sz="8" w:space="0"/>
              <w:right w:val="single" w:color="000000" w:sz="8" w:space="0"/>
            </w:tcBorders>
            <w:shd w:val="clear" w:color="auto" w:fill="auto"/>
            <w:vAlign w:val="center"/>
          </w:tcPr>
          <w:p w14:paraId="1EDD9F5C">
            <w:pPr>
              <w:widowControl/>
              <w:jc w:val="center"/>
              <w:rPr>
                <w:rFonts w:hint="eastAsia"/>
                <w:color w:val="333333"/>
                <w:kern w:val="0"/>
                <w:sz w:val="22"/>
                <w:szCs w:val="22"/>
              </w:rPr>
            </w:pPr>
            <w:r>
              <w:rPr>
                <w:color w:val="333333"/>
                <w:kern w:val="0"/>
                <w:sz w:val="22"/>
                <w:szCs w:val="22"/>
              </w:rPr>
              <w:t>38.775</w:t>
            </w:r>
          </w:p>
        </w:tc>
        <w:tc>
          <w:tcPr>
            <w:tcW w:w="1275" w:type="dxa"/>
            <w:tcBorders>
              <w:top w:val="nil"/>
              <w:left w:val="nil"/>
              <w:bottom w:val="single" w:color="000000" w:sz="8" w:space="0"/>
              <w:right w:val="single" w:color="000000" w:sz="8" w:space="0"/>
            </w:tcBorders>
            <w:shd w:val="clear" w:color="auto" w:fill="auto"/>
            <w:vAlign w:val="center"/>
          </w:tcPr>
          <w:p w14:paraId="25D000F6">
            <w:pPr>
              <w:widowControl/>
              <w:jc w:val="center"/>
              <w:rPr>
                <w:color w:val="333333"/>
                <w:kern w:val="0"/>
                <w:sz w:val="22"/>
                <w:szCs w:val="22"/>
              </w:rPr>
            </w:pPr>
            <w:r>
              <w:rPr>
                <w:color w:val="333333"/>
                <w:kern w:val="0"/>
                <w:sz w:val="22"/>
                <w:szCs w:val="22"/>
              </w:rPr>
              <w:t>　</w:t>
            </w:r>
          </w:p>
        </w:tc>
        <w:tc>
          <w:tcPr>
            <w:tcW w:w="1418" w:type="dxa"/>
            <w:tcBorders>
              <w:top w:val="nil"/>
              <w:left w:val="nil"/>
              <w:bottom w:val="single" w:color="000000" w:sz="8" w:space="0"/>
              <w:right w:val="single" w:color="000000" w:sz="8" w:space="0"/>
            </w:tcBorders>
            <w:shd w:val="clear" w:color="auto" w:fill="auto"/>
            <w:vAlign w:val="center"/>
          </w:tcPr>
          <w:p w14:paraId="41D801A0">
            <w:pPr>
              <w:widowControl/>
              <w:jc w:val="center"/>
              <w:rPr>
                <w:kern w:val="0"/>
                <w:sz w:val="22"/>
                <w:szCs w:val="22"/>
              </w:rPr>
            </w:pPr>
            <w:r>
              <w:rPr>
                <w:kern w:val="0"/>
                <w:sz w:val="22"/>
                <w:szCs w:val="22"/>
              </w:rPr>
              <w:t>　</w:t>
            </w:r>
          </w:p>
        </w:tc>
        <w:tc>
          <w:tcPr>
            <w:tcW w:w="709" w:type="dxa"/>
            <w:vMerge w:val="restart"/>
            <w:tcBorders>
              <w:top w:val="nil"/>
              <w:left w:val="single" w:color="000000" w:sz="8" w:space="0"/>
              <w:bottom w:val="single" w:color="000000" w:sz="8" w:space="0"/>
              <w:right w:val="single" w:color="000000" w:sz="8" w:space="0"/>
            </w:tcBorders>
            <w:shd w:val="clear" w:color="auto" w:fill="auto"/>
            <w:vAlign w:val="center"/>
          </w:tcPr>
          <w:p w14:paraId="75976C04">
            <w:pPr>
              <w:widowControl/>
              <w:jc w:val="center"/>
              <w:rPr>
                <w:kern w:val="0"/>
                <w:sz w:val="22"/>
                <w:szCs w:val="22"/>
              </w:rPr>
            </w:pPr>
            <w:r>
              <w:rPr>
                <w:kern w:val="0"/>
                <w:sz w:val="22"/>
                <w:szCs w:val="22"/>
              </w:rPr>
              <w:t>　</w:t>
            </w:r>
          </w:p>
        </w:tc>
      </w:tr>
      <w:tr w14:paraId="16A326A4">
        <w:tblPrEx>
          <w:tblCellMar>
            <w:top w:w="0" w:type="dxa"/>
            <w:left w:w="108" w:type="dxa"/>
            <w:bottom w:w="0" w:type="dxa"/>
            <w:right w:w="108" w:type="dxa"/>
          </w:tblCellMar>
        </w:tblPrEx>
        <w:trPr>
          <w:trHeight w:val="315" w:hRule="atLeast"/>
        </w:trPr>
        <w:tc>
          <w:tcPr>
            <w:tcW w:w="9782" w:type="dxa"/>
            <w:gridSpan w:val="6"/>
            <w:tcBorders>
              <w:top w:val="single" w:color="000000" w:sz="8" w:space="0"/>
              <w:left w:val="single" w:color="000000" w:sz="8" w:space="0"/>
              <w:bottom w:val="single" w:color="000000" w:sz="8" w:space="0"/>
              <w:right w:val="single" w:color="000000" w:sz="8" w:space="0"/>
            </w:tcBorders>
            <w:shd w:val="clear" w:color="auto" w:fill="auto"/>
            <w:vAlign w:val="center"/>
          </w:tcPr>
          <w:p w14:paraId="4041DA8F">
            <w:pPr>
              <w:widowControl/>
              <w:jc w:val="left"/>
              <w:rPr>
                <w:kern w:val="0"/>
                <w:sz w:val="22"/>
                <w:szCs w:val="22"/>
              </w:rPr>
            </w:pPr>
            <w:r>
              <w:rPr>
                <w:rFonts w:hint="eastAsia" w:ascii="方正仿宋_GBK" w:eastAsia="方正仿宋_GBK"/>
                <w:kern w:val="0"/>
                <w:sz w:val="22"/>
                <w:szCs w:val="22"/>
              </w:rPr>
              <w:t>本项总价（小写）：</w:t>
            </w:r>
          </w:p>
        </w:tc>
        <w:tc>
          <w:tcPr>
            <w:tcW w:w="709" w:type="dxa"/>
            <w:vMerge w:val="continue"/>
            <w:tcBorders>
              <w:top w:val="nil"/>
              <w:left w:val="single" w:color="000000" w:sz="8" w:space="0"/>
              <w:bottom w:val="single" w:color="000000" w:sz="8" w:space="0"/>
              <w:right w:val="single" w:color="000000" w:sz="8" w:space="0"/>
            </w:tcBorders>
            <w:vAlign w:val="center"/>
          </w:tcPr>
          <w:p w14:paraId="1C346D4F">
            <w:pPr>
              <w:widowControl/>
              <w:jc w:val="left"/>
              <w:rPr>
                <w:kern w:val="0"/>
                <w:sz w:val="22"/>
                <w:szCs w:val="22"/>
              </w:rPr>
            </w:pPr>
          </w:p>
        </w:tc>
      </w:tr>
      <w:tr w14:paraId="32FC130B">
        <w:tblPrEx>
          <w:tblCellMar>
            <w:top w:w="0" w:type="dxa"/>
            <w:left w:w="108" w:type="dxa"/>
            <w:bottom w:w="0" w:type="dxa"/>
            <w:right w:w="108" w:type="dxa"/>
          </w:tblCellMar>
        </w:tblPrEx>
        <w:trPr>
          <w:trHeight w:val="615" w:hRule="atLeast"/>
        </w:trPr>
        <w:tc>
          <w:tcPr>
            <w:tcW w:w="668" w:type="dxa"/>
            <w:tcBorders>
              <w:top w:val="nil"/>
              <w:left w:val="single" w:color="000000" w:sz="8" w:space="0"/>
              <w:bottom w:val="single" w:color="000000" w:sz="8" w:space="0"/>
              <w:right w:val="single" w:color="000000" w:sz="8" w:space="0"/>
            </w:tcBorders>
            <w:shd w:val="clear" w:color="auto" w:fill="auto"/>
            <w:vAlign w:val="center"/>
          </w:tcPr>
          <w:p w14:paraId="2FEFBAE0">
            <w:pPr>
              <w:widowControl/>
              <w:jc w:val="center"/>
              <w:rPr>
                <w:kern w:val="0"/>
                <w:sz w:val="22"/>
                <w:szCs w:val="22"/>
              </w:rPr>
            </w:pPr>
            <w:r>
              <w:rPr>
                <w:kern w:val="0"/>
                <w:sz w:val="22"/>
                <w:szCs w:val="22"/>
              </w:rPr>
              <w:t>1</w:t>
            </w:r>
          </w:p>
        </w:tc>
        <w:tc>
          <w:tcPr>
            <w:tcW w:w="1176" w:type="dxa"/>
            <w:vMerge w:val="restart"/>
            <w:tcBorders>
              <w:top w:val="nil"/>
              <w:left w:val="single" w:color="000000" w:sz="8" w:space="0"/>
              <w:bottom w:val="single" w:color="000000" w:sz="8" w:space="0"/>
              <w:right w:val="single" w:color="000000" w:sz="8" w:space="0"/>
            </w:tcBorders>
            <w:shd w:val="clear" w:color="auto" w:fill="auto"/>
            <w:textDirection w:val="tbRlV"/>
            <w:vAlign w:val="center"/>
          </w:tcPr>
          <w:p w14:paraId="3D29C01C">
            <w:pPr>
              <w:widowControl/>
              <w:jc w:val="center"/>
              <w:rPr>
                <w:kern w:val="0"/>
                <w:sz w:val="22"/>
                <w:szCs w:val="22"/>
              </w:rPr>
            </w:pPr>
            <w:r>
              <w:rPr>
                <w:rFonts w:hint="eastAsia" w:ascii="方正仿宋_GBK" w:eastAsia="方正仿宋_GBK"/>
                <w:kern w:val="0"/>
                <w:sz w:val="22"/>
                <w:szCs w:val="22"/>
              </w:rPr>
              <w:t>储运公司</w:t>
            </w:r>
          </w:p>
        </w:tc>
        <w:tc>
          <w:tcPr>
            <w:tcW w:w="4111" w:type="dxa"/>
            <w:tcBorders>
              <w:top w:val="nil"/>
              <w:left w:val="nil"/>
              <w:bottom w:val="single" w:color="000000" w:sz="8" w:space="0"/>
              <w:right w:val="single" w:color="000000" w:sz="8" w:space="0"/>
            </w:tcBorders>
            <w:shd w:val="clear" w:color="auto" w:fill="auto"/>
            <w:vAlign w:val="center"/>
          </w:tcPr>
          <w:p w14:paraId="2B233A39">
            <w:pPr>
              <w:widowControl/>
              <w:jc w:val="center"/>
              <w:rPr>
                <w:kern w:val="0"/>
                <w:sz w:val="22"/>
                <w:szCs w:val="22"/>
              </w:rPr>
            </w:pPr>
            <w:r>
              <w:rPr>
                <w:kern w:val="0"/>
                <w:sz w:val="22"/>
                <w:szCs w:val="22"/>
              </w:rPr>
              <w:t>1.</w:t>
            </w:r>
            <w:r>
              <w:rPr>
                <w:rFonts w:hint="eastAsia" w:ascii="方正仿宋_GBK" w:eastAsia="方正仿宋_GBK"/>
                <w:kern w:val="0"/>
                <w:sz w:val="22"/>
                <w:szCs w:val="22"/>
              </w:rPr>
              <w:t>手柄</w:t>
            </w:r>
            <w:r>
              <w:rPr>
                <w:kern w:val="0"/>
                <w:sz w:val="22"/>
                <w:szCs w:val="22"/>
              </w:rPr>
              <w:t xml:space="preserve"> [10×2.6×11</w:t>
            </w:r>
            <w:r>
              <w:rPr>
                <w:rFonts w:hint="eastAsia" w:ascii="方正仿宋_GBK" w:eastAsia="方正仿宋_GBK"/>
                <w:kern w:val="0"/>
                <w:sz w:val="22"/>
                <w:szCs w:val="22"/>
              </w:rPr>
              <w:t>个</w:t>
            </w:r>
            <w:r>
              <w:rPr>
                <w:kern w:val="0"/>
                <w:sz w:val="22"/>
                <w:szCs w:val="22"/>
              </w:rPr>
              <w:t>]  DN25</w:t>
            </w:r>
            <w:r>
              <w:rPr>
                <w:rFonts w:hint="eastAsia" w:ascii="方正仿宋_GBK" w:eastAsia="方正仿宋_GBK"/>
                <w:kern w:val="0"/>
                <w:sz w:val="22"/>
                <w:szCs w:val="22"/>
              </w:rPr>
              <w:t>（</w:t>
            </w:r>
            <w:r>
              <w:rPr>
                <w:kern w:val="0"/>
                <w:sz w:val="22"/>
                <w:szCs w:val="22"/>
              </w:rPr>
              <w:t>1.7+0.8</w:t>
            </w:r>
            <w:r>
              <w:rPr>
                <w:rFonts w:hint="eastAsia" w:ascii="方正仿宋_GBK" w:eastAsia="方正仿宋_GBK"/>
                <w:kern w:val="0"/>
                <w:sz w:val="22"/>
                <w:szCs w:val="22"/>
              </w:rPr>
              <w:t>）</w:t>
            </w:r>
            <w:r>
              <w:rPr>
                <w:kern w:val="0"/>
                <w:sz w:val="22"/>
                <w:szCs w:val="22"/>
              </w:rPr>
              <w:t>×11</w:t>
            </w:r>
            <w:r>
              <w:rPr>
                <w:rFonts w:hint="eastAsia" w:ascii="方正仿宋_GBK" w:eastAsia="方正仿宋_GBK"/>
                <w:kern w:val="0"/>
                <w:sz w:val="22"/>
                <w:szCs w:val="22"/>
              </w:rPr>
              <w:t>个</w:t>
            </w:r>
          </w:p>
        </w:tc>
        <w:tc>
          <w:tcPr>
            <w:tcW w:w="1134" w:type="dxa"/>
            <w:tcBorders>
              <w:top w:val="nil"/>
              <w:left w:val="nil"/>
              <w:bottom w:val="single" w:color="000000" w:sz="8" w:space="0"/>
              <w:right w:val="single" w:color="000000" w:sz="8" w:space="0"/>
            </w:tcBorders>
            <w:shd w:val="clear" w:color="auto" w:fill="auto"/>
            <w:noWrap/>
            <w:vAlign w:val="center"/>
          </w:tcPr>
          <w:p w14:paraId="05C3D4CB">
            <w:pPr>
              <w:widowControl/>
              <w:jc w:val="center"/>
              <w:rPr>
                <w:kern w:val="0"/>
                <w:sz w:val="22"/>
                <w:szCs w:val="22"/>
              </w:rPr>
            </w:pPr>
            <w:r>
              <w:rPr>
                <w:kern w:val="0"/>
                <w:sz w:val="22"/>
                <w:szCs w:val="22"/>
              </w:rPr>
              <w:t>12.15</w:t>
            </w:r>
          </w:p>
        </w:tc>
        <w:tc>
          <w:tcPr>
            <w:tcW w:w="1275" w:type="dxa"/>
            <w:tcBorders>
              <w:top w:val="nil"/>
              <w:left w:val="nil"/>
              <w:bottom w:val="single" w:color="000000" w:sz="8" w:space="0"/>
              <w:right w:val="single" w:color="000000" w:sz="8" w:space="0"/>
            </w:tcBorders>
            <w:shd w:val="clear" w:color="auto" w:fill="auto"/>
            <w:vAlign w:val="center"/>
          </w:tcPr>
          <w:p w14:paraId="2B17D6B0">
            <w:pPr>
              <w:widowControl/>
              <w:jc w:val="left"/>
              <w:rPr>
                <w:kern w:val="0"/>
                <w:sz w:val="22"/>
                <w:szCs w:val="22"/>
              </w:rPr>
            </w:pPr>
            <w:r>
              <w:rPr>
                <w:kern w:val="0"/>
                <w:sz w:val="22"/>
                <w:szCs w:val="22"/>
              </w:rPr>
              <w:t>　</w:t>
            </w:r>
          </w:p>
        </w:tc>
        <w:tc>
          <w:tcPr>
            <w:tcW w:w="1418" w:type="dxa"/>
            <w:tcBorders>
              <w:top w:val="nil"/>
              <w:left w:val="nil"/>
              <w:bottom w:val="single" w:color="000000" w:sz="8" w:space="0"/>
              <w:right w:val="single" w:color="000000" w:sz="8" w:space="0"/>
            </w:tcBorders>
            <w:shd w:val="clear" w:color="auto" w:fill="auto"/>
            <w:vAlign w:val="center"/>
          </w:tcPr>
          <w:p w14:paraId="35AD34B2">
            <w:pPr>
              <w:widowControl/>
              <w:jc w:val="left"/>
              <w:rPr>
                <w:kern w:val="0"/>
                <w:sz w:val="22"/>
                <w:szCs w:val="22"/>
              </w:rPr>
            </w:pPr>
            <w:r>
              <w:rPr>
                <w:kern w:val="0"/>
                <w:sz w:val="22"/>
                <w:szCs w:val="22"/>
              </w:rPr>
              <w:t>　</w:t>
            </w:r>
          </w:p>
        </w:tc>
        <w:tc>
          <w:tcPr>
            <w:tcW w:w="709" w:type="dxa"/>
            <w:vMerge w:val="continue"/>
            <w:tcBorders>
              <w:top w:val="nil"/>
              <w:left w:val="single" w:color="000000" w:sz="8" w:space="0"/>
              <w:bottom w:val="single" w:color="000000" w:sz="8" w:space="0"/>
              <w:right w:val="single" w:color="000000" w:sz="8" w:space="0"/>
            </w:tcBorders>
            <w:vAlign w:val="center"/>
          </w:tcPr>
          <w:p w14:paraId="7049EC7A">
            <w:pPr>
              <w:widowControl/>
              <w:jc w:val="left"/>
              <w:rPr>
                <w:kern w:val="0"/>
                <w:sz w:val="22"/>
                <w:szCs w:val="22"/>
              </w:rPr>
            </w:pPr>
          </w:p>
        </w:tc>
      </w:tr>
      <w:tr w14:paraId="49BC37F4">
        <w:tblPrEx>
          <w:tblCellMar>
            <w:top w:w="0" w:type="dxa"/>
            <w:left w:w="108" w:type="dxa"/>
            <w:bottom w:w="0" w:type="dxa"/>
            <w:right w:w="108" w:type="dxa"/>
          </w:tblCellMar>
        </w:tblPrEx>
        <w:trPr>
          <w:trHeight w:val="615" w:hRule="atLeast"/>
        </w:trPr>
        <w:tc>
          <w:tcPr>
            <w:tcW w:w="668" w:type="dxa"/>
            <w:tcBorders>
              <w:top w:val="nil"/>
              <w:left w:val="single" w:color="000000" w:sz="8" w:space="0"/>
              <w:bottom w:val="single" w:color="000000" w:sz="8" w:space="0"/>
              <w:right w:val="single" w:color="000000" w:sz="8" w:space="0"/>
            </w:tcBorders>
            <w:shd w:val="clear" w:color="auto" w:fill="auto"/>
            <w:vAlign w:val="center"/>
          </w:tcPr>
          <w:p w14:paraId="54E78530">
            <w:pPr>
              <w:widowControl/>
              <w:jc w:val="center"/>
              <w:rPr>
                <w:kern w:val="0"/>
                <w:sz w:val="22"/>
                <w:szCs w:val="22"/>
              </w:rPr>
            </w:pPr>
            <w:r>
              <w:rPr>
                <w:kern w:val="0"/>
                <w:sz w:val="22"/>
                <w:szCs w:val="22"/>
              </w:rPr>
              <w:t>2</w:t>
            </w:r>
          </w:p>
        </w:tc>
        <w:tc>
          <w:tcPr>
            <w:tcW w:w="1176" w:type="dxa"/>
            <w:vMerge w:val="continue"/>
            <w:tcBorders>
              <w:top w:val="nil"/>
              <w:left w:val="single" w:color="000000" w:sz="8" w:space="0"/>
              <w:bottom w:val="single" w:color="000000" w:sz="8" w:space="0"/>
              <w:right w:val="single" w:color="000000" w:sz="8" w:space="0"/>
            </w:tcBorders>
            <w:vAlign w:val="center"/>
          </w:tcPr>
          <w:p w14:paraId="0ED3B23F">
            <w:pPr>
              <w:widowControl/>
              <w:jc w:val="left"/>
              <w:rPr>
                <w:kern w:val="0"/>
                <w:sz w:val="22"/>
                <w:szCs w:val="22"/>
              </w:rPr>
            </w:pPr>
          </w:p>
        </w:tc>
        <w:tc>
          <w:tcPr>
            <w:tcW w:w="4111" w:type="dxa"/>
            <w:tcBorders>
              <w:top w:val="nil"/>
              <w:left w:val="nil"/>
              <w:bottom w:val="single" w:color="000000" w:sz="8" w:space="0"/>
              <w:right w:val="single" w:color="000000" w:sz="8" w:space="0"/>
            </w:tcBorders>
            <w:shd w:val="clear" w:color="auto" w:fill="auto"/>
            <w:vAlign w:val="center"/>
          </w:tcPr>
          <w:p w14:paraId="52EC3707">
            <w:pPr>
              <w:widowControl/>
              <w:jc w:val="center"/>
              <w:rPr>
                <w:kern w:val="0"/>
                <w:sz w:val="22"/>
                <w:szCs w:val="22"/>
              </w:rPr>
            </w:pPr>
            <w:r>
              <w:rPr>
                <w:kern w:val="0"/>
                <w:sz w:val="22"/>
                <w:szCs w:val="22"/>
              </w:rPr>
              <w:t>H250×250×5.5×4</w:t>
            </w:r>
            <w:r>
              <w:rPr>
                <w:rFonts w:hint="eastAsia" w:ascii="方正仿宋_GBK" w:eastAsia="方正仿宋_GBK"/>
                <w:kern w:val="0"/>
                <w:sz w:val="22"/>
                <w:szCs w:val="22"/>
              </w:rPr>
              <w:t>根</w:t>
            </w:r>
            <w:r>
              <w:rPr>
                <w:kern w:val="0"/>
                <w:sz w:val="22"/>
                <w:szCs w:val="22"/>
              </w:rPr>
              <w:t>×2</w:t>
            </w:r>
            <w:r>
              <w:rPr>
                <w:rFonts w:hint="eastAsia" w:ascii="方正仿宋_GBK" w:eastAsia="方正仿宋_GBK"/>
                <w:kern w:val="0"/>
                <w:sz w:val="22"/>
                <w:szCs w:val="22"/>
              </w:rPr>
              <w:t>层</w:t>
            </w:r>
            <w:r>
              <w:rPr>
                <w:kern w:val="0"/>
                <w:sz w:val="22"/>
                <w:szCs w:val="22"/>
              </w:rPr>
              <w:t>*3</w:t>
            </w:r>
            <w:r>
              <w:rPr>
                <w:rFonts w:hint="eastAsia" w:ascii="方正仿宋_GBK" w:eastAsia="方正仿宋_GBK"/>
                <w:kern w:val="0"/>
                <w:sz w:val="22"/>
                <w:szCs w:val="22"/>
              </w:rPr>
              <w:t>组</w:t>
            </w:r>
          </w:p>
        </w:tc>
        <w:tc>
          <w:tcPr>
            <w:tcW w:w="1134" w:type="dxa"/>
            <w:tcBorders>
              <w:top w:val="nil"/>
              <w:left w:val="nil"/>
              <w:bottom w:val="single" w:color="000000" w:sz="8" w:space="0"/>
              <w:right w:val="single" w:color="000000" w:sz="8" w:space="0"/>
            </w:tcBorders>
            <w:shd w:val="clear" w:color="auto" w:fill="auto"/>
            <w:noWrap/>
            <w:vAlign w:val="center"/>
          </w:tcPr>
          <w:p w14:paraId="0207F1B7">
            <w:pPr>
              <w:widowControl/>
              <w:jc w:val="center"/>
              <w:rPr>
                <w:kern w:val="0"/>
                <w:sz w:val="22"/>
                <w:szCs w:val="22"/>
              </w:rPr>
            </w:pPr>
            <w:r>
              <w:rPr>
                <w:kern w:val="0"/>
                <w:sz w:val="22"/>
                <w:szCs w:val="22"/>
              </w:rPr>
              <w:t>199.32</w:t>
            </w:r>
          </w:p>
        </w:tc>
        <w:tc>
          <w:tcPr>
            <w:tcW w:w="1275" w:type="dxa"/>
            <w:tcBorders>
              <w:top w:val="nil"/>
              <w:left w:val="nil"/>
              <w:bottom w:val="single" w:color="000000" w:sz="8" w:space="0"/>
              <w:right w:val="single" w:color="000000" w:sz="8" w:space="0"/>
            </w:tcBorders>
            <w:shd w:val="clear" w:color="auto" w:fill="auto"/>
            <w:vAlign w:val="center"/>
          </w:tcPr>
          <w:p w14:paraId="0E52BA73">
            <w:pPr>
              <w:widowControl/>
              <w:jc w:val="left"/>
              <w:rPr>
                <w:kern w:val="0"/>
                <w:sz w:val="22"/>
                <w:szCs w:val="22"/>
              </w:rPr>
            </w:pPr>
            <w:r>
              <w:rPr>
                <w:kern w:val="0"/>
                <w:sz w:val="22"/>
                <w:szCs w:val="22"/>
              </w:rPr>
              <w:t>　</w:t>
            </w:r>
          </w:p>
        </w:tc>
        <w:tc>
          <w:tcPr>
            <w:tcW w:w="1418" w:type="dxa"/>
            <w:tcBorders>
              <w:top w:val="nil"/>
              <w:left w:val="nil"/>
              <w:bottom w:val="single" w:color="000000" w:sz="8" w:space="0"/>
              <w:right w:val="single" w:color="000000" w:sz="8" w:space="0"/>
            </w:tcBorders>
            <w:shd w:val="clear" w:color="auto" w:fill="auto"/>
            <w:vAlign w:val="center"/>
          </w:tcPr>
          <w:p w14:paraId="5F523F01">
            <w:pPr>
              <w:widowControl/>
              <w:jc w:val="left"/>
              <w:rPr>
                <w:kern w:val="0"/>
                <w:sz w:val="22"/>
                <w:szCs w:val="22"/>
              </w:rPr>
            </w:pPr>
            <w:r>
              <w:rPr>
                <w:kern w:val="0"/>
                <w:sz w:val="22"/>
                <w:szCs w:val="22"/>
              </w:rPr>
              <w:t>　</w:t>
            </w:r>
          </w:p>
        </w:tc>
        <w:tc>
          <w:tcPr>
            <w:tcW w:w="709" w:type="dxa"/>
            <w:vMerge w:val="continue"/>
            <w:tcBorders>
              <w:top w:val="nil"/>
              <w:left w:val="single" w:color="000000" w:sz="8" w:space="0"/>
              <w:bottom w:val="single" w:color="000000" w:sz="8" w:space="0"/>
              <w:right w:val="single" w:color="000000" w:sz="8" w:space="0"/>
            </w:tcBorders>
            <w:vAlign w:val="center"/>
          </w:tcPr>
          <w:p w14:paraId="57AC8B03">
            <w:pPr>
              <w:widowControl/>
              <w:jc w:val="left"/>
              <w:rPr>
                <w:kern w:val="0"/>
                <w:sz w:val="22"/>
                <w:szCs w:val="22"/>
              </w:rPr>
            </w:pPr>
          </w:p>
        </w:tc>
      </w:tr>
      <w:tr w14:paraId="3F388FD8">
        <w:tblPrEx>
          <w:tblCellMar>
            <w:top w:w="0" w:type="dxa"/>
            <w:left w:w="108" w:type="dxa"/>
            <w:bottom w:w="0" w:type="dxa"/>
            <w:right w:w="108" w:type="dxa"/>
          </w:tblCellMar>
        </w:tblPrEx>
        <w:trPr>
          <w:trHeight w:val="615" w:hRule="atLeast"/>
        </w:trPr>
        <w:tc>
          <w:tcPr>
            <w:tcW w:w="668" w:type="dxa"/>
            <w:vMerge w:val="restart"/>
            <w:tcBorders>
              <w:top w:val="nil"/>
              <w:left w:val="single" w:color="000000" w:sz="8" w:space="0"/>
              <w:bottom w:val="single" w:color="000000" w:sz="8" w:space="0"/>
              <w:right w:val="single" w:color="000000" w:sz="8" w:space="0"/>
            </w:tcBorders>
            <w:shd w:val="clear" w:color="auto" w:fill="auto"/>
            <w:vAlign w:val="center"/>
          </w:tcPr>
          <w:p w14:paraId="492798CF">
            <w:pPr>
              <w:widowControl/>
              <w:jc w:val="center"/>
              <w:rPr>
                <w:kern w:val="0"/>
                <w:sz w:val="22"/>
                <w:szCs w:val="22"/>
              </w:rPr>
            </w:pPr>
            <w:r>
              <w:rPr>
                <w:kern w:val="0"/>
                <w:sz w:val="22"/>
                <w:szCs w:val="22"/>
              </w:rPr>
              <w:t>3</w:t>
            </w:r>
          </w:p>
        </w:tc>
        <w:tc>
          <w:tcPr>
            <w:tcW w:w="1176" w:type="dxa"/>
            <w:vMerge w:val="continue"/>
            <w:tcBorders>
              <w:top w:val="nil"/>
              <w:left w:val="single" w:color="000000" w:sz="8" w:space="0"/>
              <w:bottom w:val="single" w:color="000000" w:sz="8" w:space="0"/>
              <w:right w:val="single" w:color="000000" w:sz="8" w:space="0"/>
            </w:tcBorders>
            <w:vAlign w:val="center"/>
          </w:tcPr>
          <w:p w14:paraId="298FEA7D">
            <w:pPr>
              <w:widowControl/>
              <w:jc w:val="left"/>
              <w:rPr>
                <w:kern w:val="0"/>
                <w:sz w:val="22"/>
                <w:szCs w:val="22"/>
              </w:rPr>
            </w:pPr>
          </w:p>
        </w:tc>
        <w:tc>
          <w:tcPr>
            <w:tcW w:w="4111" w:type="dxa"/>
            <w:tcBorders>
              <w:top w:val="nil"/>
              <w:left w:val="nil"/>
              <w:bottom w:val="single" w:color="000000" w:sz="8" w:space="0"/>
              <w:right w:val="single" w:color="000000" w:sz="8" w:space="0"/>
            </w:tcBorders>
            <w:shd w:val="clear" w:color="auto" w:fill="auto"/>
            <w:vAlign w:val="center"/>
          </w:tcPr>
          <w:p w14:paraId="59157C11">
            <w:pPr>
              <w:widowControl/>
              <w:jc w:val="center"/>
              <w:rPr>
                <w:kern w:val="0"/>
                <w:sz w:val="22"/>
                <w:szCs w:val="22"/>
              </w:rPr>
            </w:pPr>
            <w:r>
              <w:rPr>
                <w:kern w:val="0"/>
                <w:sz w:val="22"/>
                <w:szCs w:val="22"/>
              </w:rPr>
              <w:t>H300×200×11</w:t>
            </w:r>
            <w:r>
              <w:rPr>
                <w:rFonts w:hint="eastAsia" w:ascii="方正仿宋_GBK" w:eastAsia="方正仿宋_GBK"/>
                <w:kern w:val="0"/>
                <w:sz w:val="22"/>
                <w:szCs w:val="22"/>
              </w:rPr>
              <w:t>米</w:t>
            </w:r>
            <w:r>
              <w:rPr>
                <w:kern w:val="0"/>
                <w:sz w:val="22"/>
                <w:szCs w:val="22"/>
              </w:rPr>
              <w:t>×2</w:t>
            </w:r>
            <w:r>
              <w:rPr>
                <w:rFonts w:hint="eastAsia" w:ascii="方正仿宋_GBK" w:eastAsia="方正仿宋_GBK"/>
                <w:kern w:val="0"/>
                <w:sz w:val="22"/>
                <w:szCs w:val="22"/>
              </w:rPr>
              <w:t>根</w:t>
            </w:r>
            <w:r>
              <w:rPr>
                <w:kern w:val="0"/>
                <w:sz w:val="22"/>
                <w:szCs w:val="22"/>
              </w:rPr>
              <w:t>×2</w:t>
            </w:r>
            <w:r>
              <w:rPr>
                <w:rFonts w:hint="eastAsia" w:ascii="方正仿宋_GBK" w:eastAsia="方正仿宋_GBK"/>
                <w:kern w:val="0"/>
                <w:sz w:val="22"/>
                <w:szCs w:val="22"/>
              </w:rPr>
              <w:t>层</w:t>
            </w:r>
            <w:r>
              <w:rPr>
                <w:kern w:val="0"/>
                <w:sz w:val="22"/>
                <w:szCs w:val="22"/>
              </w:rPr>
              <w:t>*3</w:t>
            </w:r>
            <w:r>
              <w:rPr>
                <w:rFonts w:hint="eastAsia" w:ascii="方正仿宋_GBK" w:eastAsia="方正仿宋_GBK"/>
                <w:kern w:val="0"/>
                <w:sz w:val="22"/>
                <w:szCs w:val="22"/>
              </w:rPr>
              <w:t>组</w:t>
            </w:r>
          </w:p>
        </w:tc>
        <w:tc>
          <w:tcPr>
            <w:tcW w:w="1134" w:type="dxa"/>
            <w:tcBorders>
              <w:top w:val="nil"/>
              <w:left w:val="nil"/>
              <w:bottom w:val="single" w:color="000000" w:sz="8" w:space="0"/>
              <w:right w:val="single" w:color="000000" w:sz="8" w:space="0"/>
            </w:tcBorders>
            <w:shd w:val="clear" w:color="auto" w:fill="auto"/>
            <w:noWrap/>
            <w:vAlign w:val="center"/>
          </w:tcPr>
          <w:p w14:paraId="0F7AC9DB">
            <w:pPr>
              <w:widowControl/>
              <w:jc w:val="center"/>
              <w:rPr>
                <w:kern w:val="0"/>
                <w:sz w:val="22"/>
                <w:szCs w:val="22"/>
              </w:rPr>
            </w:pPr>
            <w:r>
              <w:rPr>
                <w:kern w:val="0"/>
                <w:sz w:val="22"/>
                <w:szCs w:val="22"/>
              </w:rPr>
              <w:t>184.3</w:t>
            </w:r>
          </w:p>
        </w:tc>
        <w:tc>
          <w:tcPr>
            <w:tcW w:w="1275" w:type="dxa"/>
            <w:tcBorders>
              <w:top w:val="nil"/>
              <w:left w:val="nil"/>
              <w:bottom w:val="single" w:color="000000" w:sz="8" w:space="0"/>
              <w:right w:val="single" w:color="000000" w:sz="8" w:space="0"/>
            </w:tcBorders>
            <w:shd w:val="clear" w:color="auto" w:fill="auto"/>
            <w:vAlign w:val="center"/>
          </w:tcPr>
          <w:p w14:paraId="5F4FC5E4">
            <w:pPr>
              <w:widowControl/>
              <w:jc w:val="left"/>
              <w:rPr>
                <w:kern w:val="0"/>
                <w:sz w:val="22"/>
                <w:szCs w:val="22"/>
              </w:rPr>
            </w:pPr>
            <w:r>
              <w:rPr>
                <w:kern w:val="0"/>
                <w:sz w:val="22"/>
                <w:szCs w:val="22"/>
              </w:rPr>
              <w:t>　</w:t>
            </w:r>
          </w:p>
        </w:tc>
        <w:tc>
          <w:tcPr>
            <w:tcW w:w="1418" w:type="dxa"/>
            <w:tcBorders>
              <w:top w:val="nil"/>
              <w:left w:val="nil"/>
              <w:bottom w:val="single" w:color="000000" w:sz="8" w:space="0"/>
              <w:right w:val="single" w:color="000000" w:sz="8" w:space="0"/>
            </w:tcBorders>
            <w:shd w:val="clear" w:color="auto" w:fill="auto"/>
            <w:vAlign w:val="center"/>
          </w:tcPr>
          <w:p w14:paraId="0C5BE490">
            <w:pPr>
              <w:widowControl/>
              <w:jc w:val="left"/>
              <w:rPr>
                <w:kern w:val="0"/>
                <w:sz w:val="22"/>
                <w:szCs w:val="22"/>
              </w:rPr>
            </w:pPr>
            <w:r>
              <w:rPr>
                <w:kern w:val="0"/>
                <w:sz w:val="22"/>
                <w:szCs w:val="22"/>
              </w:rPr>
              <w:t>　</w:t>
            </w:r>
          </w:p>
        </w:tc>
        <w:tc>
          <w:tcPr>
            <w:tcW w:w="709" w:type="dxa"/>
            <w:vMerge w:val="continue"/>
            <w:tcBorders>
              <w:top w:val="nil"/>
              <w:left w:val="single" w:color="000000" w:sz="8" w:space="0"/>
              <w:bottom w:val="single" w:color="000000" w:sz="8" w:space="0"/>
              <w:right w:val="single" w:color="000000" w:sz="8" w:space="0"/>
            </w:tcBorders>
            <w:vAlign w:val="center"/>
          </w:tcPr>
          <w:p w14:paraId="78317280">
            <w:pPr>
              <w:widowControl/>
              <w:jc w:val="left"/>
              <w:rPr>
                <w:kern w:val="0"/>
                <w:sz w:val="22"/>
                <w:szCs w:val="22"/>
              </w:rPr>
            </w:pPr>
          </w:p>
        </w:tc>
      </w:tr>
      <w:tr w14:paraId="72575287">
        <w:tblPrEx>
          <w:tblCellMar>
            <w:top w:w="0" w:type="dxa"/>
            <w:left w:w="108" w:type="dxa"/>
            <w:bottom w:w="0" w:type="dxa"/>
            <w:right w:w="108" w:type="dxa"/>
          </w:tblCellMar>
        </w:tblPrEx>
        <w:trPr>
          <w:trHeight w:val="615" w:hRule="atLeast"/>
        </w:trPr>
        <w:tc>
          <w:tcPr>
            <w:tcW w:w="668" w:type="dxa"/>
            <w:vMerge w:val="continue"/>
            <w:tcBorders>
              <w:top w:val="nil"/>
              <w:left w:val="single" w:color="000000" w:sz="8" w:space="0"/>
              <w:bottom w:val="single" w:color="000000" w:sz="8" w:space="0"/>
              <w:right w:val="single" w:color="000000" w:sz="8" w:space="0"/>
            </w:tcBorders>
            <w:vAlign w:val="center"/>
          </w:tcPr>
          <w:p w14:paraId="3506197D">
            <w:pPr>
              <w:widowControl/>
              <w:jc w:val="left"/>
              <w:rPr>
                <w:kern w:val="0"/>
                <w:sz w:val="22"/>
                <w:szCs w:val="22"/>
              </w:rPr>
            </w:pPr>
          </w:p>
        </w:tc>
        <w:tc>
          <w:tcPr>
            <w:tcW w:w="1176" w:type="dxa"/>
            <w:vMerge w:val="continue"/>
            <w:tcBorders>
              <w:top w:val="nil"/>
              <w:left w:val="single" w:color="000000" w:sz="8" w:space="0"/>
              <w:bottom w:val="single" w:color="000000" w:sz="8" w:space="0"/>
              <w:right w:val="single" w:color="000000" w:sz="8" w:space="0"/>
            </w:tcBorders>
            <w:vAlign w:val="center"/>
          </w:tcPr>
          <w:p w14:paraId="5CBD691E">
            <w:pPr>
              <w:widowControl/>
              <w:jc w:val="left"/>
              <w:rPr>
                <w:kern w:val="0"/>
                <w:sz w:val="22"/>
                <w:szCs w:val="22"/>
              </w:rPr>
            </w:pPr>
          </w:p>
        </w:tc>
        <w:tc>
          <w:tcPr>
            <w:tcW w:w="4111" w:type="dxa"/>
            <w:tcBorders>
              <w:top w:val="nil"/>
              <w:left w:val="nil"/>
              <w:bottom w:val="single" w:color="000000" w:sz="8" w:space="0"/>
              <w:right w:val="single" w:color="000000" w:sz="8" w:space="0"/>
            </w:tcBorders>
            <w:shd w:val="clear" w:color="auto" w:fill="auto"/>
            <w:vAlign w:val="center"/>
          </w:tcPr>
          <w:p w14:paraId="501EC4EB">
            <w:pPr>
              <w:widowControl/>
              <w:jc w:val="center"/>
              <w:rPr>
                <w:kern w:val="0"/>
                <w:sz w:val="22"/>
                <w:szCs w:val="22"/>
              </w:rPr>
            </w:pPr>
            <w:r>
              <w:rPr>
                <w:rFonts w:hint="eastAsia" w:ascii="方正仿宋_GBK" w:eastAsia="方正仿宋_GBK"/>
                <w:kern w:val="0"/>
                <w:sz w:val="22"/>
                <w:szCs w:val="22"/>
              </w:rPr>
              <w:t>新超管架</w:t>
            </w:r>
            <w:r>
              <w:rPr>
                <w:kern w:val="0"/>
                <w:sz w:val="22"/>
                <w:szCs w:val="22"/>
              </w:rPr>
              <w:t>H200×200×2</w:t>
            </w:r>
            <w:r>
              <w:rPr>
                <w:rFonts w:hint="eastAsia" w:ascii="方正仿宋_GBK" w:eastAsia="方正仿宋_GBK"/>
                <w:kern w:val="0"/>
                <w:sz w:val="22"/>
                <w:szCs w:val="22"/>
              </w:rPr>
              <w:t>米</w:t>
            </w:r>
            <w:r>
              <w:rPr>
                <w:kern w:val="0"/>
                <w:sz w:val="22"/>
                <w:szCs w:val="22"/>
              </w:rPr>
              <w:t>×4</w:t>
            </w:r>
            <w:r>
              <w:rPr>
                <w:rFonts w:hint="eastAsia" w:ascii="方正仿宋_GBK" w:eastAsia="方正仿宋_GBK"/>
                <w:kern w:val="0"/>
                <w:sz w:val="22"/>
                <w:szCs w:val="22"/>
              </w:rPr>
              <w:t>根</w:t>
            </w:r>
            <w:r>
              <w:rPr>
                <w:kern w:val="0"/>
                <w:sz w:val="22"/>
                <w:szCs w:val="22"/>
              </w:rPr>
              <w:t>*3</w:t>
            </w:r>
            <w:r>
              <w:rPr>
                <w:rFonts w:hint="eastAsia" w:ascii="方正仿宋_GBK" w:eastAsia="方正仿宋_GBK"/>
                <w:kern w:val="0"/>
                <w:sz w:val="22"/>
                <w:szCs w:val="22"/>
              </w:rPr>
              <w:t>组</w:t>
            </w:r>
          </w:p>
        </w:tc>
        <w:tc>
          <w:tcPr>
            <w:tcW w:w="1134" w:type="dxa"/>
            <w:tcBorders>
              <w:top w:val="nil"/>
              <w:left w:val="nil"/>
              <w:bottom w:val="single" w:color="000000" w:sz="8" w:space="0"/>
              <w:right w:val="single" w:color="000000" w:sz="8" w:space="0"/>
            </w:tcBorders>
            <w:shd w:val="clear" w:color="auto" w:fill="auto"/>
            <w:noWrap/>
            <w:vAlign w:val="center"/>
          </w:tcPr>
          <w:p w14:paraId="0EE5E572">
            <w:pPr>
              <w:widowControl/>
              <w:jc w:val="center"/>
              <w:rPr>
                <w:kern w:val="0"/>
                <w:sz w:val="22"/>
                <w:szCs w:val="22"/>
              </w:rPr>
            </w:pPr>
            <w:r>
              <w:rPr>
                <w:kern w:val="0"/>
                <w:sz w:val="22"/>
                <w:szCs w:val="22"/>
              </w:rPr>
              <w:t>29.04</w:t>
            </w:r>
          </w:p>
        </w:tc>
        <w:tc>
          <w:tcPr>
            <w:tcW w:w="1275" w:type="dxa"/>
            <w:tcBorders>
              <w:top w:val="nil"/>
              <w:left w:val="nil"/>
              <w:bottom w:val="single" w:color="000000" w:sz="8" w:space="0"/>
              <w:right w:val="single" w:color="000000" w:sz="8" w:space="0"/>
            </w:tcBorders>
            <w:shd w:val="clear" w:color="auto" w:fill="auto"/>
            <w:vAlign w:val="center"/>
          </w:tcPr>
          <w:p w14:paraId="18930479">
            <w:pPr>
              <w:widowControl/>
              <w:jc w:val="left"/>
              <w:rPr>
                <w:kern w:val="0"/>
                <w:sz w:val="22"/>
                <w:szCs w:val="22"/>
              </w:rPr>
            </w:pPr>
            <w:r>
              <w:rPr>
                <w:kern w:val="0"/>
                <w:sz w:val="22"/>
                <w:szCs w:val="22"/>
              </w:rPr>
              <w:t>　</w:t>
            </w:r>
          </w:p>
        </w:tc>
        <w:tc>
          <w:tcPr>
            <w:tcW w:w="1418" w:type="dxa"/>
            <w:tcBorders>
              <w:top w:val="nil"/>
              <w:left w:val="nil"/>
              <w:bottom w:val="single" w:color="000000" w:sz="8" w:space="0"/>
              <w:right w:val="single" w:color="000000" w:sz="8" w:space="0"/>
            </w:tcBorders>
            <w:shd w:val="clear" w:color="auto" w:fill="auto"/>
            <w:vAlign w:val="center"/>
          </w:tcPr>
          <w:p w14:paraId="34696BDF">
            <w:pPr>
              <w:widowControl/>
              <w:jc w:val="left"/>
              <w:rPr>
                <w:kern w:val="0"/>
                <w:sz w:val="22"/>
                <w:szCs w:val="22"/>
              </w:rPr>
            </w:pPr>
            <w:r>
              <w:rPr>
                <w:kern w:val="0"/>
                <w:sz w:val="22"/>
                <w:szCs w:val="22"/>
              </w:rPr>
              <w:t>　</w:t>
            </w:r>
          </w:p>
        </w:tc>
        <w:tc>
          <w:tcPr>
            <w:tcW w:w="709" w:type="dxa"/>
            <w:vMerge w:val="continue"/>
            <w:tcBorders>
              <w:top w:val="nil"/>
              <w:left w:val="single" w:color="000000" w:sz="8" w:space="0"/>
              <w:bottom w:val="single" w:color="000000" w:sz="8" w:space="0"/>
              <w:right w:val="single" w:color="000000" w:sz="8" w:space="0"/>
            </w:tcBorders>
            <w:vAlign w:val="center"/>
          </w:tcPr>
          <w:p w14:paraId="418ECD5A">
            <w:pPr>
              <w:widowControl/>
              <w:jc w:val="left"/>
              <w:rPr>
                <w:kern w:val="0"/>
                <w:sz w:val="22"/>
                <w:szCs w:val="22"/>
              </w:rPr>
            </w:pPr>
          </w:p>
        </w:tc>
      </w:tr>
      <w:tr w14:paraId="688195DE">
        <w:tblPrEx>
          <w:tblCellMar>
            <w:top w:w="0" w:type="dxa"/>
            <w:left w:w="108" w:type="dxa"/>
            <w:bottom w:w="0" w:type="dxa"/>
            <w:right w:w="108" w:type="dxa"/>
          </w:tblCellMar>
        </w:tblPrEx>
        <w:trPr>
          <w:trHeight w:val="615" w:hRule="atLeast"/>
        </w:trPr>
        <w:tc>
          <w:tcPr>
            <w:tcW w:w="668" w:type="dxa"/>
            <w:vMerge w:val="continue"/>
            <w:tcBorders>
              <w:top w:val="nil"/>
              <w:left w:val="single" w:color="000000" w:sz="8" w:space="0"/>
              <w:bottom w:val="single" w:color="000000" w:sz="8" w:space="0"/>
              <w:right w:val="single" w:color="000000" w:sz="8" w:space="0"/>
            </w:tcBorders>
            <w:vAlign w:val="center"/>
          </w:tcPr>
          <w:p w14:paraId="7C98B972">
            <w:pPr>
              <w:widowControl/>
              <w:jc w:val="left"/>
              <w:rPr>
                <w:kern w:val="0"/>
                <w:sz w:val="22"/>
                <w:szCs w:val="22"/>
              </w:rPr>
            </w:pPr>
          </w:p>
        </w:tc>
        <w:tc>
          <w:tcPr>
            <w:tcW w:w="1176" w:type="dxa"/>
            <w:vMerge w:val="continue"/>
            <w:tcBorders>
              <w:top w:val="nil"/>
              <w:left w:val="single" w:color="000000" w:sz="8" w:space="0"/>
              <w:bottom w:val="single" w:color="000000" w:sz="8" w:space="0"/>
              <w:right w:val="single" w:color="000000" w:sz="8" w:space="0"/>
            </w:tcBorders>
            <w:vAlign w:val="center"/>
          </w:tcPr>
          <w:p w14:paraId="5F669F19">
            <w:pPr>
              <w:widowControl/>
              <w:jc w:val="left"/>
              <w:rPr>
                <w:kern w:val="0"/>
                <w:sz w:val="22"/>
                <w:szCs w:val="22"/>
              </w:rPr>
            </w:pPr>
          </w:p>
        </w:tc>
        <w:tc>
          <w:tcPr>
            <w:tcW w:w="4111" w:type="dxa"/>
            <w:tcBorders>
              <w:top w:val="nil"/>
              <w:left w:val="nil"/>
              <w:bottom w:val="single" w:color="000000" w:sz="8" w:space="0"/>
              <w:right w:val="single" w:color="000000" w:sz="8" w:space="0"/>
            </w:tcBorders>
            <w:shd w:val="clear" w:color="auto" w:fill="auto"/>
            <w:vAlign w:val="center"/>
          </w:tcPr>
          <w:p w14:paraId="352A567D">
            <w:pPr>
              <w:widowControl/>
              <w:jc w:val="center"/>
              <w:rPr>
                <w:kern w:val="0"/>
                <w:sz w:val="22"/>
                <w:szCs w:val="22"/>
              </w:rPr>
            </w:pPr>
            <w:r>
              <w:rPr>
                <w:rFonts w:hint="eastAsia" w:ascii="方正仿宋_GBK" w:eastAsia="方正仿宋_GBK"/>
                <w:kern w:val="0"/>
                <w:sz w:val="22"/>
                <w:szCs w:val="22"/>
              </w:rPr>
              <w:t>∠</w:t>
            </w:r>
            <w:r>
              <w:rPr>
                <w:kern w:val="0"/>
                <w:sz w:val="22"/>
                <w:szCs w:val="22"/>
              </w:rPr>
              <w:t>90×90×4</w:t>
            </w:r>
            <w:r>
              <w:rPr>
                <w:rFonts w:hint="eastAsia" w:ascii="方正仿宋_GBK" w:eastAsia="方正仿宋_GBK"/>
                <w:kern w:val="0"/>
                <w:sz w:val="22"/>
                <w:szCs w:val="22"/>
              </w:rPr>
              <w:t>米</w:t>
            </w:r>
            <w:r>
              <w:rPr>
                <w:kern w:val="0"/>
                <w:sz w:val="22"/>
                <w:szCs w:val="22"/>
              </w:rPr>
              <w:t>×6</w:t>
            </w:r>
            <w:r>
              <w:rPr>
                <w:rFonts w:hint="eastAsia" w:ascii="方正仿宋_GBK" w:eastAsia="方正仿宋_GBK"/>
                <w:kern w:val="0"/>
                <w:sz w:val="22"/>
                <w:szCs w:val="22"/>
              </w:rPr>
              <w:t>根</w:t>
            </w:r>
            <w:r>
              <w:rPr>
                <w:kern w:val="0"/>
                <w:sz w:val="22"/>
                <w:szCs w:val="22"/>
              </w:rPr>
              <w:t>*3</w:t>
            </w:r>
            <w:r>
              <w:rPr>
                <w:rFonts w:hint="eastAsia" w:ascii="方正仿宋_GBK" w:eastAsia="方正仿宋_GBK"/>
                <w:kern w:val="0"/>
                <w:sz w:val="22"/>
                <w:szCs w:val="22"/>
              </w:rPr>
              <w:t>组</w:t>
            </w:r>
            <w:r>
              <w:rPr>
                <w:kern w:val="0"/>
                <w:sz w:val="22"/>
                <w:szCs w:val="22"/>
              </w:rPr>
              <w:t xml:space="preserve">   0.3×0.4×11</w:t>
            </w:r>
            <w:r>
              <w:rPr>
                <w:rFonts w:hint="eastAsia" w:ascii="方正仿宋_GBK" w:eastAsia="方正仿宋_GBK"/>
                <w:kern w:val="0"/>
                <w:sz w:val="22"/>
                <w:szCs w:val="22"/>
              </w:rPr>
              <w:t>块</w:t>
            </w:r>
            <w:r>
              <w:rPr>
                <w:kern w:val="0"/>
                <w:sz w:val="22"/>
                <w:szCs w:val="22"/>
              </w:rPr>
              <w:t>×2</w:t>
            </w:r>
            <w:r>
              <w:rPr>
                <w:rFonts w:hint="eastAsia" w:ascii="方正仿宋_GBK" w:eastAsia="方正仿宋_GBK"/>
                <w:kern w:val="0"/>
                <w:sz w:val="22"/>
                <w:szCs w:val="22"/>
              </w:rPr>
              <w:t>面</w:t>
            </w:r>
            <w:r>
              <w:rPr>
                <w:kern w:val="0"/>
                <w:sz w:val="22"/>
                <w:szCs w:val="22"/>
              </w:rPr>
              <w:t>*3</w:t>
            </w:r>
            <w:r>
              <w:rPr>
                <w:rFonts w:hint="eastAsia" w:ascii="方正仿宋_GBK" w:eastAsia="方正仿宋_GBK"/>
                <w:kern w:val="0"/>
                <w:sz w:val="22"/>
                <w:szCs w:val="22"/>
              </w:rPr>
              <w:t>组</w:t>
            </w:r>
          </w:p>
        </w:tc>
        <w:tc>
          <w:tcPr>
            <w:tcW w:w="1134" w:type="dxa"/>
            <w:tcBorders>
              <w:top w:val="nil"/>
              <w:left w:val="nil"/>
              <w:bottom w:val="single" w:color="000000" w:sz="8" w:space="0"/>
              <w:right w:val="single" w:color="000000" w:sz="8" w:space="0"/>
            </w:tcBorders>
            <w:shd w:val="clear" w:color="auto" w:fill="auto"/>
            <w:noWrap/>
            <w:vAlign w:val="center"/>
          </w:tcPr>
          <w:p w14:paraId="3505BEFC">
            <w:pPr>
              <w:widowControl/>
              <w:jc w:val="center"/>
              <w:rPr>
                <w:kern w:val="0"/>
                <w:sz w:val="22"/>
                <w:szCs w:val="22"/>
              </w:rPr>
            </w:pPr>
            <w:r>
              <w:rPr>
                <w:kern w:val="0"/>
                <w:sz w:val="22"/>
                <w:szCs w:val="22"/>
              </w:rPr>
              <w:t>33.84</w:t>
            </w:r>
          </w:p>
        </w:tc>
        <w:tc>
          <w:tcPr>
            <w:tcW w:w="1275" w:type="dxa"/>
            <w:tcBorders>
              <w:top w:val="nil"/>
              <w:left w:val="nil"/>
              <w:bottom w:val="single" w:color="000000" w:sz="8" w:space="0"/>
              <w:right w:val="single" w:color="000000" w:sz="8" w:space="0"/>
            </w:tcBorders>
            <w:shd w:val="clear" w:color="auto" w:fill="auto"/>
            <w:vAlign w:val="center"/>
          </w:tcPr>
          <w:p w14:paraId="5D3AAC68">
            <w:pPr>
              <w:widowControl/>
              <w:jc w:val="left"/>
              <w:rPr>
                <w:kern w:val="0"/>
                <w:sz w:val="22"/>
                <w:szCs w:val="22"/>
              </w:rPr>
            </w:pPr>
            <w:r>
              <w:rPr>
                <w:kern w:val="0"/>
                <w:sz w:val="22"/>
                <w:szCs w:val="22"/>
              </w:rPr>
              <w:t>　</w:t>
            </w:r>
          </w:p>
        </w:tc>
        <w:tc>
          <w:tcPr>
            <w:tcW w:w="1418" w:type="dxa"/>
            <w:tcBorders>
              <w:top w:val="nil"/>
              <w:left w:val="nil"/>
              <w:bottom w:val="single" w:color="000000" w:sz="8" w:space="0"/>
              <w:right w:val="single" w:color="000000" w:sz="8" w:space="0"/>
            </w:tcBorders>
            <w:shd w:val="clear" w:color="auto" w:fill="auto"/>
            <w:vAlign w:val="center"/>
          </w:tcPr>
          <w:p w14:paraId="619FAA82">
            <w:pPr>
              <w:widowControl/>
              <w:jc w:val="left"/>
              <w:rPr>
                <w:kern w:val="0"/>
                <w:sz w:val="22"/>
                <w:szCs w:val="22"/>
              </w:rPr>
            </w:pPr>
            <w:r>
              <w:rPr>
                <w:kern w:val="0"/>
                <w:sz w:val="22"/>
                <w:szCs w:val="22"/>
              </w:rPr>
              <w:t>　</w:t>
            </w:r>
          </w:p>
        </w:tc>
        <w:tc>
          <w:tcPr>
            <w:tcW w:w="709" w:type="dxa"/>
            <w:vMerge w:val="continue"/>
            <w:tcBorders>
              <w:top w:val="nil"/>
              <w:left w:val="single" w:color="000000" w:sz="8" w:space="0"/>
              <w:bottom w:val="single" w:color="000000" w:sz="8" w:space="0"/>
              <w:right w:val="single" w:color="000000" w:sz="8" w:space="0"/>
            </w:tcBorders>
            <w:vAlign w:val="center"/>
          </w:tcPr>
          <w:p w14:paraId="538C248D">
            <w:pPr>
              <w:widowControl/>
              <w:jc w:val="left"/>
              <w:rPr>
                <w:kern w:val="0"/>
                <w:sz w:val="22"/>
                <w:szCs w:val="22"/>
              </w:rPr>
            </w:pPr>
          </w:p>
        </w:tc>
      </w:tr>
      <w:tr w14:paraId="1E5FAD0E">
        <w:tblPrEx>
          <w:tblCellMar>
            <w:top w:w="0" w:type="dxa"/>
            <w:left w:w="108" w:type="dxa"/>
            <w:bottom w:w="0" w:type="dxa"/>
            <w:right w:w="108" w:type="dxa"/>
          </w:tblCellMar>
        </w:tblPrEx>
        <w:trPr>
          <w:trHeight w:val="315" w:hRule="atLeast"/>
        </w:trPr>
        <w:tc>
          <w:tcPr>
            <w:tcW w:w="668" w:type="dxa"/>
            <w:vMerge w:val="restart"/>
            <w:tcBorders>
              <w:top w:val="nil"/>
              <w:left w:val="single" w:color="000000" w:sz="8" w:space="0"/>
              <w:bottom w:val="single" w:color="000000" w:sz="8" w:space="0"/>
              <w:right w:val="single" w:color="000000" w:sz="8" w:space="0"/>
            </w:tcBorders>
            <w:shd w:val="clear" w:color="auto" w:fill="auto"/>
            <w:vAlign w:val="center"/>
          </w:tcPr>
          <w:p w14:paraId="101279AD">
            <w:pPr>
              <w:widowControl/>
              <w:jc w:val="center"/>
              <w:rPr>
                <w:kern w:val="0"/>
                <w:sz w:val="22"/>
                <w:szCs w:val="22"/>
              </w:rPr>
            </w:pPr>
            <w:r>
              <w:rPr>
                <w:kern w:val="0"/>
                <w:sz w:val="22"/>
                <w:szCs w:val="22"/>
              </w:rPr>
              <w:t>4</w:t>
            </w:r>
          </w:p>
        </w:tc>
        <w:tc>
          <w:tcPr>
            <w:tcW w:w="1176" w:type="dxa"/>
            <w:vMerge w:val="continue"/>
            <w:tcBorders>
              <w:top w:val="nil"/>
              <w:left w:val="single" w:color="000000" w:sz="8" w:space="0"/>
              <w:bottom w:val="single" w:color="000000" w:sz="8" w:space="0"/>
              <w:right w:val="single" w:color="000000" w:sz="8" w:space="0"/>
            </w:tcBorders>
            <w:vAlign w:val="center"/>
          </w:tcPr>
          <w:p w14:paraId="1A4988F7">
            <w:pPr>
              <w:widowControl/>
              <w:jc w:val="left"/>
              <w:rPr>
                <w:kern w:val="0"/>
                <w:sz w:val="22"/>
                <w:szCs w:val="22"/>
              </w:rPr>
            </w:pPr>
          </w:p>
        </w:tc>
        <w:tc>
          <w:tcPr>
            <w:tcW w:w="4111" w:type="dxa"/>
            <w:tcBorders>
              <w:top w:val="nil"/>
              <w:left w:val="nil"/>
              <w:bottom w:val="single" w:color="000000" w:sz="8" w:space="0"/>
              <w:right w:val="single" w:color="000000" w:sz="8" w:space="0"/>
            </w:tcBorders>
            <w:shd w:val="clear" w:color="auto" w:fill="auto"/>
            <w:vAlign w:val="center"/>
          </w:tcPr>
          <w:p w14:paraId="35175867">
            <w:pPr>
              <w:widowControl/>
              <w:jc w:val="center"/>
              <w:rPr>
                <w:kern w:val="0"/>
                <w:sz w:val="22"/>
                <w:szCs w:val="22"/>
              </w:rPr>
            </w:pPr>
            <w:r>
              <w:rPr>
                <w:kern w:val="0"/>
                <w:sz w:val="22"/>
                <w:szCs w:val="22"/>
              </w:rPr>
              <w:t>H 200×200×6</w:t>
            </w:r>
            <w:r>
              <w:rPr>
                <w:rFonts w:hint="eastAsia" w:ascii="方正仿宋_GBK" w:eastAsia="方正仿宋_GBK"/>
                <w:kern w:val="0"/>
                <w:sz w:val="22"/>
                <w:szCs w:val="22"/>
              </w:rPr>
              <w:t>米</w:t>
            </w:r>
            <w:r>
              <w:rPr>
                <w:kern w:val="0"/>
                <w:sz w:val="22"/>
                <w:szCs w:val="22"/>
              </w:rPr>
              <w:t>×3</w:t>
            </w:r>
            <w:r>
              <w:rPr>
                <w:rFonts w:hint="eastAsia" w:ascii="方正仿宋_GBK" w:eastAsia="方正仿宋_GBK"/>
                <w:kern w:val="0"/>
                <w:sz w:val="22"/>
                <w:szCs w:val="22"/>
              </w:rPr>
              <w:t>根</w:t>
            </w:r>
            <w:r>
              <w:rPr>
                <w:kern w:val="0"/>
                <w:sz w:val="22"/>
                <w:szCs w:val="22"/>
              </w:rPr>
              <w:t>*3</w:t>
            </w:r>
            <w:r>
              <w:rPr>
                <w:rFonts w:hint="eastAsia" w:ascii="方正仿宋_GBK" w:eastAsia="方正仿宋_GBK"/>
                <w:kern w:val="0"/>
                <w:sz w:val="22"/>
                <w:szCs w:val="22"/>
              </w:rPr>
              <w:t>组</w:t>
            </w:r>
          </w:p>
        </w:tc>
        <w:tc>
          <w:tcPr>
            <w:tcW w:w="1134" w:type="dxa"/>
            <w:tcBorders>
              <w:top w:val="nil"/>
              <w:left w:val="nil"/>
              <w:bottom w:val="single" w:color="000000" w:sz="8" w:space="0"/>
              <w:right w:val="single" w:color="000000" w:sz="8" w:space="0"/>
            </w:tcBorders>
            <w:shd w:val="clear" w:color="auto" w:fill="auto"/>
            <w:noWrap/>
            <w:vAlign w:val="center"/>
          </w:tcPr>
          <w:p w14:paraId="1EFE054F">
            <w:pPr>
              <w:widowControl/>
              <w:jc w:val="center"/>
              <w:rPr>
                <w:kern w:val="0"/>
                <w:sz w:val="22"/>
                <w:szCs w:val="22"/>
              </w:rPr>
            </w:pPr>
            <w:r>
              <w:rPr>
                <w:kern w:val="0"/>
                <w:sz w:val="22"/>
                <w:szCs w:val="22"/>
              </w:rPr>
              <w:t>65.34</w:t>
            </w:r>
          </w:p>
        </w:tc>
        <w:tc>
          <w:tcPr>
            <w:tcW w:w="1275" w:type="dxa"/>
            <w:tcBorders>
              <w:top w:val="nil"/>
              <w:left w:val="nil"/>
              <w:bottom w:val="single" w:color="000000" w:sz="8" w:space="0"/>
              <w:right w:val="single" w:color="000000" w:sz="8" w:space="0"/>
            </w:tcBorders>
            <w:shd w:val="clear" w:color="auto" w:fill="auto"/>
            <w:vAlign w:val="center"/>
          </w:tcPr>
          <w:p w14:paraId="0D3D8854">
            <w:pPr>
              <w:widowControl/>
              <w:jc w:val="left"/>
              <w:rPr>
                <w:kern w:val="0"/>
                <w:sz w:val="22"/>
                <w:szCs w:val="22"/>
              </w:rPr>
            </w:pPr>
            <w:r>
              <w:rPr>
                <w:kern w:val="0"/>
                <w:sz w:val="22"/>
                <w:szCs w:val="22"/>
              </w:rPr>
              <w:t>　</w:t>
            </w:r>
          </w:p>
        </w:tc>
        <w:tc>
          <w:tcPr>
            <w:tcW w:w="1418" w:type="dxa"/>
            <w:tcBorders>
              <w:top w:val="nil"/>
              <w:left w:val="nil"/>
              <w:bottom w:val="single" w:color="000000" w:sz="8" w:space="0"/>
              <w:right w:val="single" w:color="000000" w:sz="8" w:space="0"/>
            </w:tcBorders>
            <w:shd w:val="clear" w:color="auto" w:fill="auto"/>
            <w:vAlign w:val="center"/>
          </w:tcPr>
          <w:p w14:paraId="79DC20C5">
            <w:pPr>
              <w:widowControl/>
              <w:jc w:val="left"/>
              <w:rPr>
                <w:kern w:val="0"/>
                <w:sz w:val="22"/>
                <w:szCs w:val="22"/>
              </w:rPr>
            </w:pPr>
            <w:r>
              <w:rPr>
                <w:kern w:val="0"/>
                <w:sz w:val="22"/>
                <w:szCs w:val="22"/>
              </w:rPr>
              <w:t>　</w:t>
            </w:r>
          </w:p>
        </w:tc>
        <w:tc>
          <w:tcPr>
            <w:tcW w:w="709" w:type="dxa"/>
            <w:vMerge w:val="continue"/>
            <w:tcBorders>
              <w:top w:val="nil"/>
              <w:left w:val="single" w:color="000000" w:sz="8" w:space="0"/>
              <w:bottom w:val="single" w:color="000000" w:sz="8" w:space="0"/>
              <w:right w:val="single" w:color="000000" w:sz="8" w:space="0"/>
            </w:tcBorders>
            <w:vAlign w:val="center"/>
          </w:tcPr>
          <w:p w14:paraId="22ACC871">
            <w:pPr>
              <w:widowControl/>
              <w:jc w:val="left"/>
              <w:rPr>
                <w:kern w:val="0"/>
                <w:sz w:val="22"/>
                <w:szCs w:val="22"/>
              </w:rPr>
            </w:pPr>
          </w:p>
        </w:tc>
      </w:tr>
      <w:tr w14:paraId="6C1F1FD2">
        <w:tblPrEx>
          <w:tblCellMar>
            <w:top w:w="0" w:type="dxa"/>
            <w:left w:w="108" w:type="dxa"/>
            <w:bottom w:w="0" w:type="dxa"/>
            <w:right w:w="108" w:type="dxa"/>
          </w:tblCellMar>
        </w:tblPrEx>
        <w:trPr>
          <w:trHeight w:val="315" w:hRule="atLeast"/>
        </w:trPr>
        <w:tc>
          <w:tcPr>
            <w:tcW w:w="668" w:type="dxa"/>
            <w:vMerge w:val="continue"/>
            <w:tcBorders>
              <w:top w:val="nil"/>
              <w:left w:val="single" w:color="000000" w:sz="8" w:space="0"/>
              <w:bottom w:val="single" w:color="000000" w:sz="8" w:space="0"/>
              <w:right w:val="single" w:color="000000" w:sz="8" w:space="0"/>
            </w:tcBorders>
            <w:vAlign w:val="center"/>
          </w:tcPr>
          <w:p w14:paraId="5D312E44">
            <w:pPr>
              <w:widowControl/>
              <w:jc w:val="left"/>
              <w:rPr>
                <w:kern w:val="0"/>
                <w:sz w:val="22"/>
                <w:szCs w:val="22"/>
              </w:rPr>
            </w:pPr>
          </w:p>
        </w:tc>
        <w:tc>
          <w:tcPr>
            <w:tcW w:w="1176" w:type="dxa"/>
            <w:vMerge w:val="continue"/>
            <w:tcBorders>
              <w:top w:val="nil"/>
              <w:left w:val="single" w:color="000000" w:sz="8" w:space="0"/>
              <w:bottom w:val="single" w:color="000000" w:sz="8" w:space="0"/>
              <w:right w:val="single" w:color="000000" w:sz="8" w:space="0"/>
            </w:tcBorders>
            <w:vAlign w:val="center"/>
          </w:tcPr>
          <w:p w14:paraId="7D0C8254">
            <w:pPr>
              <w:widowControl/>
              <w:jc w:val="left"/>
              <w:rPr>
                <w:kern w:val="0"/>
                <w:sz w:val="22"/>
                <w:szCs w:val="22"/>
              </w:rPr>
            </w:pPr>
          </w:p>
        </w:tc>
        <w:tc>
          <w:tcPr>
            <w:tcW w:w="4111" w:type="dxa"/>
            <w:tcBorders>
              <w:top w:val="nil"/>
              <w:left w:val="nil"/>
              <w:bottom w:val="single" w:color="000000" w:sz="8" w:space="0"/>
              <w:right w:val="single" w:color="000000" w:sz="8" w:space="0"/>
            </w:tcBorders>
            <w:shd w:val="clear" w:color="auto" w:fill="auto"/>
            <w:vAlign w:val="center"/>
          </w:tcPr>
          <w:p w14:paraId="24E8564C">
            <w:pPr>
              <w:widowControl/>
              <w:jc w:val="center"/>
              <w:rPr>
                <w:kern w:val="0"/>
                <w:sz w:val="22"/>
                <w:szCs w:val="22"/>
              </w:rPr>
            </w:pPr>
            <w:r>
              <w:rPr>
                <w:kern w:val="0"/>
                <w:sz w:val="22"/>
                <w:szCs w:val="22"/>
              </w:rPr>
              <w:t>[10×8</w:t>
            </w:r>
            <w:r>
              <w:rPr>
                <w:rFonts w:hint="eastAsia" w:ascii="方正仿宋_GBK" w:eastAsia="方正仿宋_GBK"/>
                <w:kern w:val="0"/>
                <w:sz w:val="22"/>
                <w:szCs w:val="22"/>
              </w:rPr>
              <w:t>米</w:t>
            </w:r>
            <w:r>
              <w:rPr>
                <w:kern w:val="0"/>
                <w:sz w:val="22"/>
                <w:szCs w:val="22"/>
              </w:rPr>
              <w:t>*3</w:t>
            </w:r>
            <w:r>
              <w:rPr>
                <w:rFonts w:hint="eastAsia" w:ascii="方正仿宋_GBK" w:eastAsia="方正仿宋_GBK"/>
                <w:kern w:val="0"/>
                <w:sz w:val="22"/>
                <w:szCs w:val="22"/>
              </w:rPr>
              <w:t>组</w:t>
            </w:r>
          </w:p>
        </w:tc>
        <w:tc>
          <w:tcPr>
            <w:tcW w:w="1134" w:type="dxa"/>
            <w:tcBorders>
              <w:top w:val="nil"/>
              <w:left w:val="nil"/>
              <w:bottom w:val="single" w:color="000000" w:sz="8" w:space="0"/>
              <w:right w:val="single" w:color="000000" w:sz="8" w:space="0"/>
            </w:tcBorders>
            <w:shd w:val="clear" w:color="auto" w:fill="auto"/>
            <w:noWrap/>
            <w:vAlign w:val="center"/>
          </w:tcPr>
          <w:p w14:paraId="3CB03056">
            <w:pPr>
              <w:widowControl/>
              <w:jc w:val="center"/>
              <w:rPr>
                <w:kern w:val="0"/>
                <w:sz w:val="22"/>
                <w:szCs w:val="22"/>
              </w:rPr>
            </w:pPr>
            <w:r>
              <w:rPr>
                <w:kern w:val="0"/>
                <w:sz w:val="22"/>
                <w:szCs w:val="22"/>
              </w:rPr>
              <w:t>9.41</w:t>
            </w:r>
          </w:p>
        </w:tc>
        <w:tc>
          <w:tcPr>
            <w:tcW w:w="1275" w:type="dxa"/>
            <w:tcBorders>
              <w:top w:val="nil"/>
              <w:left w:val="nil"/>
              <w:bottom w:val="single" w:color="000000" w:sz="8" w:space="0"/>
              <w:right w:val="single" w:color="000000" w:sz="8" w:space="0"/>
            </w:tcBorders>
            <w:shd w:val="clear" w:color="auto" w:fill="auto"/>
            <w:vAlign w:val="center"/>
          </w:tcPr>
          <w:p w14:paraId="3E3D67C6">
            <w:pPr>
              <w:widowControl/>
              <w:jc w:val="left"/>
              <w:rPr>
                <w:kern w:val="0"/>
                <w:sz w:val="22"/>
                <w:szCs w:val="22"/>
              </w:rPr>
            </w:pPr>
            <w:r>
              <w:rPr>
                <w:kern w:val="0"/>
                <w:sz w:val="22"/>
                <w:szCs w:val="22"/>
              </w:rPr>
              <w:t>　</w:t>
            </w:r>
          </w:p>
        </w:tc>
        <w:tc>
          <w:tcPr>
            <w:tcW w:w="1418" w:type="dxa"/>
            <w:tcBorders>
              <w:top w:val="nil"/>
              <w:left w:val="nil"/>
              <w:bottom w:val="single" w:color="000000" w:sz="8" w:space="0"/>
              <w:right w:val="single" w:color="000000" w:sz="8" w:space="0"/>
            </w:tcBorders>
            <w:shd w:val="clear" w:color="auto" w:fill="auto"/>
            <w:vAlign w:val="center"/>
          </w:tcPr>
          <w:p w14:paraId="59121C5D">
            <w:pPr>
              <w:widowControl/>
              <w:jc w:val="left"/>
              <w:rPr>
                <w:kern w:val="0"/>
                <w:sz w:val="22"/>
                <w:szCs w:val="22"/>
              </w:rPr>
            </w:pPr>
            <w:r>
              <w:rPr>
                <w:kern w:val="0"/>
                <w:sz w:val="22"/>
                <w:szCs w:val="22"/>
              </w:rPr>
              <w:t>　</w:t>
            </w:r>
          </w:p>
        </w:tc>
        <w:tc>
          <w:tcPr>
            <w:tcW w:w="709" w:type="dxa"/>
            <w:vMerge w:val="continue"/>
            <w:tcBorders>
              <w:top w:val="nil"/>
              <w:left w:val="single" w:color="000000" w:sz="8" w:space="0"/>
              <w:bottom w:val="single" w:color="000000" w:sz="8" w:space="0"/>
              <w:right w:val="single" w:color="000000" w:sz="8" w:space="0"/>
            </w:tcBorders>
            <w:vAlign w:val="center"/>
          </w:tcPr>
          <w:p w14:paraId="596A8296">
            <w:pPr>
              <w:widowControl/>
              <w:jc w:val="left"/>
              <w:rPr>
                <w:kern w:val="0"/>
                <w:sz w:val="22"/>
                <w:szCs w:val="22"/>
              </w:rPr>
            </w:pPr>
          </w:p>
        </w:tc>
      </w:tr>
      <w:tr w14:paraId="5486B746">
        <w:tblPrEx>
          <w:tblCellMar>
            <w:top w:w="0" w:type="dxa"/>
            <w:left w:w="108" w:type="dxa"/>
            <w:bottom w:w="0" w:type="dxa"/>
            <w:right w:w="108" w:type="dxa"/>
          </w:tblCellMar>
        </w:tblPrEx>
        <w:trPr>
          <w:trHeight w:val="915" w:hRule="atLeast"/>
        </w:trPr>
        <w:tc>
          <w:tcPr>
            <w:tcW w:w="668" w:type="dxa"/>
            <w:tcBorders>
              <w:top w:val="nil"/>
              <w:left w:val="single" w:color="000000" w:sz="8" w:space="0"/>
              <w:bottom w:val="single" w:color="000000" w:sz="8" w:space="0"/>
              <w:right w:val="single" w:color="000000" w:sz="8" w:space="0"/>
            </w:tcBorders>
            <w:shd w:val="clear" w:color="auto" w:fill="auto"/>
            <w:vAlign w:val="center"/>
          </w:tcPr>
          <w:p w14:paraId="4E1CAA97">
            <w:pPr>
              <w:widowControl/>
              <w:jc w:val="center"/>
              <w:rPr>
                <w:kern w:val="0"/>
                <w:sz w:val="22"/>
                <w:szCs w:val="22"/>
              </w:rPr>
            </w:pPr>
            <w:r>
              <w:rPr>
                <w:kern w:val="0"/>
                <w:sz w:val="22"/>
                <w:szCs w:val="22"/>
              </w:rPr>
              <w:t>5</w:t>
            </w:r>
          </w:p>
        </w:tc>
        <w:tc>
          <w:tcPr>
            <w:tcW w:w="1176" w:type="dxa"/>
            <w:vMerge w:val="continue"/>
            <w:tcBorders>
              <w:top w:val="nil"/>
              <w:left w:val="single" w:color="000000" w:sz="8" w:space="0"/>
              <w:bottom w:val="single" w:color="000000" w:sz="8" w:space="0"/>
              <w:right w:val="single" w:color="000000" w:sz="8" w:space="0"/>
            </w:tcBorders>
            <w:vAlign w:val="center"/>
          </w:tcPr>
          <w:p w14:paraId="451572D4">
            <w:pPr>
              <w:widowControl/>
              <w:jc w:val="left"/>
              <w:rPr>
                <w:kern w:val="0"/>
                <w:sz w:val="22"/>
                <w:szCs w:val="22"/>
              </w:rPr>
            </w:pPr>
          </w:p>
        </w:tc>
        <w:tc>
          <w:tcPr>
            <w:tcW w:w="4111" w:type="dxa"/>
            <w:tcBorders>
              <w:top w:val="nil"/>
              <w:left w:val="nil"/>
              <w:bottom w:val="single" w:color="000000" w:sz="8" w:space="0"/>
              <w:right w:val="single" w:color="000000" w:sz="8" w:space="0"/>
            </w:tcBorders>
            <w:shd w:val="clear" w:color="auto" w:fill="auto"/>
            <w:vAlign w:val="center"/>
          </w:tcPr>
          <w:p w14:paraId="7BB2D9AF">
            <w:pPr>
              <w:widowControl/>
              <w:jc w:val="center"/>
              <w:rPr>
                <w:kern w:val="0"/>
                <w:sz w:val="22"/>
                <w:szCs w:val="22"/>
              </w:rPr>
            </w:pPr>
            <w:r>
              <w:rPr>
                <w:rFonts w:hint="eastAsia" w:ascii="方正仿宋_GBK" w:eastAsia="方正仿宋_GBK"/>
                <w:kern w:val="0"/>
                <w:sz w:val="22"/>
                <w:szCs w:val="22"/>
              </w:rPr>
              <w:t>消防管</w:t>
            </w:r>
            <w:r>
              <w:rPr>
                <w:kern w:val="0"/>
                <w:sz w:val="22"/>
                <w:szCs w:val="22"/>
              </w:rPr>
              <w:t xml:space="preserve"> φ168×20+5+36+38+30  </w:t>
            </w:r>
            <w:r>
              <w:rPr>
                <w:rFonts w:hint="eastAsia" w:ascii="方正仿宋_GBK" w:eastAsia="方正仿宋_GBK"/>
                <w:kern w:val="0"/>
                <w:sz w:val="22"/>
                <w:szCs w:val="22"/>
              </w:rPr>
              <w:t>支架</w:t>
            </w:r>
            <w:r>
              <w:rPr>
                <w:kern w:val="0"/>
                <w:sz w:val="22"/>
                <w:szCs w:val="22"/>
              </w:rPr>
              <w:t>[10×0.5×50</w:t>
            </w:r>
            <w:r>
              <w:rPr>
                <w:rFonts w:hint="eastAsia" w:ascii="方正仿宋_GBK" w:eastAsia="方正仿宋_GBK"/>
                <w:kern w:val="0"/>
                <w:sz w:val="22"/>
                <w:szCs w:val="22"/>
              </w:rPr>
              <w:t>只</w:t>
            </w:r>
          </w:p>
        </w:tc>
        <w:tc>
          <w:tcPr>
            <w:tcW w:w="1134" w:type="dxa"/>
            <w:tcBorders>
              <w:top w:val="nil"/>
              <w:left w:val="nil"/>
              <w:bottom w:val="single" w:color="000000" w:sz="8" w:space="0"/>
              <w:right w:val="single" w:color="000000" w:sz="8" w:space="0"/>
            </w:tcBorders>
            <w:shd w:val="clear" w:color="auto" w:fill="auto"/>
            <w:noWrap/>
            <w:vAlign w:val="center"/>
          </w:tcPr>
          <w:p w14:paraId="02AE9C10">
            <w:pPr>
              <w:widowControl/>
              <w:jc w:val="center"/>
              <w:rPr>
                <w:kern w:val="0"/>
                <w:sz w:val="22"/>
                <w:szCs w:val="22"/>
              </w:rPr>
            </w:pPr>
            <w:r>
              <w:rPr>
                <w:kern w:val="0"/>
                <w:sz w:val="22"/>
                <w:szCs w:val="22"/>
              </w:rPr>
              <w:t>77.85</w:t>
            </w:r>
          </w:p>
        </w:tc>
        <w:tc>
          <w:tcPr>
            <w:tcW w:w="1275" w:type="dxa"/>
            <w:tcBorders>
              <w:top w:val="nil"/>
              <w:left w:val="nil"/>
              <w:bottom w:val="single" w:color="000000" w:sz="8" w:space="0"/>
              <w:right w:val="single" w:color="000000" w:sz="8" w:space="0"/>
            </w:tcBorders>
            <w:shd w:val="clear" w:color="auto" w:fill="auto"/>
            <w:vAlign w:val="center"/>
          </w:tcPr>
          <w:p w14:paraId="6D248851">
            <w:pPr>
              <w:widowControl/>
              <w:jc w:val="left"/>
              <w:rPr>
                <w:kern w:val="0"/>
                <w:sz w:val="22"/>
                <w:szCs w:val="22"/>
              </w:rPr>
            </w:pPr>
            <w:r>
              <w:rPr>
                <w:kern w:val="0"/>
                <w:sz w:val="22"/>
                <w:szCs w:val="22"/>
              </w:rPr>
              <w:t>　</w:t>
            </w:r>
          </w:p>
        </w:tc>
        <w:tc>
          <w:tcPr>
            <w:tcW w:w="1418" w:type="dxa"/>
            <w:tcBorders>
              <w:top w:val="nil"/>
              <w:left w:val="nil"/>
              <w:bottom w:val="single" w:color="000000" w:sz="8" w:space="0"/>
              <w:right w:val="single" w:color="000000" w:sz="8" w:space="0"/>
            </w:tcBorders>
            <w:shd w:val="clear" w:color="auto" w:fill="auto"/>
            <w:vAlign w:val="center"/>
          </w:tcPr>
          <w:p w14:paraId="15E3515A">
            <w:pPr>
              <w:widowControl/>
              <w:jc w:val="left"/>
              <w:rPr>
                <w:kern w:val="0"/>
                <w:sz w:val="22"/>
                <w:szCs w:val="22"/>
              </w:rPr>
            </w:pPr>
            <w:r>
              <w:rPr>
                <w:kern w:val="0"/>
                <w:sz w:val="22"/>
                <w:szCs w:val="22"/>
              </w:rPr>
              <w:t>　</w:t>
            </w:r>
          </w:p>
        </w:tc>
        <w:tc>
          <w:tcPr>
            <w:tcW w:w="709" w:type="dxa"/>
            <w:vMerge w:val="continue"/>
            <w:tcBorders>
              <w:top w:val="nil"/>
              <w:left w:val="single" w:color="000000" w:sz="8" w:space="0"/>
              <w:bottom w:val="single" w:color="000000" w:sz="8" w:space="0"/>
              <w:right w:val="single" w:color="000000" w:sz="8" w:space="0"/>
            </w:tcBorders>
            <w:vAlign w:val="center"/>
          </w:tcPr>
          <w:p w14:paraId="37C9E2D0">
            <w:pPr>
              <w:widowControl/>
              <w:jc w:val="left"/>
              <w:rPr>
                <w:kern w:val="0"/>
                <w:sz w:val="22"/>
                <w:szCs w:val="22"/>
              </w:rPr>
            </w:pPr>
          </w:p>
        </w:tc>
      </w:tr>
      <w:tr w14:paraId="20CF2A9A">
        <w:tblPrEx>
          <w:tblCellMar>
            <w:top w:w="0" w:type="dxa"/>
            <w:left w:w="108" w:type="dxa"/>
            <w:bottom w:w="0" w:type="dxa"/>
            <w:right w:w="108" w:type="dxa"/>
          </w:tblCellMar>
        </w:tblPrEx>
        <w:trPr>
          <w:trHeight w:val="615" w:hRule="atLeast"/>
        </w:trPr>
        <w:tc>
          <w:tcPr>
            <w:tcW w:w="668" w:type="dxa"/>
            <w:tcBorders>
              <w:top w:val="nil"/>
              <w:left w:val="single" w:color="000000" w:sz="8" w:space="0"/>
              <w:bottom w:val="single" w:color="000000" w:sz="8" w:space="0"/>
              <w:right w:val="single" w:color="000000" w:sz="8" w:space="0"/>
            </w:tcBorders>
            <w:shd w:val="clear" w:color="auto" w:fill="auto"/>
            <w:vAlign w:val="center"/>
          </w:tcPr>
          <w:p w14:paraId="137AD002">
            <w:pPr>
              <w:widowControl/>
              <w:jc w:val="center"/>
              <w:rPr>
                <w:kern w:val="0"/>
                <w:sz w:val="22"/>
                <w:szCs w:val="22"/>
              </w:rPr>
            </w:pPr>
            <w:r>
              <w:rPr>
                <w:kern w:val="0"/>
                <w:sz w:val="22"/>
                <w:szCs w:val="22"/>
              </w:rPr>
              <w:t>6</w:t>
            </w:r>
          </w:p>
        </w:tc>
        <w:tc>
          <w:tcPr>
            <w:tcW w:w="1176" w:type="dxa"/>
            <w:vMerge w:val="continue"/>
            <w:tcBorders>
              <w:top w:val="nil"/>
              <w:left w:val="single" w:color="000000" w:sz="8" w:space="0"/>
              <w:bottom w:val="single" w:color="000000" w:sz="8" w:space="0"/>
              <w:right w:val="single" w:color="000000" w:sz="8" w:space="0"/>
            </w:tcBorders>
            <w:vAlign w:val="center"/>
          </w:tcPr>
          <w:p w14:paraId="29D26916">
            <w:pPr>
              <w:widowControl/>
              <w:jc w:val="left"/>
              <w:rPr>
                <w:kern w:val="0"/>
                <w:sz w:val="22"/>
                <w:szCs w:val="22"/>
              </w:rPr>
            </w:pPr>
          </w:p>
        </w:tc>
        <w:tc>
          <w:tcPr>
            <w:tcW w:w="4111" w:type="dxa"/>
            <w:tcBorders>
              <w:top w:val="nil"/>
              <w:left w:val="nil"/>
              <w:bottom w:val="single" w:color="000000" w:sz="8" w:space="0"/>
              <w:right w:val="single" w:color="000000" w:sz="8" w:space="0"/>
            </w:tcBorders>
            <w:shd w:val="clear" w:color="auto" w:fill="auto"/>
            <w:vAlign w:val="center"/>
          </w:tcPr>
          <w:p w14:paraId="6AEA8830">
            <w:pPr>
              <w:widowControl/>
              <w:jc w:val="center"/>
              <w:rPr>
                <w:kern w:val="0"/>
                <w:sz w:val="22"/>
                <w:szCs w:val="22"/>
              </w:rPr>
            </w:pPr>
            <w:r>
              <w:rPr>
                <w:rFonts w:hint="eastAsia" w:ascii="方正仿宋_GBK" w:eastAsia="方正仿宋_GBK"/>
                <w:kern w:val="0"/>
                <w:sz w:val="22"/>
                <w:szCs w:val="22"/>
              </w:rPr>
              <w:t>平台</w:t>
            </w:r>
            <w:r>
              <w:rPr>
                <w:kern w:val="0"/>
                <w:sz w:val="22"/>
                <w:szCs w:val="22"/>
              </w:rPr>
              <w:t xml:space="preserve"> </w:t>
            </w:r>
            <w:r>
              <w:rPr>
                <w:rFonts w:hint="eastAsia" w:ascii="方正仿宋_GBK" w:eastAsia="方正仿宋_GBK"/>
                <w:kern w:val="0"/>
                <w:sz w:val="22"/>
                <w:szCs w:val="22"/>
              </w:rPr>
              <w:t>工</w:t>
            </w:r>
            <w:r>
              <w:rPr>
                <w:kern w:val="0"/>
                <w:sz w:val="22"/>
                <w:szCs w:val="22"/>
              </w:rPr>
              <w:t>200×1.4</w:t>
            </w:r>
            <w:r>
              <w:rPr>
                <w:rFonts w:hint="eastAsia" w:ascii="方正仿宋_GBK" w:eastAsia="方正仿宋_GBK"/>
                <w:kern w:val="0"/>
                <w:sz w:val="22"/>
                <w:szCs w:val="22"/>
              </w:rPr>
              <w:t>米</w:t>
            </w:r>
            <w:r>
              <w:rPr>
                <w:kern w:val="0"/>
                <w:sz w:val="22"/>
                <w:szCs w:val="22"/>
              </w:rPr>
              <w:t>×4</w:t>
            </w:r>
            <w:r>
              <w:rPr>
                <w:rFonts w:hint="eastAsia" w:ascii="方正仿宋_GBK" w:eastAsia="方正仿宋_GBK"/>
                <w:kern w:val="0"/>
                <w:sz w:val="22"/>
                <w:szCs w:val="22"/>
              </w:rPr>
              <w:t>根</w:t>
            </w:r>
            <w:r>
              <w:rPr>
                <w:kern w:val="0"/>
                <w:sz w:val="22"/>
                <w:szCs w:val="22"/>
              </w:rPr>
              <w:t>+3</w:t>
            </w:r>
            <w:r>
              <w:rPr>
                <w:rFonts w:hint="eastAsia" w:ascii="方正仿宋_GBK" w:eastAsia="方正仿宋_GBK"/>
                <w:kern w:val="0"/>
                <w:sz w:val="22"/>
                <w:szCs w:val="22"/>
              </w:rPr>
              <w:t>米</w:t>
            </w:r>
            <w:r>
              <w:rPr>
                <w:kern w:val="0"/>
                <w:sz w:val="22"/>
                <w:szCs w:val="22"/>
              </w:rPr>
              <w:t>×2</w:t>
            </w:r>
            <w:r>
              <w:rPr>
                <w:rFonts w:hint="eastAsia" w:ascii="方正仿宋_GBK" w:eastAsia="方正仿宋_GBK"/>
                <w:kern w:val="0"/>
                <w:sz w:val="22"/>
                <w:szCs w:val="22"/>
              </w:rPr>
              <w:t>根</w:t>
            </w:r>
          </w:p>
        </w:tc>
        <w:tc>
          <w:tcPr>
            <w:tcW w:w="1134" w:type="dxa"/>
            <w:tcBorders>
              <w:top w:val="nil"/>
              <w:left w:val="nil"/>
              <w:bottom w:val="single" w:color="000000" w:sz="8" w:space="0"/>
              <w:right w:val="single" w:color="000000" w:sz="8" w:space="0"/>
            </w:tcBorders>
            <w:shd w:val="clear" w:color="auto" w:fill="auto"/>
            <w:noWrap/>
            <w:vAlign w:val="center"/>
          </w:tcPr>
          <w:p w14:paraId="27332F1E">
            <w:pPr>
              <w:widowControl/>
              <w:jc w:val="center"/>
              <w:rPr>
                <w:kern w:val="0"/>
                <w:sz w:val="22"/>
                <w:szCs w:val="22"/>
              </w:rPr>
            </w:pPr>
            <w:r>
              <w:rPr>
                <w:kern w:val="0"/>
                <w:sz w:val="22"/>
                <w:szCs w:val="22"/>
              </w:rPr>
              <w:t>9.28</w:t>
            </w:r>
          </w:p>
        </w:tc>
        <w:tc>
          <w:tcPr>
            <w:tcW w:w="1275" w:type="dxa"/>
            <w:tcBorders>
              <w:top w:val="nil"/>
              <w:left w:val="nil"/>
              <w:bottom w:val="single" w:color="000000" w:sz="8" w:space="0"/>
              <w:right w:val="single" w:color="000000" w:sz="8" w:space="0"/>
            </w:tcBorders>
            <w:shd w:val="clear" w:color="auto" w:fill="auto"/>
            <w:vAlign w:val="center"/>
          </w:tcPr>
          <w:p w14:paraId="30DDA777">
            <w:pPr>
              <w:widowControl/>
              <w:jc w:val="left"/>
              <w:rPr>
                <w:kern w:val="0"/>
                <w:sz w:val="22"/>
                <w:szCs w:val="22"/>
              </w:rPr>
            </w:pPr>
            <w:r>
              <w:rPr>
                <w:kern w:val="0"/>
                <w:sz w:val="22"/>
                <w:szCs w:val="22"/>
              </w:rPr>
              <w:t>　</w:t>
            </w:r>
          </w:p>
        </w:tc>
        <w:tc>
          <w:tcPr>
            <w:tcW w:w="1418" w:type="dxa"/>
            <w:tcBorders>
              <w:top w:val="nil"/>
              <w:left w:val="nil"/>
              <w:bottom w:val="single" w:color="000000" w:sz="8" w:space="0"/>
              <w:right w:val="single" w:color="000000" w:sz="8" w:space="0"/>
            </w:tcBorders>
            <w:shd w:val="clear" w:color="auto" w:fill="auto"/>
            <w:vAlign w:val="center"/>
          </w:tcPr>
          <w:p w14:paraId="22D3E3B7">
            <w:pPr>
              <w:widowControl/>
              <w:jc w:val="left"/>
              <w:rPr>
                <w:kern w:val="0"/>
                <w:sz w:val="22"/>
                <w:szCs w:val="22"/>
              </w:rPr>
            </w:pPr>
            <w:r>
              <w:rPr>
                <w:kern w:val="0"/>
                <w:sz w:val="22"/>
                <w:szCs w:val="22"/>
              </w:rPr>
              <w:t>　</w:t>
            </w:r>
          </w:p>
        </w:tc>
        <w:tc>
          <w:tcPr>
            <w:tcW w:w="709" w:type="dxa"/>
            <w:vMerge w:val="continue"/>
            <w:tcBorders>
              <w:top w:val="nil"/>
              <w:left w:val="single" w:color="000000" w:sz="8" w:space="0"/>
              <w:bottom w:val="single" w:color="000000" w:sz="8" w:space="0"/>
              <w:right w:val="single" w:color="000000" w:sz="8" w:space="0"/>
            </w:tcBorders>
            <w:vAlign w:val="center"/>
          </w:tcPr>
          <w:p w14:paraId="26B37A99">
            <w:pPr>
              <w:widowControl/>
              <w:jc w:val="left"/>
              <w:rPr>
                <w:kern w:val="0"/>
                <w:sz w:val="22"/>
                <w:szCs w:val="22"/>
              </w:rPr>
            </w:pPr>
          </w:p>
        </w:tc>
      </w:tr>
      <w:tr w14:paraId="54B238BF">
        <w:tblPrEx>
          <w:tblCellMar>
            <w:top w:w="0" w:type="dxa"/>
            <w:left w:w="108" w:type="dxa"/>
            <w:bottom w:w="0" w:type="dxa"/>
            <w:right w:w="108" w:type="dxa"/>
          </w:tblCellMar>
        </w:tblPrEx>
        <w:trPr>
          <w:trHeight w:val="615" w:hRule="atLeast"/>
        </w:trPr>
        <w:tc>
          <w:tcPr>
            <w:tcW w:w="668" w:type="dxa"/>
            <w:vMerge w:val="restart"/>
            <w:tcBorders>
              <w:top w:val="nil"/>
              <w:left w:val="single" w:color="000000" w:sz="8" w:space="0"/>
              <w:bottom w:val="single" w:color="000000" w:sz="8" w:space="0"/>
              <w:right w:val="single" w:color="000000" w:sz="8" w:space="0"/>
            </w:tcBorders>
            <w:shd w:val="clear" w:color="auto" w:fill="auto"/>
            <w:vAlign w:val="center"/>
          </w:tcPr>
          <w:p w14:paraId="15815E6A">
            <w:pPr>
              <w:widowControl/>
              <w:jc w:val="center"/>
              <w:rPr>
                <w:kern w:val="0"/>
                <w:sz w:val="22"/>
                <w:szCs w:val="22"/>
              </w:rPr>
            </w:pPr>
            <w:r>
              <w:rPr>
                <w:kern w:val="0"/>
                <w:sz w:val="22"/>
                <w:szCs w:val="22"/>
              </w:rPr>
              <w:t>7</w:t>
            </w:r>
          </w:p>
        </w:tc>
        <w:tc>
          <w:tcPr>
            <w:tcW w:w="1176" w:type="dxa"/>
            <w:vMerge w:val="continue"/>
            <w:tcBorders>
              <w:top w:val="nil"/>
              <w:left w:val="single" w:color="000000" w:sz="8" w:space="0"/>
              <w:bottom w:val="single" w:color="000000" w:sz="8" w:space="0"/>
              <w:right w:val="single" w:color="000000" w:sz="8" w:space="0"/>
            </w:tcBorders>
            <w:vAlign w:val="center"/>
          </w:tcPr>
          <w:p w14:paraId="0DFD8CD9">
            <w:pPr>
              <w:widowControl/>
              <w:jc w:val="left"/>
              <w:rPr>
                <w:kern w:val="0"/>
                <w:sz w:val="22"/>
                <w:szCs w:val="22"/>
              </w:rPr>
            </w:pPr>
          </w:p>
        </w:tc>
        <w:tc>
          <w:tcPr>
            <w:tcW w:w="4111" w:type="dxa"/>
            <w:tcBorders>
              <w:top w:val="nil"/>
              <w:left w:val="nil"/>
              <w:bottom w:val="single" w:color="000000" w:sz="8" w:space="0"/>
              <w:right w:val="single" w:color="000000" w:sz="8" w:space="0"/>
            </w:tcBorders>
            <w:shd w:val="clear" w:color="auto" w:fill="auto"/>
            <w:vAlign w:val="center"/>
          </w:tcPr>
          <w:p w14:paraId="1F83A51C">
            <w:pPr>
              <w:widowControl/>
              <w:jc w:val="center"/>
              <w:rPr>
                <w:kern w:val="0"/>
                <w:sz w:val="22"/>
                <w:szCs w:val="22"/>
              </w:rPr>
            </w:pPr>
            <w:r>
              <w:rPr>
                <w:kern w:val="0"/>
                <w:sz w:val="22"/>
                <w:szCs w:val="22"/>
              </w:rPr>
              <w:t>#</w:t>
            </w:r>
            <w:r>
              <w:rPr>
                <w:rFonts w:hint="eastAsia" w:ascii="方正仿宋_GBK" w:eastAsia="方正仿宋_GBK"/>
                <w:kern w:val="0"/>
                <w:sz w:val="22"/>
                <w:szCs w:val="22"/>
              </w:rPr>
              <w:t>字架</w:t>
            </w:r>
            <w:r>
              <w:rPr>
                <w:kern w:val="0"/>
                <w:sz w:val="22"/>
                <w:szCs w:val="22"/>
              </w:rPr>
              <w:t xml:space="preserve"> [160×4</w:t>
            </w:r>
            <w:r>
              <w:rPr>
                <w:rFonts w:hint="eastAsia" w:ascii="方正仿宋_GBK" w:eastAsia="方正仿宋_GBK"/>
                <w:kern w:val="0"/>
                <w:sz w:val="22"/>
                <w:szCs w:val="22"/>
              </w:rPr>
              <w:t>米</w:t>
            </w:r>
            <w:r>
              <w:rPr>
                <w:kern w:val="0"/>
                <w:sz w:val="22"/>
                <w:szCs w:val="22"/>
              </w:rPr>
              <w:t>×4</w:t>
            </w:r>
            <w:r>
              <w:rPr>
                <w:rFonts w:hint="eastAsia" w:ascii="方正仿宋_GBK" w:eastAsia="方正仿宋_GBK"/>
                <w:kern w:val="0"/>
                <w:sz w:val="22"/>
                <w:szCs w:val="22"/>
              </w:rPr>
              <w:t>根</w:t>
            </w:r>
            <w:r>
              <w:rPr>
                <w:kern w:val="0"/>
                <w:sz w:val="22"/>
                <w:szCs w:val="22"/>
              </w:rPr>
              <w:t>+8</w:t>
            </w:r>
            <w:r>
              <w:rPr>
                <w:rFonts w:hint="eastAsia" w:ascii="方正仿宋_GBK" w:eastAsia="方正仿宋_GBK"/>
                <w:kern w:val="0"/>
                <w:sz w:val="22"/>
                <w:szCs w:val="22"/>
              </w:rPr>
              <w:t>米</w:t>
            </w:r>
            <w:r>
              <w:rPr>
                <w:kern w:val="0"/>
                <w:sz w:val="22"/>
                <w:szCs w:val="22"/>
              </w:rPr>
              <w:t xml:space="preserve">   1</w:t>
            </w:r>
            <w:r>
              <w:rPr>
                <w:rFonts w:hint="eastAsia" w:ascii="方正仿宋_GBK" w:eastAsia="方正仿宋_GBK"/>
                <w:kern w:val="0"/>
                <w:sz w:val="22"/>
                <w:szCs w:val="22"/>
              </w:rPr>
              <w:t>米</w:t>
            </w:r>
            <w:r>
              <w:rPr>
                <w:kern w:val="0"/>
                <w:sz w:val="22"/>
                <w:szCs w:val="22"/>
              </w:rPr>
              <w:t>×8</w:t>
            </w:r>
            <w:r>
              <w:rPr>
                <w:rFonts w:hint="eastAsia" w:ascii="方正仿宋_GBK" w:eastAsia="方正仿宋_GBK"/>
                <w:kern w:val="0"/>
                <w:sz w:val="22"/>
                <w:szCs w:val="22"/>
              </w:rPr>
              <w:t>根</w:t>
            </w:r>
          </w:p>
        </w:tc>
        <w:tc>
          <w:tcPr>
            <w:tcW w:w="1134" w:type="dxa"/>
            <w:tcBorders>
              <w:top w:val="nil"/>
              <w:left w:val="nil"/>
              <w:bottom w:val="single" w:color="000000" w:sz="8" w:space="0"/>
              <w:right w:val="single" w:color="000000" w:sz="8" w:space="0"/>
            </w:tcBorders>
            <w:shd w:val="clear" w:color="auto" w:fill="auto"/>
            <w:noWrap/>
            <w:vAlign w:val="center"/>
          </w:tcPr>
          <w:p w14:paraId="2BF801FC">
            <w:pPr>
              <w:widowControl/>
              <w:jc w:val="center"/>
              <w:rPr>
                <w:kern w:val="0"/>
                <w:sz w:val="22"/>
                <w:szCs w:val="22"/>
              </w:rPr>
            </w:pPr>
            <w:r>
              <w:rPr>
                <w:kern w:val="0"/>
                <w:sz w:val="22"/>
                <w:szCs w:val="22"/>
              </w:rPr>
              <w:t>15.56</w:t>
            </w:r>
          </w:p>
        </w:tc>
        <w:tc>
          <w:tcPr>
            <w:tcW w:w="1275" w:type="dxa"/>
            <w:tcBorders>
              <w:top w:val="nil"/>
              <w:left w:val="nil"/>
              <w:bottom w:val="single" w:color="000000" w:sz="8" w:space="0"/>
              <w:right w:val="single" w:color="000000" w:sz="8" w:space="0"/>
            </w:tcBorders>
            <w:shd w:val="clear" w:color="auto" w:fill="auto"/>
            <w:vAlign w:val="center"/>
          </w:tcPr>
          <w:p w14:paraId="1D4D5E51">
            <w:pPr>
              <w:widowControl/>
              <w:jc w:val="left"/>
              <w:rPr>
                <w:kern w:val="0"/>
                <w:sz w:val="22"/>
                <w:szCs w:val="22"/>
              </w:rPr>
            </w:pPr>
            <w:r>
              <w:rPr>
                <w:kern w:val="0"/>
                <w:sz w:val="22"/>
                <w:szCs w:val="22"/>
              </w:rPr>
              <w:t>　</w:t>
            </w:r>
          </w:p>
        </w:tc>
        <w:tc>
          <w:tcPr>
            <w:tcW w:w="1418" w:type="dxa"/>
            <w:tcBorders>
              <w:top w:val="nil"/>
              <w:left w:val="nil"/>
              <w:bottom w:val="single" w:color="000000" w:sz="8" w:space="0"/>
              <w:right w:val="single" w:color="000000" w:sz="8" w:space="0"/>
            </w:tcBorders>
            <w:shd w:val="clear" w:color="auto" w:fill="auto"/>
            <w:vAlign w:val="center"/>
          </w:tcPr>
          <w:p w14:paraId="7FDEFC8D">
            <w:pPr>
              <w:widowControl/>
              <w:jc w:val="left"/>
              <w:rPr>
                <w:kern w:val="0"/>
                <w:sz w:val="22"/>
                <w:szCs w:val="22"/>
              </w:rPr>
            </w:pPr>
            <w:r>
              <w:rPr>
                <w:kern w:val="0"/>
                <w:sz w:val="22"/>
                <w:szCs w:val="22"/>
              </w:rPr>
              <w:t>　</w:t>
            </w:r>
          </w:p>
        </w:tc>
        <w:tc>
          <w:tcPr>
            <w:tcW w:w="709" w:type="dxa"/>
            <w:vMerge w:val="continue"/>
            <w:tcBorders>
              <w:top w:val="nil"/>
              <w:left w:val="single" w:color="000000" w:sz="8" w:space="0"/>
              <w:bottom w:val="single" w:color="000000" w:sz="8" w:space="0"/>
              <w:right w:val="single" w:color="000000" w:sz="8" w:space="0"/>
            </w:tcBorders>
            <w:vAlign w:val="center"/>
          </w:tcPr>
          <w:p w14:paraId="7DE7FD29">
            <w:pPr>
              <w:widowControl/>
              <w:jc w:val="left"/>
              <w:rPr>
                <w:kern w:val="0"/>
                <w:sz w:val="22"/>
                <w:szCs w:val="22"/>
              </w:rPr>
            </w:pPr>
          </w:p>
        </w:tc>
      </w:tr>
      <w:tr w14:paraId="1504C12B">
        <w:tblPrEx>
          <w:tblCellMar>
            <w:top w:w="0" w:type="dxa"/>
            <w:left w:w="108" w:type="dxa"/>
            <w:bottom w:w="0" w:type="dxa"/>
            <w:right w:w="108" w:type="dxa"/>
          </w:tblCellMar>
        </w:tblPrEx>
        <w:trPr>
          <w:trHeight w:val="615" w:hRule="atLeast"/>
        </w:trPr>
        <w:tc>
          <w:tcPr>
            <w:tcW w:w="668" w:type="dxa"/>
            <w:vMerge w:val="continue"/>
            <w:tcBorders>
              <w:top w:val="nil"/>
              <w:left w:val="single" w:color="000000" w:sz="8" w:space="0"/>
              <w:bottom w:val="single" w:color="000000" w:sz="8" w:space="0"/>
              <w:right w:val="single" w:color="000000" w:sz="8" w:space="0"/>
            </w:tcBorders>
            <w:vAlign w:val="center"/>
          </w:tcPr>
          <w:p w14:paraId="493486FE">
            <w:pPr>
              <w:widowControl/>
              <w:jc w:val="left"/>
              <w:rPr>
                <w:kern w:val="0"/>
                <w:sz w:val="22"/>
                <w:szCs w:val="22"/>
              </w:rPr>
            </w:pPr>
          </w:p>
        </w:tc>
        <w:tc>
          <w:tcPr>
            <w:tcW w:w="1176" w:type="dxa"/>
            <w:vMerge w:val="continue"/>
            <w:tcBorders>
              <w:top w:val="nil"/>
              <w:left w:val="single" w:color="000000" w:sz="8" w:space="0"/>
              <w:bottom w:val="single" w:color="000000" w:sz="8" w:space="0"/>
              <w:right w:val="single" w:color="000000" w:sz="8" w:space="0"/>
            </w:tcBorders>
            <w:vAlign w:val="center"/>
          </w:tcPr>
          <w:p w14:paraId="45DD33EE">
            <w:pPr>
              <w:widowControl/>
              <w:jc w:val="left"/>
              <w:rPr>
                <w:kern w:val="0"/>
                <w:sz w:val="22"/>
                <w:szCs w:val="22"/>
              </w:rPr>
            </w:pPr>
          </w:p>
        </w:tc>
        <w:tc>
          <w:tcPr>
            <w:tcW w:w="4111" w:type="dxa"/>
            <w:tcBorders>
              <w:top w:val="nil"/>
              <w:left w:val="nil"/>
              <w:bottom w:val="single" w:color="000000" w:sz="8" w:space="0"/>
              <w:right w:val="single" w:color="000000" w:sz="8" w:space="0"/>
            </w:tcBorders>
            <w:shd w:val="clear" w:color="auto" w:fill="auto"/>
            <w:vAlign w:val="center"/>
          </w:tcPr>
          <w:p w14:paraId="395EB548">
            <w:pPr>
              <w:widowControl/>
              <w:jc w:val="center"/>
              <w:rPr>
                <w:kern w:val="0"/>
                <w:sz w:val="22"/>
                <w:szCs w:val="22"/>
              </w:rPr>
            </w:pPr>
            <w:r>
              <w:rPr>
                <w:kern w:val="0"/>
                <w:sz w:val="22"/>
                <w:szCs w:val="22"/>
              </w:rPr>
              <w:t>H250×</w:t>
            </w:r>
            <w:r>
              <w:rPr>
                <w:rFonts w:hint="eastAsia" w:ascii="方正仿宋_GBK" w:eastAsia="方正仿宋_GBK"/>
                <w:kern w:val="0"/>
                <w:sz w:val="22"/>
                <w:szCs w:val="22"/>
              </w:rPr>
              <w:t>（</w:t>
            </w:r>
            <w:r>
              <w:rPr>
                <w:kern w:val="0"/>
                <w:sz w:val="22"/>
                <w:szCs w:val="22"/>
              </w:rPr>
              <w:t>4</w:t>
            </w:r>
            <w:r>
              <w:rPr>
                <w:rFonts w:hint="eastAsia" w:ascii="方正仿宋_GBK" w:eastAsia="方正仿宋_GBK"/>
                <w:kern w:val="0"/>
                <w:sz w:val="22"/>
                <w:szCs w:val="22"/>
              </w:rPr>
              <w:t>米</w:t>
            </w:r>
            <w:r>
              <w:rPr>
                <w:kern w:val="0"/>
                <w:sz w:val="22"/>
                <w:szCs w:val="22"/>
              </w:rPr>
              <w:t>×2</w:t>
            </w:r>
            <w:r>
              <w:rPr>
                <w:rFonts w:hint="eastAsia" w:ascii="方正仿宋_GBK" w:eastAsia="方正仿宋_GBK"/>
                <w:kern w:val="0"/>
                <w:sz w:val="22"/>
                <w:szCs w:val="22"/>
              </w:rPr>
              <w:t>根</w:t>
            </w:r>
            <w:r>
              <w:rPr>
                <w:kern w:val="0"/>
                <w:sz w:val="22"/>
                <w:szCs w:val="22"/>
              </w:rPr>
              <w:t>+3</w:t>
            </w:r>
            <w:r>
              <w:rPr>
                <w:rFonts w:hint="eastAsia" w:ascii="方正仿宋_GBK" w:eastAsia="方正仿宋_GBK"/>
                <w:kern w:val="0"/>
                <w:sz w:val="22"/>
                <w:szCs w:val="22"/>
              </w:rPr>
              <w:t>米</w:t>
            </w:r>
            <w:r>
              <w:rPr>
                <w:kern w:val="0"/>
                <w:sz w:val="22"/>
                <w:szCs w:val="22"/>
              </w:rPr>
              <w:t>×2</w:t>
            </w:r>
            <w:r>
              <w:rPr>
                <w:rFonts w:hint="eastAsia" w:ascii="方正仿宋_GBK" w:eastAsia="方正仿宋_GBK"/>
                <w:kern w:val="0"/>
                <w:sz w:val="22"/>
                <w:szCs w:val="22"/>
              </w:rPr>
              <w:t>组</w:t>
            </w:r>
          </w:p>
        </w:tc>
        <w:tc>
          <w:tcPr>
            <w:tcW w:w="1134" w:type="dxa"/>
            <w:tcBorders>
              <w:top w:val="nil"/>
              <w:left w:val="nil"/>
              <w:bottom w:val="single" w:color="000000" w:sz="8" w:space="0"/>
              <w:right w:val="single" w:color="000000" w:sz="8" w:space="0"/>
            </w:tcBorders>
            <w:shd w:val="clear" w:color="auto" w:fill="auto"/>
            <w:noWrap/>
            <w:vAlign w:val="center"/>
          </w:tcPr>
          <w:p w14:paraId="3ED0850D">
            <w:pPr>
              <w:widowControl/>
              <w:jc w:val="center"/>
              <w:rPr>
                <w:kern w:val="0"/>
                <w:sz w:val="22"/>
                <w:szCs w:val="22"/>
              </w:rPr>
            </w:pPr>
            <w:r>
              <w:rPr>
                <w:kern w:val="0"/>
                <w:sz w:val="22"/>
                <w:szCs w:val="22"/>
              </w:rPr>
              <w:t>33.22</w:t>
            </w:r>
          </w:p>
        </w:tc>
        <w:tc>
          <w:tcPr>
            <w:tcW w:w="1275" w:type="dxa"/>
            <w:tcBorders>
              <w:top w:val="nil"/>
              <w:left w:val="nil"/>
              <w:bottom w:val="single" w:color="000000" w:sz="8" w:space="0"/>
              <w:right w:val="single" w:color="000000" w:sz="8" w:space="0"/>
            </w:tcBorders>
            <w:shd w:val="clear" w:color="auto" w:fill="auto"/>
            <w:vAlign w:val="center"/>
          </w:tcPr>
          <w:p w14:paraId="3725134C">
            <w:pPr>
              <w:widowControl/>
              <w:jc w:val="left"/>
              <w:rPr>
                <w:kern w:val="0"/>
                <w:sz w:val="22"/>
                <w:szCs w:val="22"/>
              </w:rPr>
            </w:pPr>
            <w:r>
              <w:rPr>
                <w:kern w:val="0"/>
                <w:sz w:val="22"/>
                <w:szCs w:val="22"/>
              </w:rPr>
              <w:t>　</w:t>
            </w:r>
          </w:p>
        </w:tc>
        <w:tc>
          <w:tcPr>
            <w:tcW w:w="1418" w:type="dxa"/>
            <w:tcBorders>
              <w:top w:val="nil"/>
              <w:left w:val="nil"/>
              <w:bottom w:val="single" w:color="000000" w:sz="8" w:space="0"/>
              <w:right w:val="single" w:color="000000" w:sz="8" w:space="0"/>
            </w:tcBorders>
            <w:shd w:val="clear" w:color="auto" w:fill="auto"/>
            <w:vAlign w:val="center"/>
          </w:tcPr>
          <w:p w14:paraId="6CB38C93">
            <w:pPr>
              <w:widowControl/>
              <w:jc w:val="left"/>
              <w:rPr>
                <w:kern w:val="0"/>
                <w:sz w:val="22"/>
                <w:szCs w:val="22"/>
              </w:rPr>
            </w:pPr>
            <w:r>
              <w:rPr>
                <w:kern w:val="0"/>
                <w:sz w:val="22"/>
                <w:szCs w:val="22"/>
              </w:rPr>
              <w:t>　</w:t>
            </w:r>
          </w:p>
        </w:tc>
        <w:tc>
          <w:tcPr>
            <w:tcW w:w="709" w:type="dxa"/>
            <w:vMerge w:val="continue"/>
            <w:tcBorders>
              <w:top w:val="nil"/>
              <w:left w:val="single" w:color="000000" w:sz="8" w:space="0"/>
              <w:bottom w:val="single" w:color="000000" w:sz="8" w:space="0"/>
              <w:right w:val="single" w:color="000000" w:sz="8" w:space="0"/>
            </w:tcBorders>
            <w:vAlign w:val="center"/>
          </w:tcPr>
          <w:p w14:paraId="04278F25">
            <w:pPr>
              <w:widowControl/>
              <w:jc w:val="left"/>
              <w:rPr>
                <w:kern w:val="0"/>
                <w:sz w:val="22"/>
                <w:szCs w:val="22"/>
              </w:rPr>
            </w:pPr>
          </w:p>
        </w:tc>
      </w:tr>
      <w:tr w14:paraId="336EE59E">
        <w:tblPrEx>
          <w:tblCellMar>
            <w:top w:w="0" w:type="dxa"/>
            <w:left w:w="108" w:type="dxa"/>
            <w:bottom w:w="0" w:type="dxa"/>
            <w:right w:w="108" w:type="dxa"/>
          </w:tblCellMar>
        </w:tblPrEx>
        <w:trPr>
          <w:trHeight w:val="615" w:hRule="atLeast"/>
        </w:trPr>
        <w:tc>
          <w:tcPr>
            <w:tcW w:w="668" w:type="dxa"/>
            <w:tcBorders>
              <w:top w:val="nil"/>
              <w:left w:val="single" w:color="000000" w:sz="8" w:space="0"/>
              <w:bottom w:val="single" w:color="000000" w:sz="8" w:space="0"/>
              <w:right w:val="single" w:color="000000" w:sz="8" w:space="0"/>
            </w:tcBorders>
            <w:shd w:val="clear" w:color="auto" w:fill="auto"/>
            <w:vAlign w:val="center"/>
          </w:tcPr>
          <w:p w14:paraId="14318074">
            <w:pPr>
              <w:widowControl/>
              <w:jc w:val="center"/>
              <w:rPr>
                <w:kern w:val="0"/>
                <w:sz w:val="22"/>
                <w:szCs w:val="22"/>
              </w:rPr>
            </w:pPr>
            <w:r>
              <w:rPr>
                <w:kern w:val="0"/>
                <w:sz w:val="22"/>
                <w:szCs w:val="22"/>
              </w:rPr>
              <w:t>8</w:t>
            </w:r>
          </w:p>
        </w:tc>
        <w:tc>
          <w:tcPr>
            <w:tcW w:w="1176" w:type="dxa"/>
            <w:vMerge w:val="continue"/>
            <w:tcBorders>
              <w:top w:val="nil"/>
              <w:left w:val="single" w:color="000000" w:sz="8" w:space="0"/>
              <w:bottom w:val="single" w:color="000000" w:sz="8" w:space="0"/>
              <w:right w:val="single" w:color="000000" w:sz="8" w:space="0"/>
            </w:tcBorders>
            <w:vAlign w:val="center"/>
          </w:tcPr>
          <w:p w14:paraId="32742D87">
            <w:pPr>
              <w:widowControl/>
              <w:jc w:val="left"/>
              <w:rPr>
                <w:kern w:val="0"/>
                <w:sz w:val="22"/>
                <w:szCs w:val="22"/>
              </w:rPr>
            </w:pPr>
          </w:p>
        </w:tc>
        <w:tc>
          <w:tcPr>
            <w:tcW w:w="4111" w:type="dxa"/>
            <w:tcBorders>
              <w:top w:val="nil"/>
              <w:left w:val="nil"/>
              <w:bottom w:val="single" w:color="000000" w:sz="8" w:space="0"/>
              <w:right w:val="single" w:color="000000" w:sz="8" w:space="0"/>
            </w:tcBorders>
            <w:shd w:val="clear" w:color="auto" w:fill="auto"/>
            <w:vAlign w:val="center"/>
          </w:tcPr>
          <w:p w14:paraId="46ACD2C6">
            <w:pPr>
              <w:widowControl/>
              <w:jc w:val="center"/>
              <w:rPr>
                <w:kern w:val="0"/>
                <w:sz w:val="22"/>
                <w:szCs w:val="22"/>
              </w:rPr>
            </w:pPr>
            <w:r>
              <w:rPr>
                <w:rFonts w:hint="eastAsia" w:ascii="方正仿宋_GBK" w:eastAsia="方正仿宋_GBK"/>
                <w:kern w:val="0"/>
                <w:sz w:val="22"/>
                <w:szCs w:val="22"/>
              </w:rPr>
              <w:t>污水收集箱（</w:t>
            </w:r>
            <w:r>
              <w:rPr>
                <w:kern w:val="0"/>
                <w:sz w:val="22"/>
                <w:szCs w:val="22"/>
              </w:rPr>
              <w:t>1×2</w:t>
            </w:r>
            <w:r>
              <w:rPr>
                <w:rFonts w:hint="eastAsia" w:ascii="方正仿宋_GBK" w:eastAsia="方正仿宋_GBK"/>
                <w:kern w:val="0"/>
                <w:sz w:val="22"/>
                <w:szCs w:val="22"/>
              </w:rPr>
              <w:t>米</w:t>
            </w:r>
            <w:r>
              <w:rPr>
                <w:kern w:val="0"/>
                <w:sz w:val="22"/>
                <w:szCs w:val="22"/>
              </w:rPr>
              <w:t>×</w:t>
            </w:r>
            <w:r>
              <w:rPr>
                <w:rFonts w:hint="eastAsia" w:ascii="方正仿宋_GBK" w:eastAsia="方正仿宋_GBK"/>
                <w:kern w:val="0"/>
                <w:sz w:val="22"/>
                <w:szCs w:val="22"/>
              </w:rPr>
              <w:t>高</w:t>
            </w:r>
            <w:r>
              <w:rPr>
                <w:kern w:val="0"/>
                <w:sz w:val="22"/>
                <w:szCs w:val="22"/>
              </w:rPr>
              <w:t>1</w:t>
            </w:r>
            <w:r>
              <w:rPr>
                <w:rFonts w:hint="eastAsia" w:ascii="方正仿宋_GBK" w:eastAsia="方正仿宋_GBK"/>
                <w:kern w:val="0"/>
                <w:sz w:val="22"/>
                <w:szCs w:val="22"/>
              </w:rPr>
              <w:t>米</w:t>
            </w:r>
            <w:r>
              <w:rPr>
                <w:kern w:val="0"/>
                <w:sz w:val="22"/>
                <w:szCs w:val="22"/>
              </w:rPr>
              <w:t>×5</w:t>
            </w:r>
            <w:r>
              <w:rPr>
                <w:rFonts w:hint="eastAsia" w:ascii="方正仿宋_GBK" w:eastAsia="方正仿宋_GBK"/>
                <w:kern w:val="0"/>
                <w:sz w:val="22"/>
                <w:szCs w:val="22"/>
              </w:rPr>
              <w:t>面）</w:t>
            </w:r>
            <w:r>
              <w:rPr>
                <w:kern w:val="0"/>
                <w:sz w:val="22"/>
                <w:szCs w:val="22"/>
              </w:rPr>
              <w:t>×2</w:t>
            </w:r>
            <w:r>
              <w:rPr>
                <w:rFonts w:hint="eastAsia" w:ascii="方正仿宋_GBK" w:eastAsia="方正仿宋_GBK"/>
                <w:kern w:val="0"/>
                <w:sz w:val="22"/>
                <w:szCs w:val="22"/>
              </w:rPr>
              <w:t>台</w:t>
            </w:r>
          </w:p>
        </w:tc>
        <w:tc>
          <w:tcPr>
            <w:tcW w:w="1134" w:type="dxa"/>
            <w:tcBorders>
              <w:top w:val="nil"/>
              <w:left w:val="nil"/>
              <w:bottom w:val="single" w:color="000000" w:sz="8" w:space="0"/>
              <w:right w:val="single" w:color="000000" w:sz="8" w:space="0"/>
            </w:tcBorders>
            <w:shd w:val="clear" w:color="auto" w:fill="auto"/>
            <w:noWrap/>
            <w:vAlign w:val="center"/>
          </w:tcPr>
          <w:p w14:paraId="3FCB16C0">
            <w:pPr>
              <w:widowControl/>
              <w:jc w:val="center"/>
              <w:rPr>
                <w:kern w:val="0"/>
                <w:sz w:val="22"/>
                <w:szCs w:val="22"/>
              </w:rPr>
            </w:pPr>
            <w:r>
              <w:rPr>
                <w:kern w:val="0"/>
                <w:sz w:val="22"/>
                <w:szCs w:val="22"/>
              </w:rPr>
              <w:t>14</w:t>
            </w:r>
          </w:p>
        </w:tc>
        <w:tc>
          <w:tcPr>
            <w:tcW w:w="1275" w:type="dxa"/>
            <w:tcBorders>
              <w:top w:val="nil"/>
              <w:left w:val="nil"/>
              <w:bottom w:val="single" w:color="000000" w:sz="8" w:space="0"/>
              <w:right w:val="single" w:color="000000" w:sz="8" w:space="0"/>
            </w:tcBorders>
            <w:shd w:val="clear" w:color="auto" w:fill="auto"/>
            <w:vAlign w:val="center"/>
          </w:tcPr>
          <w:p w14:paraId="17FCF24A">
            <w:pPr>
              <w:widowControl/>
              <w:jc w:val="left"/>
              <w:rPr>
                <w:kern w:val="0"/>
                <w:sz w:val="22"/>
                <w:szCs w:val="22"/>
              </w:rPr>
            </w:pPr>
            <w:r>
              <w:rPr>
                <w:kern w:val="0"/>
                <w:sz w:val="22"/>
                <w:szCs w:val="22"/>
              </w:rPr>
              <w:t>　</w:t>
            </w:r>
          </w:p>
        </w:tc>
        <w:tc>
          <w:tcPr>
            <w:tcW w:w="1418" w:type="dxa"/>
            <w:tcBorders>
              <w:top w:val="nil"/>
              <w:left w:val="nil"/>
              <w:bottom w:val="single" w:color="000000" w:sz="8" w:space="0"/>
              <w:right w:val="single" w:color="000000" w:sz="8" w:space="0"/>
            </w:tcBorders>
            <w:shd w:val="clear" w:color="auto" w:fill="auto"/>
            <w:vAlign w:val="center"/>
          </w:tcPr>
          <w:p w14:paraId="455BF8BD">
            <w:pPr>
              <w:widowControl/>
              <w:jc w:val="left"/>
              <w:rPr>
                <w:kern w:val="0"/>
                <w:sz w:val="22"/>
                <w:szCs w:val="22"/>
              </w:rPr>
            </w:pPr>
            <w:r>
              <w:rPr>
                <w:kern w:val="0"/>
                <w:sz w:val="22"/>
                <w:szCs w:val="22"/>
              </w:rPr>
              <w:t>　</w:t>
            </w:r>
          </w:p>
        </w:tc>
        <w:tc>
          <w:tcPr>
            <w:tcW w:w="709" w:type="dxa"/>
            <w:vMerge w:val="continue"/>
            <w:tcBorders>
              <w:top w:val="nil"/>
              <w:left w:val="single" w:color="000000" w:sz="8" w:space="0"/>
              <w:bottom w:val="single" w:color="000000" w:sz="8" w:space="0"/>
              <w:right w:val="single" w:color="000000" w:sz="8" w:space="0"/>
            </w:tcBorders>
            <w:vAlign w:val="center"/>
          </w:tcPr>
          <w:p w14:paraId="1F6CD3BB">
            <w:pPr>
              <w:widowControl/>
              <w:jc w:val="left"/>
              <w:rPr>
                <w:kern w:val="0"/>
                <w:sz w:val="22"/>
                <w:szCs w:val="22"/>
              </w:rPr>
            </w:pPr>
          </w:p>
        </w:tc>
      </w:tr>
      <w:tr w14:paraId="43E5AA15">
        <w:tblPrEx>
          <w:tblCellMar>
            <w:top w:w="0" w:type="dxa"/>
            <w:left w:w="108" w:type="dxa"/>
            <w:bottom w:w="0" w:type="dxa"/>
            <w:right w:w="108" w:type="dxa"/>
          </w:tblCellMar>
        </w:tblPrEx>
        <w:trPr>
          <w:trHeight w:val="615" w:hRule="atLeast"/>
        </w:trPr>
        <w:tc>
          <w:tcPr>
            <w:tcW w:w="668" w:type="dxa"/>
            <w:tcBorders>
              <w:top w:val="nil"/>
              <w:left w:val="single" w:color="000000" w:sz="8" w:space="0"/>
              <w:bottom w:val="single" w:color="000000" w:sz="8" w:space="0"/>
              <w:right w:val="single" w:color="000000" w:sz="8" w:space="0"/>
            </w:tcBorders>
            <w:shd w:val="clear" w:color="auto" w:fill="auto"/>
            <w:vAlign w:val="center"/>
          </w:tcPr>
          <w:p w14:paraId="5AFA4377">
            <w:pPr>
              <w:widowControl/>
              <w:jc w:val="center"/>
              <w:rPr>
                <w:kern w:val="0"/>
                <w:sz w:val="22"/>
                <w:szCs w:val="22"/>
              </w:rPr>
            </w:pPr>
            <w:r>
              <w:rPr>
                <w:kern w:val="0"/>
                <w:sz w:val="22"/>
                <w:szCs w:val="22"/>
              </w:rPr>
              <w:t>9</w:t>
            </w:r>
          </w:p>
        </w:tc>
        <w:tc>
          <w:tcPr>
            <w:tcW w:w="1176" w:type="dxa"/>
            <w:vMerge w:val="continue"/>
            <w:tcBorders>
              <w:top w:val="nil"/>
              <w:left w:val="single" w:color="000000" w:sz="8" w:space="0"/>
              <w:bottom w:val="single" w:color="000000" w:sz="8" w:space="0"/>
              <w:right w:val="single" w:color="000000" w:sz="8" w:space="0"/>
            </w:tcBorders>
            <w:vAlign w:val="center"/>
          </w:tcPr>
          <w:p w14:paraId="5912D43C">
            <w:pPr>
              <w:widowControl/>
              <w:jc w:val="left"/>
              <w:rPr>
                <w:kern w:val="0"/>
                <w:sz w:val="22"/>
                <w:szCs w:val="22"/>
              </w:rPr>
            </w:pPr>
          </w:p>
        </w:tc>
        <w:tc>
          <w:tcPr>
            <w:tcW w:w="4111" w:type="dxa"/>
            <w:tcBorders>
              <w:top w:val="nil"/>
              <w:left w:val="nil"/>
              <w:bottom w:val="single" w:color="000000" w:sz="8" w:space="0"/>
              <w:right w:val="single" w:color="000000" w:sz="8" w:space="0"/>
            </w:tcBorders>
            <w:shd w:val="clear" w:color="auto" w:fill="auto"/>
            <w:vAlign w:val="center"/>
          </w:tcPr>
          <w:p w14:paraId="225F17F0">
            <w:pPr>
              <w:widowControl/>
              <w:jc w:val="center"/>
              <w:rPr>
                <w:kern w:val="0"/>
                <w:sz w:val="22"/>
                <w:szCs w:val="22"/>
              </w:rPr>
            </w:pPr>
            <w:r>
              <w:rPr>
                <w:kern w:val="0"/>
                <w:sz w:val="22"/>
                <w:szCs w:val="22"/>
              </w:rPr>
              <w:t>2#</w:t>
            </w:r>
            <w:r>
              <w:rPr>
                <w:rFonts w:hint="eastAsia" w:ascii="方正仿宋_GBK" w:eastAsia="方正仿宋_GBK"/>
                <w:kern w:val="0"/>
                <w:sz w:val="22"/>
                <w:szCs w:val="22"/>
              </w:rPr>
              <w:t>平台盖板（</w:t>
            </w:r>
            <w:r>
              <w:rPr>
                <w:kern w:val="0"/>
                <w:sz w:val="22"/>
                <w:szCs w:val="22"/>
              </w:rPr>
              <w:t>1×2</w:t>
            </w:r>
            <w:r>
              <w:rPr>
                <w:rFonts w:hint="eastAsia" w:ascii="方正仿宋_GBK" w:eastAsia="方正仿宋_GBK"/>
                <w:kern w:val="0"/>
                <w:sz w:val="22"/>
                <w:szCs w:val="22"/>
              </w:rPr>
              <w:t>米）</w:t>
            </w:r>
            <w:r>
              <w:rPr>
                <w:kern w:val="0"/>
                <w:sz w:val="22"/>
                <w:szCs w:val="22"/>
              </w:rPr>
              <w:t>×2</w:t>
            </w:r>
            <w:r>
              <w:rPr>
                <w:rFonts w:hint="eastAsia" w:ascii="方正仿宋_GBK" w:eastAsia="方正仿宋_GBK"/>
                <w:kern w:val="0"/>
                <w:sz w:val="22"/>
                <w:szCs w:val="22"/>
              </w:rPr>
              <w:t>台</w:t>
            </w:r>
          </w:p>
        </w:tc>
        <w:tc>
          <w:tcPr>
            <w:tcW w:w="1134" w:type="dxa"/>
            <w:tcBorders>
              <w:top w:val="nil"/>
              <w:left w:val="nil"/>
              <w:bottom w:val="single" w:color="000000" w:sz="8" w:space="0"/>
              <w:right w:val="single" w:color="000000" w:sz="8" w:space="0"/>
            </w:tcBorders>
            <w:shd w:val="clear" w:color="auto" w:fill="auto"/>
            <w:noWrap/>
            <w:vAlign w:val="center"/>
          </w:tcPr>
          <w:p w14:paraId="58A38AA6">
            <w:pPr>
              <w:widowControl/>
              <w:jc w:val="center"/>
              <w:rPr>
                <w:kern w:val="0"/>
                <w:sz w:val="22"/>
                <w:szCs w:val="22"/>
              </w:rPr>
            </w:pPr>
            <w:r>
              <w:rPr>
                <w:kern w:val="0"/>
                <w:sz w:val="22"/>
                <w:szCs w:val="22"/>
              </w:rPr>
              <w:t>4</w:t>
            </w:r>
          </w:p>
        </w:tc>
        <w:tc>
          <w:tcPr>
            <w:tcW w:w="1275" w:type="dxa"/>
            <w:tcBorders>
              <w:top w:val="nil"/>
              <w:left w:val="nil"/>
              <w:bottom w:val="single" w:color="000000" w:sz="8" w:space="0"/>
              <w:right w:val="single" w:color="000000" w:sz="8" w:space="0"/>
            </w:tcBorders>
            <w:shd w:val="clear" w:color="auto" w:fill="auto"/>
            <w:vAlign w:val="center"/>
          </w:tcPr>
          <w:p w14:paraId="409DC204">
            <w:pPr>
              <w:widowControl/>
              <w:jc w:val="left"/>
              <w:rPr>
                <w:kern w:val="0"/>
                <w:sz w:val="22"/>
                <w:szCs w:val="22"/>
              </w:rPr>
            </w:pPr>
            <w:r>
              <w:rPr>
                <w:kern w:val="0"/>
                <w:sz w:val="22"/>
                <w:szCs w:val="22"/>
              </w:rPr>
              <w:t>　</w:t>
            </w:r>
          </w:p>
        </w:tc>
        <w:tc>
          <w:tcPr>
            <w:tcW w:w="1418" w:type="dxa"/>
            <w:tcBorders>
              <w:top w:val="nil"/>
              <w:left w:val="nil"/>
              <w:bottom w:val="single" w:color="000000" w:sz="8" w:space="0"/>
              <w:right w:val="single" w:color="000000" w:sz="8" w:space="0"/>
            </w:tcBorders>
            <w:shd w:val="clear" w:color="auto" w:fill="auto"/>
            <w:vAlign w:val="center"/>
          </w:tcPr>
          <w:p w14:paraId="2118FA04">
            <w:pPr>
              <w:widowControl/>
              <w:jc w:val="left"/>
              <w:rPr>
                <w:kern w:val="0"/>
                <w:sz w:val="22"/>
                <w:szCs w:val="22"/>
              </w:rPr>
            </w:pPr>
            <w:r>
              <w:rPr>
                <w:kern w:val="0"/>
                <w:sz w:val="22"/>
                <w:szCs w:val="22"/>
              </w:rPr>
              <w:t>　</w:t>
            </w:r>
          </w:p>
        </w:tc>
        <w:tc>
          <w:tcPr>
            <w:tcW w:w="709" w:type="dxa"/>
            <w:vMerge w:val="continue"/>
            <w:tcBorders>
              <w:top w:val="nil"/>
              <w:left w:val="single" w:color="000000" w:sz="8" w:space="0"/>
              <w:bottom w:val="single" w:color="000000" w:sz="8" w:space="0"/>
              <w:right w:val="single" w:color="000000" w:sz="8" w:space="0"/>
            </w:tcBorders>
            <w:vAlign w:val="center"/>
          </w:tcPr>
          <w:p w14:paraId="4C54B513">
            <w:pPr>
              <w:widowControl/>
              <w:jc w:val="left"/>
              <w:rPr>
                <w:kern w:val="0"/>
                <w:sz w:val="22"/>
                <w:szCs w:val="22"/>
              </w:rPr>
            </w:pPr>
          </w:p>
        </w:tc>
      </w:tr>
      <w:tr w14:paraId="25C39939">
        <w:tblPrEx>
          <w:tblCellMar>
            <w:top w:w="0" w:type="dxa"/>
            <w:left w:w="108" w:type="dxa"/>
            <w:bottom w:w="0" w:type="dxa"/>
            <w:right w:w="108" w:type="dxa"/>
          </w:tblCellMar>
        </w:tblPrEx>
        <w:trPr>
          <w:trHeight w:val="315" w:hRule="atLeast"/>
        </w:trPr>
        <w:tc>
          <w:tcPr>
            <w:tcW w:w="668" w:type="dxa"/>
            <w:vMerge w:val="restart"/>
            <w:tcBorders>
              <w:top w:val="nil"/>
              <w:left w:val="single" w:color="000000" w:sz="8" w:space="0"/>
              <w:bottom w:val="single" w:color="000000" w:sz="8" w:space="0"/>
              <w:right w:val="single" w:color="000000" w:sz="8" w:space="0"/>
            </w:tcBorders>
            <w:shd w:val="clear" w:color="auto" w:fill="auto"/>
            <w:vAlign w:val="center"/>
          </w:tcPr>
          <w:p w14:paraId="1185CADD">
            <w:pPr>
              <w:widowControl/>
              <w:jc w:val="center"/>
              <w:rPr>
                <w:kern w:val="0"/>
                <w:sz w:val="22"/>
                <w:szCs w:val="22"/>
              </w:rPr>
            </w:pPr>
            <w:r>
              <w:rPr>
                <w:kern w:val="0"/>
                <w:sz w:val="22"/>
                <w:szCs w:val="22"/>
              </w:rPr>
              <w:t>10</w:t>
            </w:r>
          </w:p>
        </w:tc>
        <w:tc>
          <w:tcPr>
            <w:tcW w:w="1176" w:type="dxa"/>
            <w:vMerge w:val="continue"/>
            <w:tcBorders>
              <w:top w:val="nil"/>
              <w:left w:val="single" w:color="000000" w:sz="8" w:space="0"/>
              <w:bottom w:val="single" w:color="000000" w:sz="8" w:space="0"/>
              <w:right w:val="single" w:color="000000" w:sz="8" w:space="0"/>
            </w:tcBorders>
            <w:vAlign w:val="center"/>
          </w:tcPr>
          <w:p w14:paraId="299180C5">
            <w:pPr>
              <w:widowControl/>
              <w:jc w:val="left"/>
              <w:rPr>
                <w:kern w:val="0"/>
                <w:sz w:val="22"/>
                <w:szCs w:val="22"/>
              </w:rPr>
            </w:pPr>
          </w:p>
        </w:tc>
        <w:tc>
          <w:tcPr>
            <w:tcW w:w="4111" w:type="dxa"/>
            <w:tcBorders>
              <w:top w:val="nil"/>
              <w:left w:val="nil"/>
              <w:bottom w:val="single" w:color="000000" w:sz="8" w:space="0"/>
              <w:right w:val="single" w:color="000000" w:sz="8" w:space="0"/>
            </w:tcBorders>
            <w:shd w:val="clear" w:color="auto" w:fill="auto"/>
            <w:vAlign w:val="center"/>
          </w:tcPr>
          <w:p w14:paraId="3CB07B0C">
            <w:pPr>
              <w:widowControl/>
              <w:jc w:val="center"/>
              <w:rPr>
                <w:kern w:val="0"/>
                <w:sz w:val="22"/>
                <w:szCs w:val="22"/>
              </w:rPr>
            </w:pPr>
            <w:r>
              <w:rPr>
                <w:rFonts w:hint="eastAsia" w:ascii="方正仿宋_GBK" w:eastAsia="方正仿宋_GBK"/>
                <w:kern w:val="0"/>
                <w:sz w:val="22"/>
                <w:szCs w:val="22"/>
              </w:rPr>
              <w:t>支架∠</w:t>
            </w:r>
            <w:r>
              <w:rPr>
                <w:kern w:val="0"/>
                <w:sz w:val="22"/>
                <w:szCs w:val="22"/>
              </w:rPr>
              <w:t>70×5</w:t>
            </w:r>
            <w:r>
              <w:rPr>
                <w:rFonts w:hint="eastAsia" w:ascii="方正仿宋_GBK" w:eastAsia="方正仿宋_GBK"/>
                <w:kern w:val="0"/>
                <w:sz w:val="22"/>
                <w:szCs w:val="22"/>
              </w:rPr>
              <w:t>米</w:t>
            </w:r>
          </w:p>
        </w:tc>
        <w:tc>
          <w:tcPr>
            <w:tcW w:w="1134" w:type="dxa"/>
            <w:tcBorders>
              <w:top w:val="nil"/>
              <w:left w:val="nil"/>
              <w:bottom w:val="single" w:color="000000" w:sz="8" w:space="0"/>
              <w:right w:val="single" w:color="000000" w:sz="8" w:space="0"/>
            </w:tcBorders>
            <w:shd w:val="clear" w:color="auto" w:fill="auto"/>
            <w:noWrap/>
            <w:vAlign w:val="center"/>
          </w:tcPr>
          <w:p w14:paraId="64BBFB2D">
            <w:pPr>
              <w:widowControl/>
              <w:jc w:val="center"/>
              <w:rPr>
                <w:kern w:val="0"/>
                <w:sz w:val="22"/>
                <w:szCs w:val="22"/>
              </w:rPr>
            </w:pPr>
            <w:r>
              <w:rPr>
                <w:kern w:val="0"/>
                <w:sz w:val="22"/>
                <w:szCs w:val="22"/>
              </w:rPr>
              <w:t>1.4</w:t>
            </w:r>
          </w:p>
        </w:tc>
        <w:tc>
          <w:tcPr>
            <w:tcW w:w="1275" w:type="dxa"/>
            <w:tcBorders>
              <w:top w:val="nil"/>
              <w:left w:val="nil"/>
              <w:bottom w:val="single" w:color="000000" w:sz="8" w:space="0"/>
              <w:right w:val="single" w:color="000000" w:sz="8" w:space="0"/>
            </w:tcBorders>
            <w:shd w:val="clear" w:color="auto" w:fill="auto"/>
            <w:vAlign w:val="center"/>
          </w:tcPr>
          <w:p w14:paraId="26831AF3">
            <w:pPr>
              <w:widowControl/>
              <w:jc w:val="left"/>
              <w:rPr>
                <w:kern w:val="0"/>
                <w:sz w:val="22"/>
                <w:szCs w:val="22"/>
              </w:rPr>
            </w:pPr>
            <w:r>
              <w:rPr>
                <w:kern w:val="0"/>
                <w:sz w:val="22"/>
                <w:szCs w:val="22"/>
              </w:rPr>
              <w:t>　</w:t>
            </w:r>
          </w:p>
        </w:tc>
        <w:tc>
          <w:tcPr>
            <w:tcW w:w="1418" w:type="dxa"/>
            <w:tcBorders>
              <w:top w:val="nil"/>
              <w:left w:val="nil"/>
              <w:bottom w:val="single" w:color="000000" w:sz="8" w:space="0"/>
              <w:right w:val="single" w:color="000000" w:sz="8" w:space="0"/>
            </w:tcBorders>
            <w:shd w:val="clear" w:color="auto" w:fill="auto"/>
            <w:vAlign w:val="center"/>
          </w:tcPr>
          <w:p w14:paraId="08065579">
            <w:pPr>
              <w:widowControl/>
              <w:jc w:val="left"/>
              <w:rPr>
                <w:kern w:val="0"/>
                <w:sz w:val="22"/>
                <w:szCs w:val="22"/>
              </w:rPr>
            </w:pPr>
            <w:r>
              <w:rPr>
                <w:kern w:val="0"/>
                <w:sz w:val="22"/>
                <w:szCs w:val="22"/>
              </w:rPr>
              <w:t>　</w:t>
            </w:r>
          </w:p>
        </w:tc>
        <w:tc>
          <w:tcPr>
            <w:tcW w:w="709" w:type="dxa"/>
            <w:vMerge w:val="continue"/>
            <w:tcBorders>
              <w:top w:val="nil"/>
              <w:left w:val="single" w:color="000000" w:sz="8" w:space="0"/>
              <w:bottom w:val="single" w:color="000000" w:sz="8" w:space="0"/>
              <w:right w:val="single" w:color="000000" w:sz="8" w:space="0"/>
            </w:tcBorders>
            <w:vAlign w:val="center"/>
          </w:tcPr>
          <w:p w14:paraId="41D6E3F3">
            <w:pPr>
              <w:widowControl/>
              <w:jc w:val="left"/>
              <w:rPr>
                <w:kern w:val="0"/>
                <w:sz w:val="22"/>
                <w:szCs w:val="22"/>
              </w:rPr>
            </w:pPr>
          </w:p>
        </w:tc>
      </w:tr>
      <w:tr w14:paraId="67FBCCBA">
        <w:tblPrEx>
          <w:tblCellMar>
            <w:top w:w="0" w:type="dxa"/>
            <w:left w:w="108" w:type="dxa"/>
            <w:bottom w:w="0" w:type="dxa"/>
            <w:right w:w="108" w:type="dxa"/>
          </w:tblCellMar>
        </w:tblPrEx>
        <w:trPr>
          <w:trHeight w:val="615" w:hRule="atLeast"/>
        </w:trPr>
        <w:tc>
          <w:tcPr>
            <w:tcW w:w="668" w:type="dxa"/>
            <w:vMerge w:val="continue"/>
            <w:tcBorders>
              <w:top w:val="nil"/>
              <w:left w:val="single" w:color="000000" w:sz="8" w:space="0"/>
              <w:bottom w:val="single" w:color="000000" w:sz="8" w:space="0"/>
              <w:right w:val="single" w:color="000000" w:sz="8" w:space="0"/>
            </w:tcBorders>
            <w:vAlign w:val="center"/>
          </w:tcPr>
          <w:p w14:paraId="7D648D81">
            <w:pPr>
              <w:widowControl/>
              <w:jc w:val="left"/>
              <w:rPr>
                <w:kern w:val="0"/>
                <w:sz w:val="22"/>
                <w:szCs w:val="22"/>
              </w:rPr>
            </w:pPr>
          </w:p>
        </w:tc>
        <w:tc>
          <w:tcPr>
            <w:tcW w:w="1176" w:type="dxa"/>
            <w:vMerge w:val="continue"/>
            <w:tcBorders>
              <w:top w:val="nil"/>
              <w:left w:val="single" w:color="000000" w:sz="8" w:space="0"/>
              <w:bottom w:val="single" w:color="000000" w:sz="8" w:space="0"/>
              <w:right w:val="single" w:color="000000" w:sz="8" w:space="0"/>
            </w:tcBorders>
            <w:vAlign w:val="center"/>
          </w:tcPr>
          <w:p w14:paraId="15D9DE94">
            <w:pPr>
              <w:widowControl/>
              <w:jc w:val="left"/>
              <w:rPr>
                <w:kern w:val="0"/>
                <w:sz w:val="22"/>
                <w:szCs w:val="22"/>
              </w:rPr>
            </w:pPr>
          </w:p>
        </w:tc>
        <w:tc>
          <w:tcPr>
            <w:tcW w:w="4111" w:type="dxa"/>
            <w:tcBorders>
              <w:top w:val="nil"/>
              <w:left w:val="nil"/>
              <w:bottom w:val="single" w:color="000000" w:sz="8" w:space="0"/>
              <w:right w:val="single" w:color="000000" w:sz="8" w:space="0"/>
            </w:tcBorders>
            <w:shd w:val="clear" w:color="auto" w:fill="auto"/>
            <w:vAlign w:val="center"/>
          </w:tcPr>
          <w:p w14:paraId="2AA6DDB0">
            <w:pPr>
              <w:widowControl/>
              <w:jc w:val="center"/>
              <w:rPr>
                <w:kern w:val="0"/>
                <w:sz w:val="22"/>
                <w:szCs w:val="22"/>
              </w:rPr>
            </w:pPr>
            <w:r>
              <w:rPr>
                <w:kern w:val="0"/>
                <w:sz w:val="22"/>
                <w:szCs w:val="22"/>
              </w:rPr>
              <w:t>H350×</w:t>
            </w:r>
            <w:r>
              <w:rPr>
                <w:rFonts w:hint="eastAsia" w:ascii="方正仿宋_GBK" w:eastAsia="方正仿宋_GBK"/>
                <w:kern w:val="0"/>
                <w:sz w:val="22"/>
                <w:szCs w:val="22"/>
              </w:rPr>
              <w:t>（</w:t>
            </w:r>
            <w:r>
              <w:rPr>
                <w:kern w:val="0"/>
                <w:sz w:val="22"/>
                <w:szCs w:val="22"/>
              </w:rPr>
              <w:t>1.8×4</w:t>
            </w:r>
            <w:r>
              <w:rPr>
                <w:rFonts w:hint="eastAsia" w:ascii="方正仿宋_GBK" w:eastAsia="方正仿宋_GBK"/>
                <w:kern w:val="0"/>
                <w:sz w:val="22"/>
                <w:szCs w:val="22"/>
              </w:rPr>
              <w:t>根</w:t>
            </w:r>
            <w:r>
              <w:rPr>
                <w:kern w:val="0"/>
                <w:sz w:val="22"/>
                <w:szCs w:val="22"/>
              </w:rPr>
              <w:t>+3.5×2</w:t>
            </w:r>
            <w:r>
              <w:rPr>
                <w:rFonts w:hint="eastAsia" w:ascii="方正仿宋_GBK" w:eastAsia="方正仿宋_GBK"/>
                <w:kern w:val="0"/>
                <w:sz w:val="22"/>
                <w:szCs w:val="22"/>
              </w:rPr>
              <w:t>根）</w:t>
            </w:r>
          </w:p>
        </w:tc>
        <w:tc>
          <w:tcPr>
            <w:tcW w:w="1134" w:type="dxa"/>
            <w:tcBorders>
              <w:top w:val="nil"/>
              <w:left w:val="nil"/>
              <w:bottom w:val="single" w:color="000000" w:sz="8" w:space="0"/>
              <w:right w:val="single" w:color="000000" w:sz="8" w:space="0"/>
            </w:tcBorders>
            <w:shd w:val="clear" w:color="auto" w:fill="auto"/>
            <w:noWrap/>
            <w:vAlign w:val="center"/>
          </w:tcPr>
          <w:p w14:paraId="0FB2176C">
            <w:pPr>
              <w:widowControl/>
              <w:jc w:val="center"/>
              <w:rPr>
                <w:kern w:val="0"/>
                <w:sz w:val="22"/>
                <w:szCs w:val="22"/>
              </w:rPr>
            </w:pPr>
            <w:r>
              <w:rPr>
                <w:kern w:val="0"/>
                <w:sz w:val="22"/>
                <w:szCs w:val="22"/>
              </w:rPr>
              <w:t>29.82</w:t>
            </w:r>
          </w:p>
        </w:tc>
        <w:tc>
          <w:tcPr>
            <w:tcW w:w="1275" w:type="dxa"/>
            <w:tcBorders>
              <w:top w:val="nil"/>
              <w:left w:val="nil"/>
              <w:bottom w:val="single" w:color="000000" w:sz="8" w:space="0"/>
              <w:right w:val="single" w:color="000000" w:sz="8" w:space="0"/>
            </w:tcBorders>
            <w:shd w:val="clear" w:color="auto" w:fill="auto"/>
            <w:vAlign w:val="center"/>
          </w:tcPr>
          <w:p w14:paraId="78400960">
            <w:pPr>
              <w:widowControl/>
              <w:jc w:val="left"/>
              <w:rPr>
                <w:kern w:val="0"/>
                <w:sz w:val="22"/>
                <w:szCs w:val="22"/>
              </w:rPr>
            </w:pPr>
            <w:r>
              <w:rPr>
                <w:kern w:val="0"/>
                <w:sz w:val="22"/>
                <w:szCs w:val="22"/>
              </w:rPr>
              <w:t>　</w:t>
            </w:r>
          </w:p>
        </w:tc>
        <w:tc>
          <w:tcPr>
            <w:tcW w:w="1418" w:type="dxa"/>
            <w:tcBorders>
              <w:top w:val="nil"/>
              <w:left w:val="nil"/>
              <w:bottom w:val="single" w:color="000000" w:sz="8" w:space="0"/>
              <w:right w:val="single" w:color="000000" w:sz="8" w:space="0"/>
            </w:tcBorders>
            <w:shd w:val="clear" w:color="auto" w:fill="auto"/>
            <w:vAlign w:val="center"/>
          </w:tcPr>
          <w:p w14:paraId="10FF1757">
            <w:pPr>
              <w:widowControl/>
              <w:jc w:val="left"/>
              <w:rPr>
                <w:kern w:val="0"/>
                <w:sz w:val="22"/>
                <w:szCs w:val="22"/>
              </w:rPr>
            </w:pPr>
            <w:r>
              <w:rPr>
                <w:kern w:val="0"/>
                <w:sz w:val="22"/>
                <w:szCs w:val="22"/>
              </w:rPr>
              <w:t>　</w:t>
            </w:r>
          </w:p>
        </w:tc>
        <w:tc>
          <w:tcPr>
            <w:tcW w:w="709" w:type="dxa"/>
            <w:vMerge w:val="continue"/>
            <w:tcBorders>
              <w:top w:val="nil"/>
              <w:left w:val="single" w:color="000000" w:sz="8" w:space="0"/>
              <w:bottom w:val="single" w:color="000000" w:sz="8" w:space="0"/>
              <w:right w:val="single" w:color="000000" w:sz="8" w:space="0"/>
            </w:tcBorders>
            <w:vAlign w:val="center"/>
          </w:tcPr>
          <w:p w14:paraId="02F8EC13">
            <w:pPr>
              <w:widowControl/>
              <w:jc w:val="left"/>
              <w:rPr>
                <w:kern w:val="0"/>
                <w:sz w:val="22"/>
                <w:szCs w:val="22"/>
              </w:rPr>
            </w:pPr>
          </w:p>
        </w:tc>
      </w:tr>
      <w:tr w14:paraId="6FAAD0A1">
        <w:tblPrEx>
          <w:tblCellMar>
            <w:top w:w="0" w:type="dxa"/>
            <w:left w:w="108" w:type="dxa"/>
            <w:bottom w:w="0" w:type="dxa"/>
            <w:right w:w="108" w:type="dxa"/>
          </w:tblCellMar>
        </w:tblPrEx>
        <w:trPr>
          <w:trHeight w:val="315" w:hRule="atLeast"/>
        </w:trPr>
        <w:tc>
          <w:tcPr>
            <w:tcW w:w="668" w:type="dxa"/>
            <w:vMerge w:val="continue"/>
            <w:tcBorders>
              <w:top w:val="nil"/>
              <w:left w:val="single" w:color="000000" w:sz="8" w:space="0"/>
              <w:bottom w:val="single" w:color="000000" w:sz="8" w:space="0"/>
              <w:right w:val="single" w:color="000000" w:sz="8" w:space="0"/>
            </w:tcBorders>
            <w:vAlign w:val="center"/>
          </w:tcPr>
          <w:p w14:paraId="557C7BCE">
            <w:pPr>
              <w:widowControl/>
              <w:jc w:val="left"/>
              <w:rPr>
                <w:kern w:val="0"/>
                <w:sz w:val="22"/>
                <w:szCs w:val="22"/>
              </w:rPr>
            </w:pPr>
          </w:p>
        </w:tc>
        <w:tc>
          <w:tcPr>
            <w:tcW w:w="1176" w:type="dxa"/>
            <w:vMerge w:val="continue"/>
            <w:tcBorders>
              <w:top w:val="nil"/>
              <w:left w:val="single" w:color="000000" w:sz="8" w:space="0"/>
              <w:bottom w:val="single" w:color="000000" w:sz="8" w:space="0"/>
              <w:right w:val="single" w:color="000000" w:sz="8" w:space="0"/>
            </w:tcBorders>
            <w:vAlign w:val="center"/>
          </w:tcPr>
          <w:p w14:paraId="60325665">
            <w:pPr>
              <w:widowControl/>
              <w:jc w:val="left"/>
              <w:rPr>
                <w:kern w:val="0"/>
                <w:sz w:val="22"/>
                <w:szCs w:val="22"/>
              </w:rPr>
            </w:pPr>
          </w:p>
        </w:tc>
        <w:tc>
          <w:tcPr>
            <w:tcW w:w="4111" w:type="dxa"/>
            <w:tcBorders>
              <w:top w:val="nil"/>
              <w:left w:val="nil"/>
              <w:bottom w:val="single" w:color="000000" w:sz="8" w:space="0"/>
              <w:right w:val="single" w:color="000000" w:sz="8" w:space="0"/>
            </w:tcBorders>
            <w:shd w:val="clear" w:color="auto" w:fill="auto"/>
            <w:vAlign w:val="center"/>
          </w:tcPr>
          <w:p w14:paraId="374E460A">
            <w:pPr>
              <w:widowControl/>
              <w:jc w:val="center"/>
              <w:rPr>
                <w:kern w:val="0"/>
                <w:sz w:val="22"/>
                <w:szCs w:val="22"/>
              </w:rPr>
            </w:pPr>
            <w:r>
              <w:rPr>
                <w:kern w:val="0"/>
                <w:sz w:val="22"/>
                <w:szCs w:val="22"/>
              </w:rPr>
              <w:t>DN25×94</w:t>
            </w:r>
            <w:r>
              <w:rPr>
                <w:rFonts w:hint="eastAsia" w:ascii="方正仿宋_GBK" w:eastAsia="方正仿宋_GBK"/>
                <w:kern w:val="0"/>
                <w:sz w:val="22"/>
                <w:szCs w:val="22"/>
              </w:rPr>
              <w:t>米</w:t>
            </w:r>
          </w:p>
        </w:tc>
        <w:tc>
          <w:tcPr>
            <w:tcW w:w="1134" w:type="dxa"/>
            <w:tcBorders>
              <w:top w:val="nil"/>
              <w:left w:val="nil"/>
              <w:bottom w:val="single" w:color="000000" w:sz="8" w:space="0"/>
              <w:right w:val="single" w:color="000000" w:sz="8" w:space="0"/>
            </w:tcBorders>
            <w:shd w:val="clear" w:color="auto" w:fill="auto"/>
            <w:noWrap/>
            <w:vAlign w:val="center"/>
          </w:tcPr>
          <w:p w14:paraId="0A469854">
            <w:pPr>
              <w:widowControl/>
              <w:jc w:val="center"/>
              <w:rPr>
                <w:kern w:val="0"/>
                <w:sz w:val="22"/>
                <w:szCs w:val="22"/>
              </w:rPr>
            </w:pPr>
            <w:r>
              <w:rPr>
                <w:kern w:val="0"/>
                <w:sz w:val="22"/>
                <w:szCs w:val="22"/>
              </w:rPr>
              <w:t>10.04</w:t>
            </w:r>
          </w:p>
        </w:tc>
        <w:tc>
          <w:tcPr>
            <w:tcW w:w="1275" w:type="dxa"/>
            <w:tcBorders>
              <w:top w:val="nil"/>
              <w:left w:val="nil"/>
              <w:bottom w:val="single" w:color="000000" w:sz="8" w:space="0"/>
              <w:right w:val="single" w:color="000000" w:sz="8" w:space="0"/>
            </w:tcBorders>
            <w:shd w:val="clear" w:color="auto" w:fill="auto"/>
            <w:vAlign w:val="center"/>
          </w:tcPr>
          <w:p w14:paraId="5484B4EB">
            <w:pPr>
              <w:widowControl/>
              <w:jc w:val="left"/>
              <w:rPr>
                <w:kern w:val="0"/>
                <w:sz w:val="22"/>
                <w:szCs w:val="22"/>
              </w:rPr>
            </w:pPr>
            <w:r>
              <w:rPr>
                <w:kern w:val="0"/>
                <w:sz w:val="22"/>
                <w:szCs w:val="22"/>
              </w:rPr>
              <w:t>　</w:t>
            </w:r>
          </w:p>
        </w:tc>
        <w:tc>
          <w:tcPr>
            <w:tcW w:w="1418" w:type="dxa"/>
            <w:tcBorders>
              <w:top w:val="nil"/>
              <w:left w:val="nil"/>
              <w:bottom w:val="single" w:color="000000" w:sz="8" w:space="0"/>
              <w:right w:val="single" w:color="000000" w:sz="8" w:space="0"/>
            </w:tcBorders>
            <w:shd w:val="clear" w:color="auto" w:fill="auto"/>
            <w:vAlign w:val="center"/>
          </w:tcPr>
          <w:p w14:paraId="05D1BF11">
            <w:pPr>
              <w:widowControl/>
              <w:jc w:val="left"/>
              <w:rPr>
                <w:kern w:val="0"/>
                <w:sz w:val="22"/>
                <w:szCs w:val="22"/>
              </w:rPr>
            </w:pPr>
            <w:r>
              <w:rPr>
                <w:kern w:val="0"/>
                <w:sz w:val="22"/>
                <w:szCs w:val="22"/>
              </w:rPr>
              <w:t>　</w:t>
            </w:r>
          </w:p>
        </w:tc>
        <w:tc>
          <w:tcPr>
            <w:tcW w:w="709" w:type="dxa"/>
            <w:vMerge w:val="continue"/>
            <w:tcBorders>
              <w:top w:val="nil"/>
              <w:left w:val="single" w:color="000000" w:sz="8" w:space="0"/>
              <w:bottom w:val="single" w:color="000000" w:sz="8" w:space="0"/>
              <w:right w:val="single" w:color="000000" w:sz="8" w:space="0"/>
            </w:tcBorders>
            <w:vAlign w:val="center"/>
          </w:tcPr>
          <w:p w14:paraId="696B5B09">
            <w:pPr>
              <w:widowControl/>
              <w:jc w:val="left"/>
              <w:rPr>
                <w:kern w:val="0"/>
                <w:sz w:val="22"/>
                <w:szCs w:val="22"/>
              </w:rPr>
            </w:pPr>
          </w:p>
        </w:tc>
      </w:tr>
      <w:tr w14:paraId="0247A5F5">
        <w:tblPrEx>
          <w:tblCellMar>
            <w:top w:w="0" w:type="dxa"/>
            <w:left w:w="108" w:type="dxa"/>
            <w:bottom w:w="0" w:type="dxa"/>
            <w:right w:w="108" w:type="dxa"/>
          </w:tblCellMar>
        </w:tblPrEx>
        <w:trPr>
          <w:trHeight w:val="615" w:hRule="atLeast"/>
        </w:trPr>
        <w:tc>
          <w:tcPr>
            <w:tcW w:w="668" w:type="dxa"/>
            <w:vMerge w:val="continue"/>
            <w:tcBorders>
              <w:top w:val="nil"/>
              <w:left w:val="single" w:color="000000" w:sz="8" w:space="0"/>
              <w:bottom w:val="single" w:color="000000" w:sz="8" w:space="0"/>
              <w:right w:val="single" w:color="000000" w:sz="8" w:space="0"/>
            </w:tcBorders>
            <w:vAlign w:val="center"/>
          </w:tcPr>
          <w:p w14:paraId="710DE5AB">
            <w:pPr>
              <w:widowControl/>
              <w:jc w:val="left"/>
              <w:rPr>
                <w:kern w:val="0"/>
                <w:sz w:val="22"/>
                <w:szCs w:val="22"/>
              </w:rPr>
            </w:pPr>
          </w:p>
        </w:tc>
        <w:tc>
          <w:tcPr>
            <w:tcW w:w="1176" w:type="dxa"/>
            <w:vMerge w:val="continue"/>
            <w:tcBorders>
              <w:top w:val="nil"/>
              <w:left w:val="single" w:color="000000" w:sz="8" w:space="0"/>
              <w:bottom w:val="single" w:color="000000" w:sz="8" w:space="0"/>
              <w:right w:val="single" w:color="000000" w:sz="8" w:space="0"/>
            </w:tcBorders>
            <w:vAlign w:val="center"/>
          </w:tcPr>
          <w:p w14:paraId="11BB105B">
            <w:pPr>
              <w:widowControl/>
              <w:jc w:val="left"/>
              <w:rPr>
                <w:kern w:val="0"/>
                <w:sz w:val="22"/>
                <w:szCs w:val="22"/>
              </w:rPr>
            </w:pPr>
          </w:p>
        </w:tc>
        <w:tc>
          <w:tcPr>
            <w:tcW w:w="4111" w:type="dxa"/>
            <w:tcBorders>
              <w:top w:val="nil"/>
              <w:left w:val="nil"/>
              <w:bottom w:val="single" w:color="000000" w:sz="8" w:space="0"/>
              <w:right w:val="single" w:color="000000" w:sz="8" w:space="0"/>
            </w:tcBorders>
            <w:shd w:val="clear" w:color="auto" w:fill="auto"/>
            <w:vAlign w:val="center"/>
          </w:tcPr>
          <w:p w14:paraId="4925A52E">
            <w:pPr>
              <w:widowControl/>
              <w:jc w:val="center"/>
              <w:rPr>
                <w:kern w:val="0"/>
                <w:sz w:val="22"/>
                <w:szCs w:val="22"/>
              </w:rPr>
            </w:pPr>
            <w:r>
              <w:rPr>
                <w:kern w:val="0"/>
                <w:sz w:val="22"/>
                <w:szCs w:val="22"/>
              </w:rPr>
              <w:t xml:space="preserve"> [250×</w:t>
            </w:r>
            <w:r>
              <w:rPr>
                <w:rFonts w:hint="eastAsia" w:ascii="方正仿宋_GBK" w:eastAsia="方正仿宋_GBK"/>
                <w:kern w:val="0"/>
                <w:sz w:val="22"/>
                <w:szCs w:val="22"/>
              </w:rPr>
              <w:t>（</w:t>
            </w:r>
            <w:r>
              <w:rPr>
                <w:kern w:val="0"/>
                <w:sz w:val="22"/>
                <w:szCs w:val="22"/>
              </w:rPr>
              <w:t>3</w:t>
            </w:r>
            <w:r>
              <w:rPr>
                <w:rFonts w:hint="eastAsia" w:ascii="方正仿宋_GBK" w:eastAsia="方正仿宋_GBK"/>
                <w:kern w:val="0"/>
                <w:sz w:val="22"/>
                <w:szCs w:val="22"/>
              </w:rPr>
              <w:t>米</w:t>
            </w:r>
            <w:r>
              <w:rPr>
                <w:kern w:val="0"/>
                <w:sz w:val="22"/>
                <w:szCs w:val="22"/>
              </w:rPr>
              <w:t>×2</w:t>
            </w:r>
            <w:r>
              <w:rPr>
                <w:rFonts w:hint="eastAsia" w:ascii="方正仿宋_GBK" w:eastAsia="方正仿宋_GBK"/>
                <w:kern w:val="0"/>
                <w:sz w:val="22"/>
                <w:szCs w:val="22"/>
              </w:rPr>
              <w:t>根</w:t>
            </w:r>
            <w:r>
              <w:rPr>
                <w:kern w:val="0"/>
                <w:sz w:val="22"/>
                <w:szCs w:val="22"/>
              </w:rPr>
              <w:t>+2</w:t>
            </w:r>
            <w:r>
              <w:rPr>
                <w:rFonts w:hint="eastAsia" w:ascii="方正仿宋_GBK" w:eastAsia="方正仿宋_GBK"/>
                <w:kern w:val="0"/>
                <w:sz w:val="22"/>
                <w:szCs w:val="22"/>
              </w:rPr>
              <w:t>米）</w:t>
            </w:r>
            <w:r>
              <w:rPr>
                <w:kern w:val="0"/>
                <w:sz w:val="22"/>
                <w:szCs w:val="22"/>
              </w:rPr>
              <w:t>×3</w:t>
            </w:r>
            <w:r>
              <w:rPr>
                <w:rFonts w:hint="eastAsia" w:ascii="方正仿宋_GBK" w:eastAsia="方正仿宋_GBK"/>
                <w:kern w:val="0"/>
                <w:sz w:val="22"/>
                <w:szCs w:val="22"/>
              </w:rPr>
              <w:t>台</w:t>
            </w:r>
          </w:p>
        </w:tc>
        <w:tc>
          <w:tcPr>
            <w:tcW w:w="1134" w:type="dxa"/>
            <w:tcBorders>
              <w:top w:val="nil"/>
              <w:left w:val="nil"/>
              <w:bottom w:val="single" w:color="000000" w:sz="8" w:space="0"/>
              <w:right w:val="single" w:color="000000" w:sz="8" w:space="0"/>
            </w:tcBorders>
            <w:shd w:val="clear" w:color="auto" w:fill="auto"/>
            <w:noWrap/>
            <w:vAlign w:val="center"/>
          </w:tcPr>
          <w:p w14:paraId="6BC3D940">
            <w:pPr>
              <w:widowControl/>
              <w:jc w:val="center"/>
              <w:rPr>
                <w:kern w:val="0"/>
                <w:sz w:val="22"/>
                <w:szCs w:val="22"/>
              </w:rPr>
            </w:pPr>
            <w:r>
              <w:rPr>
                <w:kern w:val="0"/>
                <w:sz w:val="22"/>
                <w:szCs w:val="22"/>
              </w:rPr>
              <w:t>19.68</w:t>
            </w:r>
          </w:p>
        </w:tc>
        <w:tc>
          <w:tcPr>
            <w:tcW w:w="1275" w:type="dxa"/>
            <w:tcBorders>
              <w:top w:val="nil"/>
              <w:left w:val="nil"/>
              <w:bottom w:val="single" w:color="000000" w:sz="8" w:space="0"/>
              <w:right w:val="single" w:color="000000" w:sz="8" w:space="0"/>
            </w:tcBorders>
            <w:shd w:val="clear" w:color="auto" w:fill="auto"/>
            <w:vAlign w:val="center"/>
          </w:tcPr>
          <w:p w14:paraId="4FD9F351">
            <w:pPr>
              <w:widowControl/>
              <w:jc w:val="left"/>
              <w:rPr>
                <w:kern w:val="0"/>
                <w:sz w:val="22"/>
                <w:szCs w:val="22"/>
              </w:rPr>
            </w:pPr>
            <w:r>
              <w:rPr>
                <w:kern w:val="0"/>
                <w:sz w:val="22"/>
                <w:szCs w:val="22"/>
              </w:rPr>
              <w:t>　</w:t>
            </w:r>
          </w:p>
        </w:tc>
        <w:tc>
          <w:tcPr>
            <w:tcW w:w="1418" w:type="dxa"/>
            <w:tcBorders>
              <w:top w:val="nil"/>
              <w:left w:val="nil"/>
              <w:bottom w:val="single" w:color="000000" w:sz="8" w:space="0"/>
              <w:right w:val="single" w:color="000000" w:sz="8" w:space="0"/>
            </w:tcBorders>
            <w:shd w:val="clear" w:color="auto" w:fill="auto"/>
            <w:vAlign w:val="center"/>
          </w:tcPr>
          <w:p w14:paraId="4B7FAFFB">
            <w:pPr>
              <w:widowControl/>
              <w:jc w:val="left"/>
              <w:rPr>
                <w:kern w:val="0"/>
                <w:sz w:val="22"/>
                <w:szCs w:val="22"/>
              </w:rPr>
            </w:pPr>
            <w:r>
              <w:rPr>
                <w:kern w:val="0"/>
                <w:sz w:val="22"/>
                <w:szCs w:val="22"/>
              </w:rPr>
              <w:t>　</w:t>
            </w:r>
          </w:p>
        </w:tc>
        <w:tc>
          <w:tcPr>
            <w:tcW w:w="709" w:type="dxa"/>
            <w:vMerge w:val="continue"/>
            <w:tcBorders>
              <w:top w:val="nil"/>
              <w:left w:val="single" w:color="000000" w:sz="8" w:space="0"/>
              <w:bottom w:val="single" w:color="000000" w:sz="8" w:space="0"/>
              <w:right w:val="single" w:color="000000" w:sz="8" w:space="0"/>
            </w:tcBorders>
            <w:vAlign w:val="center"/>
          </w:tcPr>
          <w:p w14:paraId="6EECAD7E">
            <w:pPr>
              <w:widowControl/>
              <w:jc w:val="left"/>
              <w:rPr>
                <w:kern w:val="0"/>
                <w:sz w:val="22"/>
                <w:szCs w:val="22"/>
              </w:rPr>
            </w:pPr>
          </w:p>
        </w:tc>
      </w:tr>
      <w:tr w14:paraId="2D4C7E91">
        <w:tblPrEx>
          <w:tblCellMar>
            <w:top w:w="0" w:type="dxa"/>
            <w:left w:w="108" w:type="dxa"/>
            <w:bottom w:w="0" w:type="dxa"/>
            <w:right w:w="108" w:type="dxa"/>
          </w:tblCellMar>
        </w:tblPrEx>
        <w:trPr>
          <w:trHeight w:val="315" w:hRule="atLeast"/>
        </w:trPr>
        <w:tc>
          <w:tcPr>
            <w:tcW w:w="668" w:type="dxa"/>
            <w:vMerge w:val="continue"/>
            <w:tcBorders>
              <w:top w:val="nil"/>
              <w:left w:val="single" w:color="000000" w:sz="8" w:space="0"/>
              <w:bottom w:val="single" w:color="000000" w:sz="8" w:space="0"/>
              <w:right w:val="single" w:color="000000" w:sz="8" w:space="0"/>
            </w:tcBorders>
            <w:vAlign w:val="center"/>
          </w:tcPr>
          <w:p w14:paraId="4D0BAE30">
            <w:pPr>
              <w:widowControl/>
              <w:jc w:val="left"/>
              <w:rPr>
                <w:kern w:val="0"/>
                <w:sz w:val="22"/>
                <w:szCs w:val="22"/>
              </w:rPr>
            </w:pPr>
          </w:p>
        </w:tc>
        <w:tc>
          <w:tcPr>
            <w:tcW w:w="1176" w:type="dxa"/>
            <w:vMerge w:val="continue"/>
            <w:tcBorders>
              <w:top w:val="nil"/>
              <w:left w:val="single" w:color="000000" w:sz="8" w:space="0"/>
              <w:bottom w:val="single" w:color="000000" w:sz="8" w:space="0"/>
              <w:right w:val="single" w:color="000000" w:sz="8" w:space="0"/>
            </w:tcBorders>
            <w:vAlign w:val="center"/>
          </w:tcPr>
          <w:p w14:paraId="4AA84B94">
            <w:pPr>
              <w:widowControl/>
              <w:jc w:val="left"/>
              <w:rPr>
                <w:kern w:val="0"/>
                <w:sz w:val="22"/>
                <w:szCs w:val="22"/>
              </w:rPr>
            </w:pPr>
          </w:p>
        </w:tc>
        <w:tc>
          <w:tcPr>
            <w:tcW w:w="4111" w:type="dxa"/>
            <w:tcBorders>
              <w:top w:val="nil"/>
              <w:left w:val="nil"/>
              <w:bottom w:val="single" w:color="000000" w:sz="8" w:space="0"/>
              <w:right w:val="single" w:color="000000" w:sz="8" w:space="0"/>
            </w:tcBorders>
            <w:shd w:val="clear" w:color="auto" w:fill="auto"/>
            <w:vAlign w:val="center"/>
          </w:tcPr>
          <w:p w14:paraId="4DEEE8DB">
            <w:pPr>
              <w:widowControl/>
              <w:jc w:val="center"/>
              <w:rPr>
                <w:kern w:val="0"/>
                <w:sz w:val="22"/>
                <w:szCs w:val="22"/>
              </w:rPr>
            </w:pPr>
            <w:r>
              <w:rPr>
                <w:kern w:val="0"/>
                <w:sz w:val="22"/>
                <w:szCs w:val="22"/>
              </w:rPr>
              <w:t>0.8×1.1×8</w:t>
            </w:r>
            <w:r>
              <w:rPr>
                <w:rFonts w:hint="eastAsia" w:ascii="方正仿宋_GBK" w:eastAsia="方正仿宋_GBK"/>
                <w:kern w:val="0"/>
                <w:sz w:val="22"/>
                <w:szCs w:val="22"/>
              </w:rPr>
              <w:t>块</w:t>
            </w:r>
            <w:r>
              <w:rPr>
                <w:kern w:val="0"/>
                <w:sz w:val="22"/>
                <w:szCs w:val="22"/>
              </w:rPr>
              <w:t>×2</w:t>
            </w:r>
            <w:r>
              <w:rPr>
                <w:rFonts w:hint="eastAsia" w:ascii="方正仿宋_GBK" w:eastAsia="方正仿宋_GBK"/>
                <w:kern w:val="0"/>
                <w:sz w:val="22"/>
                <w:szCs w:val="22"/>
              </w:rPr>
              <w:t>面</w:t>
            </w:r>
            <w:r>
              <w:rPr>
                <w:kern w:val="0"/>
                <w:sz w:val="22"/>
                <w:szCs w:val="22"/>
              </w:rPr>
              <w:t>×3</w:t>
            </w:r>
            <w:r>
              <w:rPr>
                <w:rFonts w:hint="eastAsia" w:ascii="方正仿宋_GBK" w:eastAsia="方正仿宋_GBK"/>
                <w:kern w:val="0"/>
                <w:sz w:val="22"/>
                <w:szCs w:val="22"/>
              </w:rPr>
              <w:t>台</w:t>
            </w:r>
          </w:p>
        </w:tc>
        <w:tc>
          <w:tcPr>
            <w:tcW w:w="1134" w:type="dxa"/>
            <w:tcBorders>
              <w:top w:val="nil"/>
              <w:left w:val="nil"/>
              <w:bottom w:val="single" w:color="000000" w:sz="8" w:space="0"/>
              <w:right w:val="single" w:color="000000" w:sz="8" w:space="0"/>
            </w:tcBorders>
            <w:shd w:val="clear" w:color="auto" w:fill="auto"/>
            <w:noWrap/>
            <w:vAlign w:val="center"/>
          </w:tcPr>
          <w:p w14:paraId="21E0FA74">
            <w:pPr>
              <w:widowControl/>
              <w:jc w:val="center"/>
              <w:rPr>
                <w:kern w:val="0"/>
                <w:sz w:val="22"/>
                <w:szCs w:val="22"/>
              </w:rPr>
            </w:pPr>
            <w:r>
              <w:rPr>
                <w:kern w:val="0"/>
                <w:sz w:val="22"/>
                <w:szCs w:val="22"/>
              </w:rPr>
              <w:t>42.24</w:t>
            </w:r>
          </w:p>
        </w:tc>
        <w:tc>
          <w:tcPr>
            <w:tcW w:w="1275" w:type="dxa"/>
            <w:tcBorders>
              <w:top w:val="nil"/>
              <w:left w:val="nil"/>
              <w:bottom w:val="single" w:color="000000" w:sz="8" w:space="0"/>
              <w:right w:val="single" w:color="000000" w:sz="8" w:space="0"/>
            </w:tcBorders>
            <w:shd w:val="clear" w:color="auto" w:fill="auto"/>
            <w:vAlign w:val="center"/>
          </w:tcPr>
          <w:p w14:paraId="565738CA">
            <w:pPr>
              <w:widowControl/>
              <w:jc w:val="left"/>
              <w:rPr>
                <w:kern w:val="0"/>
                <w:sz w:val="22"/>
                <w:szCs w:val="22"/>
              </w:rPr>
            </w:pPr>
            <w:r>
              <w:rPr>
                <w:kern w:val="0"/>
                <w:sz w:val="22"/>
                <w:szCs w:val="22"/>
              </w:rPr>
              <w:t>　</w:t>
            </w:r>
          </w:p>
        </w:tc>
        <w:tc>
          <w:tcPr>
            <w:tcW w:w="1418" w:type="dxa"/>
            <w:tcBorders>
              <w:top w:val="nil"/>
              <w:left w:val="nil"/>
              <w:bottom w:val="single" w:color="000000" w:sz="8" w:space="0"/>
              <w:right w:val="single" w:color="000000" w:sz="8" w:space="0"/>
            </w:tcBorders>
            <w:shd w:val="clear" w:color="auto" w:fill="auto"/>
            <w:vAlign w:val="center"/>
          </w:tcPr>
          <w:p w14:paraId="1BA75D3C">
            <w:pPr>
              <w:widowControl/>
              <w:jc w:val="left"/>
              <w:rPr>
                <w:kern w:val="0"/>
                <w:sz w:val="22"/>
                <w:szCs w:val="22"/>
              </w:rPr>
            </w:pPr>
            <w:r>
              <w:rPr>
                <w:kern w:val="0"/>
                <w:sz w:val="22"/>
                <w:szCs w:val="22"/>
              </w:rPr>
              <w:t>　</w:t>
            </w:r>
          </w:p>
        </w:tc>
        <w:tc>
          <w:tcPr>
            <w:tcW w:w="709" w:type="dxa"/>
            <w:vMerge w:val="continue"/>
            <w:tcBorders>
              <w:top w:val="nil"/>
              <w:left w:val="single" w:color="000000" w:sz="8" w:space="0"/>
              <w:bottom w:val="single" w:color="000000" w:sz="8" w:space="0"/>
              <w:right w:val="single" w:color="000000" w:sz="8" w:space="0"/>
            </w:tcBorders>
            <w:vAlign w:val="center"/>
          </w:tcPr>
          <w:p w14:paraId="671A46B2">
            <w:pPr>
              <w:widowControl/>
              <w:jc w:val="left"/>
              <w:rPr>
                <w:kern w:val="0"/>
                <w:sz w:val="22"/>
                <w:szCs w:val="22"/>
              </w:rPr>
            </w:pPr>
          </w:p>
        </w:tc>
      </w:tr>
      <w:tr w14:paraId="1B3960C2">
        <w:tblPrEx>
          <w:tblCellMar>
            <w:top w:w="0" w:type="dxa"/>
            <w:left w:w="108" w:type="dxa"/>
            <w:bottom w:w="0" w:type="dxa"/>
            <w:right w:w="108" w:type="dxa"/>
          </w:tblCellMar>
        </w:tblPrEx>
        <w:trPr>
          <w:trHeight w:val="315" w:hRule="atLeast"/>
        </w:trPr>
        <w:tc>
          <w:tcPr>
            <w:tcW w:w="668" w:type="dxa"/>
            <w:vMerge w:val="restart"/>
            <w:tcBorders>
              <w:top w:val="nil"/>
              <w:left w:val="single" w:color="000000" w:sz="8" w:space="0"/>
              <w:bottom w:val="single" w:color="000000" w:sz="8" w:space="0"/>
              <w:right w:val="single" w:color="000000" w:sz="8" w:space="0"/>
            </w:tcBorders>
            <w:shd w:val="clear" w:color="auto" w:fill="auto"/>
            <w:vAlign w:val="center"/>
          </w:tcPr>
          <w:p w14:paraId="12729F74">
            <w:pPr>
              <w:widowControl/>
              <w:jc w:val="center"/>
              <w:rPr>
                <w:kern w:val="0"/>
                <w:sz w:val="22"/>
                <w:szCs w:val="22"/>
              </w:rPr>
            </w:pPr>
            <w:r>
              <w:rPr>
                <w:kern w:val="0"/>
                <w:sz w:val="22"/>
                <w:szCs w:val="22"/>
              </w:rPr>
              <w:t>11</w:t>
            </w:r>
          </w:p>
        </w:tc>
        <w:tc>
          <w:tcPr>
            <w:tcW w:w="1176" w:type="dxa"/>
            <w:vMerge w:val="continue"/>
            <w:tcBorders>
              <w:top w:val="nil"/>
              <w:left w:val="single" w:color="000000" w:sz="8" w:space="0"/>
              <w:bottom w:val="single" w:color="000000" w:sz="8" w:space="0"/>
              <w:right w:val="single" w:color="000000" w:sz="8" w:space="0"/>
            </w:tcBorders>
            <w:vAlign w:val="center"/>
          </w:tcPr>
          <w:p w14:paraId="1EB9E1EE">
            <w:pPr>
              <w:widowControl/>
              <w:jc w:val="left"/>
              <w:rPr>
                <w:kern w:val="0"/>
                <w:sz w:val="22"/>
                <w:szCs w:val="22"/>
              </w:rPr>
            </w:pPr>
          </w:p>
        </w:tc>
        <w:tc>
          <w:tcPr>
            <w:tcW w:w="4111" w:type="dxa"/>
            <w:tcBorders>
              <w:top w:val="nil"/>
              <w:left w:val="nil"/>
              <w:bottom w:val="single" w:color="000000" w:sz="8" w:space="0"/>
              <w:right w:val="single" w:color="000000" w:sz="8" w:space="0"/>
            </w:tcBorders>
            <w:shd w:val="clear" w:color="auto" w:fill="auto"/>
            <w:vAlign w:val="center"/>
          </w:tcPr>
          <w:p w14:paraId="51801479">
            <w:pPr>
              <w:widowControl/>
              <w:jc w:val="center"/>
              <w:rPr>
                <w:kern w:val="0"/>
                <w:sz w:val="22"/>
                <w:szCs w:val="22"/>
              </w:rPr>
            </w:pPr>
            <w:r>
              <w:rPr>
                <w:rFonts w:hint="eastAsia" w:ascii="方正仿宋_GBK" w:eastAsia="方正仿宋_GBK"/>
                <w:kern w:val="0"/>
                <w:sz w:val="22"/>
                <w:szCs w:val="22"/>
              </w:rPr>
              <w:t>管支架</w:t>
            </w:r>
            <w:r>
              <w:rPr>
                <w:kern w:val="0"/>
                <w:sz w:val="22"/>
                <w:szCs w:val="22"/>
              </w:rPr>
              <w:t xml:space="preserve"> H350×0.8×3×3</w:t>
            </w:r>
            <w:r>
              <w:rPr>
                <w:rFonts w:hint="eastAsia" w:ascii="方正仿宋_GBK" w:eastAsia="方正仿宋_GBK"/>
                <w:kern w:val="0"/>
                <w:sz w:val="22"/>
                <w:szCs w:val="22"/>
              </w:rPr>
              <w:t>组</w:t>
            </w:r>
          </w:p>
        </w:tc>
        <w:tc>
          <w:tcPr>
            <w:tcW w:w="1134" w:type="dxa"/>
            <w:tcBorders>
              <w:top w:val="nil"/>
              <w:left w:val="nil"/>
              <w:bottom w:val="single" w:color="000000" w:sz="8" w:space="0"/>
              <w:right w:val="single" w:color="000000" w:sz="8" w:space="0"/>
            </w:tcBorders>
            <w:shd w:val="clear" w:color="auto" w:fill="auto"/>
            <w:noWrap/>
            <w:vAlign w:val="center"/>
          </w:tcPr>
          <w:p w14:paraId="1103864E">
            <w:pPr>
              <w:widowControl/>
              <w:jc w:val="center"/>
              <w:rPr>
                <w:kern w:val="0"/>
                <w:sz w:val="22"/>
                <w:szCs w:val="22"/>
              </w:rPr>
            </w:pPr>
            <w:r>
              <w:rPr>
                <w:kern w:val="0"/>
                <w:sz w:val="22"/>
                <w:szCs w:val="22"/>
              </w:rPr>
              <w:t>15.12</w:t>
            </w:r>
          </w:p>
        </w:tc>
        <w:tc>
          <w:tcPr>
            <w:tcW w:w="1275" w:type="dxa"/>
            <w:tcBorders>
              <w:top w:val="nil"/>
              <w:left w:val="nil"/>
              <w:bottom w:val="single" w:color="000000" w:sz="8" w:space="0"/>
              <w:right w:val="single" w:color="000000" w:sz="8" w:space="0"/>
            </w:tcBorders>
            <w:shd w:val="clear" w:color="auto" w:fill="auto"/>
            <w:vAlign w:val="center"/>
          </w:tcPr>
          <w:p w14:paraId="60C4FAF1">
            <w:pPr>
              <w:widowControl/>
              <w:jc w:val="left"/>
              <w:rPr>
                <w:kern w:val="0"/>
                <w:sz w:val="22"/>
                <w:szCs w:val="22"/>
              </w:rPr>
            </w:pPr>
            <w:r>
              <w:rPr>
                <w:kern w:val="0"/>
                <w:sz w:val="22"/>
                <w:szCs w:val="22"/>
              </w:rPr>
              <w:t>　</w:t>
            </w:r>
          </w:p>
        </w:tc>
        <w:tc>
          <w:tcPr>
            <w:tcW w:w="1418" w:type="dxa"/>
            <w:tcBorders>
              <w:top w:val="nil"/>
              <w:left w:val="nil"/>
              <w:bottom w:val="single" w:color="000000" w:sz="8" w:space="0"/>
              <w:right w:val="single" w:color="000000" w:sz="8" w:space="0"/>
            </w:tcBorders>
            <w:shd w:val="clear" w:color="auto" w:fill="auto"/>
            <w:vAlign w:val="center"/>
          </w:tcPr>
          <w:p w14:paraId="1AE48C93">
            <w:pPr>
              <w:widowControl/>
              <w:jc w:val="left"/>
              <w:rPr>
                <w:kern w:val="0"/>
                <w:sz w:val="22"/>
                <w:szCs w:val="22"/>
              </w:rPr>
            </w:pPr>
            <w:r>
              <w:rPr>
                <w:kern w:val="0"/>
                <w:sz w:val="22"/>
                <w:szCs w:val="22"/>
              </w:rPr>
              <w:t>　</w:t>
            </w:r>
          </w:p>
        </w:tc>
        <w:tc>
          <w:tcPr>
            <w:tcW w:w="709" w:type="dxa"/>
            <w:vMerge w:val="continue"/>
            <w:tcBorders>
              <w:top w:val="nil"/>
              <w:left w:val="single" w:color="000000" w:sz="8" w:space="0"/>
              <w:bottom w:val="single" w:color="000000" w:sz="8" w:space="0"/>
              <w:right w:val="single" w:color="000000" w:sz="8" w:space="0"/>
            </w:tcBorders>
            <w:vAlign w:val="center"/>
          </w:tcPr>
          <w:p w14:paraId="77F7B5B7">
            <w:pPr>
              <w:widowControl/>
              <w:jc w:val="left"/>
              <w:rPr>
                <w:kern w:val="0"/>
                <w:sz w:val="22"/>
                <w:szCs w:val="22"/>
              </w:rPr>
            </w:pPr>
          </w:p>
        </w:tc>
      </w:tr>
      <w:tr w14:paraId="1530003B">
        <w:tblPrEx>
          <w:tblCellMar>
            <w:top w:w="0" w:type="dxa"/>
            <w:left w:w="108" w:type="dxa"/>
            <w:bottom w:w="0" w:type="dxa"/>
            <w:right w:w="108" w:type="dxa"/>
          </w:tblCellMar>
        </w:tblPrEx>
        <w:trPr>
          <w:trHeight w:val="315" w:hRule="atLeast"/>
        </w:trPr>
        <w:tc>
          <w:tcPr>
            <w:tcW w:w="668" w:type="dxa"/>
            <w:vMerge w:val="continue"/>
            <w:tcBorders>
              <w:top w:val="nil"/>
              <w:left w:val="single" w:color="000000" w:sz="8" w:space="0"/>
              <w:bottom w:val="single" w:color="000000" w:sz="8" w:space="0"/>
              <w:right w:val="single" w:color="000000" w:sz="8" w:space="0"/>
            </w:tcBorders>
            <w:vAlign w:val="center"/>
          </w:tcPr>
          <w:p w14:paraId="372FBB7C">
            <w:pPr>
              <w:widowControl/>
              <w:jc w:val="left"/>
              <w:rPr>
                <w:kern w:val="0"/>
                <w:sz w:val="22"/>
                <w:szCs w:val="22"/>
              </w:rPr>
            </w:pPr>
          </w:p>
        </w:tc>
        <w:tc>
          <w:tcPr>
            <w:tcW w:w="1176" w:type="dxa"/>
            <w:vMerge w:val="continue"/>
            <w:tcBorders>
              <w:top w:val="nil"/>
              <w:left w:val="single" w:color="000000" w:sz="8" w:space="0"/>
              <w:bottom w:val="single" w:color="000000" w:sz="8" w:space="0"/>
              <w:right w:val="single" w:color="000000" w:sz="8" w:space="0"/>
            </w:tcBorders>
            <w:vAlign w:val="center"/>
          </w:tcPr>
          <w:p w14:paraId="5F8DBC30">
            <w:pPr>
              <w:widowControl/>
              <w:jc w:val="left"/>
              <w:rPr>
                <w:kern w:val="0"/>
                <w:sz w:val="22"/>
                <w:szCs w:val="22"/>
              </w:rPr>
            </w:pPr>
          </w:p>
        </w:tc>
        <w:tc>
          <w:tcPr>
            <w:tcW w:w="4111" w:type="dxa"/>
            <w:tcBorders>
              <w:top w:val="nil"/>
              <w:left w:val="nil"/>
              <w:bottom w:val="single" w:color="000000" w:sz="8" w:space="0"/>
              <w:right w:val="single" w:color="000000" w:sz="8" w:space="0"/>
            </w:tcBorders>
            <w:shd w:val="clear" w:color="auto" w:fill="auto"/>
            <w:vAlign w:val="center"/>
          </w:tcPr>
          <w:p w14:paraId="48378CF7">
            <w:pPr>
              <w:widowControl/>
              <w:jc w:val="center"/>
              <w:rPr>
                <w:kern w:val="0"/>
                <w:sz w:val="22"/>
                <w:szCs w:val="22"/>
              </w:rPr>
            </w:pPr>
            <w:r>
              <w:rPr>
                <w:rFonts w:hint="eastAsia" w:ascii="方正仿宋_GBK" w:eastAsia="方正仿宋_GBK"/>
                <w:kern w:val="0"/>
                <w:sz w:val="22"/>
                <w:szCs w:val="22"/>
              </w:rPr>
              <w:t>底板</w:t>
            </w:r>
            <w:r>
              <w:rPr>
                <w:kern w:val="0"/>
                <w:sz w:val="22"/>
                <w:szCs w:val="22"/>
              </w:rPr>
              <w:t>0.4×1×1</w:t>
            </w:r>
            <w:r>
              <w:rPr>
                <w:rFonts w:hint="eastAsia" w:ascii="方正仿宋_GBK" w:eastAsia="方正仿宋_GBK"/>
                <w:kern w:val="0"/>
                <w:sz w:val="22"/>
                <w:szCs w:val="22"/>
              </w:rPr>
              <w:t>面</w:t>
            </w:r>
          </w:p>
        </w:tc>
        <w:tc>
          <w:tcPr>
            <w:tcW w:w="1134" w:type="dxa"/>
            <w:tcBorders>
              <w:top w:val="nil"/>
              <w:left w:val="nil"/>
              <w:bottom w:val="single" w:color="000000" w:sz="8" w:space="0"/>
              <w:right w:val="single" w:color="000000" w:sz="8" w:space="0"/>
            </w:tcBorders>
            <w:shd w:val="clear" w:color="auto" w:fill="auto"/>
            <w:noWrap/>
            <w:vAlign w:val="center"/>
          </w:tcPr>
          <w:p w14:paraId="46BE3B1A">
            <w:pPr>
              <w:widowControl/>
              <w:jc w:val="center"/>
              <w:rPr>
                <w:kern w:val="0"/>
                <w:sz w:val="22"/>
                <w:szCs w:val="22"/>
              </w:rPr>
            </w:pPr>
            <w:r>
              <w:rPr>
                <w:kern w:val="0"/>
                <w:sz w:val="22"/>
                <w:szCs w:val="22"/>
              </w:rPr>
              <w:t>0.4</w:t>
            </w:r>
          </w:p>
        </w:tc>
        <w:tc>
          <w:tcPr>
            <w:tcW w:w="1275" w:type="dxa"/>
            <w:tcBorders>
              <w:top w:val="nil"/>
              <w:left w:val="nil"/>
              <w:bottom w:val="single" w:color="000000" w:sz="8" w:space="0"/>
              <w:right w:val="single" w:color="000000" w:sz="8" w:space="0"/>
            </w:tcBorders>
            <w:shd w:val="clear" w:color="auto" w:fill="auto"/>
            <w:vAlign w:val="center"/>
          </w:tcPr>
          <w:p w14:paraId="3A73D480">
            <w:pPr>
              <w:widowControl/>
              <w:jc w:val="left"/>
              <w:rPr>
                <w:kern w:val="0"/>
                <w:sz w:val="22"/>
                <w:szCs w:val="22"/>
              </w:rPr>
            </w:pPr>
            <w:r>
              <w:rPr>
                <w:kern w:val="0"/>
                <w:sz w:val="22"/>
                <w:szCs w:val="22"/>
              </w:rPr>
              <w:t>　</w:t>
            </w:r>
          </w:p>
        </w:tc>
        <w:tc>
          <w:tcPr>
            <w:tcW w:w="1418" w:type="dxa"/>
            <w:tcBorders>
              <w:top w:val="nil"/>
              <w:left w:val="nil"/>
              <w:bottom w:val="single" w:color="000000" w:sz="8" w:space="0"/>
              <w:right w:val="single" w:color="000000" w:sz="8" w:space="0"/>
            </w:tcBorders>
            <w:shd w:val="clear" w:color="auto" w:fill="auto"/>
            <w:vAlign w:val="center"/>
          </w:tcPr>
          <w:p w14:paraId="42253F40">
            <w:pPr>
              <w:widowControl/>
              <w:jc w:val="left"/>
              <w:rPr>
                <w:kern w:val="0"/>
                <w:sz w:val="22"/>
                <w:szCs w:val="22"/>
              </w:rPr>
            </w:pPr>
            <w:r>
              <w:rPr>
                <w:kern w:val="0"/>
                <w:sz w:val="22"/>
                <w:szCs w:val="22"/>
              </w:rPr>
              <w:t>　</w:t>
            </w:r>
          </w:p>
        </w:tc>
        <w:tc>
          <w:tcPr>
            <w:tcW w:w="709" w:type="dxa"/>
            <w:vMerge w:val="continue"/>
            <w:tcBorders>
              <w:top w:val="nil"/>
              <w:left w:val="single" w:color="000000" w:sz="8" w:space="0"/>
              <w:bottom w:val="single" w:color="000000" w:sz="8" w:space="0"/>
              <w:right w:val="single" w:color="000000" w:sz="8" w:space="0"/>
            </w:tcBorders>
            <w:vAlign w:val="center"/>
          </w:tcPr>
          <w:p w14:paraId="461AAB81">
            <w:pPr>
              <w:widowControl/>
              <w:jc w:val="left"/>
              <w:rPr>
                <w:kern w:val="0"/>
                <w:sz w:val="22"/>
                <w:szCs w:val="22"/>
              </w:rPr>
            </w:pPr>
          </w:p>
        </w:tc>
      </w:tr>
      <w:tr w14:paraId="5D03B62A">
        <w:tblPrEx>
          <w:tblCellMar>
            <w:top w:w="0" w:type="dxa"/>
            <w:left w:w="108" w:type="dxa"/>
            <w:bottom w:w="0" w:type="dxa"/>
            <w:right w:w="108" w:type="dxa"/>
          </w:tblCellMar>
        </w:tblPrEx>
        <w:trPr>
          <w:trHeight w:val="315" w:hRule="atLeast"/>
        </w:trPr>
        <w:tc>
          <w:tcPr>
            <w:tcW w:w="668" w:type="dxa"/>
            <w:vMerge w:val="continue"/>
            <w:tcBorders>
              <w:top w:val="nil"/>
              <w:left w:val="single" w:color="000000" w:sz="8" w:space="0"/>
              <w:bottom w:val="single" w:color="000000" w:sz="8" w:space="0"/>
              <w:right w:val="single" w:color="000000" w:sz="8" w:space="0"/>
            </w:tcBorders>
            <w:vAlign w:val="center"/>
          </w:tcPr>
          <w:p w14:paraId="321E63B4">
            <w:pPr>
              <w:widowControl/>
              <w:jc w:val="left"/>
              <w:rPr>
                <w:kern w:val="0"/>
                <w:sz w:val="22"/>
                <w:szCs w:val="22"/>
              </w:rPr>
            </w:pPr>
          </w:p>
        </w:tc>
        <w:tc>
          <w:tcPr>
            <w:tcW w:w="1176" w:type="dxa"/>
            <w:vMerge w:val="continue"/>
            <w:tcBorders>
              <w:top w:val="nil"/>
              <w:left w:val="single" w:color="000000" w:sz="8" w:space="0"/>
              <w:bottom w:val="single" w:color="000000" w:sz="8" w:space="0"/>
              <w:right w:val="single" w:color="000000" w:sz="8" w:space="0"/>
            </w:tcBorders>
            <w:vAlign w:val="center"/>
          </w:tcPr>
          <w:p w14:paraId="22DB8C34">
            <w:pPr>
              <w:widowControl/>
              <w:jc w:val="left"/>
              <w:rPr>
                <w:kern w:val="0"/>
                <w:sz w:val="22"/>
                <w:szCs w:val="22"/>
              </w:rPr>
            </w:pPr>
          </w:p>
        </w:tc>
        <w:tc>
          <w:tcPr>
            <w:tcW w:w="4111" w:type="dxa"/>
            <w:tcBorders>
              <w:top w:val="nil"/>
              <w:left w:val="nil"/>
              <w:bottom w:val="single" w:color="000000" w:sz="8" w:space="0"/>
              <w:right w:val="single" w:color="000000" w:sz="8" w:space="0"/>
            </w:tcBorders>
            <w:shd w:val="clear" w:color="auto" w:fill="auto"/>
            <w:vAlign w:val="center"/>
          </w:tcPr>
          <w:p w14:paraId="48C2F642">
            <w:pPr>
              <w:widowControl/>
              <w:jc w:val="center"/>
              <w:rPr>
                <w:kern w:val="0"/>
                <w:sz w:val="22"/>
                <w:szCs w:val="22"/>
              </w:rPr>
            </w:pPr>
            <w:r>
              <w:rPr>
                <w:kern w:val="0"/>
                <w:sz w:val="22"/>
                <w:szCs w:val="22"/>
              </w:rPr>
              <w:t xml:space="preserve"> </w:t>
            </w:r>
            <w:r>
              <w:rPr>
                <w:rFonts w:hint="eastAsia" w:ascii="方正仿宋_GBK" w:eastAsia="方正仿宋_GBK"/>
                <w:kern w:val="0"/>
                <w:sz w:val="22"/>
                <w:szCs w:val="22"/>
              </w:rPr>
              <w:t>宽</w:t>
            </w:r>
            <w:r>
              <w:rPr>
                <w:kern w:val="0"/>
                <w:sz w:val="22"/>
                <w:szCs w:val="22"/>
              </w:rPr>
              <w:t>0.6×</w:t>
            </w:r>
            <w:r>
              <w:rPr>
                <w:rFonts w:hint="eastAsia" w:ascii="方正仿宋_GBK" w:eastAsia="方正仿宋_GBK"/>
                <w:kern w:val="0"/>
                <w:sz w:val="22"/>
                <w:szCs w:val="22"/>
              </w:rPr>
              <w:t>高</w:t>
            </w:r>
            <w:r>
              <w:rPr>
                <w:kern w:val="0"/>
                <w:sz w:val="22"/>
                <w:szCs w:val="22"/>
              </w:rPr>
              <w:t>0.4×</w:t>
            </w:r>
            <w:r>
              <w:rPr>
                <w:rFonts w:hint="eastAsia" w:ascii="方正仿宋_GBK" w:eastAsia="方正仿宋_GBK"/>
                <w:kern w:val="0"/>
                <w:sz w:val="22"/>
                <w:szCs w:val="22"/>
              </w:rPr>
              <w:t>长</w:t>
            </w:r>
            <w:r>
              <w:rPr>
                <w:kern w:val="0"/>
                <w:sz w:val="22"/>
                <w:szCs w:val="22"/>
              </w:rPr>
              <w:t>1.2×5</w:t>
            </w:r>
            <w:r>
              <w:rPr>
                <w:rFonts w:hint="eastAsia" w:ascii="方正仿宋_GBK" w:eastAsia="方正仿宋_GBK"/>
                <w:kern w:val="0"/>
                <w:sz w:val="22"/>
                <w:szCs w:val="22"/>
              </w:rPr>
              <w:t>面</w:t>
            </w:r>
          </w:p>
        </w:tc>
        <w:tc>
          <w:tcPr>
            <w:tcW w:w="1134" w:type="dxa"/>
            <w:tcBorders>
              <w:top w:val="nil"/>
              <w:left w:val="nil"/>
              <w:bottom w:val="single" w:color="000000" w:sz="8" w:space="0"/>
              <w:right w:val="single" w:color="000000" w:sz="8" w:space="0"/>
            </w:tcBorders>
            <w:shd w:val="clear" w:color="auto" w:fill="auto"/>
            <w:noWrap/>
            <w:vAlign w:val="center"/>
          </w:tcPr>
          <w:p w14:paraId="659EDA9C">
            <w:pPr>
              <w:widowControl/>
              <w:jc w:val="center"/>
              <w:rPr>
                <w:kern w:val="0"/>
                <w:sz w:val="22"/>
                <w:szCs w:val="22"/>
              </w:rPr>
            </w:pPr>
            <w:r>
              <w:rPr>
                <w:kern w:val="0"/>
                <w:sz w:val="22"/>
                <w:szCs w:val="22"/>
              </w:rPr>
              <w:t>1.68</w:t>
            </w:r>
          </w:p>
        </w:tc>
        <w:tc>
          <w:tcPr>
            <w:tcW w:w="1275" w:type="dxa"/>
            <w:tcBorders>
              <w:top w:val="nil"/>
              <w:left w:val="nil"/>
              <w:bottom w:val="single" w:color="000000" w:sz="8" w:space="0"/>
              <w:right w:val="single" w:color="000000" w:sz="8" w:space="0"/>
            </w:tcBorders>
            <w:shd w:val="clear" w:color="auto" w:fill="auto"/>
            <w:vAlign w:val="center"/>
          </w:tcPr>
          <w:p w14:paraId="2FEE5F32">
            <w:pPr>
              <w:widowControl/>
              <w:jc w:val="left"/>
              <w:rPr>
                <w:kern w:val="0"/>
                <w:sz w:val="22"/>
                <w:szCs w:val="22"/>
              </w:rPr>
            </w:pPr>
            <w:r>
              <w:rPr>
                <w:kern w:val="0"/>
                <w:sz w:val="22"/>
                <w:szCs w:val="22"/>
              </w:rPr>
              <w:t>　</w:t>
            </w:r>
          </w:p>
        </w:tc>
        <w:tc>
          <w:tcPr>
            <w:tcW w:w="1418" w:type="dxa"/>
            <w:tcBorders>
              <w:top w:val="nil"/>
              <w:left w:val="nil"/>
              <w:bottom w:val="single" w:color="000000" w:sz="8" w:space="0"/>
              <w:right w:val="single" w:color="000000" w:sz="8" w:space="0"/>
            </w:tcBorders>
            <w:shd w:val="clear" w:color="auto" w:fill="auto"/>
            <w:vAlign w:val="center"/>
          </w:tcPr>
          <w:p w14:paraId="5843AE62">
            <w:pPr>
              <w:widowControl/>
              <w:jc w:val="left"/>
              <w:rPr>
                <w:kern w:val="0"/>
                <w:sz w:val="22"/>
                <w:szCs w:val="22"/>
              </w:rPr>
            </w:pPr>
            <w:r>
              <w:rPr>
                <w:kern w:val="0"/>
                <w:sz w:val="22"/>
                <w:szCs w:val="22"/>
              </w:rPr>
              <w:t>　</w:t>
            </w:r>
          </w:p>
        </w:tc>
        <w:tc>
          <w:tcPr>
            <w:tcW w:w="709" w:type="dxa"/>
            <w:vMerge w:val="continue"/>
            <w:tcBorders>
              <w:top w:val="nil"/>
              <w:left w:val="single" w:color="000000" w:sz="8" w:space="0"/>
              <w:bottom w:val="single" w:color="000000" w:sz="8" w:space="0"/>
              <w:right w:val="single" w:color="000000" w:sz="8" w:space="0"/>
            </w:tcBorders>
            <w:vAlign w:val="center"/>
          </w:tcPr>
          <w:p w14:paraId="3A964243">
            <w:pPr>
              <w:widowControl/>
              <w:jc w:val="left"/>
              <w:rPr>
                <w:kern w:val="0"/>
                <w:sz w:val="22"/>
                <w:szCs w:val="22"/>
              </w:rPr>
            </w:pPr>
          </w:p>
        </w:tc>
      </w:tr>
      <w:tr w14:paraId="49E00403">
        <w:tblPrEx>
          <w:tblCellMar>
            <w:top w:w="0" w:type="dxa"/>
            <w:left w:w="108" w:type="dxa"/>
            <w:bottom w:w="0" w:type="dxa"/>
            <w:right w:w="108" w:type="dxa"/>
          </w:tblCellMar>
        </w:tblPrEx>
        <w:trPr>
          <w:trHeight w:val="315" w:hRule="atLeast"/>
        </w:trPr>
        <w:tc>
          <w:tcPr>
            <w:tcW w:w="668" w:type="dxa"/>
            <w:vMerge w:val="continue"/>
            <w:tcBorders>
              <w:top w:val="nil"/>
              <w:left w:val="single" w:color="000000" w:sz="8" w:space="0"/>
              <w:bottom w:val="single" w:color="000000" w:sz="8" w:space="0"/>
              <w:right w:val="single" w:color="000000" w:sz="8" w:space="0"/>
            </w:tcBorders>
            <w:vAlign w:val="center"/>
          </w:tcPr>
          <w:p w14:paraId="5BDC3ED1">
            <w:pPr>
              <w:widowControl/>
              <w:jc w:val="left"/>
              <w:rPr>
                <w:kern w:val="0"/>
                <w:sz w:val="22"/>
                <w:szCs w:val="22"/>
              </w:rPr>
            </w:pPr>
          </w:p>
        </w:tc>
        <w:tc>
          <w:tcPr>
            <w:tcW w:w="1176" w:type="dxa"/>
            <w:vMerge w:val="continue"/>
            <w:tcBorders>
              <w:top w:val="nil"/>
              <w:left w:val="single" w:color="000000" w:sz="8" w:space="0"/>
              <w:bottom w:val="single" w:color="000000" w:sz="8" w:space="0"/>
              <w:right w:val="single" w:color="000000" w:sz="8" w:space="0"/>
            </w:tcBorders>
            <w:vAlign w:val="center"/>
          </w:tcPr>
          <w:p w14:paraId="7E31BBBB">
            <w:pPr>
              <w:widowControl/>
              <w:jc w:val="left"/>
              <w:rPr>
                <w:kern w:val="0"/>
                <w:sz w:val="22"/>
                <w:szCs w:val="22"/>
              </w:rPr>
            </w:pPr>
          </w:p>
        </w:tc>
        <w:tc>
          <w:tcPr>
            <w:tcW w:w="4111" w:type="dxa"/>
            <w:tcBorders>
              <w:top w:val="nil"/>
              <w:left w:val="nil"/>
              <w:bottom w:val="single" w:color="000000" w:sz="8" w:space="0"/>
              <w:right w:val="single" w:color="000000" w:sz="8" w:space="0"/>
            </w:tcBorders>
            <w:shd w:val="clear" w:color="auto" w:fill="auto"/>
            <w:vAlign w:val="center"/>
          </w:tcPr>
          <w:p w14:paraId="441792F3">
            <w:pPr>
              <w:widowControl/>
              <w:jc w:val="center"/>
              <w:rPr>
                <w:kern w:val="0"/>
                <w:sz w:val="22"/>
                <w:szCs w:val="22"/>
              </w:rPr>
            </w:pPr>
            <w:r>
              <w:rPr>
                <w:rFonts w:hint="eastAsia" w:ascii="方正仿宋_GBK" w:eastAsia="方正仿宋_GBK"/>
                <w:kern w:val="0"/>
                <w:sz w:val="22"/>
                <w:szCs w:val="22"/>
              </w:rPr>
              <w:t>支架</w:t>
            </w:r>
            <w:r>
              <w:rPr>
                <w:kern w:val="0"/>
                <w:sz w:val="22"/>
                <w:szCs w:val="22"/>
              </w:rPr>
              <w:t>[10×2×10</w:t>
            </w:r>
            <w:r>
              <w:rPr>
                <w:rFonts w:hint="eastAsia" w:ascii="方正仿宋_GBK" w:eastAsia="方正仿宋_GBK"/>
                <w:kern w:val="0"/>
                <w:sz w:val="22"/>
                <w:szCs w:val="22"/>
              </w:rPr>
              <w:t>只</w:t>
            </w:r>
          </w:p>
        </w:tc>
        <w:tc>
          <w:tcPr>
            <w:tcW w:w="1134" w:type="dxa"/>
            <w:tcBorders>
              <w:top w:val="nil"/>
              <w:left w:val="nil"/>
              <w:bottom w:val="single" w:color="000000" w:sz="8" w:space="0"/>
              <w:right w:val="single" w:color="000000" w:sz="8" w:space="0"/>
            </w:tcBorders>
            <w:shd w:val="clear" w:color="auto" w:fill="auto"/>
            <w:noWrap/>
            <w:vAlign w:val="center"/>
          </w:tcPr>
          <w:p w14:paraId="18C69100">
            <w:pPr>
              <w:widowControl/>
              <w:jc w:val="center"/>
              <w:rPr>
                <w:kern w:val="0"/>
                <w:sz w:val="22"/>
                <w:szCs w:val="22"/>
              </w:rPr>
            </w:pPr>
            <w:r>
              <w:rPr>
                <w:kern w:val="0"/>
                <w:sz w:val="22"/>
                <w:szCs w:val="22"/>
              </w:rPr>
              <w:t>7.84</w:t>
            </w:r>
          </w:p>
        </w:tc>
        <w:tc>
          <w:tcPr>
            <w:tcW w:w="1275" w:type="dxa"/>
            <w:tcBorders>
              <w:top w:val="nil"/>
              <w:left w:val="nil"/>
              <w:bottom w:val="single" w:color="000000" w:sz="8" w:space="0"/>
              <w:right w:val="single" w:color="000000" w:sz="8" w:space="0"/>
            </w:tcBorders>
            <w:shd w:val="clear" w:color="auto" w:fill="auto"/>
            <w:vAlign w:val="center"/>
          </w:tcPr>
          <w:p w14:paraId="407BDAD4">
            <w:pPr>
              <w:widowControl/>
              <w:jc w:val="left"/>
              <w:rPr>
                <w:kern w:val="0"/>
                <w:sz w:val="22"/>
                <w:szCs w:val="22"/>
              </w:rPr>
            </w:pPr>
            <w:r>
              <w:rPr>
                <w:kern w:val="0"/>
                <w:sz w:val="22"/>
                <w:szCs w:val="22"/>
              </w:rPr>
              <w:t>　</w:t>
            </w:r>
          </w:p>
        </w:tc>
        <w:tc>
          <w:tcPr>
            <w:tcW w:w="1418" w:type="dxa"/>
            <w:tcBorders>
              <w:top w:val="nil"/>
              <w:left w:val="nil"/>
              <w:bottom w:val="single" w:color="000000" w:sz="8" w:space="0"/>
              <w:right w:val="single" w:color="000000" w:sz="8" w:space="0"/>
            </w:tcBorders>
            <w:shd w:val="clear" w:color="auto" w:fill="auto"/>
            <w:vAlign w:val="center"/>
          </w:tcPr>
          <w:p w14:paraId="50CC4B71">
            <w:pPr>
              <w:widowControl/>
              <w:jc w:val="left"/>
              <w:rPr>
                <w:kern w:val="0"/>
                <w:sz w:val="22"/>
                <w:szCs w:val="22"/>
              </w:rPr>
            </w:pPr>
            <w:r>
              <w:rPr>
                <w:kern w:val="0"/>
                <w:sz w:val="22"/>
                <w:szCs w:val="22"/>
              </w:rPr>
              <w:t>　</w:t>
            </w:r>
          </w:p>
        </w:tc>
        <w:tc>
          <w:tcPr>
            <w:tcW w:w="709" w:type="dxa"/>
            <w:vMerge w:val="continue"/>
            <w:tcBorders>
              <w:top w:val="nil"/>
              <w:left w:val="single" w:color="000000" w:sz="8" w:space="0"/>
              <w:bottom w:val="single" w:color="000000" w:sz="8" w:space="0"/>
              <w:right w:val="single" w:color="000000" w:sz="8" w:space="0"/>
            </w:tcBorders>
            <w:vAlign w:val="center"/>
          </w:tcPr>
          <w:p w14:paraId="6C79CAAD">
            <w:pPr>
              <w:widowControl/>
              <w:jc w:val="left"/>
              <w:rPr>
                <w:kern w:val="0"/>
                <w:sz w:val="22"/>
                <w:szCs w:val="22"/>
              </w:rPr>
            </w:pPr>
          </w:p>
        </w:tc>
      </w:tr>
      <w:tr w14:paraId="56332C39">
        <w:tblPrEx>
          <w:tblCellMar>
            <w:top w:w="0" w:type="dxa"/>
            <w:left w:w="108" w:type="dxa"/>
            <w:bottom w:w="0" w:type="dxa"/>
            <w:right w:w="108" w:type="dxa"/>
          </w:tblCellMar>
        </w:tblPrEx>
        <w:trPr>
          <w:trHeight w:val="315" w:hRule="atLeast"/>
        </w:trPr>
        <w:tc>
          <w:tcPr>
            <w:tcW w:w="668" w:type="dxa"/>
            <w:tcBorders>
              <w:top w:val="nil"/>
              <w:left w:val="single" w:color="000000" w:sz="8" w:space="0"/>
              <w:bottom w:val="single" w:color="000000" w:sz="8" w:space="0"/>
              <w:right w:val="single" w:color="000000" w:sz="8" w:space="0"/>
            </w:tcBorders>
            <w:shd w:val="clear" w:color="auto" w:fill="auto"/>
            <w:vAlign w:val="center"/>
          </w:tcPr>
          <w:p w14:paraId="12D4EA54">
            <w:pPr>
              <w:widowControl/>
              <w:jc w:val="center"/>
              <w:rPr>
                <w:kern w:val="0"/>
                <w:sz w:val="22"/>
                <w:szCs w:val="22"/>
              </w:rPr>
            </w:pPr>
            <w:r>
              <w:rPr>
                <w:kern w:val="0"/>
                <w:sz w:val="22"/>
                <w:szCs w:val="22"/>
              </w:rPr>
              <w:t>12</w:t>
            </w:r>
          </w:p>
        </w:tc>
        <w:tc>
          <w:tcPr>
            <w:tcW w:w="1176" w:type="dxa"/>
            <w:vMerge w:val="continue"/>
            <w:tcBorders>
              <w:top w:val="nil"/>
              <w:left w:val="single" w:color="000000" w:sz="8" w:space="0"/>
              <w:bottom w:val="single" w:color="000000" w:sz="8" w:space="0"/>
              <w:right w:val="single" w:color="000000" w:sz="8" w:space="0"/>
            </w:tcBorders>
            <w:vAlign w:val="center"/>
          </w:tcPr>
          <w:p w14:paraId="7046FAFB">
            <w:pPr>
              <w:widowControl/>
              <w:jc w:val="left"/>
              <w:rPr>
                <w:kern w:val="0"/>
                <w:sz w:val="22"/>
                <w:szCs w:val="22"/>
              </w:rPr>
            </w:pPr>
          </w:p>
        </w:tc>
        <w:tc>
          <w:tcPr>
            <w:tcW w:w="4111" w:type="dxa"/>
            <w:tcBorders>
              <w:top w:val="nil"/>
              <w:left w:val="nil"/>
              <w:bottom w:val="single" w:color="000000" w:sz="8" w:space="0"/>
              <w:right w:val="single" w:color="000000" w:sz="8" w:space="0"/>
            </w:tcBorders>
            <w:shd w:val="clear" w:color="auto" w:fill="auto"/>
            <w:vAlign w:val="center"/>
          </w:tcPr>
          <w:p w14:paraId="44516769">
            <w:pPr>
              <w:widowControl/>
              <w:jc w:val="center"/>
              <w:rPr>
                <w:kern w:val="0"/>
                <w:sz w:val="22"/>
                <w:szCs w:val="22"/>
              </w:rPr>
            </w:pPr>
            <w:r>
              <w:rPr>
                <w:rFonts w:hint="eastAsia" w:ascii="方正仿宋_GBK" w:eastAsia="方正仿宋_GBK"/>
                <w:kern w:val="0"/>
                <w:sz w:val="22"/>
                <w:szCs w:val="22"/>
              </w:rPr>
              <w:t>（岸电驻机）约</w:t>
            </w:r>
            <w:r>
              <w:rPr>
                <w:kern w:val="0"/>
                <w:sz w:val="22"/>
                <w:szCs w:val="22"/>
              </w:rPr>
              <w:t>50</w:t>
            </w:r>
            <w:r>
              <w:rPr>
                <w:rFonts w:hint="eastAsia" w:ascii="方正仿宋_GBK" w:eastAsia="方正仿宋_GBK"/>
                <w:kern w:val="0"/>
                <w:sz w:val="22"/>
                <w:szCs w:val="22"/>
              </w:rPr>
              <w:t>㎡</w:t>
            </w:r>
          </w:p>
        </w:tc>
        <w:tc>
          <w:tcPr>
            <w:tcW w:w="1134" w:type="dxa"/>
            <w:tcBorders>
              <w:top w:val="nil"/>
              <w:left w:val="nil"/>
              <w:bottom w:val="single" w:color="000000" w:sz="8" w:space="0"/>
              <w:right w:val="single" w:color="000000" w:sz="8" w:space="0"/>
            </w:tcBorders>
            <w:shd w:val="clear" w:color="auto" w:fill="auto"/>
            <w:noWrap/>
            <w:vAlign w:val="center"/>
          </w:tcPr>
          <w:p w14:paraId="464AA24D">
            <w:pPr>
              <w:widowControl/>
              <w:jc w:val="center"/>
              <w:rPr>
                <w:kern w:val="0"/>
                <w:sz w:val="22"/>
                <w:szCs w:val="22"/>
              </w:rPr>
            </w:pPr>
            <w:r>
              <w:rPr>
                <w:kern w:val="0"/>
                <w:sz w:val="22"/>
                <w:szCs w:val="22"/>
              </w:rPr>
              <w:t>50</w:t>
            </w:r>
          </w:p>
        </w:tc>
        <w:tc>
          <w:tcPr>
            <w:tcW w:w="1275" w:type="dxa"/>
            <w:tcBorders>
              <w:top w:val="nil"/>
              <w:left w:val="nil"/>
              <w:bottom w:val="single" w:color="000000" w:sz="8" w:space="0"/>
              <w:right w:val="single" w:color="000000" w:sz="8" w:space="0"/>
            </w:tcBorders>
            <w:shd w:val="clear" w:color="auto" w:fill="auto"/>
            <w:vAlign w:val="center"/>
          </w:tcPr>
          <w:p w14:paraId="7EF8ABB8">
            <w:pPr>
              <w:widowControl/>
              <w:jc w:val="left"/>
              <w:rPr>
                <w:kern w:val="0"/>
                <w:sz w:val="22"/>
                <w:szCs w:val="22"/>
              </w:rPr>
            </w:pPr>
            <w:r>
              <w:rPr>
                <w:kern w:val="0"/>
                <w:sz w:val="22"/>
                <w:szCs w:val="22"/>
              </w:rPr>
              <w:t>　</w:t>
            </w:r>
          </w:p>
        </w:tc>
        <w:tc>
          <w:tcPr>
            <w:tcW w:w="1418" w:type="dxa"/>
            <w:tcBorders>
              <w:top w:val="nil"/>
              <w:left w:val="nil"/>
              <w:bottom w:val="single" w:color="000000" w:sz="8" w:space="0"/>
              <w:right w:val="single" w:color="000000" w:sz="8" w:space="0"/>
            </w:tcBorders>
            <w:shd w:val="clear" w:color="auto" w:fill="auto"/>
            <w:vAlign w:val="center"/>
          </w:tcPr>
          <w:p w14:paraId="76B85C7D">
            <w:pPr>
              <w:widowControl/>
              <w:jc w:val="left"/>
              <w:rPr>
                <w:kern w:val="0"/>
                <w:sz w:val="22"/>
                <w:szCs w:val="22"/>
              </w:rPr>
            </w:pPr>
            <w:r>
              <w:rPr>
                <w:kern w:val="0"/>
                <w:sz w:val="22"/>
                <w:szCs w:val="22"/>
              </w:rPr>
              <w:t>　</w:t>
            </w:r>
          </w:p>
        </w:tc>
        <w:tc>
          <w:tcPr>
            <w:tcW w:w="709" w:type="dxa"/>
            <w:vMerge w:val="continue"/>
            <w:tcBorders>
              <w:top w:val="nil"/>
              <w:left w:val="single" w:color="000000" w:sz="8" w:space="0"/>
              <w:bottom w:val="single" w:color="000000" w:sz="8" w:space="0"/>
              <w:right w:val="single" w:color="000000" w:sz="8" w:space="0"/>
            </w:tcBorders>
            <w:vAlign w:val="center"/>
          </w:tcPr>
          <w:p w14:paraId="5070081F">
            <w:pPr>
              <w:widowControl/>
              <w:jc w:val="left"/>
              <w:rPr>
                <w:kern w:val="0"/>
                <w:sz w:val="22"/>
                <w:szCs w:val="22"/>
              </w:rPr>
            </w:pPr>
          </w:p>
        </w:tc>
      </w:tr>
      <w:tr w14:paraId="68497328">
        <w:tblPrEx>
          <w:tblCellMar>
            <w:top w:w="0" w:type="dxa"/>
            <w:left w:w="108" w:type="dxa"/>
            <w:bottom w:w="0" w:type="dxa"/>
            <w:right w:w="108" w:type="dxa"/>
          </w:tblCellMar>
        </w:tblPrEx>
        <w:trPr>
          <w:trHeight w:val="615" w:hRule="atLeast"/>
        </w:trPr>
        <w:tc>
          <w:tcPr>
            <w:tcW w:w="668" w:type="dxa"/>
            <w:vMerge w:val="restart"/>
            <w:tcBorders>
              <w:top w:val="nil"/>
              <w:left w:val="single" w:color="000000" w:sz="8" w:space="0"/>
              <w:bottom w:val="single" w:color="000000" w:sz="8" w:space="0"/>
              <w:right w:val="single" w:color="000000" w:sz="8" w:space="0"/>
            </w:tcBorders>
            <w:shd w:val="clear" w:color="auto" w:fill="auto"/>
            <w:vAlign w:val="center"/>
          </w:tcPr>
          <w:p w14:paraId="65134DD5">
            <w:pPr>
              <w:widowControl/>
              <w:jc w:val="center"/>
              <w:rPr>
                <w:kern w:val="0"/>
                <w:sz w:val="22"/>
                <w:szCs w:val="22"/>
              </w:rPr>
            </w:pPr>
            <w:r>
              <w:rPr>
                <w:kern w:val="0"/>
                <w:sz w:val="22"/>
                <w:szCs w:val="22"/>
              </w:rPr>
              <w:t>13</w:t>
            </w:r>
          </w:p>
        </w:tc>
        <w:tc>
          <w:tcPr>
            <w:tcW w:w="1176" w:type="dxa"/>
            <w:vMerge w:val="continue"/>
            <w:tcBorders>
              <w:top w:val="nil"/>
              <w:left w:val="single" w:color="000000" w:sz="8" w:space="0"/>
              <w:bottom w:val="single" w:color="000000" w:sz="8" w:space="0"/>
              <w:right w:val="single" w:color="000000" w:sz="8" w:space="0"/>
            </w:tcBorders>
            <w:vAlign w:val="center"/>
          </w:tcPr>
          <w:p w14:paraId="78026D11">
            <w:pPr>
              <w:widowControl/>
              <w:jc w:val="left"/>
              <w:rPr>
                <w:kern w:val="0"/>
                <w:sz w:val="22"/>
                <w:szCs w:val="22"/>
              </w:rPr>
            </w:pPr>
          </w:p>
        </w:tc>
        <w:tc>
          <w:tcPr>
            <w:tcW w:w="4111" w:type="dxa"/>
            <w:tcBorders>
              <w:top w:val="nil"/>
              <w:left w:val="nil"/>
              <w:bottom w:val="single" w:color="000000" w:sz="8" w:space="0"/>
              <w:right w:val="single" w:color="000000" w:sz="8" w:space="0"/>
            </w:tcBorders>
            <w:shd w:val="clear" w:color="auto" w:fill="auto"/>
            <w:vAlign w:val="center"/>
          </w:tcPr>
          <w:p w14:paraId="455D1B16">
            <w:pPr>
              <w:widowControl/>
              <w:jc w:val="center"/>
              <w:rPr>
                <w:kern w:val="0"/>
                <w:sz w:val="22"/>
                <w:szCs w:val="22"/>
              </w:rPr>
            </w:pPr>
            <w:r>
              <w:rPr>
                <w:rFonts w:hint="eastAsia" w:ascii="方正仿宋_GBK" w:eastAsia="方正仿宋_GBK"/>
                <w:kern w:val="0"/>
                <w:sz w:val="22"/>
                <w:szCs w:val="22"/>
              </w:rPr>
              <w:t>新超沥青管支架</w:t>
            </w:r>
            <w:r>
              <w:rPr>
                <w:kern w:val="0"/>
                <w:sz w:val="22"/>
                <w:szCs w:val="22"/>
              </w:rPr>
              <w:t xml:space="preserve"> H200×2×2</w:t>
            </w:r>
            <w:r>
              <w:rPr>
                <w:rFonts w:hint="eastAsia" w:ascii="方正仿宋_GBK" w:eastAsia="方正仿宋_GBK"/>
                <w:kern w:val="0"/>
                <w:sz w:val="22"/>
                <w:szCs w:val="22"/>
              </w:rPr>
              <w:t>根</w:t>
            </w:r>
            <w:r>
              <w:rPr>
                <w:kern w:val="0"/>
                <w:sz w:val="22"/>
                <w:szCs w:val="22"/>
              </w:rPr>
              <w:t xml:space="preserve">  1</w:t>
            </w:r>
            <w:r>
              <w:rPr>
                <w:rFonts w:hint="eastAsia" w:ascii="方正仿宋_GBK" w:eastAsia="方正仿宋_GBK"/>
                <w:kern w:val="0"/>
                <w:sz w:val="22"/>
                <w:szCs w:val="22"/>
              </w:rPr>
              <w:t>米</w:t>
            </w:r>
            <w:r>
              <w:rPr>
                <w:kern w:val="0"/>
                <w:sz w:val="22"/>
                <w:szCs w:val="22"/>
              </w:rPr>
              <w:t>×2</w:t>
            </w:r>
            <w:r>
              <w:rPr>
                <w:rFonts w:hint="eastAsia" w:ascii="方正仿宋_GBK" w:eastAsia="方正仿宋_GBK"/>
                <w:kern w:val="0"/>
                <w:sz w:val="22"/>
                <w:szCs w:val="22"/>
              </w:rPr>
              <w:t>根</w:t>
            </w:r>
            <w:r>
              <w:rPr>
                <w:kern w:val="0"/>
                <w:sz w:val="22"/>
                <w:szCs w:val="22"/>
              </w:rPr>
              <w:t>×10</w:t>
            </w:r>
            <w:r>
              <w:rPr>
                <w:rFonts w:hint="eastAsia" w:ascii="方正仿宋_GBK" w:eastAsia="方正仿宋_GBK"/>
                <w:kern w:val="0"/>
                <w:sz w:val="22"/>
                <w:szCs w:val="22"/>
              </w:rPr>
              <w:t>只</w:t>
            </w:r>
          </w:p>
        </w:tc>
        <w:tc>
          <w:tcPr>
            <w:tcW w:w="1134" w:type="dxa"/>
            <w:tcBorders>
              <w:top w:val="nil"/>
              <w:left w:val="nil"/>
              <w:bottom w:val="single" w:color="000000" w:sz="8" w:space="0"/>
              <w:right w:val="single" w:color="000000" w:sz="8" w:space="0"/>
            </w:tcBorders>
            <w:shd w:val="clear" w:color="auto" w:fill="auto"/>
            <w:noWrap/>
            <w:vAlign w:val="center"/>
          </w:tcPr>
          <w:p w14:paraId="51EB0D42">
            <w:pPr>
              <w:widowControl/>
              <w:jc w:val="center"/>
              <w:rPr>
                <w:kern w:val="0"/>
                <w:sz w:val="22"/>
                <w:szCs w:val="22"/>
              </w:rPr>
            </w:pPr>
            <w:r>
              <w:rPr>
                <w:kern w:val="0"/>
                <w:sz w:val="22"/>
                <w:szCs w:val="22"/>
              </w:rPr>
              <w:t>29.04</w:t>
            </w:r>
          </w:p>
        </w:tc>
        <w:tc>
          <w:tcPr>
            <w:tcW w:w="1275" w:type="dxa"/>
            <w:tcBorders>
              <w:top w:val="nil"/>
              <w:left w:val="nil"/>
              <w:bottom w:val="single" w:color="000000" w:sz="8" w:space="0"/>
              <w:right w:val="single" w:color="000000" w:sz="8" w:space="0"/>
            </w:tcBorders>
            <w:shd w:val="clear" w:color="auto" w:fill="auto"/>
            <w:vAlign w:val="center"/>
          </w:tcPr>
          <w:p w14:paraId="48D5AFED">
            <w:pPr>
              <w:widowControl/>
              <w:jc w:val="left"/>
              <w:rPr>
                <w:kern w:val="0"/>
                <w:sz w:val="22"/>
                <w:szCs w:val="22"/>
              </w:rPr>
            </w:pPr>
            <w:r>
              <w:rPr>
                <w:kern w:val="0"/>
                <w:sz w:val="22"/>
                <w:szCs w:val="22"/>
              </w:rPr>
              <w:t>　</w:t>
            </w:r>
          </w:p>
        </w:tc>
        <w:tc>
          <w:tcPr>
            <w:tcW w:w="1418" w:type="dxa"/>
            <w:tcBorders>
              <w:top w:val="nil"/>
              <w:left w:val="nil"/>
              <w:bottom w:val="single" w:color="000000" w:sz="8" w:space="0"/>
              <w:right w:val="single" w:color="000000" w:sz="8" w:space="0"/>
            </w:tcBorders>
            <w:shd w:val="clear" w:color="auto" w:fill="auto"/>
            <w:vAlign w:val="center"/>
          </w:tcPr>
          <w:p w14:paraId="344C7402">
            <w:pPr>
              <w:widowControl/>
              <w:jc w:val="left"/>
              <w:rPr>
                <w:kern w:val="0"/>
                <w:sz w:val="22"/>
                <w:szCs w:val="22"/>
              </w:rPr>
            </w:pPr>
            <w:r>
              <w:rPr>
                <w:kern w:val="0"/>
                <w:sz w:val="22"/>
                <w:szCs w:val="22"/>
              </w:rPr>
              <w:t>　</w:t>
            </w:r>
          </w:p>
        </w:tc>
        <w:tc>
          <w:tcPr>
            <w:tcW w:w="709" w:type="dxa"/>
            <w:vMerge w:val="continue"/>
            <w:tcBorders>
              <w:top w:val="nil"/>
              <w:left w:val="single" w:color="000000" w:sz="8" w:space="0"/>
              <w:bottom w:val="single" w:color="000000" w:sz="8" w:space="0"/>
              <w:right w:val="single" w:color="000000" w:sz="8" w:space="0"/>
            </w:tcBorders>
            <w:vAlign w:val="center"/>
          </w:tcPr>
          <w:p w14:paraId="06C32CEC">
            <w:pPr>
              <w:widowControl/>
              <w:jc w:val="left"/>
              <w:rPr>
                <w:kern w:val="0"/>
                <w:sz w:val="22"/>
                <w:szCs w:val="22"/>
              </w:rPr>
            </w:pPr>
          </w:p>
        </w:tc>
      </w:tr>
      <w:tr w14:paraId="77EAD1B0">
        <w:tblPrEx>
          <w:tblCellMar>
            <w:top w:w="0" w:type="dxa"/>
            <w:left w:w="108" w:type="dxa"/>
            <w:bottom w:w="0" w:type="dxa"/>
            <w:right w:w="108" w:type="dxa"/>
          </w:tblCellMar>
        </w:tblPrEx>
        <w:trPr>
          <w:trHeight w:val="915" w:hRule="atLeast"/>
        </w:trPr>
        <w:tc>
          <w:tcPr>
            <w:tcW w:w="668" w:type="dxa"/>
            <w:vMerge w:val="continue"/>
            <w:tcBorders>
              <w:top w:val="nil"/>
              <w:left w:val="single" w:color="000000" w:sz="8" w:space="0"/>
              <w:bottom w:val="single" w:color="000000" w:sz="8" w:space="0"/>
              <w:right w:val="single" w:color="000000" w:sz="8" w:space="0"/>
            </w:tcBorders>
            <w:vAlign w:val="center"/>
          </w:tcPr>
          <w:p w14:paraId="4323568C">
            <w:pPr>
              <w:widowControl/>
              <w:jc w:val="left"/>
              <w:rPr>
                <w:kern w:val="0"/>
                <w:sz w:val="22"/>
                <w:szCs w:val="22"/>
              </w:rPr>
            </w:pPr>
          </w:p>
        </w:tc>
        <w:tc>
          <w:tcPr>
            <w:tcW w:w="1176" w:type="dxa"/>
            <w:vMerge w:val="continue"/>
            <w:tcBorders>
              <w:top w:val="nil"/>
              <w:left w:val="single" w:color="000000" w:sz="8" w:space="0"/>
              <w:bottom w:val="single" w:color="000000" w:sz="8" w:space="0"/>
              <w:right w:val="single" w:color="000000" w:sz="8" w:space="0"/>
            </w:tcBorders>
            <w:vAlign w:val="center"/>
          </w:tcPr>
          <w:p w14:paraId="1B390292">
            <w:pPr>
              <w:widowControl/>
              <w:jc w:val="left"/>
              <w:rPr>
                <w:kern w:val="0"/>
                <w:sz w:val="22"/>
                <w:szCs w:val="22"/>
              </w:rPr>
            </w:pPr>
          </w:p>
        </w:tc>
        <w:tc>
          <w:tcPr>
            <w:tcW w:w="4111" w:type="dxa"/>
            <w:tcBorders>
              <w:top w:val="nil"/>
              <w:left w:val="nil"/>
              <w:bottom w:val="single" w:color="000000" w:sz="8" w:space="0"/>
              <w:right w:val="single" w:color="000000" w:sz="8" w:space="0"/>
            </w:tcBorders>
            <w:shd w:val="clear" w:color="auto" w:fill="auto"/>
            <w:vAlign w:val="center"/>
          </w:tcPr>
          <w:p w14:paraId="768584CE">
            <w:pPr>
              <w:widowControl/>
              <w:jc w:val="center"/>
              <w:rPr>
                <w:kern w:val="0"/>
                <w:sz w:val="22"/>
                <w:szCs w:val="22"/>
              </w:rPr>
            </w:pPr>
            <w:r>
              <w:rPr>
                <w:rFonts w:hint="eastAsia" w:ascii="方正仿宋_GBK" w:eastAsia="方正仿宋_GBK"/>
                <w:kern w:val="0"/>
                <w:sz w:val="22"/>
                <w:szCs w:val="22"/>
              </w:rPr>
              <w:t>地脚</w:t>
            </w:r>
            <w:r>
              <w:rPr>
                <w:kern w:val="0"/>
                <w:sz w:val="22"/>
                <w:szCs w:val="22"/>
              </w:rPr>
              <w:t>0.5×0.4×2</w:t>
            </w:r>
            <w:r>
              <w:rPr>
                <w:rFonts w:hint="eastAsia" w:ascii="方正仿宋_GBK" w:eastAsia="方正仿宋_GBK"/>
                <w:kern w:val="0"/>
                <w:sz w:val="22"/>
                <w:szCs w:val="22"/>
              </w:rPr>
              <w:t>，爬梯</w:t>
            </w:r>
            <w:r>
              <w:rPr>
                <w:rFonts w:ascii="MS Gothic" w:hAnsi="MS Gothic" w:cs="MS Gothic"/>
                <w:kern w:val="0"/>
                <w:sz w:val="22"/>
                <w:szCs w:val="22"/>
              </w:rPr>
              <w:t>∅</w:t>
            </w:r>
            <w:r>
              <w:rPr>
                <w:kern w:val="0"/>
                <w:sz w:val="22"/>
                <w:szCs w:val="22"/>
              </w:rPr>
              <w:t>48*30</w:t>
            </w:r>
            <w:r>
              <w:rPr>
                <w:rFonts w:hint="eastAsia" w:ascii="方正仿宋_GBK" w:eastAsia="方正仿宋_GBK"/>
                <w:kern w:val="0"/>
                <w:sz w:val="22"/>
                <w:szCs w:val="22"/>
              </w:rPr>
              <w:t>米</w:t>
            </w:r>
            <w:r>
              <w:rPr>
                <w:kern w:val="0"/>
                <w:sz w:val="22"/>
                <w:szCs w:val="22"/>
              </w:rPr>
              <w:t xml:space="preserve"> </w:t>
            </w:r>
            <w:r>
              <w:rPr>
                <w:rFonts w:hint="eastAsia" w:ascii="方正仿宋_GBK" w:eastAsia="方正仿宋_GBK"/>
                <w:kern w:val="0"/>
                <w:sz w:val="22"/>
                <w:szCs w:val="22"/>
              </w:rPr>
              <w:t>∠</w:t>
            </w:r>
            <w:r>
              <w:rPr>
                <w:kern w:val="0"/>
                <w:sz w:val="22"/>
                <w:szCs w:val="22"/>
              </w:rPr>
              <w:t>50*50*26</w:t>
            </w:r>
            <w:r>
              <w:rPr>
                <w:rFonts w:hint="eastAsia" w:ascii="方正仿宋_GBK" w:eastAsia="方正仿宋_GBK"/>
                <w:kern w:val="0"/>
                <w:sz w:val="22"/>
                <w:szCs w:val="22"/>
              </w:rPr>
              <w:t>米</w:t>
            </w:r>
            <w:r>
              <w:rPr>
                <w:kern w:val="0"/>
                <w:sz w:val="22"/>
                <w:szCs w:val="22"/>
              </w:rPr>
              <w:t xml:space="preserve">  </w:t>
            </w:r>
            <w:r>
              <w:rPr>
                <w:rFonts w:hint="eastAsia" w:ascii="方正仿宋_GBK" w:eastAsia="方正仿宋_GBK"/>
                <w:kern w:val="0"/>
                <w:sz w:val="22"/>
                <w:szCs w:val="22"/>
              </w:rPr>
              <w:t>板</w:t>
            </w:r>
            <w:r>
              <w:rPr>
                <w:kern w:val="0"/>
                <w:sz w:val="22"/>
                <w:szCs w:val="22"/>
              </w:rPr>
              <w:t>0.2</w:t>
            </w:r>
            <w:r>
              <w:rPr>
                <w:rFonts w:hint="eastAsia" w:ascii="方正仿宋_GBK" w:eastAsia="方正仿宋_GBK"/>
                <w:kern w:val="0"/>
                <w:sz w:val="22"/>
                <w:szCs w:val="22"/>
              </w:rPr>
              <w:t>米</w:t>
            </w:r>
            <w:r>
              <w:rPr>
                <w:kern w:val="0"/>
                <w:sz w:val="22"/>
                <w:szCs w:val="22"/>
              </w:rPr>
              <w:t>*2</w:t>
            </w:r>
            <w:r>
              <w:rPr>
                <w:rFonts w:hint="eastAsia" w:ascii="方正仿宋_GBK" w:eastAsia="方正仿宋_GBK"/>
                <w:kern w:val="0"/>
                <w:sz w:val="22"/>
                <w:szCs w:val="22"/>
              </w:rPr>
              <w:t>米</w:t>
            </w:r>
            <w:r>
              <w:rPr>
                <w:kern w:val="0"/>
                <w:sz w:val="22"/>
                <w:szCs w:val="22"/>
              </w:rPr>
              <w:t>*4</w:t>
            </w:r>
            <w:r>
              <w:rPr>
                <w:rFonts w:hint="eastAsia" w:ascii="方正仿宋_GBK" w:eastAsia="方正仿宋_GBK"/>
                <w:kern w:val="0"/>
                <w:sz w:val="22"/>
                <w:szCs w:val="22"/>
              </w:rPr>
              <w:t>块</w:t>
            </w:r>
          </w:p>
        </w:tc>
        <w:tc>
          <w:tcPr>
            <w:tcW w:w="1134" w:type="dxa"/>
            <w:tcBorders>
              <w:top w:val="nil"/>
              <w:left w:val="nil"/>
              <w:bottom w:val="single" w:color="000000" w:sz="8" w:space="0"/>
              <w:right w:val="single" w:color="000000" w:sz="8" w:space="0"/>
            </w:tcBorders>
            <w:shd w:val="clear" w:color="auto" w:fill="auto"/>
            <w:noWrap/>
            <w:vAlign w:val="center"/>
          </w:tcPr>
          <w:p w14:paraId="111C7A12">
            <w:pPr>
              <w:widowControl/>
              <w:jc w:val="center"/>
              <w:rPr>
                <w:kern w:val="0"/>
                <w:sz w:val="22"/>
                <w:szCs w:val="22"/>
              </w:rPr>
            </w:pPr>
            <w:r>
              <w:rPr>
                <w:kern w:val="0"/>
                <w:sz w:val="22"/>
                <w:szCs w:val="22"/>
              </w:rPr>
              <w:t>13.32</w:t>
            </w:r>
          </w:p>
        </w:tc>
        <w:tc>
          <w:tcPr>
            <w:tcW w:w="1275" w:type="dxa"/>
            <w:tcBorders>
              <w:top w:val="nil"/>
              <w:left w:val="nil"/>
              <w:bottom w:val="single" w:color="000000" w:sz="8" w:space="0"/>
              <w:right w:val="single" w:color="000000" w:sz="8" w:space="0"/>
            </w:tcBorders>
            <w:shd w:val="clear" w:color="auto" w:fill="auto"/>
            <w:vAlign w:val="center"/>
          </w:tcPr>
          <w:p w14:paraId="1B18C7B0">
            <w:pPr>
              <w:widowControl/>
              <w:jc w:val="left"/>
              <w:rPr>
                <w:kern w:val="0"/>
                <w:sz w:val="22"/>
                <w:szCs w:val="22"/>
              </w:rPr>
            </w:pPr>
            <w:r>
              <w:rPr>
                <w:kern w:val="0"/>
                <w:sz w:val="22"/>
                <w:szCs w:val="22"/>
              </w:rPr>
              <w:t>　</w:t>
            </w:r>
          </w:p>
        </w:tc>
        <w:tc>
          <w:tcPr>
            <w:tcW w:w="1418" w:type="dxa"/>
            <w:tcBorders>
              <w:top w:val="nil"/>
              <w:left w:val="nil"/>
              <w:bottom w:val="single" w:color="000000" w:sz="8" w:space="0"/>
              <w:right w:val="single" w:color="000000" w:sz="8" w:space="0"/>
            </w:tcBorders>
            <w:shd w:val="clear" w:color="auto" w:fill="auto"/>
            <w:vAlign w:val="center"/>
          </w:tcPr>
          <w:p w14:paraId="62AF8563">
            <w:pPr>
              <w:widowControl/>
              <w:jc w:val="left"/>
              <w:rPr>
                <w:kern w:val="0"/>
                <w:sz w:val="22"/>
                <w:szCs w:val="22"/>
              </w:rPr>
            </w:pPr>
            <w:r>
              <w:rPr>
                <w:kern w:val="0"/>
                <w:sz w:val="22"/>
                <w:szCs w:val="22"/>
              </w:rPr>
              <w:t>　</w:t>
            </w:r>
          </w:p>
        </w:tc>
        <w:tc>
          <w:tcPr>
            <w:tcW w:w="709" w:type="dxa"/>
            <w:vMerge w:val="continue"/>
            <w:tcBorders>
              <w:top w:val="nil"/>
              <w:left w:val="single" w:color="000000" w:sz="8" w:space="0"/>
              <w:bottom w:val="single" w:color="000000" w:sz="8" w:space="0"/>
              <w:right w:val="single" w:color="000000" w:sz="8" w:space="0"/>
            </w:tcBorders>
            <w:vAlign w:val="center"/>
          </w:tcPr>
          <w:p w14:paraId="60B932F0">
            <w:pPr>
              <w:widowControl/>
              <w:jc w:val="left"/>
              <w:rPr>
                <w:kern w:val="0"/>
                <w:sz w:val="22"/>
                <w:szCs w:val="22"/>
              </w:rPr>
            </w:pPr>
          </w:p>
        </w:tc>
      </w:tr>
      <w:tr w14:paraId="1F52E111">
        <w:tblPrEx>
          <w:tblCellMar>
            <w:top w:w="0" w:type="dxa"/>
            <w:left w:w="108" w:type="dxa"/>
            <w:bottom w:w="0" w:type="dxa"/>
            <w:right w:w="108" w:type="dxa"/>
          </w:tblCellMar>
        </w:tblPrEx>
        <w:trPr>
          <w:trHeight w:val="1215" w:hRule="atLeast"/>
        </w:trPr>
        <w:tc>
          <w:tcPr>
            <w:tcW w:w="668" w:type="dxa"/>
            <w:tcBorders>
              <w:top w:val="nil"/>
              <w:left w:val="single" w:color="000000" w:sz="8" w:space="0"/>
              <w:bottom w:val="single" w:color="000000" w:sz="8" w:space="0"/>
              <w:right w:val="single" w:color="000000" w:sz="8" w:space="0"/>
            </w:tcBorders>
            <w:shd w:val="clear" w:color="auto" w:fill="auto"/>
            <w:vAlign w:val="center"/>
          </w:tcPr>
          <w:p w14:paraId="7F3760DD">
            <w:pPr>
              <w:widowControl/>
              <w:jc w:val="center"/>
              <w:rPr>
                <w:kern w:val="0"/>
                <w:sz w:val="22"/>
                <w:szCs w:val="22"/>
              </w:rPr>
            </w:pPr>
            <w:r>
              <w:rPr>
                <w:kern w:val="0"/>
                <w:sz w:val="22"/>
                <w:szCs w:val="22"/>
              </w:rPr>
              <w:t>14</w:t>
            </w:r>
          </w:p>
        </w:tc>
        <w:tc>
          <w:tcPr>
            <w:tcW w:w="1176" w:type="dxa"/>
            <w:vMerge w:val="continue"/>
            <w:tcBorders>
              <w:top w:val="nil"/>
              <w:left w:val="single" w:color="000000" w:sz="8" w:space="0"/>
              <w:bottom w:val="single" w:color="000000" w:sz="8" w:space="0"/>
              <w:right w:val="single" w:color="000000" w:sz="8" w:space="0"/>
            </w:tcBorders>
            <w:vAlign w:val="center"/>
          </w:tcPr>
          <w:p w14:paraId="04764460">
            <w:pPr>
              <w:widowControl/>
              <w:jc w:val="left"/>
              <w:rPr>
                <w:kern w:val="0"/>
                <w:sz w:val="22"/>
                <w:szCs w:val="22"/>
              </w:rPr>
            </w:pPr>
          </w:p>
        </w:tc>
        <w:tc>
          <w:tcPr>
            <w:tcW w:w="4111" w:type="dxa"/>
            <w:tcBorders>
              <w:top w:val="nil"/>
              <w:left w:val="nil"/>
              <w:bottom w:val="single" w:color="000000" w:sz="8" w:space="0"/>
              <w:right w:val="single" w:color="000000" w:sz="8" w:space="0"/>
            </w:tcBorders>
            <w:shd w:val="clear" w:color="auto" w:fill="auto"/>
            <w:vAlign w:val="center"/>
          </w:tcPr>
          <w:p w14:paraId="69D27B7C">
            <w:pPr>
              <w:widowControl/>
              <w:jc w:val="center"/>
              <w:rPr>
                <w:kern w:val="0"/>
                <w:sz w:val="22"/>
                <w:szCs w:val="22"/>
              </w:rPr>
            </w:pPr>
            <w:r>
              <w:rPr>
                <w:kern w:val="0"/>
                <w:sz w:val="22"/>
                <w:szCs w:val="22"/>
              </w:rPr>
              <w:t xml:space="preserve">H250×250 </w:t>
            </w:r>
            <w:r>
              <w:rPr>
                <w:rFonts w:hint="eastAsia" w:ascii="方正仿宋_GBK" w:eastAsia="方正仿宋_GBK"/>
                <w:kern w:val="0"/>
                <w:sz w:val="22"/>
                <w:szCs w:val="22"/>
              </w:rPr>
              <w:t>（</w:t>
            </w:r>
            <w:r>
              <w:rPr>
                <w:kern w:val="0"/>
                <w:sz w:val="22"/>
                <w:szCs w:val="22"/>
              </w:rPr>
              <w:t xml:space="preserve"> 0.7</w:t>
            </w:r>
            <w:r>
              <w:rPr>
                <w:rFonts w:hint="eastAsia" w:ascii="方正仿宋_GBK" w:eastAsia="方正仿宋_GBK"/>
                <w:kern w:val="0"/>
                <w:sz w:val="22"/>
                <w:szCs w:val="22"/>
              </w:rPr>
              <w:t>米</w:t>
            </w:r>
            <w:r>
              <w:rPr>
                <w:kern w:val="0"/>
                <w:sz w:val="22"/>
                <w:szCs w:val="22"/>
              </w:rPr>
              <w:t>*2</w:t>
            </w:r>
            <w:r>
              <w:rPr>
                <w:rFonts w:hint="eastAsia" w:ascii="方正仿宋_GBK" w:eastAsia="方正仿宋_GBK"/>
                <w:kern w:val="0"/>
                <w:sz w:val="22"/>
                <w:szCs w:val="22"/>
              </w:rPr>
              <w:t>根</w:t>
            </w:r>
            <w:r>
              <w:rPr>
                <w:kern w:val="0"/>
                <w:sz w:val="22"/>
                <w:szCs w:val="22"/>
              </w:rPr>
              <w:t xml:space="preserve">  2</w:t>
            </w:r>
            <w:r>
              <w:rPr>
                <w:rFonts w:hint="eastAsia" w:ascii="方正仿宋_GBK" w:eastAsia="方正仿宋_GBK"/>
                <w:kern w:val="0"/>
                <w:sz w:val="22"/>
                <w:szCs w:val="22"/>
              </w:rPr>
              <w:t>米</w:t>
            </w:r>
            <w:r>
              <w:rPr>
                <w:kern w:val="0"/>
                <w:sz w:val="22"/>
                <w:szCs w:val="22"/>
              </w:rPr>
              <w:t>*1</w:t>
            </w:r>
            <w:r>
              <w:rPr>
                <w:rFonts w:hint="eastAsia" w:ascii="方正仿宋_GBK" w:eastAsia="方正仿宋_GBK"/>
                <w:kern w:val="0"/>
                <w:sz w:val="22"/>
                <w:szCs w:val="22"/>
              </w:rPr>
              <w:t>根</w:t>
            </w:r>
            <w:r>
              <w:rPr>
                <w:kern w:val="0"/>
                <w:sz w:val="22"/>
                <w:szCs w:val="22"/>
              </w:rPr>
              <w:t xml:space="preserve">  </w:t>
            </w:r>
            <w:r>
              <w:rPr>
                <w:rFonts w:hint="eastAsia" w:ascii="方正仿宋_GBK" w:eastAsia="方正仿宋_GBK"/>
                <w:kern w:val="0"/>
                <w:sz w:val="22"/>
                <w:szCs w:val="22"/>
              </w:rPr>
              <w:t>脚板</w:t>
            </w:r>
            <w:r>
              <w:rPr>
                <w:kern w:val="0"/>
                <w:sz w:val="22"/>
                <w:szCs w:val="22"/>
              </w:rPr>
              <w:t>0.5</w:t>
            </w:r>
            <w:r>
              <w:rPr>
                <w:rFonts w:hint="eastAsia" w:ascii="方正仿宋_GBK" w:eastAsia="方正仿宋_GBK"/>
                <w:kern w:val="0"/>
                <w:sz w:val="22"/>
                <w:szCs w:val="22"/>
              </w:rPr>
              <w:t>米</w:t>
            </w:r>
            <w:r>
              <w:rPr>
                <w:kern w:val="0"/>
                <w:sz w:val="22"/>
                <w:szCs w:val="22"/>
              </w:rPr>
              <w:t>*0.5</w:t>
            </w:r>
            <w:r>
              <w:rPr>
                <w:rFonts w:hint="eastAsia" w:ascii="方正仿宋_GBK" w:eastAsia="方正仿宋_GBK"/>
                <w:kern w:val="0"/>
                <w:sz w:val="22"/>
                <w:szCs w:val="22"/>
              </w:rPr>
              <w:t>米</w:t>
            </w:r>
            <w:r>
              <w:rPr>
                <w:kern w:val="0"/>
                <w:sz w:val="22"/>
                <w:szCs w:val="22"/>
              </w:rPr>
              <w:t>*2</w:t>
            </w:r>
            <w:r>
              <w:rPr>
                <w:rFonts w:hint="eastAsia" w:ascii="方正仿宋_GBK" w:eastAsia="方正仿宋_GBK"/>
                <w:kern w:val="0"/>
                <w:sz w:val="22"/>
                <w:szCs w:val="22"/>
              </w:rPr>
              <w:t>块</w:t>
            </w:r>
            <w:r>
              <w:rPr>
                <w:kern w:val="0"/>
                <w:sz w:val="22"/>
                <w:szCs w:val="22"/>
              </w:rPr>
              <w:t xml:space="preserve">  </w:t>
            </w:r>
            <w:r>
              <w:rPr>
                <w:rFonts w:hint="eastAsia" w:ascii="方正仿宋_GBK" w:eastAsia="方正仿宋_GBK"/>
                <w:kern w:val="0"/>
                <w:sz w:val="22"/>
                <w:szCs w:val="22"/>
              </w:rPr>
              <w:t>筋板</w:t>
            </w:r>
            <w:r>
              <w:rPr>
                <w:kern w:val="0"/>
                <w:sz w:val="22"/>
                <w:szCs w:val="22"/>
              </w:rPr>
              <w:t>0.1</w:t>
            </w:r>
            <w:r>
              <w:rPr>
                <w:rFonts w:hint="eastAsia" w:ascii="方正仿宋_GBK" w:eastAsia="方正仿宋_GBK"/>
                <w:kern w:val="0"/>
                <w:sz w:val="22"/>
                <w:szCs w:val="22"/>
              </w:rPr>
              <w:t>米</w:t>
            </w:r>
            <w:r>
              <w:rPr>
                <w:kern w:val="0"/>
                <w:sz w:val="22"/>
                <w:szCs w:val="22"/>
              </w:rPr>
              <w:t>*0.25</w:t>
            </w:r>
            <w:r>
              <w:rPr>
                <w:rFonts w:hint="eastAsia" w:ascii="方正仿宋_GBK" w:eastAsia="方正仿宋_GBK"/>
                <w:kern w:val="0"/>
                <w:sz w:val="22"/>
                <w:szCs w:val="22"/>
              </w:rPr>
              <w:t>米</w:t>
            </w:r>
            <w:r>
              <w:rPr>
                <w:kern w:val="0"/>
                <w:sz w:val="22"/>
                <w:szCs w:val="22"/>
              </w:rPr>
              <w:t>*6</w:t>
            </w:r>
            <w:r>
              <w:rPr>
                <w:rFonts w:hint="eastAsia" w:ascii="方正仿宋_GBK" w:eastAsia="方正仿宋_GBK"/>
                <w:kern w:val="0"/>
                <w:sz w:val="22"/>
                <w:szCs w:val="22"/>
              </w:rPr>
              <w:t>块</w:t>
            </w:r>
            <w:r>
              <w:rPr>
                <w:kern w:val="0"/>
                <w:sz w:val="22"/>
                <w:szCs w:val="22"/>
              </w:rPr>
              <w:t>*2</w:t>
            </w:r>
            <w:r>
              <w:rPr>
                <w:rFonts w:hint="eastAsia" w:ascii="方正仿宋_GBK" w:eastAsia="方正仿宋_GBK"/>
                <w:kern w:val="0"/>
                <w:sz w:val="22"/>
                <w:szCs w:val="22"/>
              </w:rPr>
              <w:t>面</w:t>
            </w:r>
            <w:r>
              <w:rPr>
                <w:kern w:val="0"/>
                <w:sz w:val="22"/>
                <w:szCs w:val="22"/>
              </w:rPr>
              <w:t>*2</w:t>
            </w:r>
            <w:r>
              <w:rPr>
                <w:rFonts w:hint="eastAsia" w:ascii="方正仿宋_GBK" w:eastAsia="方正仿宋_GBK"/>
                <w:kern w:val="0"/>
                <w:sz w:val="22"/>
                <w:szCs w:val="22"/>
              </w:rPr>
              <w:t>组）</w:t>
            </w:r>
            <w:r>
              <w:rPr>
                <w:kern w:val="0"/>
                <w:sz w:val="22"/>
                <w:szCs w:val="22"/>
              </w:rPr>
              <w:t>*17</w:t>
            </w:r>
            <w:r>
              <w:rPr>
                <w:rFonts w:hint="eastAsia" w:ascii="方正仿宋_GBK" w:eastAsia="方正仿宋_GBK"/>
                <w:kern w:val="0"/>
                <w:sz w:val="22"/>
                <w:szCs w:val="22"/>
              </w:rPr>
              <w:t>跨</w:t>
            </w:r>
          </w:p>
        </w:tc>
        <w:tc>
          <w:tcPr>
            <w:tcW w:w="1134" w:type="dxa"/>
            <w:tcBorders>
              <w:top w:val="nil"/>
              <w:left w:val="nil"/>
              <w:bottom w:val="single" w:color="000000" w:sz="8" w:space="0"/>
              <w:right w:val="single" w:color="000000" w:sz="8" w:space="0"/>
            </w:tcBorders>
            <w:shd w:val="clear" w:color="auto" w:fill="auto"/>
            <w:noWrap/>
            <w:vAlign w:val="center"/>
          </w:tcPr>
          <w:p w14:paraId="12FC538D">
            <w:pPr>
              <w:widowControl/>
              <w:jc w:val="center"/>
              <w:rPr>
                <w:kern w:val="0"/>
                <w:sz w:val="22"/>
                <w:szCs w:val="22"/>
              </w:rPr>
            </w:pPr>
            <w:r>
              <w:rPr>
                <w:kern w:val="0"/>
                <w:sz w:val="22"/>
                <w:szCs w:val="22"/>
              </w:rPr>
              <w:t>59.78</w:t>
            </w:r>
          </w:p>
        </w:tc>
        <w:tc>
          <w:tcPr>
            <w:tcW w:w="1275" w:type="dxa"/>
            <w:tcBorders>
              <w:top w:val="nil"/>
              <w:left w:val="nil"/>
              <w:bottom w:val="single" w:color="000000" w:sz="8" w:space="0"/>
              <w:right w:val="single" w:color="000000" w:sz="8" w:space="0"/>
            </w:tcBorders>
            <w:shd w:val="clear" w:color="auto" w:fill="auto"/>
            <w:vAlign w:val="center"/>
          </w:tcPr>
          <w:p w14:paraId="6E66BF0A">
            <w:pPr>
              <w:widowControl/>
              <w:jc w:val="left"/>
              <w:rPr>
                <w:kern w:val="0"/>
                <w:sz w:val="22"/>
                <w:szCs w:val="22"/>
              </w:rPr>
            </w:pPr>
            <w:r>
              <w:rPr>
                <w:kern w:val="0"/>
                <w:sz w:val="22"/>
                <w:szCs w:val="22"/>
              </w:rPr>
              <w:t>　</w:t>
            </w:r>
          </w:p>
        </w:tc>
        <w:tc>
          <w:tcPr>
            <w:tcW w:w="1418" w:type="dxa"/>
            <w:tcBorders>
              <w:top w:val="nil"/>
              <w:left w:val="nil"/>
              <w:bottom w:val="single" w:color="000000" w:sz="8" w:space="0"/>
              <w:right w:val="single" w:color="000000" w:sz="8" w:space="0"/>
            </w:tcBorders>
            <w:shd w:val="clear" w:color="auto" w:fill="auto"/>
            <w:vAlign w:val="center"/>
          </w:tcPr>
          <w:p w14:paraId="5658FA8D">
            <w:pPr>
              <w:widowControl/>
              <w:jc w:val="left"/>
              <w:rPr>
                <w:kern w:val="0"/>
                <w:sz w:val="22"/>
                <w:szCs w:val="22"/>
              </w:rPr>
            </w:pPr>
            <w:r>
              <w:rPr>
                <w:kern w:val="0"/>
                <w:sz w:val="22"/>
                <w:szCs w:val="22"/>
              </w:rPr>
              <w:t>　</w:t>
            </w:r>
          </w:p>
        </w:tc>
        <w:tc>
          <w:tcPr>
            <w:tcW w:w="709" w:type="dxa"/>
            <w:vMerge w:val="continue"/>
            <w:tcBorders>
              <w:top w:val="nil"/>
              <w:left w:val="single" w:color="000000" w:sz="8" w:space="0"/>
              <w:bottom w:val="single" w:color="000000" w:sz="8" w:space="0"/>
              <w:right w:val="single" w:color="000000" w:sz="8" w:space="0"/>
            </w:tcBorders>
            <w:vAlign w:val="center"/>
          </w:tcPr>
          <w:p w14:paraId="61754A62">
            <w:pPr>
              <w:widowControl/>
              <w:jc w:val="left"/>
              <w:rPr>
                <w:kern w:val="0"/>
                <w:sz w:val="22"/>
                <w:szCs w:val="22"/>
              </w:rPr>
            </w:pPr>
          </w:p>
        </w:tc>
      </w:tr>
      <w:tr w14:paraId="757D1A52">
        <w:tblPrEx>
          <w:tblCellMar>
            <w:top w:w="0" w:type="dxa"/>
            <w:left w:w="108" w:type="dxa"/>
            <w:bottom w:w="0" w:type="dxa"/>
            <w:right w:w="108" w:type="dxa"/>
          </w:tblCellMar>
        </w:tblPrEx>
        <w:trPr>
          <w:trHeight w:val="1815" w:hRule="atLeast"/>
        </w:trPr>
        <w:tc>
          <w:tcPr>
            <w:tcW w:w="668" w:type="dxa"/>
            <w:tcBorders>
              <w:top w:val="nil"/>
              <w:left w:val="single" w:color="000000" w:sz="8" w:space="0"/>
              <w:bottom w:val="single" w:color="000000" w:sz="8" w:space="0"/>
              <w:right w:val="single" w:color="000000" w:sz="8" w:space="0"/>
            </w:tcBorders>
            <w:shd w:val="clear" w:color="auto" w:fill="auto"/>
            <w:vAlign w:val="center"/>
          </w:tcPr>
          <w:p w14:paraId="00B425A9">
            <w:pPr>
              <w:widowControl/>
              <w:jc w:val="center"/>
              <w:rPr>
                <w:kern w:val="0"/>
                <w:sz w:val="22"/>
                <w:szCs w:val="22"/>
              </w:rPr>
            </w:pPr>
            <w:r>
              <w:rPr>
                <w:kern w:val="0"/>
                <w:sz w:val="22"/>
                <w:szCs w:val="22"/>
              </w:rPr>
              <w:t>15</w:t>
            </w:r>
          </w:p>
        </w:tc>
        <w:tc>
          <w:tcPr>
            <w:tcW w:w="1176" w:type="dxa"/>
            <w:vMerge w:val="continue"/>
            <w:tcBorders>
              <w:top w:val="nil"/>
              <w:left w:val="single" w:color="000000" w:sz="8" w:space="0"/>
              <w:bottom w:val="single" w:color="000000" w:sz="8" w:space="0"/>
              <w:right w:val="single" w:color="000000" w:sz="8" w:space="0"/>
            </w:tcBorders>
            <w:vAlign w:val="center"/>
          </w:tcPr>
          <w:p w14:paraId="16089301">
            <w:pPr>
              <w:widowControl/>
              <w:jc w:val="left"/>
              <w:rPr>
                <w:kern w:val="0"/>
                <w:sz w:val="22"/>
                <w:szCs w:val="22"/>
              </w:rPr>
            </w:pPr>
          </w:p>
        </w:tc>
        <w:tc>
          <w:tcPr>
            <w:tcW w:w="4111" w:type="dxa"/>
            <w:tcBorders>
              <w:top w:val="nil"/>
              <w:left w:val="nil"/>
              <w:bottom w:val="single" w:color="000000" w:sz="8" w:space="0"/>
              <w:right w:val="single" w:color="000000" w:sz="8" w:space="0"/>
            </w:tcBorders>
            <w:shd w:val="clear" w:color="auto" w:fill="auto"/>
            <w:vAlign w:val="center"/>
          </w:tcPr>
          <w:p w14:paraId="0731D2D9">
            <w:pPr>
              <w:widowControl/>
              <w:jc w:val="center"/>
              <w:rPr>
                <w:kern w:val="0"/>
                <w:sz w:val="22"/>
                <w:szCs w:val="22"/>
              </w:rPr>
            </w:pPr>
            <w:r>
              <w:rPr>
                <w:kern w:val="0"/>
                <w:sz w:val="22"/>
                <w:szCs w:val="22"/>
              </w:rPr>
              <w:t xml:space="preserve">H250×250 </w:t>
            </w:r>
            <w:r>
              <w:rPr>
                <w:rFonts w:hint="eastAsia" w:ascii="方正仿宋_GBK" w:eastAsia="方正仿宋_GBK"/>
                <w:kern w:val="0"/>
                <w:sz w:val="22"/>
                <w:szCs w:val="22"/>
              </w:rPr>
              <w:t>（</w:t>
            </w:r>
            <w:r>
              <w:rPr>
                <w:kern w:val="0"/>
                <w:sz w:val="22"/>
                <w:szCs w:val="22"/>
              </w:rPr>
              <w:t xml:space="preserve"> 1.5</w:t>
            </w:r>
            <w:r>
              <w:rPr>
                <w:rFonts w:hint="eastAsia" w:ascii="方正仿宋_GBK" w:eastAsia="方正仿宋_GBK"/>
                <w:kern w:val="0"/>
                <w:sz w:val="22"/>
                <w:szCs w:val="22"/>
              </w:rPr>
              <w:t>米</w:t>
            </w:r>
            <w:r>
              <w:rPr>
                <w:kern w:val="0"/>
                <w:sz w:val="22"/>
                <w:szCs w:val="22"/>
              </w:rPr>
              <w:t>*2</w:t>
            </w:r>
            <w:r>
              <w:rPr>
                <w:rFonts w:hint="eastAsia" w:ascii="方正仿宋_GBK" w:eastAsia="方正仿宋_GBK"/>
                <w:kern w:val="0"/>
                <w:sz w:val="22"/>
                <w:szCs w:val="22"/>
              </w:rPr>
              <w:t>根</w:t>
            </w:r>
            <w:r>
              <w:rPr>
                <w:kern w:val="0"/>
                <w:sz w:val="22"/>
                <w:szCs w:val="22"/>
              </w:rPr>
              <w:t xml:space="preserve">  2</w:t>
            </w:r>
            <w:r>
              <w:rPr>
                <w:rFonts w:hint="eastAsia" w:ascii="方正仿宋_GBK" w:eastAsia="方正仿宋_GBK"/>
                <w:kern w:val="0"/>
                <w:sz w:val="22"/>
                <w:szCs w:val="22"/>
              </w:rPr>
              <w:t>米</w:t>
            </w:r>
            <w:r>
              <w:rPr>
                <w:kern w:val="0"/>
                <w:sz w:val="22"/>
                <w:szCs w:val="22"/>
              </w:rPr>
              <w:t>*1</w:t>
            </w:r>
            <w:r>
              <w:rPr>
                <w:rFonts w:hint="eastAsia" w:ascii="方正仿宋_GBK" w:eastAsia="方正仿宋_GBK"/>
                <w:kern w:val="0"/>
                <w:sz w:val="22"/>
                <w:szCs w:val="22"/>
              </w:rPr>
              <w:t>根</w:t>
            </w:r>
            <w:r>
              <w:rPr>
                <w:kern w:val="0"/>
                <w:sz w:val="22"/>
                <w:szCs w:val="22"/>
              </w:rPr>
              <w:t xml:space="preserve">  </w:t>
            </w:r>
            <w:r>
              <w:rPr>
                <w:rFonts w:hint="eastAsia" w:ascii="方正仿宋_GBK" w:eastAsia="方正仿宋_GBK"/>
                <w:kern w:val="0"/>
                <w:sz w:val="22"/>
                <w:szCs w:val="22"/>
              </w:rPr>
              <w:t>脚板</w:t>
            </w:r>
            <w:r>
              <w:rPr>
                <w:kern w:val="0"/>
                <w:sz w:val="22"/>
                <w:szCs w:val="22"/>
              </w:rPr>
              <w:t>0.5</w:t>
            </w:r>
            <w:r>
              <w:rPr>
                <w:rFonts w:hint="eastAsia" w:ascii="方正仿宋_GBK" w:eastAsia="方正仿宋_GBK"/>
                <w:kern w:val="0"/>
                <w:sz w:val="22"/>
                <w:szCs w:val="22"/>
              </w:rPr>
              <w:t>米</w:t>
            </w:r>
            <w:r>
              <w:rPr>
                <w:kern w:val="0"/>
                <w:sz w:val="22"/>
                <w:szCs w:val="22"/>
              </w:rPr>
              <w:t>*0.5</w:t>
            </w:r>
            <w:r>
              <w:rPr>
                <w:rFonts w:hint="eastAsia" w:ascii="方正仿宋_GBK" w:eastAsia="方正仿宋_GBK"/>
                <w:kern w:val="0"/>
                <w:sz w:val="22"/>
                <w:szCs w:val="22"/>
              </w:rPr>
              <w:t>米</w:t>
            </w:r>
            <w:r>
              <w:rPr>
                <w:kern w:val="0"/>
                <w:sz w:val="22"/>
                <w:szCs w:val="22"/>
              </w:rPr>
              <w:t>*2</w:t>
            </w:r>
            <w:r>
              <w:rPr>
                <w:rFonts w:hint="eastAsia" w:ascii="方正仿宋_GBK" w:eastAsia="方正仿宋_GBK"/>
                <w:kern w:val="0"/>
                <w:sz w:val="22"/>
                <w:szCs w:val="22"/>
              </w:rPr>
              <w:t>块</w:t>
            </w:r>
            <w:r>
              <w:rPr>
                <w:kern w:val="0"/>
                <w:sz w:val="22"/>
                <w:szCs w:val="22"/>
              </w:rPr>
              <w:t xml:space="preserve">  </w:t>
            </w:r>
            <w:r>
              <w:rPr>
                <w:rFonts w:hint="eastAsia" w:ascii="方正仿宋_GBK" w:eastAsia="方正仿宋_GBK"/>
                <w:kern w:val="0"/>
                <w:sz w:val="22"/>
                <w:szCs w:val="22"/>
              </w:rPr>
              <w:t>筋板</w:t>
            </w:r>
            <w:r>
              <w:rPr>
                <w:kern w:val="0"/>
                <w:sz w:val="22"/>
                <w:szCs w:val="22"/>
              </w:rPr>
              <w:t>0.1</w:t>
            </w:r>
            <w:r>
              <w:rPr>
                <w:rFonts w:hint="eastAsia" w:ascii="方正仿宋_GBK" w:eastAsia="方正仿宋_GBK"/>
                <w:kern w:val="0"/>
                <w:sz w:val="22"/>
                <w:szCs w:val="22"/>
              </w:rPr>
              <w:t>米</w:t>
            </w:r>
            <w:r>
              <w:rPr>
                <w:kern w:val="0"/>
                <w:sz w:val="22"/>
                <w:szCs w:val="22"/>
              </w:rPr>
              <w:t>*0.25</w:t>
            </w:r>
            <w:r>
              <w:rPr>
                <w:rFonts w:hint="eastAsia" w:ascii="方正仿宋_GBK" w:eastAsia="方正仿宋_GBK"/>
                <w:kern w:val="0"/>
                <w:sz w:val="22"/>
                <w:szCs w:val="22"/>
              </w:rPr>
              <w:t>米</w:t>
            </w:r>
            <w:r>
              <w:rPr>
                <w:kern w:val="0"/>
                <w:sz w:val="22"/>
                <w:szCs w:val="22"/>
              </w:rPr>
              <w:t>*12</w:t>
            </w:r>
            <w:r>
              <w:rPr>
                <w:rFonts w:hint="eastAsia" w:ascii="方正仿宋_GBK" w:eastAsia="方正仿宋_GBK"/>
                <w:kern w:val="0"/>
                <w:sz w:val="22"/>
                <w:szCs w:val="22"/>
              </w:rPr>
              <w:t>块</w:t>
            </w:r>
            <w:r>
              <w:rPr>
                <w:kern w:val="0"/>
                <w:sz w:val="22"/>
                <w:szCs w:val="22"/>
              </w:rPr>
              <w:t>*2</w:t>
            </w:r>
            <w:r>
              <w:rPr>
                <w:rFonts w:hint="eastAsia" w:ascii="方正仿宋_GBK" w:eastAsia="方正仿宋_GBK"/>
                <w:kern w:val="0"/>
                <w:sz w:val="22"/>
                <w:szCs w:val="22"/>
              </w:rPr>
              <w:t>面）</w:t>
            </w:r>
            <w:r>
              <w:rPr>
                <w:kern w:val="0"/>
                <w:sz w:val="22"/>
                <w:szCs w:val="22"/>
              </w:rPr>
              <w:t>*14</w:t>
            </w:r>
            <w:r>
              <w:rPr>
                <w:rFonts w:hint="eastAsia" w:ascii="方正仿宋_GBK" w:eastAsia="方正仿宋_GBK"/>
                <w:kern w:val="0"/>
                <w:sz w:val="22"/>
                <w:szCs w:val="22"/>
              </w:rPr>
              <w:t>组</w:t>
            </w:r>
            <w:r>
              <w:rPr>
                <w:kern w:val="0"/>
                <w:sz w:val="22"/>
                <w:szCs w:val="22"/>
              </w:rPr>
              <w:t xml:space="preserve">   </w:t>
            </w:r>
            <w:r>
              <w:rPr>
                <w:rFonts w:hint="eastAsia" w:ascii="方正仿宋_GBK" w:eastAsia="方正仿宋_GBK"/>
                <w:kern w:val="0"/>
                <w:sz w:val="22"/>
                <w:szCs w:val="22"/>
              </w:rPr>
              <w:t>工字钢</w:t>
            </w:r>
            <w:r>
              <w:rPr>
                <w:kern w:val="0"/>
                <w:sz w:val="22"/>
                <w:szCs w:val="22"/>
              </w:rPr>
              <w:t xml:space="preserve">Ι18 </w:t>
            </w:r>
            <w:r>
              <w:rPr>
                <w:rFonts w:hint="eastAsia" w:ascii="方正仿宋_GBK" w:eastAsia="方正仿宋_GBK"/>
                <w:kern w:val="0"/>
                <w:sz w:val="22"/>
                <w:szCs w:val="22"/>
              </w:rPr>
              <w:t>（</w:t>
            </w:r>
            <w:r>
              <w:rPr>
                <w:kern w:val="0"/>
                <w:sz w:val="22"/>
                <w:szCs w:val="22"/>
              </w:rPr>
              <w:t>0.7</w:t>
            </w:r>
            <w:r>
              <w:rPr>
                <w:rFonts w:hint="eastAsia" w:ascii="方正仿宋_GBK" w:eastAsia="方正仿宋_GBK"/>
                <w:kern w:val="0"/>
                <w:sz w:val="22"/>
                <w:szCs w:val="22"/>
              </w:rPr>
              <w:t>米</w:t>
            </w:r>
            <w:r>
              <w:rPr>
                <w:kern w:val="0"/>
                <w:sz w:val="22"/>
                <w:szCs w:val="22"/>
              </w:rPr>
              <w:t>*2</w:t>
            </w:r>
            <w:r>
              <w:rPr>
                <w:rFonts w:hint="eastAsia" w:ascii="方正仿宋_GBK" w:eastAsia="方正仿宋_GBK"/>
                <w:kern w:val="0"/>
                <w:sz w:val="22"/>
                <w:szCs w:val="22"/>
              </w:rPr>
              <w:t>根</w:t>
            </w:r>
            <w:r>
              <w:rPr>
                <w:kern w:val="0"/>
                <w:sz w:val="22"/>
                <w:szCs w:val="22"/>
              </w:rPr>
              <w:t xml:space="preserve"> +2</w:t>
            </w:r>
            <w:r>
              <w:rPr>
                <w:rFonts w:hint="eastAsia" w:ascii="方正仿宋_GBK" w:eastAsia="方正仿宋_GBK"/>
                <w:kern w:val="0"/>
                <w:sz w:val="22"/>
                <w:szCs w:val="22"/>
              </w:rPr>
              <w:t>米</w:t>
            </w:r>
            <w:r>
              <w:rPr>
                <w:kern w:val="0"/>
                <w:sz w:val="22"/>
                <w:szCs w:val="22"/>
              </w:rPr>
              <w:t>*1</w:t>
            </w:r>
            <w:r>
              <w:rPr>
                <w:rFonts w:hint="eastAsia" w:ascii="方正仿宋_GBK" w:eastAsia="方正仿宋_GBK"/>
                <w:kern w:val="0"/>
                <w:sz w:val="22"/>
                <w:szCs w:val="22"/>
              </w:rPr>
              <w:t>根）</w:t>
            </w:r>
            <w:r>
              <w:rPr>
                <w:kern w:val="0"/>
                <w:sz w:val="22"/>
                <w:szCs w:val="22"/>
              </w:rPr>
              <w:t>*14</w:t>
            </w:r>
            <w:r>
              <w:rPr>
                <w:rFonts w:hint="eastAsia" w:ascii="方正仿宋_GBK" w:eastAsia="方正仿宋_GBK"/>
                <w:kern w:val="0"/>
                <w:sz w:val="22"/>
                <w:szCs w:val="22"/>
              </w:rPr>
              <w:t>组</w:t>
            </w:r>
          </w:p>
        </w:tc>
        <w:tc>
          <w:tcPr>
            <w:tcW w:w="1134" w:type="dxa"/>
            <w:tcBorders>
              <w:top w:val="nil"/>
              <w:left w:val="nil"/>
              <w:bottom w:val="single" w:color="000000" w:sz="8" w:space="0"/>
              <w:right w:val="single" w:color="000000" w:sz="8" w:space="0"/>
            </w:tcBorders>
            <w:shd w:val="clear" w:color="auto" w:fill="auto"/>
            <w:noWrap/>
            <w:vAlign w:val="center"/>
          </w:tcPr>
          <w:p w14:paraId="29D1DEDE">
            <w:pPr>
              <w:widowControl/>
              <w:jc w:val="center"/>
              <w:rPr>
                <w:kern w:val="0"/>
                <w:sz w:val="22"/>
                <w:szCs w:val="22"/>
              </w:rPr>
            </w:pPr>
            <w:r>
              <w:rPr>
                <w:kern w:val="0"/>
                <w:sz w:val="22"/>
                <w:szCs w:val="22"/>
              </w:rPr>
              <w:t>151.14</w:t>
            </w:r>
          </w:p>
        </w:tc>
        <w:tc>
          <w:tcPr>
            <w:tcW w:w="1275" w:type="dxa"/>
            <w:tcBorders>
              <w:top w:val="nil"/>
              <w:left w:val="nil"/>
              <w:bottom w:val="single" w:color="000000" w:sz="8" w:space="0"/>
              <w:right w:val="single" w:color="000000" w:sz="8" w:space="0"/>
            </w:tcBorders>
            <w:shd w:val="clear" w:color="auto" w:fill="auto"/>
            <w:vAlign w:val="center"/>
          </w:tcPr>
          <w:p w14:paraId="5821AE06">
            <w:pPr>
              <w:widowControl/>
              <w:jc w:val="left"/>
              <w:rPr>
                <w:kern w:val="0"/>
                <w:sz w:val="22"/>
                <w:szCs w:val="22"/>
              </w:rPr>
            </w:pPr>
            <w:r>
              <w:rPr>
                <w:kern w:val="0"/>
                <w:sz w:val="22"/>
                <w:szCs w:val="22"/>
              </w:rPr>
              <w:t>　</w:t>
            </w:r>
          </w:p>
        </w:tc>
        <w:tc>
          <w:tcPr>
            <w:tcW w:w="1418" w:type="dxa"/>
            <w:tcBorders>
              <w:top w:val="nil"/>
              <w:left w:val="nil"/>
              <w:bottom w:val="single" w:color="000000" w:sz="8" w:space="0"/>
              <w:right w:val="single" w:color="000000" w:sz="8" w:space="0"/>
            </w:tcBorders>
            <w:shd w:val="clear" w:color="auto" w:fill="auto"/>
            <w:vAlign w:val="center"/>
          </w:tcPr>
          <w:p w14:paraId="411E631E">
            <w:pPr>
              <w:widowControl/>
              <w:jc w:val="left"/>
              <w:rPr>
                <w:kern w:val="0"/>
                <w:sz w:val="22"/>
                <w:szCs w:val="22"/>
              </w:rPr>
            </w:pPr>
            <w:r>
              <w:rPr>
                <w:kern w:val="0"/>
                <w:sz w:val="22"/>
                <w:szCs w:val="22"/>
              </w:rPr>
              <w:t>　</w:t>
            </w:r>
          </w:p>
        </w:tc>
        <w:tc>
          <w:tcPr>
            <w:tcW w:w="709" w:type="dxa"/>
            <w:vMerge w:val="continue"/>
            <w:tcBorders>
              <w:top w:val="nil"/>
              <w:left w:val="single" w:color="000000" w:sz="8" w:space="0"/>
              <w:bottom w:val="single" w:color="000000" w:sz="8" w:space="0"/>
              <w:right w:val="single" w:color="000000" w:sz="8" w:space="0"/>
            </w:tcBorders>
            <w:vAlign w:val="center"/>
          </w:tcPr>
          <w:p w14:paraId="47B7FAD9">
            <w:pPr>
              <w:widowControl/>
              <w:jc w:val="left"/>
              <w:rPr>
                <w:kern w:val="0"/>
                <w:sz w:val="22"/>
                <w:szCs w:val="22"/>
              </w:rPr>
            </w:pPr>
          </w:p>
        </w:tc>
      </w:tr>
      <w:tr w14:paraId="04F719D4">
        <w:tblPrEx>
          <w:tblCellMar>
            <w:top w:w="0" w:type="dxa"/>
            <w:left w:w="108" w:type="dxa"/>
            <w:bottom w:w="0" w:type="dxa"/>
            <w:right w:w="108" w:type="dxa"/>
          </w:tblCellMar>
        </w:tblPrEx>
        <w:trPr>
          <w:trHeight w:val="1815" w:hRule="atLeast"/>
        </w:trPr>
        <w:tc>
          <w:tcPr>
            <w:tcW w:w="668" w:type="dxa"/>
            <w:tcBorders>
              <w:top w:val="nil"/>
              <w:left w:val="single" w:color="000000" w:sz="8" w:space="0"/>
              <w:bottom w:val="single" w:color="000000" w:sz="8" w:space="0"/>
              <w:right w:val="single" w:color="000000" w:sz="8" w:space="0"/>
            </w:tcBorders>
            <w:shd w:val="clear" w:color="auto" w:fill="auto"/>
            <w:vAlign w:val="center"/>
          </w:tcPr>
          <w:p w14:paraId="27D5DC3F">
            <w:pPr>
              <w:widowControl/>
              <w:jc w:val="center"/>
              <w:rPr>
                <w:kern w:val="0"/>
                <w:sz w:val="22"/>
                <w:szCs w:val="22"/>
              </w:rPr>
            </w:pPr>
            <w:r>
              <w:rPr>
                <w:kern w:val="0"/>
                <w:sz w:val="22"/>
                <w:szCs w:val="22"/>
              </w:rPr>
              <w:t>16</w:t>
            </w:r>
          </w:p>
        </w:tc>
        <w:tc>
          <w:tcPr>
            <w:tcW w:w="1176" w:type="dxa"/>
            <w:vMerge w:val="continue"/>
            <w:tcBorders>
              <w:top w:val="nil"/>
              <w:left w:val="single" w:color="000000" w:sz="8" w:space="0"/>
              <w:bottom w:val="single" w:color="000000" w:sz="8" w:space="0"/>
              <w:right w:val="single" w:color="000000" w:sz="8" w:space="0"/>
            </w:tcBorders>
            <w:vAlign w:val="center"/>
          </w:tcPr>
          <w:p w14:paraId="21D2F08F">
            <w:pPr>
              <w:widowControl/>
              <w:jc w:val="left"/>
              <w:rPr>
                <w:kern w:val="0"/>
                <w:sz w:val="22"/>
                <w:szCs w:val="22"/>
              </w:rPr>
            </w:pPr>
          </w:p>
        </w:tc>
        <w:tc>
          <w:tcPr>
            <w:tcW w:w="4111" w:type="dxa"/>
            <w:tcBorders>
              <w:top w:val="nil"/>
              <w:left w:val="nil"/>
              <w:bottom w:val="single" w:color="000000" w:sz="8" w:space="0"/>
              <w:right w:val="single" w:color="000000" w:sz="8" w:space="0"/>
            </w:tcBorders>
            <w:shd w:val="clear" w:color="auto" w:fill="auto"/>
            <w:vAlign w:val="center"/>
          </w:tcPr>
          <w:p w14:paraId="39A72844">
            <w:pPr>
              <w:widowControl/>
              <w:jc w:val="center"/>
              <w:rPr>
                <w:kern w:val="0"/>
                <w:sz w:val="22"/>
                <w:szCs w:val="22"/>
              </w:rPr>
            </w:pPr>
            <w:r>
              <w:rPr>
                <w:kern w:val="0"/>
                <w:sz w:val="22"/>
                <w:szCs w:val="22"/>
              </w:rPr>
              <w:t xml:space="preserve">H200×200 </w:t>
            </w:r>
            <w:r>
              <w:rPr>
                <w:rFonts w:hint="eastAsia" w:ascii="方正仿宋_GBK" w:eastAsia="方正仿宋_GBK"/>
                <w:kern w:val="0"/>
                <w:sz w:val="22"/>
                <w:szCs w:val="22"/>
              </w:rPr>
              <w:t>（</w:t>
            </w:r>
            <w:r>
              <w:rPr>
                <w:kern w:val="0"/>
                <w:sz w:val="22"/>
                <w:szCs w:val="22"/>
              </w:rPr>
              <w:t xml:space="preserve"> 1.5</w:t>
            </w:r>
            <w:r>
              <w:rPr>
                <w:rFonts w:hint="eastAsia" w:ascii="方正仿宋_GBK" w:eastAsia="方正仿宋_GBK"/>
                <w:kern w:val="0"/>
                <w:sz w:val="22"/>
                <w:szCs w:val="22"/>
              </w:rPr>
              <w:t>米</w:t>
            </w:r>
            <w:r>
              <w:rPr>
                <w:kern w:val="0"/>
                <w:sz w:val="22"/>
                <w:szCs w:val="22"/>
              </w:rPr>
              <w:t>*3</w:t>
            </w:r>
            <w:r>
              <w:rPr>
                <w:rFonts w:hint="eastAsia" w:ascii="方正仿宋_GBK" w:eastAsia="方正仿宋_GBK"/>
                <w:kern w:val="0"/>
                <w:sz w:val="22"/>
                <w:szCs w:val="22"/>
              </w:rPr>
              <w:t>根</w:t>
            </w:r>
            <w:r>
              <w:rPr>
                <w:kern w:val="0"/>
                <w:sz w:val="22"/>
                <w:szCs w:val="22"/>
              </w:rPr>
              <w:t xml:space="preserve">    </w:t>
            </w:r>
            <w:r>
              <w:rPr>
                <w:rFonts w:hint="eastAsia" w:ascii="方正仿宋_GBK" w:eastAsia="方正仿宋_GBK"/>
                <w:kern w:val="0"/>
                <w:sz w:val="22"/>
                <w:szCs w:val="22"/>
              </w:rPr>
              <w:t>脚板</w:t>
            </w:r>
            <w:r>
              <w:rPr>
                <w:kern w:val="0"/>
                <w:sz w:val="22"/>
                <w:szCs w:val="22"/>
              </w:rPr>
              <w:t>0.5</w:t>
            </w:r>
            <w:r>
              <w:rPr>
                <w:rFonts w:hint="eastAsia" w:ascii="方正仿宋_GBK" w:eastAsia="方正仿宋_GBK"/>
                <w:kern w:val="0"/>
                <w:sz w:val="22"/>
                <w:szCs w:val="22"/>
              </w:rPr>
              <w:t>米</w:t>
            </w:r>
            <w:r>
              <w:rPr>
                <w:kern w:val="0"/>
                <w:sz w:val="22"/>
                <w:szCs w:val="22"/>
              </w:rPr>
              <w:t>*0.4</w:t>
            </w:r>
            <w:r>
              <w:rPr>
                <w:rFonts w:hint="eastAsia" w:ascii="方正仿宋_GBK" w:eastAsia="方正仿宋_GBK"/>
                <w:kern w:val="0"/>
                <w:sz w:val="22"/>
                <w:szCs w:val="22"/>
              </w:rPr>
              <w:t>米</w:t>
            </w:r>
            <w:r>
              <w:rPr>
                <w:kern w:val="0"/>
                <w:sz w:val="22"/>
                <w:szCs w:val="22"/>
              </w:rPr>
              <w:t>*2</w:t>
            </w:r>
            <w:r>
              <w:rPr>
                <w:rFonts w:hint="eastAsia" w:ascii="方正仿宋_GBK" w:eastAsia="方正仿宋_GBK"/>
                <w:kern w:val="0"/>
                <w:sz w:val="22"/>
                <w:szCs w:val="22"/>
              </w:rPr>
              <w:t>块</w:t>
            </w:r>
            <w:r>
              <w:rPr>
                <w:kern w:val="0"/>
                <w:sz w:val="22"/>
                <w:szCs w:val="22"/>
              </w:rPr>
              <w:t xml:space="preserve">  </w:t>
            </w:r>
            <w:r>
              <w:rPr>
                <w:rFonts w:hint="eastAsia" w:ascii="方正仿宋_GBK" w:eastAsia="方正仿宋_GBK"/>
                <w:kern w:val="0"/>
                <w:sz w:val="22"/>
                <w:szCs w:val="22"/>
              </w:rPr>
              <w:t>筋板</w:t>
            </w:r>
            <w:r>
              <w:rPr>
                <w:kern w:val="0"/>
                <w:sz w:val="22"/>
                <w:szCs w:val="22"/>
              </w:rPr>
              <w:t>0.1</w:t>
            </w:r>
            <w:r>
              <w:rPr>
                <w:rFonts w:hint="eastAsia" w:ascii="方正仿宋_GBK" w:eastAsia="方正仿宋_GBK"/>
                <w:kern w:val="0"/>
                <w:sz w:val="22"/>
                <w:szCs w:val="22"/>
              </w:rPr>
              <w:t>米</w:t>
            </w:r>
            <w:r>
              <w:rPr>
                <w:kern w:val="0"/>
                <w:sz w:val="22"/>
                <w:szCs w:val="22"/>
              </w:rPr>
              <w:t>*0.25</w:t>
            </w:r>
            <w:r>
              <w:rPr>
                <w:rFonts w:hint="eastAsia" w:ascii="方正仿宋_GBK" w:eastAsia="方正仿宋_GBK"/>
                <w:kern w:val="0"/>
                <w:sz w:val="22"/>
                <w:szCs w:val="22"/>
              </w:rPr>
              <w:t>米</w:t>
            </w:r>
            <w:r>
              <w:rPr>
                <w:kern w:val="0"/>
                <w:sz w:val="22"/>
                <w:szCs w:val="22"/>
              </w:rPr>
              <w:t>*12</w:t>
            </w:r>
            <w:r>
              <w:rPr>
                <w:rFonts w:hint="eastAsia" w:ascii="方正仿宋_GBK" w:eastAsia="方正仿宋_GBK"/>
                <w:kern w:val="0"/>
                <w:sz w:val="22"/>
                <w:szCs w:val="22"/>
              </w:rPr>
              <w:t>块</w:t>
            </w:r>
            <w:r>
              <w:rPr>
                <w:kern w:val="0"/>
                <w:sz w:val="22"/>
                <w:szCs w:val="22"/>
              </w:rPr>
              <w:t>*2</w:t>
            </w:r>
            <w:r>
              <w:rPr>
                <w:rFonts w:hint="eastAsia" w:ascii="方正仿宋_GBK" w:eastAsia="方正仿宋_GBK"/>
                <w:kern w:val="0"/>
                <w:sz w:val="22"/>
                <w:szCs w:val="22"/>
              </w:rPr>
              <w:t>面）</w:t>
            </w:r>
            <w:r>
              <w:rPr>
                <w:kern w:val="0"/>
                <w:sz w:val="22"/>
                <w:szCs w:val="22"/>
              </w:rPr>
              <w:t>*16</w:t>
            </w:r>
            <w:r>
              <w:rPr>
                <w:rFonts w:hint="eastAsia" w:ascii="方正仿宋_GBK" w:eastAsia="方正仿宋_GBK"/>
                <w:kern w:val="0"/>
                <w:sz w:val="22"/>
                <w:szCs w:val="22"/>
              </w:rPr>
              <w:t>组</w:t>
            </w:r>
            <w:r>
              <w:rPr>
                <w:kern w:val="0"/>
                <w:sz w:val="22"/>
                <w:szCs w:val="22"/>
              </w:rPr>
              <w:t xml:space="preserve">   </w:t>
            </w:r>
            <w:r>
              <w:rPr>
                <w:rFonts w:hint="eastAsia" w:ascii="方正仿宋_GBK" w:eastAsia="方正仿宋_GBK"/>
                <w:kern w:val="0"/>
                <w:sz w:val="22"/>
                <w:szCs w:val="22"/>
              </w:rPr>
              <w:t>工字钢</w:t>
            </w:r>
            <w:r>
              <w:rPr>
                <w:kern w:val="0"/>
                <w:sz w:val="22"/>
                <w:szCs w:val="22"/>
              </w:rPr>
              <w:t xml:space="preserve">Ι18 </w:t>
            </w:r>
            <w:r>
              <w:rPr>
                <w:rFonts w:hint="eastAsia" w:ascii="方正仿宋_GBK" w:eastAsia="方正仿宋_GBK"/>
                <w:kern w:val="0"/>
                <w:sz w:val="22"/>
                <w:szCs w:val="22"/>
              </w:rPr>
              <w:t>（</w:t>
            </w:r>
            <w:r>
              <w:rPr>
                <w:kern w:val="0"/>
                <w:sz w:val="22"/>
                <w:szCs w:val="22"/>
              </w:rPr>
              <w:t>0.7</w:t>
            </w:r>
            <w:r>
              <w:rPr>
                <w:rFonts w:hint="eastAsia" w:ascii="方正仿宋_GBK" w:eastAsia="方正仿宋_GBK"/>
                <w:kern w:val="0"/>
                <w:sz w:val="22"/>
                <w:szCs w:val="22"/>
              </w:rPr>
              <w:t>米</w:t>
            </w:r>
            <w:r>
              <w:rPr>
                <w:kern w:val="0"/>
                <w:sz w:val="22"/>
                <w:szCs w:val="22"/>
              </w:rPr>
              <w:t>*2</w:t>
            </w:r>
            <w:r>
              <w:rPr>
                <w:rFonts w:hint="eastAsia" w:ascii="方正仿宋_GBK" w:eastAsia="方正仿宋_GBK"/>
                <w:kern w:val="0"/>
                <w:sz w:val="22"/>
                <w:szCs w:val="22"/>
              </w:rPr>
              <w:t>根</w:t>
            </w:r>
            <w:r>
              <w:rPr>
                <w:kern w:val="0"/>
                <w:sz w:val="22"/>
                <w:szCs w:val="22"/>
              </w:rPr>
              <w:t xml:space="preserve"> +1.5</w:t>
            </w:r>
            <w:r>
              <w:rPr>
                <w:rFonts w:hint="eastAsia" w:ascii="方正仿宋_GBK" w:eastAsia="方正仿宋_GBK"/>
                <w:kern w:val="0"/>
                <w:sz w:val="22"/>
                <w:szCs w:val="22"/>
              </w:rPr>
              <w:t>米</w:t>
            </w:r>
            <w:r>
              <w:rPr>
                <w:kern w:val="0"/>
                <w:sz w:val="22"/>
                <w:szCs w:val="22"/>
              </w:rPr>
              <w:t>*1</w:t>
            </w:r>
            <w:r>
              <w:rPr>
                <w:rFonts w:hint="eastAsia" w:ascii="方正仿宋_GBK" w:eastAsia="方正仿宋_GBK"/>
                <w:kern w:val="0"/>
                <w:sz w:val="22"/>
                <w:szCs w:val="22"/>
              </w:rPr>
              <w:t>根）</w:t>
            </w:r>
            <w:r>
              <w:rPr>
                <w:kern w:val="0"/>
                <w:sz w:val="22"/>
                <w:szCs w:val="22"/>
              </w:rPr>
              <w:t>*16</w:t>
            </w:r>
            <w:r>
              <w:rPr>
                <w:rFonts w:hint="eastAsia" w:ascii="方正仿宋_GBK" w:eastAsia="方正仿宋_GBK"/>
                <w:kern w:val="0"/>
                <w:sz w:val="22"/>
                <w:szCs w:val="22"/>
              </w:rPr>
              <w:t>组</w:t>
            </w:r>
          </w:p>
        </w:tc>
        <w:tc>
          <w:tcPr>
            <w:tcW w:w="1134" w:type="dxa"/>
            <w:tcBorders>
              <w:top w:val="nil"/>
              <w:left w:val="nil"/>
              <w:bottom w:val="single" w:color="000000" w:sz="8" w:space="0"/>
              <w:right w:val="single" w:color="000000" w:sz="8" w:space="0"/>
            </w:tcBorders>
            <w:shd w:val="clear" w:color="auto" w:fill="auto"/>
            <w:noWrap/>
            <w:vAlign w:val="center"/>
          </w:tcPr>
          <w:p w14:paraId="5F130726">
            <w:pPr>
              <w:widowControl/>
              <w:jc w:val="center"/>
              <w:rPr>
                <w:kern w:val="0"/>
                <w:sz w:val="22"/>
                <w:szCs w:val="22"/>
              </w:rPr>
            </w:pPr>
            <w:r>
              <w:rPr>
                <w:kern w:val="0"/>
                <w:sz w:val="22"/>
                <w:szCs w:val="22"/>
              </w:rPr>
              <w:t>137.46</w:t>
            </w:r>
          </w:p>
        </w:tc>
        <w:tc>
          <w:tcPr>
            <w:tcW w:w="1275" w:type="dxa"/>
            <w:tcBorders>
              <w:top w:val="nil"/>
              <w:left w:val="nil"/>
              <w:bottom w:val="single" w:color="000000" w:sz="8" w:space="0"/>
              <w:right w:val="single" w:color="000000" w:sz="8" w:space="0"/>
            </w:tcBorders>
            <w:shd w:val="clear" w:color="auto" w:fill="auto"/>
            <w:vAlign w:val="center"/>
          </w:tcPr>
          <w:p w14:paraId="696C9CFA">
            <w:pPr>
              <w:widowControl/>
              <w:jc w:val="left"/>
              <w:rPr>
                <w:kern w:val="0"/>
                <w:sz w:val="22"/>
                <w:szCs w:val="22"/>
              </w:rPr>
            </w:pPr>
            <w:r>
              <w:rPr>
                <w:kern w:val="0"/>
                <w:sz w:val="22"/>
                <w:szCs w:val="22"/>
              </w:rPr>
              <w:t>　</w:t>
            </w:r>
          </w:p>
        </w:tc>
        <w:tc>
          <w:tcPr>
            <w:tcW w:w="1418" w:type="dxa"/>
            <w:tcBorders>
              <w:top w:val="nil"/>
              <w:left w:val="nil"/>
              <w:bottom w:val="single" w:color="000000" w:sz="8" w:space="0"/>
              <w:right w:val="single" w:color="000000" w:sz="8" w:space="0"/>
            </w:tcBorders>
            <w:shd w:val="clear" w:color="auto" w:fill="auto"/>
            <w:vAlign w:val="center"/>
          </w:tcPr>
          <w:p w14:paraId="4AFE2717">
            <w:pPr>
              <w:widowControl/>
              <w:jc w:val="left"/>
              <w:rPr>
                <w:kern w:val="0"/>
                <w:sz w:val="22"/>
                <w:szCs w:val="22"/>
              </w:rPr>
            </w:pPr>
            <w:r>
              <w:rPr>
                <w:kern w:val="0"/>
                <w:sz w:val="22"/>
                <w:szCs w:val="22"/>
              </w:rPr>
              <w:t>　</w:t>
            </w:r>
          </w:p>
        </w:tc>
        <w:tc>
          <w:tcPr>
            <w:tcW w:w="709" w:type="dxa"/>
            <w:vMerge w:val="continue"/>
            <w:tcBorders>
              <w:top w:val="nil"/>
              <w:left w:val="single" w:color="000000" w:sz="8" w:space="0"/>
              <w:bottom w:val="single" w:color="000000" w:sz="8" w:space="0"/>
              <w:right w:val="single" w:color="000000" w:sz="8" w:space="0"/>
            </w:tcBorders>
            <w:vAlign w:val="center"/>
          </w:tcPr>
          <w:p w14:paraId="73164514">
            <w:pPr>
              <w:widowControl/>
              <w:jc w:val="left"/>
              <w:rPr>
                <w:kern w:val="0"/>
                <w:sz w:val="22"/>
                <w:szCs w:val="22"/>
              </w:rPr>
            </w:pPr>
          </w:p>
        </w:tc>
      </w:tr>
      <w:tr w14:paraId="1E75E609">
        <w:tblPrEx>
          <w:tblCellMar>
            <w:top w:w="0" w:type="dxa"/>
            <w:left w:w="108" w:type="dxa"/>
            <w:bottom w:w="0" w:type="dxa"/>
            <w:right w:w="108" w:type="dxa"/>
          </w:tblCellMar>
        </w:tblPrEx>
        <w:trPr>
          <w:trHeight w:val="315" w:hRule="atLeast"/>
        </w:trPr>
        <w:tc>
          <w:tcPr>
            <w:tcW w:w="9782" w:type="dxa"/>
            <w:gridSpan w:val="6"/>
            <w:tcBorders>
              <w:top w:val="single" w:color="000000" w:sz="8" w:space="0"/>
              <w:left w:val="single" w:color="000000" w:sz="8" w:space="0"/>
              <w:bottom w:val="single" w:color="000000" w:sz="8" w:space="0"/>
              <w:right w:val="single" w:color="000000" w:sz="8" w:space="0"/>
            </w:tcBorders>
            <w:shd w:val="clear" w:color="auto" w:fill="auto"/>
            <w:vAlign w:val="center"/>
          </w:tcPr>
          <w:p w14:paraId="6AC011DF">
            <w:pPr>
              <w:widowControl/>
              <w:jc w:val="left"/>
              <w:rPr>
                <w:kern w:val="0"/>
                <w:sz w:val="22"/>
                <w:szCs w:val="22"/>
              </w:rPr>
            </w:pPr>
            <w:r>
              <w:rPr>
                <w:rFonts w:hint="eastAsia" w:ascii="方正仿宋_GBK" w:eastAsia="方正仿宋_GBK"/>
                <w:kern w:val="0"/>
                <w:sz w:val="22"/>
                <w:szCs w:val="22"/>
              </w:rPr>
              <w:t>本项总价（小写）：</w:t>
            </w:r>
          </w:p>
        </w:tc>
        <w:tc>
          <w:tcPr>
            <w:tcW w:w="709" w:type="dxa"/>
            <w:vMerge w:val="continue"/>
            <w:tcBorders>
              <w:top w:val="nil"/>
              <w:left w:val="single" w:color="000000" w:sz="8" w:space="0"/>
              <w:bottom w:val="single" w:color="000000" w:sz="8" w:space="0"/>
              <w:right w:val="single" w:color="000000" w:sz="8" w:space="0"/>
            </w:tcBorders>
            <w:vAlign w:val="center"/>
          </w:tcPr>
          <w:p w14:paraId="7652E5AB">
            <w:pPr>
              <w:widowControl/>
              <w:jc w:val="left"/>
              <w:rPr>
                <w:kern w:val="0"/>
                <w:sz w:val="22"/>
                <w:szCs w:val="22"/>
              </w:rPr>
            </w:pPr>
          </w:p>
        </w:tc>
      </w:tr>
      <w:tr w14:paraId="1973986B">
        <w:tblPrEx>
          <w:tblCellMar>
            <w:top w:w="0" w:type="dxa"/>
            <w:left w:w="108" w:type="dxa"/>
            <w:bottom w:w="0" w:type="dxa"/>
            <w:right w:w="108" w:type="dxa"/>
          </w:tblCellMar>
        </w:tblPrEx>
        <w:trPr>
          <w:trHeight w:val="315" w:hRule="atLeast"/>
        </w:trPr>
        <w:tc>
          <w:tcPr>
            <w:tcW w:w="10491" w:type="dxa"/>
            <w:gridSpan w:val="7"/>
            <w:tcBorders>
              <w:top w:val="single" w:color="000000" w:sz="8" w:space="0"/>
              <w:left w:val="single" w:color="000000" w:sz="8" w:space="0"/>
              <w:bottom w:val="single" w:color="000000" w:sz="8" w:space="0"/>
              <w:right w:val="single" w:color="000000" w:sz="8" w:space="0"/>
            </w:tcBorders>
            <w:shd w:val="clear" w:color="auto" w:fill="auto"/>
            <w:vAlign w:val="center"/>
          </w:tcPr>
          <w:p w14:paraId="1A5F4BB2">
            <w:pPr>
              <w:widowControl/>
              <w:rPr>
                <w:kern w:val="0"/>
                <w:sz w:val="22"/>
                <w:szCs w:val="22"/>
              </w:rPr>
            </w:pPr>
            <w:r>
              <w:rPr>
                <w:rFonts w:hint="eastAsia" w:ascii="方正仿宋_GBK" w:eastAsia="方正仿宋_GBK"/>
                <w:kern w:val="0"/>
                <w:sz w:val="22"/>
                <w:szCs w:val="22"/>
              </w:rPr>
              <w:t>以上合计总价（小写）：</w:t>
            </w:r>
          </w:p>
        </w:tc>
      </w:tr>
    </w:tbl>
    <w:p w14:paraId="64F0902D">
      <w:pPr>
        <w:spacing w:line="600" w:lineRule="exact"/>
        <w:ind w:firstLine="640" w:firstLineChars="200"/>
        <w:jc w:val="left"/>
        <w:rPr>
          <w:rFonts w:ascii="方正仿宋简体" w:hAnsi="方正仿宋简体" w:eastAsia="方正仿宋简体" w:cs="方正仿宋简体"/>
          <w:b/>
          <w:bCs/>
          <w:color w:val="FF0000"/>
          <w:sz w:val="32"/>
          <w:szCs w:val="32"/>
        </w:rPr>
      </w:pPr>
      <w:r>
        <w:rPr>
          <w:rFonts w:hint="eastAsia" w:ascii="方正仿宋简体" w:hAnsi="方正仿宋简体" w:eastAsia="方正仿宋简体" w:cs="方正仿宋简体"/>
          <w:sz w:val="32"/>
          <w:szCs w:val="32"/>
        </w:rPr>
        <w:t>按报价格式进行填报，每格均需填报。</w:t>
      </w:r>
      <w:r>
        <w:rPr>
          <w:rFonts w:hint="eastAsia" w:ascii="方正仿宋简体" w:hAnsi="方正仿宋简体" w:eastAsia="方正仿宋简体" w:cs="方正仿宋简体"/>
          <w:b/>
          <w:bCs/>
          <w:color w:val="FF0000"/>
          <w:sz w:val="32"/>
          <w:szCs w:val="32"/>
        </w:rPr>
        <w:t>最终按实结算。</w:t>
      </w:r>
    </w:p>
    <w:p w14:paraId="001B7CAF">
      <w:pPr>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kern w:val="1"/>
          <w:sz w:val="32"/>
          <w:szCs w:val="32"/>
        </w:rPr>
        <w:t>三、施工时间：</w:t>
      </w:r>
      <w:r>
        <w:rPr>
          <w:rFonts w:hint="eastAsia" w:ascii="方正仿宋简体" w:hAnsi="方正仿宋简体" w:eastAsia="方正仿宋简体" w:cs="方正仿宋简体"/>
          <w:sz w:val="32"/>
          <w:szCs w:val="32"/>
          <w:u w:val="single"/>
        </w:rPr>
        <w:t>合同签订且采购方具备施工条件后，</w:t>
      </w:r>
      <w:r>
        <w:rPr>
          <w:rFonts w:hint="eastAsia" w:ascii="方正仿宋简体" w:hAnsi="方正仿宋简体" w:eastAsia="方正仿宋简体" w:cs="方正仿宋简体"/>
          <w:color w:val="FF0000"/>
          <w:sz w:val="32"/>
          <w:szCs w:val="32"/>
          <w:u w:val="single"/>
        </w:rPr>
        <w:t>1</w:t>
      </w:r>
      <w:r>
        <w:rPr>
          <w:rFonts w:ascii="方正仿宋简体" w:hAnsi="方正仿宋简体" w:eastAsia="方正仿宋简体" w:cs="方正仿宋简体"/>
          <w:color w:val="FF0000"/>
          <w:sz w:val="32"/>
          <w:szCs w:val="32"/>
          <w:u w:val="single"/>
        </w:rPr>
        <w:t>5</w:t>
      </w:r>
      <w:r>
        <w:rPr>
          <w:rFonts w:hint="eastAsia" w:ascii="方正仿宋简体" w:hAnsi="方正仿宋简体" w:eastAsia="方正仿宋简体" w:cs="方正仿宋简体"/>
          <w:color w:val="FF0000"/>
          <w:sz w:val="32"/>
          <w:szCs w:val="32"/>
          <w:u w:val="single"/>
        </w:rPr>
        <w:t>个工作日内</w:t>
      </w:r>
      <w:r>
        <w:rPr>
          <w:rFonts w:hint="eastAsia" w:ascii="方正仿宋简体" w:hAnsi="方正仿宋简体" w:eastAsia="方正仿宋简体" w:cs="方正仿宋简体"/>
          <w:sz w:val="32"/>
          <w:szCs w:val="32"/>
          <w:u w:val="single"/>
        </w:rPr>
        <w:t>完成；</w:t>
      </w:r>
    </w:p>
    <w:p w14:paraId="6FCA2C2A">
      <w:pPr>
        <w:spacing w:line="600" w:lineRule="exact"/>
        <w:ind w:firstLine="640" w:firstLineChars="200"/>
        <w:jc w:val="left"/>
        <w:rPr>
          <w:rFonts w:ascii="方正仿宋简体" w:hAnsi="方正仿宋简体" w:eastAsia="方正仿宋简体" w:cs="方正仿宋简体"/>
          <w:kern w:val="1"/>
          <w:sz w:val="32"/>
          <w:szCs w:val="32"/>
        </w:rPr>
      </w:pPr>
      <w:r>
        <w:rPr>
          <w:rFonts w:hint="eastAsia" w:ascii="方正仿宋简体" w:hAnsi="方正仿宋简体" w:eastAsia="方正仿宋简体" w:cs="方正仿宋简体"/>
          <w:kern w:val="1"/>
          <w:sz w:val="32"/>
          <w:szCs w:val="32"/>
        </w:rPr>
        <w:t>四、我方承诺遵守比选文书中的全部规定。</w:t>
      </w:r>
    </w:p>
    <w:p w14:paraId="718CFAD0">
      <w:pPr>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五、我方承诺中选后双方签订合同,并承担合同规定的责任义务。</w:t>
      </w:r>
    </w:p>
    <w:p w14:paraId="4140083F">
      <w:pPr>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sz w:val="32"/>
          <w:szCs w:val="32"/>
          <w:shd w:val="clear" w:color="auto" w:fill="FFFFFF"/>
        </w:rPr>
        <w:t>六、我方已详细审查全部比选文书，包括比选文书的补充文件（如有）。我方完全理解并同意放弃对这方面有不明及误解的权力，同时完全接受比选文书所有条款。如果比选文书有相互矛盾之处，我方同意按采购方的解释处理。</w:t>
      </w:r>
    </w:p>
    <w:p w14:paraId="03BCFC6C">
      <w:pPr>
        <w:spacing w:line="600" w:lineRule="exact"/>
        <w:ind w:firstLine="640" w:firstLineChars="200"/>
        <w:jc w:val="left"/>
        <w:rPr>
          <w:rFonts w:ascii="方正仿宋简体" w:hAnsi="方正仿宋简体" w:eastAsia="方正仿宋简体" w:cs="方正仿宋简体"/>
          <w:sz w:val="32"/>
          <w:szCs w:val="32"/>
          <w:shd w:val="clear" w:color="auto" w:fill="FFFFFF"/>
        </w:rPr>
      </w:pPr>
      <w:r>
        <w:rPr>
          <w:rFonts w:hint="eastAsia" w:ascii="方正仿宋简体" w:hAnsi="方正仿宋简体" w:eastAsia="方正仿宋简体" w:cs="方正仿宋简体"/>
          <w:bCs/>
          <w:kern w:val="1"/>
          <w:sz w:val="32"/>
          <w:szCs w:val="32"/>
        </w:rPr>
        <w:t>七、愿意向贵方提供任何与该项报价有关的数据、情况和技术资料，</w:t>
      </w:r>
      <w:r>
        <w:rPr>
          <w:rFonts w:hint="eastAsia" w:ascii="方正仿宋简体" w:hAnsi="方正仿宋简体" w:eastAsia="方正仿宋简体" w:cs="方正仿宋简体"/>
          <w:sz w:val="32"/>
          <w:szCs w:val="32"/>
          <w:shd w:val="clear" w:color="auto" w:fill="FFFFFF"/>
        </w:rPr>
        <w:t>完全理解贵方不一定接受最低价的报价或收到的任何报价。</w:t>
      </w:r>
    </w:p>
    <w:p w14:paraId="018FF4A5">
      <w:pPr>
        <w:pStyle w:val="8"/>
        <w:spacing w:after="0" w:line="600" w:lineRule="exact"/>
        <w:ind w:firstLine="640" w:firstLineChars="200"/>
        <w:rPr>
          <w:rFonts w:ascii="方正仿宋简体" w:hAnsi="方正仿宋简体" w:eastAsia="方正仿宋简体" w:cs="方正仿宋简体"/>
          <w:color w:val="000000"/>
          <w:sz w:val="32"/>
          <w:szCs w:val="32"/>
        </w:rPr>
      </w:pPr>
      <w:r>
        <w:rPr>
          <w:rFonts w:hint="eastAsia" w:ascii="方正仿宋简体" w:hAnsi="方正仿宋简体" w:eastAsia="方正仿宋简体" w:cs="方正仿宋简体"/>
          <w:bCs/>
          <w:color w:val="000000"/>
          <w:kern w:val="1"/>
          <w:sz w:val="32"/>
          <w:szCs w:val="32"/>
        </w:rPr>
        <w:t>八、报价单位其他说明情况：</w:t>
      </w:r>
      <w:r>
        <w:rPr>
          <w:rFonts w:hint="eastAsia" w:ascii="方正仿宋简体" w:hAnsi="方正仿宋简体" w:eastAsia="方正仿宋简体" w:cs="方正仿宋简体"/>
          <w:color w:val="000000"/>
          <w:kern w:val="1"/>
          <w:sz w:val="32"/>
          <w:szCs w:val="32"/>
          <w:u w:val="single"/>
        </w:rPr>
        <w:t xml:space="preserve">               </w:t>
      </w:r>
    </w:p>
    <w:p w14:paraId="102DB5A3">
      <w:pPr>
        <w:spacing w:line="600" w:lineRule="exact"/>
        <w:jc w:val="left"/>
        <w:rPr>
          <w:rFonts w:ascii="方正仿宋简体" w:hAnsi="方正仿宋简体" w:eastAsia="方正仿宋简体" w:cs="方正仿宋简体"/>
          <w:kern w:val="1"/>
          <w:sz w:val="32"/>
          <w:szCs w:val="32"/>
        </w:rPr>
      </w:pPr>
      <w:r>
        <w:rPr>
          <w:rFonts w:hint="eastAsia" w:ascii="方正仿宋简体" w:hAnsi="方正仿宋简体" w:eastAsia="方正仿宋简体" w:cs="方正仿宋简体"/>
          <w:kern w:val="1"/>
          <w:sz w:val="32"/>
          <w:szCs w:val="32"/>
        </w:rPr>
        <w:t>全权代表：</w:t>
      </w:r>
    </w:p>
    <w:p w14:paraId="75970F16">
      <w:pPr>
        <w:spacing w:line="600" w:lineRule="exact"/>
        <w:jc w:val="left"/>
        <w:rPr>
          <w:rFonts w:ascii="方正仿宋简体" w:hAnsi="方正仿宋简体" w:eastAsia="方正仿宋简体" w:cs="方正仿宋简体"/>
          <w:kern w:val="1"/>
          <w:sz w:val="32"/>
          <w:szCs w:val="32"/>
        </w:rPr>
      </w:pPr>
      <w:r>
        <w:rPr>
          <w:rFonts w:hint="eastAsia" w:ascii="方正仿宋简体" w:hAnsi="方正仿宋简体" w:eastAsia="方正仿宋简体" w:cs="方正仿宋简体"/>
          <w:kern w:val="1"/>
          <w:sz w:val="32"/>
          <w:szCs w:val="32"/>
        </w:rPr>
        <w:t>联系电话：</w:t>
      </w:r>
    </w:p>
    <w:p w14:paraId="246B624A">
      <w:pPr>
        <w:spacing w:line="600" w:lineRule="exact"/>
        <w:jc w:val="left"/>
        <w:rPr>
          <w:rFonts w:ascii="方正仿宋简体" w:hAnsi="方正仿宋简体" w:eastAsia="方正仿宋简体" w:cs="方正仿宋简体"/>
          <w:kern w:val="1"/>
          <w:sz w:val="32"/>
          <w:szCs w:val="32"/>
        </w:rPr>
      </w:pPr>
      <w:r>
        <w:rPr>
          <w:rFonts w:hint="eastAsia" w:ascii="方正仿宋简体" w:hAnsi="方正仿宋简体" w:eastAsia="方正仿宋简体" w:cs="方正仿宋简体"/>
          <w:kern w:val="1"/>
          <w:sz w:val="32"/>
          <w:szCs w:val="32"/>
        </w:rPr>
        <w:t>报价单位（盖章）：</w:t>
      </w:r>
    </w:p>
    <w:p w14:paraId="2CB16457">
      <w:pPr>
        <w:spacing w:line="600" w:lineRule="exact"/>
        <w:jc w:val="left"/>
        <w:rPr>
          <w:rFonts w:ascii="方正仿宋简体" w:hAnsi="方正仿宋简体" w:eastAsia="方正仿宋简体" w:cs="方正仿宋简体"/>
          <w:kern w:val="1"/>
          <w:sz w:val="32"/>
          <w:szCs w:val="32"/>
        </w:rPr>
      </w:pPr>
      <w:r>
        <w:rPr>
          <w:rFonts w:hint="eastAsia" w:ascii="方正仿宋简体" w:hAnsi="方正仿宋简体" w:eastAsia="方正仿宋简体" w:cs="方正仿宋简体"/>
          <w:kern w:val="1"/>
          <w:sz w:val="32"/>
          <w:szCs w:val="32"/>
        </w:rPr>
        <w:t>日期：</w:t>
      </w:r>
    </w:p>
    <w:p w14:paraId="6649809C">
      <w:pPr>
        <w:rPr>
          <w:rFonts w:ascii="方正小标宋简体" w:hAnsi="宋体" w:eastAsia="方正小标宋简体" w:cs="宋体"/>
          <w:b/>
          <w:bCs/>
          <w:sz w:val="32"/>
          <w:szCs w:val="32"/>
        </w:rPr>
      </w:pPr>
    </w:p>
    <w:p w14:paraId="134D794E">
      <w:pPr>
        <w:rPr>
          <w:rFonts w:ascii="方正小标宋简体" w:hAnsi="宋体" w:eastAsia="方正小标宋简体" w:cs="宋体"/>
          <w:b/>
          <w:bCs/>
          <w:sz w:val="32"/>
          <w:szCs w:val="32"/>
        </w:rPr>
      </w:pPr>
    </w:p>
    <w:p w14:paraId="43F25281">
      <w:pPr>
        <w:pStyle w:val="17"/>
        <w:rPr>
          <w:rFonts w:ascii="方正小标宋简体" w:hAnsi="宋体" w:eastAsia="方正小标宋简体" w:cs="宋体"/>
          <w:b/>
          <w:bCs/>
          <w:szCs w:val="32"/>
        </w:rPr>
      </w:pPr>
    </w:p>
    <w:p w14:paraId="1C936D57">
      <w:pPr>
        <w:pStyle w:val="17"/>
        <w:rPr>
          <w:rFonts w:ascii="方正小标宋简体" w:hAnsi="宋体" w:eastAsia="方正小标宋简体" w:cs="宋体"/>
          <w:b/>
          <w:bCs/>
          <w:szCs w:val="32"/>
        </w:rPr>
      </w:pPr>
    </w:p>
    <w:p w14:paraId="29CF1D6B">
      <w:pPr>
        <w:pStyle w:val="17"/>
        <w:rPr>
          <w:rFonts w:ascii="方正小标宋简体" w:hAnsi="宋体" w:eastAsia="方正小标宋简体" w:cs="宋体"/>
          <w:b/>
          <w:bCs/>
          <w:szCs w:val="32"/>
        </w:rPr>
      </w:pPr>
    </w:p>
    <w:p w14:paraId="33E8C4E2">
      <w:pPr>
        <w:pStyle w:val="17"/>
        <w:rPr>
          <w:rFonts w:ascii="方正小标宋简体" w:hAnsi="宋体" w:eastAsia="方正小标宋简体" w:cs="宋体"/>
          <w:b/>
          <w:bCs/>
          <w:szCs w:val="32"/>
        </w:rPr>
      </w:pPr>
    </w:p>
    <w:p w14:paraId="56DCDFB0">
      <w:pPr>
        <w:pStyle w:val="17"/>
        <w:rPr>
          <w:rFonts w:ascii="方正小标宋简体" w:hAnsi="宋体" w:eastAsia="方正小标宋简体" w:cs="宋体"/>
          <w:b/>
          <w:bCs/>
          <w:szCs w:val="32"/>
        </w:rPr>
      </w:pPr>
    </w:p>
    <w:p w14:paraId="1AB4BEE1">
      <w:pPr>
        <w:pStyle w:val="17"/>
        <w:rPr>
          <w:rFonts w:ascii="方正小标宋简体" w:hAnsi="宋体" w:eastAsia="方正小标宋简体" w:cs="宋体"/>
          <w:b/>
          <w:bCs/>
          <w:szCs w:val="32"/>
        </w:rPr>
      </w:pPr>
    </w:p>
    <w:p w14:paraId="395A103B">
      <w:pPr>
        <w:pStyle w:val="12"/>
        <w:rPr>
          <w:rFonts w:ascii="方正小标宋简体" w:hAnsi="宋体" w:eastAsia="方正小标宋简体" w:cs="宋体"/>
          <w:b/>
          <w:bCs/>
          <w:sz w:val="32"/>
          <w:szCs w:val="32"/>
        </w:rPr>
      </w:pPr>
    </w:p>
    <w:p w14:paraId="3882FB77">
      <w:pPr>
        <w:pStyle w:val="12"/>
        <w:rPr>
          <w:rFonts w:ascii="方正小标宋简体" w:hAnsi="宋体" w:eastAsia="方正小标宋简体" w:cs="宋体"/>
          <w:b/>
          <w:bCs/>
          <w:sz w:val="32"/>
          <w:szCs w:val="32"/>
        </w:rPr>
      </w:pPr>
    </w:p>
    <w:p w14:paraId="00CDF755">
      <w:pPr>
        <w:pStyle w:val="12"/>
        <w:rPr>
          <w:rFonts w:ascii="方正小标宋简体" w:hAnsi="宋体" w:eastAsia="方正小标宋简体" w:cs="宋体"/>
          <w:b/>
          <w:bCs/>
          <w:sz w:val="32"/>
          <w:szCs w:val="32"/>
        </w:rPr>
      </w:pPr>
    </w:p>
    <w:p w14:paraId="2C57861A">
      <w:pPr>
        <w:pStyle w:val="12"/>
        <w:rPr>
          <w:rFonts w:ascii="方正小标宋简体" w:hAnsi="宋体" w:eastAsia="方正小标宋简体" w:cs="宋体"/>
          <w:b/>
          <w:bCs/>
          <w:sz w:val="32"/>
          <w:szCs w:val="32"/>
        </w:rPr>
      </w:pPr>
    </w:p>
    <w:p w14:paraId="5D687305">
      <w:pPr>
        <w:pStyle w:val="17"/>
        <w:rPr>
          <w:rFonts w:ascii="方正小标宋简体" w:hAnsi="宋体" w:eastAsia="方正小标宋简体" w:cs="宋体"/>
          <w:b/>
          <w:bCs/>
          <w:szCs w:val="32"/>
        </w:rPr>
      </w:pPr>
    </w:p>
    <w:p w14:paraId="0FADCF6C">
      <w:pPr>
        <w:pStyle w:val="16"/>
        <w:adjustRightInd w:val="0"/>
        <w:snapToGrid w:val="0"/>
        <w:spacing w:before="0" w:after="0" w:line="600" w:lineRule="exact"/>
        <w:jc w:val="left"/>
        <w:rPr>
          <w:rFonts w:ascii="方正黑体_GBK" w:hAnsi="方正黑体_GBK" w:eastAsia="方正黑体_GBK" w:cs="方正黑体_GBK"/>
          <w:b w:val="0"/>
        </w:rPr>
      </w:pPr>
      <w:r>
        <w:rPr>
          <w:rFonts w:hint="eastAsia" w:ascii="方正仿宋简体" w:hAnsi="方正仿宋简体" w:eastAsia="方正仿宋简体" w:cs="方正仿宋简体"/>
          <w:kern w:val="1"/>
        </w:rPr>
        <w:t>附件1</w:t>
      </w:r>
    </w:p>
    <w:p w14:paraId="225A1572">
      <w:pPr>
        <w:pStyle w:val="16"/>
        <w:adjustRightInd w:val="0"/>
        <w:snapToGrid w:val="0"/>
        <w:spacing w:before="0" w:after="0" w:line="600" w:lineRule="exact"/>
        <w:rPr>
          <w:rFonts w:ascii="黑体" w:hAnsi="黑体" w:eastAsia="黑体"/>
          <w:b w:val="0"/>
          <w:sz w:val="34"/>
          <w:szCs w:val="34"/>
        </w:rPr>
      </w:pPr>
      <w:r>
        <w:rPr>
          <w:rFonts w:hint="eastAsia" w:ascii="方正黑体_GBK" w:hAnsi="方正黑体_GBK" w:eastAsia="方正黑体_GBK" w:cs="方正黑体_GBK"/>
          <w:b w:val="0"/>
        </w:rPr>
        <w:t xml:space="preserve"> 供应商管理</w:t>
      </w:r>
    </w:p>
    <w:p w14:paraId="747882C7">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黑体_GBK" w:hAnsi="方正黑体_GBK" w:eastAsia="方正黑体_GBK" w:cs="方正黑体_GBK"/>
          <w:sz w:val="32"/>
          <w:szCs w:val="32"/>
        </w:rPr>
        <w:t xml:space="preserve"> </w:t>
      </w:r>
      <w:r>
        <w:rPr>
          <w:rFonts w:hint="eastAsia" w:ascii="方正仿宋简体" w:hAnsi="方正仿宋简体" w:eastAsia="方正仿宋简体" w:cs="方正仿宋简体"/>
          <w:sz w:val="32"/>
          <w:szCs w:val="32"/>
        </w:rPr>
        <w:t>凡按国家标准及相关准则或规定组织生产销售的原辅材料、备品备件、劳保用品等物资供应商以及运输服务商，只要资质证照齐全且满足我司采购要求，均视为我司合格供应商，参与我司组织的采购活动。</w:t>
      </w:r>
    </w:p>
    <w:p w14:paraId="4E7E8A3E">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黑体_GBK" w:hAnsi="方正黑体_GBK" w:eastAsia="方正黑体_GBK" w:cs="方正黑体_GBK"/>
          <w:sz w:val="32"/>
          <w:szCs w:val="32"/>
        </w:rPr>
        <w:t xml:space="preserve"> </w:t>
      </w:r>
      <w:r>
        <w:rPr>
          <w:rFonts w:hint="eastAsia" w:ascii="方正仿宋简体" w:hAnsi="方正仿宋简体" w:eastAsia="方正仿宋简体" w:cs="方正仿宋简体"/>
          <w:sz w:val="32"/>
          <w:szCs w:val="32"/>
        </w:rPr>
        <w:t>供应商负面清单管理</w:t>
      </w:r>
    </w:p>
    <w:p w14:paraId="7EC912AD">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楷体_GBK" w:hAnsi="方正楷体_GBK" w:eastAsia="方正楷体_GBK" w:cs="方正楷体_GBK"/>
          <w:color w:val="000000"/>
          <w:sz w:val="32"/>
          <w:szCs w:val="32"/>
        </w:rPr>
        <w:t>（一）</w:t>
      </w:r>
      <w:r>
        <w:rPr>
          <w:rFonts w:hint="eastAsia" w:ascii="方正仿宋简体" w:hAnsi="方正仿宋简体" w:eastAsia="方正仿宋简体" w:cs="方正仿宋简体"/>
          <w:sz w:val="32"/>
          <w:szCs w:val="32"/>
        </w:rPr>
        <w:t>管理职责</w:t>
      </w:r>
    </w:p>
    <w:p w14:paraId="0D0E02F9">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1.使用部门：负责提供技术参数或提出服务要求，对采购物资或服务的质量进行验收。</w:t>
      </w:r>
    </w:p>
    <w:p w14:paraId="5B8C030C">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2.采购部门：负责通过线上或线下途径不断开发有能力满足公司所需物资或服务的供应商，对目标供应商所提供的材料完整性、交货期、价格等维度作为筛选的依据进行资格初审，收集供应商资料并建立档案。</w:t>
      </w:r>
    </w:p>
    <w:p w14:paraId="2E428E59">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3.监管部门：负责对采购流程的合规性进行监督。</w:t>
      </w:r>
    </w:p>
    <w:p w14:paraId="3DD76C60">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审计风控部负责归口公司采购负面清单，具体工作由海纳川各部室及直属单位共同承担。</w:t>
      </w:r>
    </w:p>
    <w:p w14:paraId="6189C716">
      <w:pPr>
        <w:tabs>
          <w:tab w:val="left" w:pos="2565"/>
        </w:tabs>
        <w:spacing w:line="600" w:lineRule="exact"/>
        <w:rPr>
          <w:rFonts w:ascii="方正仿宋简体" w:hAnsi="方正仿宋简体" w:eastAsia="方正仿宋简体" w:cs="方正仿宋简体"/>
          <w:sz w:val="32"/>
          <w:szCs w:val="32"/>
        </w:rPr>
      </w:pPr>
    </w:p>
    <w:p w14:paraId="3DCCEDFE">
      <w:pPr>
        <w:tabs>
          <w:tab w:val="left" w:pos="2565"/>
        </w:tabs>
        <w:spacing w:line="600" w:lineRule="exact"/>
        <w:rPr>
          <w:rFonts w:ascii="方正仿宋简体" w:hAnsi="方正仿宋简体" w:eastAsia="方正仿宋简体" w:cs="方正仿宋简体"/>
          <w:sz w:val="32"/>
          <w:szCs w:val="32"/>
        </w:rPr>
      </w:pPr>
    </w:p>
    <w:p w14:paraId="77545822">
      <w:pPr>
        <w:numPr>
          <w:ilvl w:val="0"/>
          <w:numId w:val="1"/>
        </w:numPr>
        <w:tabs>
          <w:tab w:val="left" w:pos="2565"/>
        </w:tabs>
        <w:spacing w:line="600" w:lineRule="exact"/>
        <w:ind w:firstLine="420" w:firstLineChars="200"/>
        <w:rPr>
          <w:rFonts w:ascii="方正仿宋简体" w:hAnsi="方正仿宋简体" w:eastAsia="方正仿宋简体" w:cs="方正仿宋简体"/>
          <w:sz w:val="32"/>
          <w:szCs w:val="32"/>
        </w:rPr>
      </w:pPr>
      <w:r>
        <w:drawing>
          <wp:anchor distT="0" distB="0" distL="114300" distR="114300" simplePos="0" relativeHeight="251659264" behindDoc="0" locked="0" layoutInCell="1" allowOverlap="1">
            <wp:simplePos x="0" y="0"/>
            <wp:positionH relativeFrom="column">
              <wp:posOffset>-616585</wp:posOffset>
            </wp:positionH>
            <wp:positionV relativeFrom="page">
              <wp:posOffset>1693545</wp:posOffset>
            </wp:positionV>
            <wp:extent cx="6169660" cy="8070215"/>
            <wp:effectExtent l="0" t="0" r="2540" b="6985"/>
            <wp:wrapSquare wrapText="bothSides"/>
            <wp:docPr id="1" name="图片 3" descr="D:/YYQ/招投标工作文件/制度/负面清单流程图.png负面清单流程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 descr="D:/YYQ/招投标工作文件/制度/负面清单流程图.png负面清单流程图"/>
                    <pic:cNvPicPr>
                      <a:picLocks noChangeAspect="1"/>
                    </pic:cNvPicPr>
                  </pic:nvPicPr>
                  <pic:blipFill>
                    <a:blip r:embed="rId6"/>
                    <a:srcRect t="1227" b="1227"/>
                    <a:stretch>
                      <a:fillRect/>
                    </a:stretch>
                  </pic:blipFill>
                  <pic:spPr>
                    <a:xfrm>
                      <a:off x="0" y="0"/>
                      <a:ext cx="6169660" cy="8070215"/>
                    </a:xfrm>
                    <a:prstGeom prst="rect">
                      <a:avLst/>
                    </a:prstGeom>
                    <a:noFill/>
                    <a:ln>
                      <a:noFill/>
                    </a:ln>
                  </pic:spPr>
                </pic:pic>
              </a:graphicData>
            </a:graphic>
          </wp:anchor>
        </w:drawing>
      </w:r>
      <w:r>
        <w:rPr>
          <w:rFonts w:hint="eastAsia" w:ascii="方正仿宋简体" w:hAnsi="方正仿宋简体" w:eastAsia="方正仿宋简体" w:cs="方正仿宋简体"/>
          <w:sz w:val="32"/>
          <w:szCs w:val="32"/>
        </w:rPr>
        <w:t>负面清单确定流程</w:t>
      </w:r>
    </w:p>
    <w:p w14:paraId="574AE23F">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黑体_GBK" w:hAnsi="方正黑体_GBK" w:eastAsia="方正黑体_GBK" w:cs="方正黑体_GBK"/>
          <w:sz w:val="32"/>
          <w:szCs w:val="32"/>
        </w:rPr>
        <w:t xml:space="preserve"> </w:t>
      </w:r>
      <w:r>
        <w:rPr>
          <w:rFonts w:hint="eastAsia" w:ascii="方正仿宋简体" w:hAnsi="方正仿宋简体" w:eastAsia="方正仿宋简体" w:cs="方正仿宋简体"/>
          <w:sz w:val="32"/>
          <w:szCs w:val="32"/>
        </w:rPr>
        <w:t>供应商积分管理</w:t>
      </w:r>
    </w:p>
    <w:p w14:paraId="7AACDB0B">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楷体_GBK" w:hAnsi="方正楷体_GBK" w:eastAsia="方正楷体_GBK" w:cs="方正楷体_GBK"/>
          <w:color w:val="000000"/>
          <w:sz w:val="32"/>
          <w:szCs w:val="32"/>
        </w:rPr>
        <w:t>（一）</w:t>
      </w:r>
      <w:r>
        <w:rPr>
          <w:rFonts w:hint="eastAsia" w:ascii="方正仿宋简体" w:hAnsi="方正仿宋简体" w:eastAsia="方正仿宋简体" w:cs="方正仿宋简体"/>
          <w:sz w:val="32"/>
          <w:szCs w:val="32"/>
        </w:rPr>
        <w:t>供应商积分考核</w:t>
      </w:r>
    </w:p>
    <w:p w14:paraId="39EC69EA">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合作供应商初始积分为40分，从供应商的供货质量、交货周期、售后服务、资质信誉等方面进行考核。使用部门、管理部门、采购部门均可书面提出考核建议。审计风控部组织相关参与评审部门根据本规定对供应商进行考核并建立供应商考核情况登记表（见附件3），根据扣分情况分为继续合作、限制合作及列入负面清单三种情形。考核记分周期为1年，自被考核当日起计满1年后，考核分自动清零。</w:t>
      </w:r>
    </w:p>
    <w:p w14:paraId="020EB163">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1.继续合作供应商：考核扣分介于0～7分之间，为可继续合作的供应商。</w:t>
      </w:r>
    </w:p>
    <w:p w14:paraId="782E3190">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 xml:space="preserve">2.限制合作供应商：考核扣分介于8～16分之间，为限制合作供应商。原辅材料采购3个月内、备品备件采购6个月内不接受该供应商报价。 </w:t>
      </w:r>
    </w:p>
    <w:p w14:paraId="357276E3">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3.列入负面清单供应商：考核扣分高于16分或单项扣10分，列入负面清单供应商，1年内不接受该供应商报价。</w:t>
      </w:r>
    </w:p>
    <w:p w14:paraId="452D2336">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楷体_GBK" w:hAnsi="方正楷体_GBK" w:eastAsia="方正楷体_GBK" w:cs="方正楷体_GBK"/>
          <w:color w:val="000000"/>
          <w:sz w:val="32"/>
          <w:szCs w:val="32"/>
        </w:rPr>
        <w:t>（二）</w:t>
      </w:r>
      <w:r>
        <w:rPr>
          <w:rFonts w:hint="eastAsia" w:ascii="方正仿宋简体" w:hAnsi="方正仿宋简体" w:eastAsia="方正仿宋简体" w:cs="方正仿宋简体"/>
          <w:sz w:val="32"/>
          <w:szCs w:val="32"/>
        </w:rPr>
        <w:t>供应商考核方法</w:t>
      </w:r>
    </w:p>
    <w:p w14:paraId="54F90FB4">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1.</w:t>
      </w:r>
      <w:r>
        <w:rPr>
          <w:rFonts w:hint="eastAsia" w:ascii="方正仿宋简体" w:hAnsi="方正仿宋简体" w:eastAsia="方正仿宋简体" w:cs="方正仿宋简体"/>
          <w:b/>
          <w:sz w:val="32"/>
          <w:szCs w:val="32"/>
        </w:rPr>
        <w:t>建筑施工方</w:t>
      </w:r>
    </w:p>
    <w:p w14:paraId="0F2A33AE">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（1）质量方面</w:t>
      </w:r>
    </w:p>
    <w:p w14:paraId="4BDDA8C5">
      <w:pPr>
        <w:tabs>
          <w:tab w:val="left" w:pos="2565"/>
        </w:tabs>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sz w:val="32"/>
          <w:szCs w:val="32"/>
        </w:rPr>
        <w:t>①</w:t>
      </w:r>
      <w:r>
        <w:rPr>
          <w:rFonts w:hint="eastAsia" w:ascii="方正仿宋简体" w:hAnsi="方正仿宋简体" w:eastAsia="方正仿宋简体" w:cs="方正仿宋简体"/>
          <w:bCs/>
          <w:sz w:val="32"/>
          <w:szCs w:val="32"/>
        </w:rPr>
        <w:t>施工材料出现质量问题，及时调换，未影响生产的，单次扣1</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3分；影响生产的，视严重程度单次扣5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27C1D554">
      <w:pPr>
        <w:spacing w:line="600" w:lineRule="exact"/>
        <w:ind w:firstLine="66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②施工材料存在质量问题，未能及时更换，单次扣10分。</w:t>
      </w:r>
    </w:p>
    <w:p w14:paraId="01F7184B">
      <w:pPr>
        <w:spacing w:line="600" w:lineRule="exact"/>
        <w:ind w:firstLine="66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③不能满足工程质量要求的，考核5-10分。</w:t>
      </w:r>
    </w:p>
    <w:p w14:paraId="6356D6CB">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（2）工期方面</w:t>
      </w:r>
    </w:p>
    <w:p w14:paraId="681F0E24">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不能满足进度要求的，考核5-10分。</w:t>
      </w:r>
    </w:p>
    <w:p w14:paraId="3DF829AB">
      <w:pPr>
        <w:spacing w:line="600" w:lineRule="exact"/>
        <w:ind w:firstLine="640" w:firstLineChars="200"/>
        <w:rPr>
          <w:rFonts w:ascii="方正楷体_GBK" w:hAnsi="方正楷体_GBK" w:eastAsia="方正楷体_GBK" w:cs="方正楷体_GBK"/>
          <w:bCs/>
          <w:sz w:val="32"/>
          <w:szCs w:val="32"/>
        </w:rPr>
      </w:pPr>
      <w:r>
        <w:rPr>
          <w:rFonts w:hint="eastAsia" w:ascii="方正仿宋简体" w:hAnsi="方正仿宋简体" w:eastAsia="方正仿宋简体" w:cs="方正仿宋简体"/>
          <w:bCs/>
          <w:sz w:val="32"/>
          <w:szCs w:val="32"/>
        </w:rPr>
        <w:t>（3）安全方面</w:t>
      </w:r>
    </w:p>
    <w:p w14:paraId="79F77E86">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现场施工人员不服从采购方安全管理的，考核5-10分。</w:t>
      </w:r>
    </w:p>
    <w:p w14:paraId="20A3EC4F">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（4）售后方面</w:t>
      </w:r>
    </w:p>
    <w:p w14:paraId="429B2F41">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①对我公司的售后服务要求不能及时响应，单次扣2分。</w:t>
      </w:r>
    </w:p>
    <w:p w14:paraId="64DD4EB0">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②售后人员不能及时解决问题，单次扣3分。</w:t>
      </w:r>
    </w:p>
    <w:p w14:paraId="7C629B32">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③在质保期之内，拒绝提供售后服务，单次扣5分。</w:t>
      </w:r>
    </w:p>
    <w:p w14:paraId="15795C5B">
      <w:pPr>
        <w:spacing w:line="600" w:lineRule="exact"/>
        <w:ind w:left="560"/>
        <w:rPr>
          <w:rFonts w:ascii="方正楷体_GBK" w:hAnsi="方正楷体_GBK" w:eastAsia="方正楷体_GBK" w:cs="方正楷体_GBK"/>
          <w:bCs/>
          <w:sz w:val="32"/>
          <w:szCs w:val="32"/>
        </w:rPr>
      </w:pPr>
      <w:r>
        <w:rPr>
          <w:rFonts w:hint="eastAsia" w:ascii="方正仿宋简体" w:hAnsi="方正仿宋简体" w:eastAsia="方正仿宋简体" w:cs="方正仿宋简体"/>
          <w:sz w:val="32"/>
          <w:szCs w:val="32"/>
        </w:rPr>
        <w:t>（5）</w:t>
      </w:r>
      <w:r>
        <w:rPr>
          <w:rFonts w:hint="eastAsia" w:ascii="方正仿宋简体" w:hAnsi="方正仿宋简体" w:eastAsia="方正仿宋简体" w:cs="方正仿宋简体"/>
          <w:bCs/>
          <w:sz w:val="32"/>
          <w:szCs w:val="32"/>
        </w:rPr>
        <w:t>资信方面</w:t>
      </w:r>
    </w:p>
    <w:p w14:paraId="1788067A">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①中选之后拒绝签订合同或拒绝履行合同，视影响生产程度严重的单次扣5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7860EAD0">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②交货后不能及时开具发票并送交至业务员，单次扣1分。</w:t>
      </w:r>
    </w:p>
    <w:p w14:paraId="7A150E60">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③未按合同明细开票，弄虚作假，视严重程度单次扣5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0BA754C6">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④注册信息及基本资质证书不属实，视严重程度单次扣3</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4C860691">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⑤违反廉洁协议，视严重程度单次扣5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15959C28">
      <w:pPr>
        <w:spacing w:line="600" w:lineRule="exact"/>
        <w:ind w:firstLine="643" w:firstLineChars="200"/>
        <w:rPr>
          <w:rFonts w:ascii="方正仿宋简体" w:hAnsi="方正仿宋简体" w:eastAsia="方正仿宋简体" w:cs="方正仿宋简体"/>
          <w:b/>
          <w:sz w:val="32"/>
          <w:szCs w:val="32"/>
        </w:rPr>
      </w:pPr>
      <w:r>
        <w:rPr>
          <w:rFonts w:hint="eastAsia" w:ascii="方正仿宋简体" w:hAnsi="方正仿宋简体" w:eastAsia="方正仿宋简体" w:cs="方正仿宋简体"/>
          <w:b/>
          <w:sz w:val="32"/>
          <w:szCs w:val="32"/>
        </w:rPr>
        <w:t>2.备品备件供应商</w:t>
      </w:r>
    </w:p>
    <w:p w14:paraId="12847B51">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（1）质量方面</w:t>
      </w:r>
    </w:p>
    <w:p w14:paraId="529022C9">
      <w:pPr>
        <w:spacing w:line="600" w:lineRule="exact"/>
        <w:ind w:firstLine="66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①所供产品出现质量问题，及时调换，未影响生产的，单次扣1</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3分；影响生产的，视严重程度单次扣5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7532B8F6">
      <w:pPr>
        <w:spacing w:line="600" w:lineRule="exact"/>
        <w:ind w:firstLine="66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②所供产品存在质量问题，未能及时更换，单次扣10分。</w:t>
      </w:r>
    </w:p>
    <w:p w14:paraId="70C24597">
      <w:pPr>
        <w:spacing w:line="600" w:lineRule="exact"/>
        <w:ind w:firstLine="66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③所供产品质量问题导致设备故障，视严重程度单次扣5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35209BD0">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（2）交货方面</w:t>
      </w:r>
    </w:p>
    <w:p w14:paraId="197707D2">
      <w:pPr>
        <w:spacing w:line="600" w:lineRule="exact"/>
        <w:ind w:firstLine="63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①交货时无质检报告或合格证等必要资料的，单次扣2分。</w:t>
      </w:r>
    </w:p>
    <w:p w14:paraId="7B6C62FC">
      <w:pPr>
        <w:spacing w:line="600" w:lineRule="exact"/>
        <w:ind w:firstLine="63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②交货时未按规定包装的，单次扣1分。</w:t>
      </w:r>
    </w:p>
    <w:p w14:paraId="279B438D">
      <w:pPr>
        <w:spacing w:line="600" w:lineRule="exact"/>
        <w:ind w:firstLine="63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③不能按照合同约定交货，除了按合同条款进行相应处罚外，未造成影响的，单次扣2分；造成影响的，视严重程度单次扣5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79209033">
      <w:pPr>
        <w:spacing w:line="600" w:lineRule="exact"/>
        <w:ind w:firstLine="63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④交货过程中串通作假，视严重程度单次扣5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47EC0960">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（3）售后方面</w:t>
      </w:r>
    </w:p>
    <w:p w14:paraId="23775AC4">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①对我公司的售后服务要求不能及时响应，单次扣2分。</w:t>
      </w:r>
    </w:p>
    <w:p w14:paraId="39EA61B5">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②售后人员不能及时解决问题，单次扣3分。</w:t>
      </w:r>
    </w:p>
    <w:p w14:paraId="229C7953">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③在质保期之内，拒绝提供售后服务，单次扣5分。</w:t>
      </w:r>
    </w:p>
    <w:p w14:paraId="680699BD">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（4）资信方面</w:t>
      </w:r>
    </w:p>
    <w:p w14:paraId="750D88D9">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①中选之后拒绝签订合同或拒绝履行合同，视影响生产程度严重的单次扣5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1745C7E9">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②交货后不能及时开具发票并送交至业务员，单次扣1分。</w:t>
      </w:r>
    </w:p>
    <w:p w14:paraId="7E5EED5D">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③未按合同明细开票，弄虚作假，视严重程度单次扣5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708D53FD">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④注册信息及基本资质证书不属实，视严重程度单次扣3</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7B6D6CAD">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⑤违反廉洁协议，视严重程度单次扣5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46251D66">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⑥因知识产权引起纠纷，除按合同规定执行外，视严重程度单次扣3</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23CB6659">
      <w:pPr>
        <w:spacing w:line="600" w:lineRule="exact"/>
        <w:ind w:firstLine="643" w:firstLineChars="200"/>
        <w:rPr>
          <w:rFonts w:ascii="方正仿宋简体" w:hAnsi="方正仿宋简体" w:eastAsia="方正仿宋简体" w:cs="方正仿宋简体"/>
          <w:b/>
          <w:sz w:val="32"/>
          <w:szCs w:val="32"/>
        </w:rPr>
      </w:pPr>
      <w:r>
        <w:rPr>
          <w:rFonts w:hint="eastAsia" w:ascii="方正仿宋简体" w:hAnsi="方正仿宋简体" w:eastAsia="方正仿宋简体" w:cs="方正仿宋简体"/>
          <w:b/>
          <w:sz w:val="32"/>
          <w:szCs w:val="32"/>
        </w:rPr>
        <w:t>3.物流承运商</w:t>
      </w:r>
    </w:p>
    <w:p w14:paraId="2578974B">
      <w:pPr>
        <w:tabs>
          <w:tab w:val="left" w:pos="851"/>
        </w:tabs>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（1）车船要求方面</w:t>
      </w:r>
    </w:p>
    <w:p w14:paraId="6003963D">
      <w:pPr>
        <w:spacing w:line="600" w:lineRule="exact"/>
        <w:ind w:firstLine="66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①必须做到证照齐全，即车船有行驶证、道路运输证、罐检报告，人员有驾驶证、资格证、押运证等，如不全单次扣2</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5分。</w:t>
      </w:r>
    </w:p>
    <w:p w14:paraId="1D8962C1">
      <w:pPr>
        <w:spacing w:line="600" w:lineRule="exact"/>
        <w:ind w:firstLine="66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②车船状况保持完好、设施齐全，发现缺损扣1</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2分。</w:t>
      </w:r>
    </w:p>
    <w:p w14:paraId="53D8D376">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（2）计划完成方面</w:t>
      </w:r>
    </w:p>
    <w:p w14:paraId="1E880156">
      <w:pPr>
        <w:spacing w:line="600" w:lineRule="exact"/>
        <w:ind w:firstLine="63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运输单位须按发货计划安排车船完成运输任务，否则单次扣2分。</w:t>
      </w:r>
    </w:p>
    <w:p w14:paraId="20D01DF3">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（3）资信方面</w:t>
      </w:r>
    </w:p>
    <w:p w14:paraId="702B91BF">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①中选之后拒绝签订合同或拒绝履行合同，视影响运输严重程度单次扣3</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6DC3CCD1">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②不及时开具发票并送交至业务员，单次扣1分。</w:t>
      </w:r>
    </w:p>
    <w:p w14:paraId="5D5F02B4">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③未按实际运输任务明细开票，弄虚作假，视严重程度单次扣5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789C0435">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④注册信息及基本资质证书不属实，视严重程度单次扣3</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60E746BB">
      <w:pPr>
        <w:spacing w:line="600" w:lineRule="exact"/>
        <w:ind w:firstLine="640" w:firstLineChars="200"/>
        <w:rPr>
          <w:rFonts w:ascii="方正仿宋简体" w:hAnsi="方正仿宋简体" w:eastAsia="方正仿宋简体" w:cs="方正仿宋简体"/>
          <w:bCs/>
          <w:sz w:val="32"/>
          <w:szCs w:val="32"/>
          <w:highlight w:val="yellow"/>
        </w:rPr>
      </w:pPr>
      <w:r>
        <w:rPr>
          <w:rFonts w:hint="eastAsia" w:ascii="方正仿宋简体" w:hAnsi="方正仿宋简体" w:eastAsia="方正仿宋简体" w:cs="方正仿宋简体"/>
          <w:bCs/>
          <w:sz w:val="32"/>
          <w:szCs w:val="32"/>
        </w:rPr>
        <w:t>⑤违反廉洁协议，视严重程度单次扣5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692CE073">
      <w:pPr>
        <w:spacing w:line="600" w:lineRule="exact"/>
        <w:ind w:firstLine="643" w:firstLineChars="200"/>
        <w:rPr>
          <w:rFonts w:ascii="黑体" w:hAnsi="黑体" w:eastAsia="黑体" w:cs="仿宋"/>
          <w:b/>
          <w:bCs/>
          <w:sz w:val="34"/>
          <w:szCs w:val="34"/>
        </w:rPr>
      </w:pPr>
      <w:r>
        <w:rPr>
          <w:rFonts w:hint="eastAsia" w:ascii="方正仿宋简体" w:hAnsi="方正仿宋简体" w:eastAsia="方正仿宋简体" w:cs="方正仿宋简体"/>
          <w:b/>
          <w:bCs/>
          <w:sz w:val="32"/>
          <w:szCs w:val="32"/>
        </w:rPr>
        <w:t>从负面清单中消除的流程</w:t>
      </w:r>
    </w:p>
    <w:p w14:paraId="465DD7BB">
      <w:pPr>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列入负面清单中的供应商只要通过整改，其产品或服务质量满足我司要求，原则上满一年以后可以申请从负面清单中消除。</w:t>
      </w:r>
    </w:p>
    <w:p w14:paraId="1FB9BA3A">
      <w:pPr>
        <w:spacing w:line="600" w:lineRule="exact"/>
        <w:ind w:firstLine="640" w:firstLineChars="200"/>
        <w:rPr>
          <w:rFonts w:ascii="方正仿宋简体" w:hAnsi="方正仿宋简体" w:eastAsia="方正仿宋简体" w:cs="方正仿宋简体"/>
          <w:sz w:val="32"/>
          <w:szCs w:val="32"/>
        </w:rPr>
      </w:pPr>
      <w:r>
        <w:rPr>
          <w:rFonts w:hint="eastAsia" w:ascii="方正楷体_GBK" w:hAnsi="方正楷体_GBK" w:eastAsia="方正楷体_GBK" w:cs="方正楷体_GBK"/>
          <w:sz w:val="32"/>
          <w:szCs w:val="32"/>
        </w:rPr>
        <w:t>（一）</w:t>
      </w:r>
      <w:r>
        <w:rPr>
          <w:rFonts w:hint="eastAsia" w:ascii="方正仿宋简体" w:hAnsi="方正仿宋简体" w:eastAsia="方正仿宋简体" w:cs="方正仿宋简体"/>
          <w:sz w:val="32"/>
          <w:szCs w:val="32"/>
        </w:rPr>
        <w:t>供应商提出申请</w:t>
      </w:r>
    </w:p>
    <w:p w14:paraId="6470B1D3">
      <w:pPr>
        <w:spacing w:line="600" w:lineRule="exact"/>
        <w:ind w:firstLine="640" w:firstLineChars="200"/>
        <w:rPr>
          <w:rFonts w:ascii="方正仿宋简体" w:hAnsi="方正仿宋简体" w:eastAsia="方正仿宋简体" w:cs="方正仿宋简体"/>
          <w:sz w:val="32"/>
          <w:szCs w:val="32"/>
        </w:rPr>
      </w:pPr>
      <w:r>
        <w:rPr>
          <w:rFonts w:hint="eastAsia" w:ascii="方正仿宋_GBK" w:hAnsi="方正仿宋_GBK" w:eastAsia="方正仿宋_GBK" w:cs="方正仿宋_GBK"/>
          <w:sz w:val="32"/>
          <w:szCs w:val="32"/>
        </w:rPr>
        <w:t>1.</w:t>
      </w:r>
      <w:r>
        <w:rPr>
          <w:rFonts w:hint="eastAsia" w:ascii="方正仿宋简体" w:hAnsi="方正仿宋简体" w:eastAsia="方正仿宋简体" w:cs="方正仿宋简体"/>
          <w:sz w:val="32"/>
          <w:szCs w:val="32"/>
        </w:rPr>
        <w:t>供应商提出负面清单消除的书面申请。</w:t>
      </w:r>
    </w:p>
    <w:p w14:paraId="24E72B56">
      <w:pPr>
        <w:spacing w:line="600" w:lineRule="exact"/>
        <w:ind w:firstLine="640" w:firstLineChars="200"/>
        <w:rPr>
          <w:rFonts w:ascii="方正仿宋简体" w:hAnsi="方正仿宋简体" w:eastAsia="方正仿宋简体" w:cs="方正仿宋简体"/>
          <w:sz w:val="32"/>
          <w:szCs w:val="32"/>
        </w:rPr>
      </w:pPr>
      <w:r>
        <w:rPr>
          <w:rFonts w:hint="eastAsia" w:ascii="方正仿宋_GBK" w:hAnsi="方正仿宋_GBK" w:eastAsia="方正仿宋_GBK" w:cs="方正仿宋_GBK"/>
          <w:sz w:val="32"/>
          <w:szCs w:val="32"/>
        </w:rPr>
        <w:t>2.</w:t>
      </w:r>
      <w:r>
        <w:rPr>
          <w:rFonts w:hint="eastAsia" w:ascii="方正仿宋简体" w:hAnsi="方正仿宋简体" w:eastAsia="方正仿宋简体" w:cs="方正仿宋简体"/>
          <w:sz w:val="32"/>
          <w:szCs w:val="32"/>
        </w:rPr>
        <w:t>供应商提供针对考核项的整改措施及效果等相关文件材料。</w:t>
      </w:r>
    </w:p>
    <w:p w14:paraId="40B2CE05">
      <w:pPr>
        <w:spacing w:line="600" w:lineRule="exact"/>
        <w:ind w:firstLine="640" w:firstLineChars="200"/>
        <w:rPr>
          <w:rFonts w:ascii="方正仿宋简体" w:hAnsi="方正仿宋简体" w:eastAsia="方正仿宋简体" w:cs="方正仿宋简体"/>
          <w:sz w:val="32"/>
          <w:szCs w:val="32"/>
        </w:rPr>
      </w:pPr>
      <w:r>
        <w:rPr>
          <w:rFonts w:hint="eastAsia" w:ascii="方正楷体_GBK" w:hAnsi="方正楷体_GBK" w:eastAsia="方正楷体_GBK" w:cs="方正楷体_GBK"/>
          <w:sz w:val="32"/>
          <w:szCs w:val="32"/>
        </w:rPr>
        <w:t>（二）</w:t>
      </w:r>
      <w:r>
        <w:rPr>
          <w:rFonts w:hint="eastAsia" w:ascii="方正仿宋简体" w:hAnsi="方正仿宋简体" w:eastAsia="方正仿宋简体" w:cs="方正仿宋简体"/>
          <w:sz w:val="32"/>
          <w:szCs w:val="32"/>
        </w:rPr>
        <w:t>确认与消除</w:t>
      </w:r>
    </w:p>
    <w:p w14:paraId="4148DA8C">
      <w:pPr>
        <w:spacing w:line="600" w:lineRule="exact"/>
        <w:ind w:firstLine="675"/>
        <w:rPr>
          <w:rFonts w:ascii="方正仿宋简体" w:hAnsi="方正仿宋简体" w:eastAsia="方正仿宋简体" w:cs="方正仿宋简体"/>
          <w:sz w:val="32"/>
          <w:szCs w:val="32"/>
        </w:rPr>
      </w:pPr>
      <w:r>
        <w:rPr>
          <w:rFonts w:hint="eastAsia" w:ascii="方正仿宋_GBK" w:hAnsi="方正仿宋_GBK" w:eastAsia="方正仿宋_GBK" w:cs="方正仿宋_GBK"/>
          <w:sz w:val="32"/>
          <w:szCs w:val="32"/>
        </w:rPr>
        <w:t>1.</w:t>
      </w:r>
      <w:r>
        <w:rPr>
          <w:rFonts w:hint="eastAsia" w:ascii="方正仿宋简体" w:hAnsi="方正仿宋简体" w:eastAsia="方正仿宋简体" w:cs="方正仿宋简体"/>
          <w:sz w:val="32"/>
          <w:szCs w:val="32"/>
        </w:rPr>
        <w:t>采购部门牵头组织相关部门对供应商提供的文件材料进行确认，必要时组织现场考察；</w:t>
      </w:r>
    </w:p>
    <w:p w14:paraId="26F7736C">
      <w:pPr>
        <w:spacing w:line="600" w:lineRule="exact"/>
        <w:ind w:firstLine="675"/>
        <w:rPr>
          <w:rFonts w:ascii="方正仿宋简体" w:hAnsi="方正仿宋简体" w:eastAsia="方正仿宋简体" w:cs="方正仿宋简体"/>
          <w:sz w:val="32"/>
          <w:szCs w:val="32"/>
        </w:rPr>
      </w:pPr>
      <w:r>
        <w:rPr>
          <w:rFonts w:hint="eastAsia" w:ascii="方正仿宋_GBK" w:hAnsi="方正仿宋_GBK" w:eastAsia="方正仿宋_GBK" w:cs="方正仿宋_GBK"/>
          <w:sz w:val="32"/>
          <w:szCs w:val="32"/>
        </w:rPr>
        <w:t>2.</w:t>
      </w:r>
      <w:r>
        <w:rPr>
          <w:rFonts w:hint="eastAsia" w:ascii="方正仿宋简体" w:hAnsi="方正仿宋简体" w:eastAsia="方正仿宋简体" w:cs="方正仿宋简体"/>
          <w:sz w:val="32"/>
          <w:szCs w:val="32"/>
        </w:rPr>
        <w:t>根据确认情况提出建议，报公司批准后从负面清单中消除。</w:t>
      </w:r>
    </w:p>
    <w:p w14:paraId="0C317177">
      <w:pPr>
        <w:pStyle w:val="8"/>
      </w:pPr>
    </w:p>
    <w:p w14:paraId="1BC0DAAC">
      <w:pPr>
        <w:spacing w:line="600" w:lineRule="exact"/>
        <w:ind w:firstLine="675"/>
        <w:rPr>
          <w:rFonts w:ascii="方正仿宋简体" w:hAnsi="方正仿宋简体" w:eastAsia="方正仿宋简体" w:cs="方正仿宋简体"/>
          <w:sz w:val="32"/>
          <w:szCs w:val="32"/>
        </w:rPr>
      </w:pPr>
    </w:p>
    <w:p w14:paraId="283571B1">
      <w:pPr>
        <w:spacing w:line="600" w:lineRule="exact"/>
        <w:ind w:firstLine="675"/>
        <w:rPr>
          <w:rFonts w:ascii="方正仿宋简体" w:hAnsi="方正仿宋简体" w:eastAsia="方正仿宋简体" w:cs="方正仿宋简体"/>
          <w:sz w:val="32"/>
          <w:szCs w:val="32"/>
        </w:rPr>
      </w:pPr>
    </w:p>
    <w:p w14:paraId="45B418B3">
      <w:pPr>
        <w:spacing w:line="600" w:lineRule="exact"/>
        <w:ind w:firstLine="675"/>
        <w:rPr>
          <w:rFonts w:ascii="方正仿宋简体" w:hAnsi="方正仿宋简体" w:eastAsia="方正仿宋简体" w:cs="方正仿宋简体"/>
          <w:sz w:val="32"/>
          <w:szCs w:val="32"/>
        </w:rPr>
      </w:pPr>
    </w:p>
    <w:p w14:paraId="457BFDE4">
      <w:pPr>
        <w:spacing w:line="600" w:lineRule="exact"/>
        <w:ind w:firstLine="675"/>
        <w:rPr>
          <w:rFonts w:ascii="方正仿宋简体" w:hAnsi="方正仿宋简体" w:eastAsia="方正仿宋简体" w:cs="方正仿宋简体"/>
          <w:sz w:val="32"/>
          <w:szCs w:val="32"/>
        </w:rPr>
      </w:pPr>
    </w:p>
    <w:p w14:paraId="6EC788BA">
      <w:pPr>
        <w:pStyle w:val="8"/>
      </w:pPr>
    </w:p>
    <w:p w14:paraId="740FB781">
      <w:pPr>
        <w:pStyle w:val="9"/>
      </w:pPr>
    </w:p>
    <w:p w14:paraId="14746334">
      <w:pPr>
        <w:pStyle w:val="9"/>
      </w:pPr>
    </w:p>
    <w:p w14:paraId="4C0DBF0C">
      <w:pPr>
        <w:pStyle w:val="9"/>
      </w:pPr>
    </w:p>
    <w:p w14:paraId="148EA924">
      <w:pPr>
        <w:pStyle w:val="9"/>
      </w:pPr>
    </w:p>
    <w:p w14:paraId="69E789C9">
      <w:pPr>
        <w:pStyle w:val="9"/>
      </w:pPr>
    </w:p>
    <w:p w14:paraId="4CAD0ED9">
      <w:pPr>
        <w:pStyle w:val="9"/>
      </w:pPr>
    </w:p>
    <w:p w14:paraId="487FEC07">
      <w:pPr>
        <w:pStyle w:val="9"/>
      </w:pPr>
    </w:p>
    <w:p w14:paraId="61B48ADC">
      <w:pPr>
        <w:pStyle w:val="9"/>
      </w:pPr>
    </w:p>
    <w:p w14:paraId="0586D199">
      <w:pPr>
        <w:pStyle w:val="9"/>
      </w:pPr>
    </w:p>
    <w:p w14:paraId="6E4AC28C">
      <w:pPr>
        <w:pStyle w:val="9"/>
      </w:pPr>
    </w:p>
    <w:p w14:paraId="7E999659">
      <w:pPr>
        <w:pStyle w:val="16"/>
        <w:adjustRightInd w:val="0"/>
        <w:snapToGrid w:val="0"/>
        <w:spacing w:before="0" w:after="0" w:line="600" w:lineRule="exact"/>
        <w:jc w:val="left"/>
        <w:rPr>
          <w:rFonts w:ascii="方正仿宋简体" w:hAnsi="方正仿宋简体" w:eastAsia="方正仿宋简体" w:cs="方正仿宋简体"/>
          <w:kern w:val="1"/>
        </w:rPr>
      </w:pPr>
      <w:r>
        <w:rPr>
          <w:rFonts w:hint="eastAsia" w:ascii="方正仿宋简体" w:hAnsi="方正仿宋简体" w:eastAsia="方正仿宋简体" w:cs="方正仿宋简体"/>
          <w:kern w:val="1"/>
        </w:rPr>
        <w:t>附件2</w:t>
      </w:r>
    </w:p>
    <w:p w14:paraId="0C6C0668"/>
    <w:p w14:paraId="344B39B9">
      <w:pPr>
        <w:pStyle w:val="4"/>
        <w:spacing w:line="440" w:lineRule="exact"/>
        <w:jc w:val="center"/>
        <w:rPr>
          <w:rFonts w:ascii="黑体" w:hAnsi="宋体" w:eastAsia="黑体"/>
          <w:b w:val="0"/>
          <w:sz w:val="30"/>
          <w:szCs w:val="30"/>
        </w:rPr>
      </w:pPr>
      <w:r>
        <w:rPr>
          <w:rFonts w:hint="eastAsia" w:ascii="方正仿宋简体" w:hAnsi="方正仿宋简体" w:eastAsia="方正仿宋简体" w:cs="方正仿宋简体"/>
          <w:bCs w:val="0"/>
          <w:sz w:val="32"/>
        </w:rPr>
        <w:t>具备履行合同所必需的设备和专业技术能力的书面声明</w:t>
      </w:r>
    </w:p>
    <w:p w14:paraId="172CCE66">
      <w:pPr>
        <w:spacing w:line="440" w:lineRule="exact"/>
        <w:ind w:firstLine="492"/>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我公司郑重声明：我公司具备履行本项采购合同所必需的设备和专业技术能力，为履行本项采购合同我公司具备如下主要设备专业技术能力：</w:t>
      </w:r>
    </w:p>
    <w:p w14:paraId="27FEBB37">
      <w:pPr>
        <w:spacing w:line="440" w:lineRule="exact"/>
        <w:ind w:firstLine="492"/>
        <w:rPr>
          <w:rFonts w:ascii="宋体" w:hAnsi="宋体"/>
          <w:bCs/>
          <w:sz w:val="24"/>
          <w:szCs w:val="24"/>
        </w:rPr>
      </w:pPr>
      <w:r>
        <w:rPr>
          <w:rFonts w:hint="eastAsia" w:ascii="方正仿宋简体" w:hAnsi="方正仿宋简体" w:eastAsia="方正仿宋简体" w:cs="方正仿宋简体"/>
          <w:bCs/>
          <w:sz w:val="32"/>
          <w:szCs w:val="32"/>
        </w:rPr>
        <w:t>主要专业技术能力有：   。</w:t>
      </w:r>
    </w:p>
    <w:p w14:paraId="50D5D8D9">
      <w:pPr>
        <w:spacing w:line="440" w:lineRule="exact"/>
        <w:rPr>
          <w:rFonts w:ascii="宋体" w:hAnsi="宋体"/>
          <w:bCs/>
          <w:sz w:val="24"/>
          <w:szCs w:val="24"/>
        </w:rPr>
      </w:pPr>
      <w:r>
        <w:rPr>
          <w:rFonts w:hint="eastAsia" w:ascii="宋体" w:hAnsi="宋体"/>
          <w:bCs/>
          <w:sz w:val="24"/>
          <w:szCs w:val="24"/>
        </w:rPr>
        <w:t xml:space="preserve">                                     </w:t>
      </w:r>
    </w:p>
    <w:p w14:paraId="398BEB25">
      <w:pPr>
        <w:pStyle w:val="4"/>
        <w:spacing w:line="440" w:lineRule="exact"/>
        <w:jc w:val="center"/>
        <w:rPr>
          <w:rFonts w:ascii="宋体" w:hAnsi="宋体"/>
          <w:b w:val="0"/>
          <w:sz w:val="24"/>
          <w:szCs w:val="21"/>
        </w:rPr>
      </w:pPr>
    </w:p>
    <w:p w14:paraId="35461ABB">
      <w:pPr>
        <w:pStyle w:val="16"/>
        <w:adjustRightInd w:val="0"/>
        <w:snapToGrid w:val="0"/>
        <w:spacing w:before="0" w:after="0" w:line="600" w:lineRule="exact"/>
        <w:jc w:val="left"/>
        <w:rPr>
          <w:rFonts w:ascii="方正仿宋简体" w:hAnsi="方正仿宋简体" w:eastAsia="方正仿宋简体" w:cs="方正仿宋简体"/>
          <w:kern w:val="1"/>
        </w:rPr>
      </w:pPr>
      <w:r>
        <w:rPr>
          <w:rFonts w:ascii="宋体" w:hAnsi="宋体"/>
          <w:szCs w:val="21"/>
        </w:rPr>
        <w:br w:type="page"/>
      </w:r>
      <w:r>
        <w:rPr>
          <w:rFonts w:hint="eastAsia" w:ascii="方正仿宋简体" w:hAnsi="方正仿宋简体" w:eastAsia="方正仿宋简体" w:cs="方正仿宋简体"/>
          <w:kern w:val="1"/>
        </w:rPr>
        <w:t>附件3</w:t>
      </w:r>
    </w:p>
    <w:p w14:paraId="0AD66DD1">
      <w:pPr>
        <w:pStyle w:val="4"/>
        <w:spacing w:line="440" w:lineRule="exact"/>
        <w:jc w:val="center"/>
        <w:rPr>
          <w:rFonts w:ascii="宋体" w:hAnsi="宋体"/>
          <w:szCs w:val="21"/>
        </w:rPr>
      </w:pPr>
    </w:p>
    <w:p w14:paraId="7320DC76">
      <w:pPr>
        <w:pStyle w:val="4"/>
        <w:spacing w:line="440" w:lineRule="exact"/>
        <w:jc w:val="center"/>
        <w:rPr>
          <w:rFonts w:ascii="黑体" w:hAnsi="宋体" w:eastAsia="黑体"/>
          <w:b w:val="0"/>
          <w:sz w:val="36"/>
          <w:szCs w:val="36"/>
        </w:rPr>
      </w:pPr>
      <w:r>
        <w:rPr>
          <w:rFonts w:hint="eastAsia" w:ascii="黑体" w:hAnsi="宋体" w:eastAsia="黑体"/>
          <w:b w:val="0"/>
          <w:sz w:val="36"/>
          <w:szCs w:val="36"/>
        </w:rPr>
        <w:t>法人授权书</w:t>
      </w:r>
    </w:p>
    <w:p w14:paraId="7302D73D">
      <w:pPr>
        <w:pStyle w:val="6"/>
      </w:pPr>
    </w:p>
    <w:p w14:paraId="494F690C">
      <w:pPr>
        <w:pStyle w:val="30"/>
        <w:ind w:firstLine="420" w:firstLineChars="150"/>
        <w:rPr>
          <w:color w:val="auto"/>
          <w:sz w:val="28"/>
          <w:szCs w:val="28"/>
        </w:rPr>
      </w:pPr>
      <w:r>
        <w:rPr>
          <w:rFonts w:hint="eastAsia"/>
          <w:color w:val="auto"/>
          <w:sz w:val="28"/>
          <w:szCs w:val="28"/>
        </w:rPr>
        <w:t>本授权书声明：____________（供应商名称）授权________________（被授权人的姓名）为我方就　　　　　　</w:t>
      </w:r>
      <w:r>
        <w:rPr>
          <w:rFonts w:hint="eastAsia" w:ascii="仿宋" w:hAnsi="仿宋" w:eastAsia="仿宋" w:cs="仿宋"/>
          <w:sz w:val="28"/>
          <w:szCs w:val="28"/>
          <w:u w:val="single"/>
          <w:lang w:val="zh-CN"/>
        </w:rPr>
        <w:t>（项目编号：　　　）</w:t>
      </w:r>
      <w:r>
        <w:rPr>
          <w:rFonts w:hint="eastAsia"/>
          <w:color w:val="auto"/>
          <w:sz w:val="28"/>
          <w:szCs w:val="28"/>
        </w:rPr>
        <w:t>项目采购活动的合法代理人，以本公司名义全权处理一切与该项目采购有关的事务。</w:t>
      </w:r>
    </w:p>
    <w:p w14:paraId="3AEA8123">
      <w:pPr>
        <w:pStyle w:val="30"/>
        <w:ind w:firstLine="560" w:firstLineChars="200"/>
        <w:rPr>
          <w:color w:val="auto"/>
          <w:sz w:val="28"/>
          <w:szCs w:val="28"/>
        </w:rPr>
      </w:pPr>
      <w:r>
        <w:rPr>
          <w:rFonts w:hint="eastAsia"/>
          <w:color w:val="auto"/>
          <w:sz w:val="28"/>
          <w:szCs w:val="28"/>
        </w:rPr>
        <w:t>本授权书于______年____月____日起生效，特此声明。</w:t>
      </w:r>
    </w:p>
    <w:p w14:paraId="3233AC2C">
      <w:pPr>
        <w:pStyle w:val="30"/>
        <w:rPr>
          <w:color w:val="auto"/>
          <w:sz w:val="28"/>
          <w:szCs w:val="28"/>
        </w:rPr>
      </w:pPr>
      <w:r>
        <w:rPr>
          <w:rFonts w:hint="eastAsia"/>
          <w:color w:val="auto"/>
          <w:sz w:val="28"/>
          <w:szCs w:val="28"/>
        </w:rPr>
        <w:t xml:space="preserve">    代理人（被授权人）签字：_______________________</w:t>
      </w:r>
    </w:p>
    <w:p w14:paraId="234FC992">
      <w:pPr>
        <w:pStyle w:val="30"/>
        <w:rPr>
          <w:color w:val="auto"/>
          <w:sz w:val="28"/>
          <w:szCs w:val="28"/>
        </w:rPr>
      </w:pPr>
      <w:r>
        <w:rPr>
          <w:rFonts w:hint="eastAsia"/>
          <w:color w:val="auto"/>
          <w:sz w:val="28"/>
          <w:szCs w:val="28"/>
        </w:rPr>
        <w:t xml:space="preserve">    身份证号码：</w:t>
      </w:r>
      <w:r>
        <w:rPr>
          <w:rFonts w:hint="eastAsia"/>
          <w:color w:val="auto"/>
          <w:sz w:val="28"/>
          <w:szCs w:val="28"/>
          <w:u w:val="single"/>
        </w:rPr>
        <w:t xml:space="preserve">                                   </w:t>
      </w:r>
    </w:p>
    <w:p w14:paraId="31D2A537">
      <w:pPr>
        <w:pStyle w:val="30"/>
        <w:rPr>
          <w:color w:val="auto"/>
          <w:sz w:val="28"/>
          <w:szCs w:val="28"/>
        </w:rPr>
      </w:pPr>
      <w:r>
        <w:rPr>
          <w:rFonts w:hint="eastAsia"/>
          <w:color w:val="auto"/>
          <w:sz w:val="28"/>
          <w:szCs w:val="28"/>
        </w:rPr>
        <w:t xml:space="preserve">    联系电话：（手机）</w:t>
      </w:r>
      <w:r>
        <w:rPr>
          <w:rFonts w:hint="eastAsia"/>
          <w:color w:val="auto"/>
          <w:sz w:val="28"/>
          <w:szCs w:val="28"/>
          <w:u w:val="single"/>
        </w:rPr>
        <w:t xml:space="preserve">                              </w:t>
      </w:r>
    </w:p>
    <w:p w14:paraId="67BA74D2">
      <w:pPr>
        <w:pStyle w:val="30"/>
        <w:ind w:firstLine="560" w:firstLineChars="200"/>
        <w:rPr>
          <w:color w:val="auto"/>
          <w:sz w:val="28"/>
          <w:szCs w:val="28"/>
        </w:rPr>
      </w:pPr>
      <w:r>
        <w:rPr>
          <w:rFonts w:hint="eastAsia"/>
          <w:color w:val="auto"/>
          <w:sz w:val="28"/>
          <w:szCs w:val="28"/>
        </w:rPr>
        <w:t>单位名称：_____________________________________</w:t>
      </w:r>
    </w:p>
    <w:p w14:paraId="748D42FF">
      <w:pPr>
        <w:pStyle w:val="30"/>
        <w:rPr>
          <w:color w:val="auto"/>
          <w:sz w:val="28"/>
          <w:szCs w:val="28"/>
        </w:rPr>
      </w:pPr>
      <w:r>
        <w:rPr>
          <w:rFonts w:hint="eastAsia"/>
          <w:i/>
          <w:color w:val="auto"/>
          <w:sz w:val="28"/>
          <w:szCs w:val="28"/>
        </w:rPr>
        <w:t xml:space="preserve">    </w:t>
      </w:r>
      <w:r>
        <w:rPr>
          <w:rFonts w:hint="eastAsia"/>
          <w:color w:val="auto"/>
          <w:sz w:val="28"/>
          <w:szCs w:val="28"/>
        </w:rPr>
        <w:t>授权单位盖章：_________________________________</w:t>
      </w:r>
    </w:p>
    <w:p w14:paraId="28E4DD79">
      <w:pPr>
        <w:pStyle w:val="30"/>
        <w:rPr>
          <w:color w:val="auto"/>
          <w:sz w:val="28"/>
          <w:szCs w:val="28"/>
        </w:rPr>
      </w:pPr>
      <w:r>
        <w:rPr>
          <w:rFonts w:hint="eastAsia"/>
          <w:color w:val="auto"/>
          <w:sz w:val="28"/>
          <w:szCs w:val="28"/>
        </w:rPr>
        <w:t xml:space="preserve">    地址： </w:t>
      </w:r>
      <w:r>
        <w:rPr>
          <w:rFonts w:hint="eastAsia"/>
          <w:color w:val="auto"/>
          <w:sz w:val="28"/>
          <w:szCs w:val="28"/>
          <w:u w:val="single"/>
        </w:rPr>
        <w:t xml:space="preserve">                                        </w:t>
      </w:r>
    </w:p>
    <w:p w14:paraId="21EE23C7">
      <w:pPr>
        <w:pStyle w:val="30"/>
        <w:rPr>
          <w:color w:val="auto"/>
          <w:sz w:val="28"/>
          <w:szCs w:val="28"/>
        </w:rPr>
      </w:pPr>
      <w:r>
        <w:rPr>
          <w:rFonts w:hint="eastAsia"/>
          <w:color w:val="auto"/>
          <w:sz w:val="28"/>
          <w:szCs w:val="28"/>
        </w:rPr>
        <w:t xml:space="preserve">    日期：   年   月   日</w:t>
      </w:r>
    </w:p>
    <w:p w14:paraId="056FFC02">
      <w:pPr>
        <w:pStyle w:val="30"/>
        <w:spacing w:line="440" w:lineRule="exact"/>
        <w:rPr>
          <w:color w:val="auto"/>
          <w:sz w:val="28"/>
          <w:szCs w:val="28"/>
        </w:rPr>
      </w:pPr>
      <w:r>
        <w:rPr>
          <w:rFonts w:hint="eastAsia"/>
          <w:color w:val="auto"/>
          <w:sz w:val="28"/>
          <w:szCs w:val="28"/>
        </w:rPr>
        <w:t xml:space="preserve">                </w:t>
      </w:r>
      <w:bookmarkStart w:id="1" w:name="_Hlt26955070"/>
      <w:bookmarkEnd w:id="1"/>
      <w:bookmarkStart w:id="2" w:name="_Hlt26671380"/>
      <w:bookmarkEnd w:id="2"/>
      <w:bookmarkStart w:id="3" w:name="_格式3__银行出具的资信证明"/>
      <w:bookmarkEnd w:id="3"/>
    </w:p>
    <w:p w14:paraId="6C84B472">
      <w:pPr>
        <w:pStyle w:val="6"/>
        <w:spacing w:line="440" w:lineRule="exact"/>
      </w:pPr>
    </w:p>
    <w:p w14:paraId="33BAFB65">
      <w:pPr>
        <w:pStyle w:val="6"/>
        <w:spacing w:line="440" w:lineRule="exact"/>
      </w:pPr>
    </w:p>
    <w:p w14:paraId="4E76FB68">
      <w:pPr>
        <w:pStyle w:val="16"/>
        <w:adjustRightInd w:val="0"/>
        <w:snapToGrid w:val="0"/>
        <w:spacing w:before="0" w:after="0" w:line="600" w:lineRule="exact"/>
        <w:jc w:val="left"/>
        <w:rPr>
          <w:rFonts w:ascii="方正仿宋简体" w:hAnsi="方正仿宋简体" w:eastAsia="方正仿宋简体" w:cs="方正仿宋简体"/>
          <w:kern w:val="1"/>
        </w:rPr>
      </w:pPr>
      <w:r>
        <w:rPr>
          <w:rFonts w:ascii="宋体" w:hAnsi="宋体"/>
          <w:szCs w:val="21"/>
        </w:rPr>
        <w:br w:type="page"/>
      </w:r>
      <w:r>
        <w:rPr>
          <w:rFonts w:hint="eastAsia" w:ascii="方正仿宋简体" w:hAnsi="方正仿宋简体" w:eastAsia="方正仿宋简体" w:cs="方正仿宋简体"/>
          <w:kern w:val="1"/>
        </w:rPr>
        <w:t>附件4</w:t>
      </w:r>
    </w:p>
    <w:p w14:paraId="121C710C">
      <w:pPr>
        <w:pStyle w:val="4"/>
        <w:spacing w:line="440" w:lineRule="exact"/>
        <w:jc w:val="center"/>
        <w:rPr>
          <w:rFonts w:ascii="宋体" w:hAnsi="宋体"/>
          <w:szCs w:val="21"/>
        </w:rPr>
      </w:pPr>
    </w:p>
    <w:p w14:paraId="0D836A3F">
      <w:pPr>
        <w:pStyle w:val="4"/>
        <w:spacing w:line="440" w:lineRule="exact"/>
        <w:jc w:val="center"/>
        <w:rPr>
          <w:rFonts w:ascii="黑体" w:hAnsi="宋体" w:eastAsia="黑体"/>
          <w:sz w:val="30"/>
          <w:szCs w:val="30"/>
        </w:rPr>
      </w:pPr>
      <w:r>
        <w:rPr>
          <w:rFonts w:hint="eastAsia" w:ascii="黑体" w:hAnsi="宋体" w:eastAsia="黑体"/>
          <w:b w:val="0"/>
          <w:sz w:val="30"/>
          <w:szCs w:val="30"/>
        </w:rPr>
        <w:t>参加采购活动前 3 年内在经营活动中没有重大违法记录的书面声明</w:t>
      </w:r>
    </w:p>
    <w:p w14:paraId="63672D7B">
      <w:pPr>
        <w:spacing w:line="440" w:lineRule="exact"/>
        <w:rPr>
          <w:rFonts w:ascii="宋体" w:hAnsi="宋体"/>
          <w:b/>
          <w:bCs/>
          <w:sz w:val="44"/>
          <w:szCs w:val="44"/>
        </w:rPr>
      </w:pPr>
      <w:r>
        <w:rPr>
          <w:rFonts w:hint="eastAsia" w:ascii="宋体" w:hAnsi="宋体"/>
          <w:b/>
          <w:bCs/>
          <w:sz w:val="24"/>
          <w:szCs w:val="24"/>
        </w:rPr>
        <w:t xml:space="preserve">                       </w:t>
      </w:r>
      <w:r>
        <w:rPr>
          <w:rFonts w:hint="eastAsia" w:ascii="宋体" w:hAnsi="宋体"/>
          <w:b/>
          <w:bCs/>
          <w:sz w:val="44"/>
          <w:szCs w:val="44"/>
        </w:rPr>
        <w:t xml:space="preserve">   </w:t>
      </w:r>
    </w:p>
    <w:p w14:paraId="727CB9F1">
      <w:pPr>
        <w:spacing w:line="440" w:lineRule="exact"/>
        <w:rPr>
          <w:rFonts w:ascii="宋体" w:hAnsi="宋体"/>
          <w:b/>
          <w:bCs/>
          <w:sz w:val="44"/>
          <w:szCs w:val="44"/>
        </w:rPr>
      </w:pPr>
      <w:r>
        <w:rPr>
          <w:rFonts w:hint="eastAsia" w:ascii="宋体" w:hAnsi="宋体"/>
          <w:b/>
          <w:bCs/>
          <w:sz w:val="44"/>
          <w:szCs w:val="44"/>
        </w:rPr>
        <w:t xml:space="preserve">                   声  明</w:t>
      </w:r>
    </w:p>
    <w:p w14:paraId="2DA7BB0E">
      <w:pPr>
        <w:spacing w:line="440" w:lineRule="exact"/>
        <w:ind w:firstLine="481"/>
        <w:rPr>
          <w:rFonts w:ascii="宋体" w:hAnsi="宋体"/>
          <w:bCs/>
          <w:sz w:val="28"/>
          <w:szCs w:val="28"/>
        </w:rPr>
      </w:pPr>
      <w:r>
        <w:rPr>
          <w:rFonts w:hint="eastAsia" w:ascii="宋体" w:hAnsi="宋体"/>
          <w:bCs/>
          <w:sz w:val="28"/>
          <w:szCs w:val="28"/>
        </w:rPr>
        <w:t>我单位郑重声明：参加本次采购活动前 3 年内，我单位在经营活动中没有因违法经营受到刑事处罚或者责令停产停业、吊销许可证或者执照、较大数额罚款等行政处罚。</w:t>
      </w:r>
    </w:p>
    <w:p w14:paraId="71D3DCCD">
      <w:pPr>
        <w:spacing w:line="440" w:lineRule="exact"/>
        <w:ind w:firstLine="481"/>
        <w:rPr>
          <w:rFonts w:ascii="宋体" w:hAnsi="宋体"/>
          <w:bCs/>
          <w:sz w:val="28"/>
          <w:szCs w:val="28"/>
        </w:rPr>
      </w:pPr>
    </w:p>
    <w:p w14:paraId="5B829073">
      <w:pPr>
        <w:spacing w:line="440" w:lineRule="exact"/>
        <w:ind w:firstLine="481"/>
        <w:rPr>
          <w:rFonts w:ascii="宋体" w:hAnsi="宋体"/>
          <w:bCs/>
          <w:sz w:val="28"/>
          <w:szCs w:val="28"/>
        </w:rPr>
      </w:pPr>
    </w:p>
    <w:p w14:paraId="19A14828">
      <w:pPr>
        <w:spacing w:line="440" w:lineRule="exact"/>
        <w:ind w:firstLine="481"/>
        <w:rPr>
          <w:rFonts w:ascii="宋体" w:hAnsi="宋体"/>
          <w:bCs/>
          <w:sz w:val="28"/>
          <w:szCs w:val="28"/>
        </w:rPr>
      </w:pPr>
    </w:p>
    <w:p w14:paraId="724D1122">
      <w:pPr>
        <w:spacing w:line="440" w:lineRule="exact"/>
        <w:ind w:firstLine="481"/>
        <w:rPr>
          <w:rFonts w:ascii="宋体" w:hAnsi="宋体"/>
          <w:bCs/>
          <w:sz w:val="28"/>
          <w:szCs w:val="28"/>
        </w:rPr>
      </w:pPr>
    </w:p>
    <w:p w14:paraId="0BE5C640">
      <w:pPr>
        <w:spacing w:line="440" w:lineRule="exact"/>
        <w:ind w:firstLine="481"/>
        <w:rPr>
          <w:rFonts w:ascii="宋体" w:hAnsi="宋体"/>
          <w:bCs/>
          <w:sz w:val="28"/>
          <w:szCs w:val="28"/>
        </w:rPr>
      </w:pPr>
    </w:p>
    <w:p w14:paraId="4B1CC1D7">
      <w:pPr>
        <w:spacing w:line="440" w:lineRule="exact"/>
        <w:ind w:firstLine="481"/>
        <w:rPr>
          <w:rFonts w:ascii="宋体" w:hAnsi="宋体"/>
          <w:bCs/>
          <w:sz w:val="28"/>
          <w:szCs w:val="28"/>
        </w:rPr>
      </w:pPr>
    </w:p>
    <w:p w14:paraId="1FCE3676">
      <w:pPr>
        <w:spacing w:line="440" w:lineRule="exact"/>
        <w:ind w:firstLine="481"/>
        <w:rPr>
          <w:rFonts w:ascii="宋体" w:hAnsi="宋体"/>
          <w:bCs/>
          <w:sz w:val="28"/>
          <w:szCs w:val="28"/>
        </w:rPr>
      </w:pPr>
    </w:p>
    <w:p w14:paraId="4359C0F2">
      <w:pPr>
        <w:spacing w:line="440" w:lineRule="exact"/>
        <w:ind w:firstLine="481"/>
        <w:rPr>
          <w:rFonts w:ascii="宋体" w:hAnsi="宋体"/>
          <w:bCs/>
          <w:sz w:val="28"/>
          <w:szCs w:val="28"/>
        </w:rPr>
      </w:pPr>
    </w:p>
    <w:p w14:paraId="7406CA93">
      <w:pPr>
        <w:spacing w:line="440" w:lineRule="exact"/>
        <w:ind w:firstLine="481"/>
        <w:rPr>
          <w:rFonts w:ascii="宋体" w:hAnsi="宋体"/>
          <w:bCs/>
          <w:sz w:val="28"/>
          <w:szCs w:val="28"/>
        </w:rPr>
      </w:pPr>
    </w:p>
    <w:p w14:paraId="5B982370">
      <w:pPr>
        <w:spacing w:line="440" w:lineRule="exact"/>
        <w:ind w:firstLine="481"/>
        <w:rPr>
          <w:rFonts w:ascii="宋体" w:hAnsi="宋体"/>
          <w:bCs/>
          <w:sz w:val="28"/>
          <w:szCs w:val="28"/>
        </w:rPr>
      </w:pPr>
    </w:p>
    <w:p w14:paraId="677872BA">
      <w:pPr>
        <w:spacing w:line="440" w:lineRule="exact"/>
        <w:ind w:firstLine="481"/>
        <w:rPr>
          <w:rFonts w:ascii="宋体" w:hAnsi="宋体"/>
          <w:bCs/>
          <w:sz w:val="28"/>
          <w:szCs w:val="28"/>
        </w:rPr>
      </w:pPr>
    </w:p>
    <w:p w14:paraId="493DEA60">
      <w:pPr>
        <w:spacing w:line="440" w:lineRule="exact"/>
        <w:ind w:firstLine="481"/>
        <w:rPr>
          <w:rFonts w:ascii="宋体" w:hAnsi="宋体"/>
          <w:bCs/>
          <w:sz w:val="28"/>
          <w:szCs w:val="28"/>
        </w:rPr>
      </w:pPr>
    </w:p>
    <w:p w14:paraId="49634C09">
      <w:pPr>
        <w:spacing w:line="440" w:lineRule="exact"/>
        <w:ind w:firstLine="481"/>
        <w:rPr>
          <w:rFonts w:ascii="宋体" w:hAnsi="宋体"/>
          <w:bCs/>
          <w:sz w:val="28"/>
          <w:szCs w:val="28"/>
        </w:rPr>
      </w:pPr>
    </w:p>
    <w:p w14:paraId="4C09C7EB">
      <w:pPr>
        <w:spacing w:line="440" w:lineRule="exact"/>
        <w:ind w:firstLine="481"/>
        <w:rPr>
          <w:rFonts w:ascii="宋体" w:hAnsi="宋体"/>
          <w:bCs/>
          <w:sz w:val="28"/>
          <w:szCs w:val="28"/>
        </w:rPr>
      </w:pPr>
    </w:p>
    <w:p w14:paraId="566F4FF6">
      <w:pPr>
        <w:spacing w:line="440" w:lineRule="exact"/>
        <w:ind w:firstLine="481"/>
        <w:rPr>
          <w:rFonts w:ascii="宋体" w:hAnsi="宋体"/>
          <w:bCs/>
          <w:sz w:val="28"/>
          <w:szCs w:val="28"/>
        </w:rPr>
      </w:pPr>
    </w:p>
    <w:p w14:paraId="0CAACC28">
      <w:pPr>
        <w:spacing w:line="440" w:lineRule="exact"/>
        <w:ind w:firstLine="481"/>
        <w:rPr>
          <w:rFonts w:ascii="宋体" w:hAnsi="宋体"/>
          <w:bCs/>
          <w:sz w:val="28"/>
          <w:szCs w:val="28"/>
        </w:rPr>
      </w:pPr>
    </w:p>
    <w:p w14:paraId="45F3EB9E">
      <w:pPr>
        <w:spacing w:line="440" w:lineRule="exact"/>
        <w:ind w:firstLine="481"/>
        <w:rPr>
          <w:rFonts w:ascii="宋体" w:hAnsi="宋体"/>
          <w:bCs/>
          <w:sz w:val="28"/>
          <w:szCs w:val="28"/>
        </w:rPr>
      </w:pPr>
    </w:p>
    <w:p w14:paraId="481DE62A">
      <w:pPr>
        <w:spacing w:line="440" w:lineRule="exact"/>
        <w:ind w:firstLine="481"/>
        <w:rPr>
          <w:rFonts w:ascii="宋体" w:hAnsi="宋体"/>
          <w:bCs/>
          <w:sz w:val="28"/>
          <w:szCs w:val="28"/>
        </w:rPr>
      </w:pPr>
    </w:p>
    <w:p w14:paraId="3EF16A0B">
      <w:pPr>
        <w:spacing w:line="440" w:lineRule="exact"/>
        <w:ind w:firstLine="481"/>
        <w:rPr>
          <w:rFonts w:ascii="宋体" w:hAnsi="宋体"/>
          <w:bCs/>
          <w:sz w:val="28"/>
          <w:szCs w:val="28"/>
        </w:rPr>
      </w:pPr>
    </w:p>
    <w:p w14:paraId="58F15746">
      <w:pPr>
        <w:spacing w:line="440" w:lineRule="exact"/>
        <w:ind w:firstLine="481"/>
        <w:rPr>
          <w:rFonts w:ascii="宋体" w:hAnsi="宋体"/>
          <w:bCs/>
          <w:sz w:val="28"/>
          <w:szCs w:val="28"/>
        </w:rPr>
      </w:pPr>
    </w:p>
    <w:p w14:paraId="14AF0AA8">
      <w:pPr>
        <w:spacing w:line="440" w:lineRule="exact"/>
        <w:ind w:firstLine="481"/>
        <w:rPr>
          <w:rFonts w:ascii="宋体" w:hAnsi="宋体"/>
          <w:bCs/>
          <w:sz w:val="28"/>
          <w:szCs w:val="28"/>
        </w:rPr>
      </w:pPr>
    </w:p>
    <w:p w14:paraId="73487A74">
      <w:pPr>
        <w:pStyle w:val="9"/>
      </w:pP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A16EAA9-BF5D-4B4E-888D-A7FC1E1725C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swiss"/>
    <w:pitch w:val="default"/>
    <w:sig w:usb0="E0002EFF" w:usb1="C000785B" w:usb2="00000009" w:usb3="00000000" w:csb0="400001FF" w:csb1="FFFF0000"/>
  </w:font>
  <w:font w:name="楷体">
    <w:panose1 w:val="02010609060101010101"/>
    <w:charset w:val="86"/>
    <w:family w:val="modern"/>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embedRegular r:id="rId2" w:fontKey="{78C7626A-3D05-469B-BD20-2E8336D2BD5A}"/>
  </w:font>
  <w:font w:name="方正小标宋简体">
    <w:panose1 w:val="02010601030101010101"/>
    <w:charset w:val="86"/>
    <w:family w:val="auto"/>
    <w:pitch w:val="default"/>
    <w:sig w:usb0="00000001" w:usb1="080E0000" w:usb2="00000000" w:usb3="00000000" w:csb0="00040000" w:csb1="00000000"/>
  </w:font>
  <w:font w:name="方正仿宋简体">
    <w:panose1 w:val="02010601030101010101"/>
    <w:charset w:val="86"/>
    <w:family w:val="auto"/>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embedRegular r:id="rId3" w:fontKey="{3F291857-F0F0-4E4F-98F3-B8871C9AABA3}"/>
  </w:font>
  <w:font w:name="方正仿宋_GBK">
    <w:panose1 w:val="03000509000000000000"/>
    <w:charset w:val="86"/>
    <w:family w:val="script"/>
    <w:pitch w:val="default"/>
    <w:sig w:usb0="00000001" w:usb1="080E0000" w:usb2="00000000" w:usb3="00000000" w:csb0="00040000" w:csb1="00000000"/>
    <w:embedRegular r:id="rId4" w:fontKey="{3F1F79DD-FEC7-49B8-AE5C-0FE9ACD1CF6E}"/>
  </w:font>
  <w:font w:name="方正楷体_GBK">
    <w:panose1 w:val="03000509000000000000"/>
    <w:charset w:val="86"/>
    <w:family w:val="script"/>
    <w:pitch w:val="default"/>
    <w:sig w:usb0="00000001" w:usb1="080E0000" w:usb2="00000000" w:usb3="00000000" w:csb0="00040000" w:csb1="00000000"/>
    <w:embedRegular r:id="rId5" w:fontKey="{CC0C0596-E9A8-43DA-B5BF-67AC37EA2280}"/>
  </w:font>
  <w:font w:name="MS Gothic">
    <w:panose1 w:val="020B0609070205080204"/>
    <w:charset w:val="80"/>
    <w:family w:val="modern"/>
    <w:pitch w:val="default"/>
    <w:sig w:usb0="E00002FF" w:usb1="6AC7FDFB" w:usb2="08000012" w:usb3="00000000" w:csb0="4002009F" w:csb1="DFD70000"/>
    <w:embedRegular r:id="rId6" w:fontKey="{FCC2C590-8998-4557-BA51-95E57DDCDD84}"/>
  </w:font>
  <w:font w:name="仿宋">
    <w:panose1 w:val="02010609060101010101"/>
    <w:charset w:val="86"/>
    <w:family w:val="modern"/>
    <w:pitch w:val="default"/>
    <w:sig w:usb0="800002BF" w:usb1="38CF7CFA" w:usb2="00000016" w:usb3="00000000" w:csb0="00040001" w:csb1="00000000"/>
    <w:embedRegular r:id="rId7" w:fontKey="{DFE3228D-079F-4E25-B188-1264A230BC55}"/>
  </w:font>
  <w:font w:name="WPSEMBED2">
    <w:panose1 w:val="03000509000000000000"/>
    <w:charset w:val="86"/>
    <w:family w:val="auto"/>
    <w:pitch w:val="default"/>
    <w:sig w:usb0="00000001" w:usb1="080E0000" w:usb2="00000000" w:usb3="00000000" w:csb0="00040000" w:csb1="00000000"/>
  </w:font>
  <w:font w:name="WPSEMBED4">
    <w:panose1 w:val="03000509000000000000"/>
    <w:charset w:val="86"/>
    <w:family w:val="auto"/>
    <w:pitch w:val="default"/>
    <w:sig w:usb0="00000001" w:usb1="080E0000" w:usb2="00000000" w:usb3="00000000" w:csb0="00040000" w:csb1="00000000"/>
  </w:font>
  <w:font w:name="WPSEMBED5">
    <w:panose1 w:val="03000509000000000000"/>
    <w:charset w:val="86"/>
    <w:family w:val="auto"/>
    <w:pitch w:val="default"/>
    <w:sig w:usb0="00000001" w:usb1="080E0000" w:usb2="00000000" w:usb3="00000000" w:csb0="00040000" w:csb1="00000000"/>
  </w:font>
  <w:font w:name="WPSEMBED1">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497ABB">
    <w:pPr>
      <w:pStyle w:val="12"/>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2"/>
              <wp:cNvGraphicFramePr/>
              <a:graphic xmlns:a="http://schemas.openxmlformats.org/drawingml/2006/main">
                <a:graphicData uri="http://schemas.microsoft.com/office/word/2010/wordprocessingShape">
                  <wps:wsp>
                    <wps:cNvSpPr/>
                    <wps:spPr>
                      <a:xfrm>
                        <a:off x="0" y="0"/>
                        <a:ext cx="1828800" cy="1828800"/>
                      </a:xfrm>
                      <a:prstGeom prst="rect">
                        <a:avLst/>
                      </a:prstGeom>
                      <a:noFill/>
                      <a:ln>
                        <a:noFill/>
                      </a:ln>
                      <a:effectLst/>
                    </wps:spPr>
                    <wps:txbx>
                      <w:txbxContent>
                        <w:p w14:paraId="36788A06">
                          <w:pPr>
                            <w:pStyle w:val="12"/>
                            <w:jc w:val="center"/>
                          </w:pPr>
                          <w:r>
                            <w:fldChar w:fldCharType="begin"/>
                          </w:r>
                          <w:r>
                            <w:instrText xml:space="preserve"> PAGE  \* MERGEFORMAT </w:instrText>
                          </w:r>
                          <w:r>
                            <w:fldChar w:fldCharType="separate"/>
                          </w:r>
                          <w:r>
                            <w:t>22</w:t>
                          </w:r>
                          <w:r>
                            <w:fldChar w:fldCharType="end"/>
                          </w:r>
                        </w:p>
                      </w:txbxContent>
                    </wps:txbx>
                    <wps:bodyPr vert="horz" wrap="none" lIns="0" tIns="0" rIns="0" bIns="0" anchor="t" anchorCtr="0" upright="1">
                      <a:spAutoFit/>
                    </wps:bodyPr>
                  </wps:wsp>
                </a:graphicData>
              </a:graphic>
            </wp:anchor>
          </w:drawing>
        </mc:Choice>
        <mc:Fallback>
          <w:pict>
            <v:rect id="文本框 2"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J85Ts3dAQAAwgMAAA4AAABkcnMvZTJvRG9jLnhtbK1TzY7TMBC+I/EO&#10;lu80aYVQFTVdIapFSAhWWngA13EaS/7TjNukPAC8AScu3HmuPgdjJ+nCctkDl2RmPP5mvm/Gm5vB&#10;GnZSgNq7mi8XJWfKSd9od6j550+3L9acYRSuEcY7VfOzQn6zff5s04dKrXznTaOAEYjDqg8172IM&#10;VVGg7JQVuPBBOTpsPVgRyYVD0YDoCd2aYlWWr4reQxPAS4VI0d14yCdEeAqgb1st1c7Lo1Uujqig&#10;jIhECTsdkG9zt22rZPzYtqgiMzUnpjF/qQjZ+/QtthtRHUCETsupBfGUFh5xskI7KnqF2oko2BH0&#10;P1BWS/Do27iQ3hYjkawIsViWj7S570RQmQtJjeEqOv4/WPnhdAdMNzV/yZkTlgZ++f7t8uPX5edX&#10;tkry9AEryroPdzB5SGbiOrRg059YsCFLer5KqobIJAWX69V6XZLaks5mh3CKh+sBML5V3rJk1Bxo&#10;ZllKcXqPcUydU1I152+1MRQXlXF/BQhzjKg8+Ol26n/sOFlx2A8Tjb1vzsSdngJV7Tx84aynRai5&#10;o73nzLxzpHPamdmA2djPhnCSLtY8cjaab+K4W8cA+tAR7jJTwfD6GKnvTCe1MdYmGZJDo82CTGuY&#10;dudPP2c9PL3tb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Ll1uVLQAAAABQEAAA8AAAAAAAAAAQAg&#10;AAAAIgAAAGRycy9kb3ducmV2LnhtbFBLAQIUABQAAAAIAIdO4kCfOU7N3QEAAMIDAAAOAAAAAAAA&#10;AAEAIAAAAB8BAABkcnMvZTJvRG9jLnhtbFBLBQYAAAAABgAGAFkBAABuBQAAAAA=&#10;">
              <v:fill on="f" focussize="0,0"/>
              <v:stroke on="f"/>
              <v:imagedata o:title=""/>
              <o:lock v:ext="edit" aspectratio="f"/>
              <v:textbox inset="0mm,0mm,0mm,0mm" style="mso-fit-shape-to-text:t;">
                <w:txbxContent>
                  <w:p w14:paraId="36788A06">
                    <w:pPr>
                      <w:pStyle w:val="12"/>
                      <w:jc w:val="center"/>
                    </w:pPr>
                    <w:r>
                      <w:fldChar w:fldCharType="begin"/>
                    </w:r>
                    <w:r>
                      <w:instrText xml:space="preserve"> PAGE  \* MERGEFORMAT </w:instrText>
                    </w:r>
                    <w:r>
                      <w:fldChar w:fldCharType="separate"/>
                    </w:r>
                    <w:r>
                      <w:t>22</w:t>
                    </w:r>
                    <w:r>
                      <w:fldChar w:fldCharType="end"/>
                    </w:r>
                  </w:p>
                </w:txbxContent>
              </v:textbox>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6D25B7">
    <w:pPr>
      <w:pStyle w:val="13"/>
      <w:pBdr>
        <w:bottom w:val="none" w:color="auto" w:sz="0" w:space="1"/>
      </w:pBd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8613EF7"/>
    <w:multiLevelType w:val="singleLevel"/>
    <w:tmpl w:val="58613EF7"/>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2"/>
  <w:embedTrueTypeFonts/>
  <w:saveSubset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FhOThjNjg2YjgxMzJjYThhNDQ5ZTZmNGI1ZGM0ZDkifQ=="/>
  </w:docVars>
  <w:rsids>
    <w:rsidRoot w:val="359E47FF"/>
    <w:rsid w:val="00011B4B"/>
    <w:rsid w:val="00014408"/>
    <w:rsid w:val="00027081"/>
    <w:rsid w:val="00030F87"/>
    <w:rsid w:val="000310BC"/>
    <w:rsid w:val="0003693D"/>
    <w:rsid w:val="00061383"/>
    <w:rsid w:val="00063E06"/>
    <w:rsid w:val="000A22DB"/>
    <w:rsid w:val="000B2499"/>
    <w:rsid w:val="000C1845"/>
    <w:rsid w:val="000D348B"/>
    <w:rsid w:val="000D6A23"/>
    <w:rsid w:val="00103A8D"/>
    <w:rsid w:val="00115EEC"/>
    <w:rsid w:val="0012244F"/>
    <w:rsid w:val="00123D5D"/>
    <w:rsid w:val="001260B7"/>
    <w:rsid w:val="00136B0D"/>
    <w:rsid w:val="00152590"/>
    <w:rsid w:val="00160290"/>
    <w:rsid w:val="00166793"/>
    <w:rsid w:val="0018234A"/>
    <w:rsid w:val="001915A1"/>
    <w:rsid w:val="00193418"/>
    <w:rsid w:val="00196EA5"/>
    <w:rsid w:val="001A7FE6"/>
    <w:rsid w:val="001B4C8E"/>
    <w:rsid w:val="001B5044"/>
    <w:rsid w:val="001C3803"/>
    <w:rsid w:val="001C3F61"/>
    <w:rsid w:val="001D5CF3"/>
    <w:rsid w:val="001F16BE"/>
    <w:rsid w:val="001F212A"/>
    <w:rsid w:val="00210C67"/>
    <w:rsid w:val="002133E5"/>
    <w:rsid w:val="0024696A"/>
    <w:rsid w:val="002B3E65"/>
    <w:rsid w:val="002F51AC"/>
    <w:rsid w:val="002F66BD"/>
    <w:rsid w:val="0031037C"/>
    <w:rsid w:val="00313EBC"/>
    <w:rsid w:val="003152BD"/>
    <w:rsid w:val="00325814"/>
    <w:rsid w:val="00331F42"/>
    <w:rsid w:val="00332977"/>
    <w:rsid w:val="00345E7E"/>
    <w:rsid w:val="00355E41"/>
    <w:rsid w:val="00361955"/>
    <w:rsid w:val="003702A0"/>
    <w:rsid w:val="003732C8"/>
    <w:rsid w:val="00373AC2"/>
    <w:rsid w:val="00380BAA"/>
    <w:rsid w:val="0038382E"/>
    <w:rsid w:val="00383D99"/>
    <w:rsid w:val="00384194"/>
    <w:rsid w:val="00394D6B"/>
    <w:rsid w:val="003A6D93"/>
    <w:rsid w:val="003B4E51"/>
    <w:rsid w:val="003C384A"/>
    <w:rsid w:val="00413897"/>
    <w:rsid w:val="00423C19"/>
    <w:rsid w:val="004424E8"/>
    <w:rsid w:val="00466243"/>
    <w:rsid w:val="00466845"/>
    <w:rsid w:val="004875EB"/>
    <w:rsid w:val="004975D5"/>
    <w:rsid w:val="00497BFC"/>
    <w:rsid w:val="004C1280"/>
    <w:rsid w:val="004C289D"/>
    <w:rsid w:val="004D34C8"/>
    <w:rsid w:val="004D63D8"/>
    <w:rsid w:val="004F5E27"/>
    <w:rsid w:val="005142FA"/>
    <w:rsid w:val="00527733"/>
    <w:rsid w:val="0053268D"/>
    <w:rsid w:val="00560EB5"/>
    <w:rsid w:val="005633CB"/>
    <w:rsid w:val="00565BCE"/>
    <w:rsid w:val="0058559E"/>
    <w:rsid w:val="0058595D"/>
    <w:rsid w:val="00592B4F"/>
    <w:rsid w:val="005B0B5B"/>
    <w:rsid w:val="005D4F71"/>
    <w:rsid w:val="005D7EAF"/>
    <w:rsid w:val="005E0624"/>
    <w:rsid w:val="0061433F"/>
    <w:rsid w:val="00624242"/>
    <w:rsid w:val="006545BB"/>
    <w:rsid w:val="006734DC"/>
    <w:rsid w:val="00680588"/>
    <w:rsid w:val="006835A9"/>
    <w:rsid w:val="00693CB5"/>
    <w:rsid w:val="006C09FB"/>
    <w:rsid w:val="006C6B65"/>
    <w:rsid w:val="006D00BD"/>
    <w:rsid w:val="006D3CEC"/>
    <w:rsid w:val="006D5E62"/>
    <w:rsid w:val="006E4DE8"/>
    <w:rsid w:val="0070428B"/>
    <w:rsid w:val="00711ACD"/>
    <w:rsid w:val="00723CF2"/>
    <w:rsid w:val="00724955"/>
    <w:rsid w:val="007254B5"/>
    <w:rsid w:val="00745DDD"/>
    <w:rsid w:val="00746466"/>
    <w:rsid w:val="00753CD1"/>
    <w:rsid w:val="00781AF0"/>
    <w:rsid w:val="00786EDE"/>
    <w:rsid w:val="007875CD"/>
    <w:rsid w:val="007B0585"/>
    <w:rsid w:val="007D12CA"/>
    <w:rsid w:val="007D3B2F"/>
    <w:rsid w:val="007D630F"/>
    <w:rsid w:val="007E0D6B"/>
    <w:rsid w:val="007E6E47"/>
    <w:rsid w:val="008127B4"/>
    <w:rsid w:val="00823974"/>
    <w:rsid w:val="0083404A"/>
    <w:rsid w:val="00842B41"/>
    <w:rsid w:val="00856599"/>
    <w:rsid w:val="00882A3F"/>
    <w:rsid w:val="00892FFF"/>
    <w:rsid w:val="008A7E03"/>
    <w:rsid w:val="008B33B1"/>
    <w:rsid w:val="008C785B"/>
    <w:rsid w:val="008D2F65"/>
    <w:rsid w:val="008D5377"/>
    <w:rsid w:val="008E5E25"/>
    <w:rsid w:val="00900A5B"/>
    <w:rsid w:val="00902C2A"/>
    <w:rsid w:val="0091028A"/>
    <w:rsid w:val="0093613E"/>
    <w:rsid w:val="00941DFA"/>
    <w:rsid w:val="00975ECA"/>
    <w:rsid w:val="0098053C"/>
    <w:rsid w:val="00980D5A"/>
    <w:rsid w:val="00981E93"/>
    <w:rsid w:val="009A29A7"/>
    <w:rsid w:val="009B660A"/>
    <w:rsid w:val="009C4044"/>
    <w:rsid w:val="009C5212"/>
    <w:rsid w:val="009C7CE7"/>
    <w:rsid w:val="009D1883"/>
    <w:rsid w:val="009D21BB"/>
    <w:rsid w:val="00A22FC1"/>
    <w:rsid w:val="00A30621"/>
    <w:rsid w:val="00A42D2D"/>
    <w:rsid w:val="00A43591"/>
    <w:rsid w:val="00A47E98"/>
    <w:rsid w:val="00A63D7F"/>
    <w:rsid w:val="00A7381A"/>
    <w:rsid w:val="00A76F6F"/>
    <w:rsid w:val="00A81560"/>
    <w:rsid w:val="00AB6095"/>
    <w:rsid w:val="00AC569D"/>
    <w:rsid w:val="00AD03F7"/>
    <w:rsid w:val="00AD5202"/>
    <w:rsid w:val="00AD747D"/>
    <w:rsid w:val="00AE4612"/>
    <w:rsid w:val="00AF2577"/>
    <w:rsid w:val="00AF29F9"/>
    <w:rsid w:val="00B01341"/>
    <w:rsid w:val="00B0144D"/>
    <w:rsid w:val="00B0459E"/>
    <w:rsid w:val="00B063EC"/>
    <w:rsid w:val="00B119A4"/>
    <w:rsid w:val="00B14267"/>
    <w:rsid w:val="00B353E5"/>
    <w:rsid w:val="00B51C96"/>
    <w:rsid w:val="00B63039"/>
    <w:rsid w:val="00B7406B"/>
    <w:rsid w:val="00B74619"/>
    <w:rsid w:val="00B82A10"/>
    <w:rsid w:val="00B82CED"/>
    <w:rsid w:val="00B97765"/>
    <w:rsid w:val="00BD4CF9"/>
    <w:rsid w:val="00BD78FB"/>
    <w:rsid w:val="00BF2809"/>
    <w:rsid w:val="00C2100D"/>
    <w:rsid w:val="00C258E8"/>
    <w:rsid w:val="00C31E40"/>
    <w:rsid w:val="00C41533"/>
    <w:rsid w:val="00C56465"/>
    <w:rsid w:val="00C743A3"/>
    <w:rsid w:val="00C85C6D"/>
    <w:rsid w:val="00C87CBB"/>
    <w:rsid w:val="00C97E7F"/>
    <w:rsid w:val="00CC327C"/>
    <w:rsid w:val="00CF66EF"/>
    <w:rsid w:val="00D24639"/>
    <w:rsid w:val="00D32CC0"/>
    <w:rsid w:val="00D74586"/>
    <w:rsid w:val="00D84546"/>
    <w:rsid w:val="00D9150F"/>
    <w:rsid w:val="00DA002C"/>
    <w:rsid w:val="00DD194E"/>
    <w:rsid w:val="00DD3DDB"/>
    <w:rsid w:val="00DD7DB9"/>
    <w:rsid w:val="00E224BD"/>
    <w:rsid w:val="00E2759B"/>
    <w:rsid w:val="00E30627"/>
    <w:rsid w:val="00E45A9C"/>
    <w:rsid w:val="00E50D02"/>
    <w:rsid w:val="00E523C8"/>
    <w:rsid w:val="00E74639"/>
    <w:rsid w:val="00E755E0"/>
    <w:rsid w:val="00E9659A"/>
    <w:rsid w:val="00EB7745"/>
    <w:rsid w:val="00EC5F53"/>
    <w:rsid w:val="00ED1B47"/>
    <w:rsid w:val="00F0109D"/>
    <w:rsid w:val="00F16E4B"/>
    <w:rsid w:val="00F32DB5"/>
    <w:rsid w:val="00F33B17"/>
    <w:rsid w:val="00F45B42"/>
    <w:rsid w:val="00F54AE9"/>
    <w:rsid w:val="00F75185"/>
    <w:rsid w:val="00F85286"/>
    <w:rsid w:val="00FA1409"/>
    <w:rsid w:val="00FB1F61"/>
    <w:rsid w:val="00FF1217"/>
    <w:rsid w:val="00FF61CA"/>
    <w:rsid w:val="01A16C03"/>
    <w:rsid w:val="01D54643"/>
    <w:rsid w:val="02025461"/>
    <w:rsid w:val="02FC0103"/>
    <w:rsid w:val="030C36E5"/>
    <w:rsid w:val="03500649"/>
    <w:rsid w:val="037800D1"/>
    <w:rsid w:val="03792426"/>
    <w:rsid w:val="03822CFE"/>
    <w:rsid w:val="03836A76"/>
    <w:rsid w:val="03B91F1D"/>
    <w:rsid w:val="04310280"/>
    <w:rsid w:val="04575F38"/>
    <w:rsid w:val="04A74F4D"/>
    <w:rsid w:val="04E02D57"/>
    <w:rsid w:val="054932AE"/>
    <w:rsid w:val="058A7C48"/>
    <w:rsid w:val="05CB200E"/>
    <w:rsid w:val="05D84E57"/>
    <w:rsid w:val="06651661"/>
    <w:rsid w:val="06723038"/>
    <w:rsid w:val="069801D9"/>
    <w:rsid w:val="06F117BF"/>
    <w:rsid w:val="0728596A"/>
    <w:rsid w:val="072E0AA7"/>
    <w:rsid w:val="07586AAA"/>
    <w:rsid w:val="07830DF3"/>
    <w:rsid w:val="07DC069D"/>
    <w:rsid w:val="07FB4E2D"/>
    <w:rsid w:val="085A3D42"/>
    <w:rsid w:val="08826623"/>
    <w:rsid w:val="08DC62DA"/>
    <w:rsid w:val="08E9737B"/>
    <w:rsid w:val="0928131E"/>
    <w:rsid w:val="093525C0"/>
    <w:rsid w:val="097F55EA"/>
    <w:rsid w:val="098C38F5"/>
    <w:rsid w:val="09DF0839"/>
    <w:rsid w:val="09E57B43"/>
    <w:rsid w:val="09E67744"/>
    <w:rsid w:val="0A707FBF"/>
    <w:rsid w:val="0A805ABD"/>
    <w:rsid w:val="0AFB307D"/>
    <w:rsid w:val="0C160487"/>
    <w:rsid w:val="0C1C6FEA"/>
    <w:rsid w:val="0CB8153E"/>
    <w:rsid w:val="0CCD460E"/>
    <w:rsid w:val="0E122ED0"/>
    <w:rsid w:val="0E372F95"/>
    <w:rsid w:val="0E484B44"/>
    <w:rsid w:val="0E715E49"/>
    <w:rsid w:val="0ED1658C"/>
    <w:rsid w:val="0F394008"/>
    <w:rsid w:val="0F5A0F7A"/>
    <w:rsid w:val="0FDC3796"/>
    <w:rsid w:val="101C3B92"/>
    <w:rsid w:val="1088747A"/>
    <w:rsid w:val="114F14E4"/>
    <w:rsid w:val="11C30959"/>
    <w:rsid w:val="11CB5870"/>
    <w:rsid w:val="11E467E9"/>
    <w:rsid w:val="121E09FF"/>
    <w:rsid w:val="127218CD"/>
    <w:rsid w:val="12832AA7"/>
    <w:rsid w:val="128D0D77"/>
    <w:rsid w:val="12D21EA0"/>
    <w:rsid w:val="133E099F"/>
    <w:rsid w:val="1346493A"/>
    <w:rsid w:val="13724144"/>
    <w:rsid w:val="13767A5D"/>
    <w:rsid w:val="14111FFD"/>
    <w:rsid w:val="1444244B"/>
    <w:rsid w:val="14EA645D"/>
    <w:rsid w:val="155E4C4D"/>
    <w:rsid w:val="1603009A"/>
    <w:rsid w:val="164F2A01"/>
    <w:rsid w:val="16702E8A"/>
    <w:rsid w:val="16815DD1"/>
    <w:rsid w:val="16F70EB5"/>
    <w:rsid w:val="1740285C"/>
    <w:rsid w:val="176C3651"/>
    <w:rsid w:val="178F7340"/>
    <w:rsid w:val="17942604"/>
    <w:rsid w:val="17CE7E68"/>
    <w:rsid w:val="17FE0021"/>
    <w:rsid w:val="19181A3A"/>
    <w:rsid w:val="19F16090"/>
    <w:rsid w:val="1AE86170"/>
    <w:rsid w:val="1C4E0BF5"/>
    <w:rsid w:val="1C8E7BC6"/>
    <w:rsid w:val="1C9D6AB7"/>
    <w:rsid w:val="1CF540E9"/>
    <w:rsid w:val="1D6B671E"/>
    <w:rsid w:val="1D6F6BEA"/>
    <w:rsid w:val="1D85546D"/>
    <w:rsid w:val="1D8B05A9"/>
    <w:rsid w:val="1E674B72"/>
    <w:rsid w:val="1E90231B"/>
    <w:rsid w:val="1F152820"/>
    <w:rsid w:val="1F2D0420"/>
    <w:rsid w:val="1FD72E25"/>
    <w:rsid w:val="20C55B80"/>
    <w:rsid w:val="2130749E"/>
    <w:rsid w:val="21642F92"/>
    <w:rsid w:val="216D10E3"/>
    <w:rsid w:val="216E14AA"/>
    <w:rsid w:val="21FC03B3"/>
    <w:rsid w:val="225D796E"/>
    <w:rsid w:val="22D447A0"/>
    <w:rsid w:val="238847EF"/>
    <w:rsid w:val="23AD74CB"/>
    <w:rsid w:val="23F4608B"/>
    <w:rsid w:val="23FF0130"/>
    <w:rsid w:val="240510B5"/>
    <w:rsid w:val="24C22B02"/>
    <w:rsid w:val="24EC6623"/>
    <w:rsid w:val="25636E40"/>
    <w:rsid w:val="25A20B86"/>
    <w:rsid w:val="25B7521A"/>
    <w:rsid w:val="25C64874"/>
    <w:rsid w:val="25D550FA"/>
    <w:rsid w:val="25D86270"/>
    <w:rsid w:val="265C6F87"/>
    <w:rsid w:val="26FE34DA"/>
    <w:rsid w:val="278C246F"/>
    <w:rsid w:val="27C60B5C"/>
    <w:rsid w:val="27E17743"/>
    <w:rsid w:val="28317393"/>
    <w:rsid w:val="28327F9F"/>
    <w:rsid w:val="28ED036A"/>
    <w:rsid w:val="29634188"/>
    <w:rsid w:val="29E76B67"/>
    <w:rsid w:val="29F00112"/>
    <w:rsid w:val="2A571F3F"/>
    <w:rsid w:val="2A98798D"/>
    <w:rsid w:val="2B34380C"/>
    <w:rsid w:val="2B7663F5"/>
    <w:rsid w:val="2B797161"/>
    <w:rsid w:val="2BBD3669"/>
    <w:rsid w:val="2C1D2D14"/>
    <w:rsid w:val="2C8B2374"/>
    <w:rsid w:val="2C951801"/>
    <w:rsid w:val="2CBF3DCB"/>
    <w:rsid w:val="2D8748E9"/>
    <w:rsid w:val="2D9D235F"/>
    <w:rsid w:val="2DC518B5"/>
    <w:rsid w:val="2DD51314"/>
    <w:rsid w:val="2E16582B"/>
    <w:rsid w:val="2E4116FA"/>
    <w:rsid w:val="2E9C1044"/>
    <w:rsid w:val="2EB060C2"/>
    <w:rsid w:val="2ED27DE6"/>
    <w:rsid w:val="2FE42670"/>
    <w:rsid w:val="30307BF4"/>
    <w:rsid w:val="3071362F"/>
    <w:rsid w:val="30DA5678"/>
    <w:rsid w:val="31262BAF"/>
    <w:rsid w:val="31350B00"/>
    <w:rsid w:val="31E56082"/>
    <w:rsid w:val="32553784"/>
    <w:rsid w:val="32B62404"/>
    <w:rsid w:val="330F093A"/>
    <w:rsid w:val="333B350B"/>
    <w:rsid w:val="34683DA4"/>
    <w:rsid w:val="348653E9"/>
    <w:rsid w:val="34E37CA8"/>
    <w:rsid w:val="358362DE"/>
    <w:rsid w:val="359E47FF"/>
    <w:rsid w:val="35B72FCB"/>
    <w:rsid w:val="35DA3E68"/>
    <w:rsid w:val="35EA1EB9"/>
    <w:rsid w:val="35EF5721"/>
    <w:rsid w:val="36056CF3"/>
    <w:rsid w:val="36453593"/>
    <w:rsid w:val="369D6F2B"/>
    <w:rsid w:val="36E674AE"/>
    <w:rsid w:val="36F6333B"/>
    <w:rsid w:val="37895702"/>
    <w:rsid w:val="379A3E49"/>
    <w:rsid w:val="37E33064"/>
    <w:rsid w:val="37F012DD"/>
    <w:rsid w:val="383831B6"/>
    <w:rsid w:val="38787C50"/>
    <w:rsid w:val="388A07AC"/>
    <w:rsid w:val="390A2872"/>
    <w:rsid w:val="391E61C3"/>
    <w:rsid w:val="395F2BBE"/>
    <w:rsid w:val="39672AE4"/>
    <w:rsid w:val="398048E2"/>
    <w:rsid w:val="399565E0"/>
    <w:rsid w:val="3A2D05C6"/>
    <w:rsid w:val="3A5C534F"/>
    <w:rsid w:val="3AD20986"/>
    <w:rsid w:val="3BFC72F9"/>
    <w:rsid w:val="3C0D0A27"/>
    <w:rsid w:val="3C2459F9"/>
    <w:rsid w:val="3CD4741F"/>
    <w:rsid w:val="3D310233"/>
    <w:rsid w:val="3DCC7E1D"/>
    <w:rsid w:val="3EAA48DB"/>
    <w:rsid w:val="3F2521B6"/>
    <w:rsid w:val="3F3D735A"/>
    <w:rsid w:val="3F724AD0"/>
    <w:rsid w:val="3FDD483D"/>
    <w:rsid w:val="401D2E8B"/>
    <w:rsid w:val="40356427"/>
    <w:rsid w:val="409A272E"/>
    <w:rsid w:val="40AF61D9"/>
    <w:rsid w:val="40D45C40"/>
    <w:rsid w:val="40D519B8"/>
    <w:rsid w:val="40DC2D46"/>
    <w:rsid w:val="416D2207"/>
    <w:rsid w:val="417354EF"/>
    <w:rsid w:val="41F06F0F"/>
    <w:rsid w:val="42311E19"/>
    <w:rsid w:val="425A2175"/>
    <w:rsid w:val="42907FB1"/>
    <w:rsid w:val="42F80FAC"/>
    <w:rsid w:val="432D1637"/>
    <w:rsid w:val="43652320"/>
    <w:rsid w:val="439C056B"/>
    <w:rsid w:val="43A062AD"/>
    <w:rsid w:val="43DB5537"/>
    <w:rsid w:val="43EC12FF"/>
    <w:rsid w:val="44366C11"/>
    <w:rsid w:val="448D4A83"/>
    <w:rsid w:val="44E509D4"/>
    <w:rsid w:val="453E5D7D"/>
    <w:rsid w:val="45A33E32"/>
    <w:rsid w:val="46825CD1"/>
    <w:rsid w:val="46E666CD"/>
    <w:rsid w:val="46FF153C"/>
    <w:rsid w:val="47525AE6"/>
    <w:rsid w:val="476336F3"/>
    <w:rsid w:val="479C4FDD"/>
    <w:rsid w:val="47B0504B"/>
    <w:rsid w:val="47F866B8"/>
    <w:rsid w:val="484A7410"/>
    <w:rsid w:val="486A50DB"/>
    <w:rsid w:val="49322FCC"/>
    <w:rsid w:val="49374FBE"/>
    <w:rsid w:val="496438D9"/>
    <w:rsid w:val="496F01AF"/>
    <w:rsid w:val="49957F44"/>
    <w:rsid w:val="49FD6207"/>
    <w:rsid w:val="4A4861AE"/>
    <w:rsid w:val="4ADD1BA1"/>
    <w:rsid w:val="4AEC112C"/>
    <w:rsid w:val="4B0853C3"/>
    <w:rsid w:val="4BE56F53"/>
    <w:rsid w:val="4C4817DD"/>
    <w:rsid w:val="4CCE5C39"/>
    <w:rsid w:val="4D090A1F"/>
    <w:rsid w:val="4DA8648A"/>
    <w:rsid w:val="4DAF4533"/>
    <w:rsid w:val="4DC0511E"/>
    <w:rsid w:val="4DE60AC0"/>
    <w:rsid w:val="4DED2ACB"/>
    <w:rsid w:val="4E1E04FA"/>
    <w:rsid w:val="4E282408"/>
    <w:rsid w:val="4E6305EC"/>
    <w:rsid w:val="4EB23B13"/>
    <w:rsid w:val="4EC310A1"/>
    <w:rsid w:val="4ED54F8E"/>
    <w:rsid w:val="4F3A5195"/>
    <w:rsid w:val="4F4D7120"/>
    <w:rsid w:val="4F6964E2"/>
    <w:rsid w:val="4FAC5BC3"/>
    <w:rsid w:val="4FC61FF0"/>
    <w:rsid w:val="500B0F52"/>
    <w:rsid w:val="50846203"/>
    <w:rsid w:val="50B67110"/>
    <w:rsid w:val="51257DF2"/>
    <w:rsid w:val="519C2121"/>
    <w:rsid w:val="51C13FBE"/>
    <w:rsid w:val="51E705A2"/>
    <w:rsid w:val="522D3402"/>
    <w:rsid w:val="525E35BB"/>
    <w:rsid w:val="529C2335"/>
    <w:rsid w:val="530F0D59"/>
    <w:rsid w:val="53230361"/>
    <w:rsid w:val="538763B9"/>
    <w:rsid w:val="540463E4"/>
    <w:rsid w:val="549F173E"/>
    <w:rsid w:val="5583158B"/>
    <w:rsid w:val="55A27C63"/>
    <w:rsid w:val="55DC546E"/>
    <w:rsid w:val="571F7091"/>
    <w:rsid w:val="57957137"/>
    <w:rsid w:val="579C3951"/>
    <w:rsid w:val="57F90679"/>
    <w:rsid w:val="5867305C"/>
    <w:rsid w:val="58A67F87"/>
    <w:rsid w:val="58AF65F8"/>
    <w:rsid w:val="596D6B7C"/>
    <w:rsid w:val="59AF294E"/>
    <w:rsid w:val="59FE5684"/>
    <w:rsid w:val="5AB14D29"/>
    <w:rsid w:val="5B351579"/>
    <w:rsid w:val="5B953DC6"/>
    <w:rsid w:val="5C855C35"/>
    <w:rsid w:val="5CE67EF1"/>
    <w:rsid w:val="5CEC747F"/>
    <w:rsid w:val="5D131446"/>
    <w:rsid w:val="5D4826CC"/>
    <w:rsid w:val="5DDA4712"/>
    <w:rsid w:val="5EAF1FE5"/>
    <w:rsid w:val="5ED370DF"/>
    <w:rsid w:val="5F072ED8"/>
    <w:rsid w:val="5F3F29C6"/>
    <w:rsid w:val="5FB011CE"/>
    <w:rsid w:val="5FE62E42"/>
    <w:rsid w:val="606B0DCE"/>
    <w:rsid w:val="6082700E"/>
    <w:rsid w:val="60E6759D"/>
    <w:rsid w:val="630E2DDB"/>
    <w:rsid w:val="646D1D84"/>
    <w:rsid w:val="64B75D94"/>
    <w:rsid w:val="64D70FAB"/>
    <w:rsid w:val="658E5B0E"/>
    <w:rsid w:val="65E6594A"/>
    <w:rsid w:val="66202ABE"/>
    <w:rsid w:val="66441755"/>
    <w:rsid w:val="666F1DE3"/>
    <w:rsid w:val="66CF713B"/>
    <w:rsid w:val="671B7875"/>
    <w:rsid w:val="68095B31"/>
    <w:rsid w:val="68376006"/>
    <w:rsid w:val="683F6E19"/>
    <w:rsid w:val="68752FB5"/>
    <w:rsid w:val="68961ACE"/>
    <w:rsid w:val="68BF0A0A"/>
    <w:rsid w:val="69054290"/>
    <w:rsid w:val="69990F25"/>
    <w:rsid w:val="69C166FE"/>
    <w:rsid w:val="69CE5072"/>
    <w:rsid w:val="69FD541B"/>
    <w:rsid w:val="6A8676FB"/>
    <w:rsid w:val="6A971908"/>
    <w:rsid w:val="6AE467D8"/>
    <w:rsid w:val="6B32518D"/>
    <w:rsid w:val="6C6B03EA"/>
    <w:rsid w:val="6C7A58CC"/>
    <w:rsid w:val="6C8C6B1F"/>
    <w:rsid w:val="6C942252"/>
    <w:rsid w:val="6CA43E69"/>
    <w:rsid w:val="6CCA5E59"/>
    <w:rsid w:val="6D125276"/>
    <w:rsid w:val="6D9745DB"/>
    <w:rsid w:val="6E181B50"/>
    <w:rsid w:val="6E26547D"/>
    <w:rsid w:val="6E2933D8"/>
    <w:rsid w:val="6E3073EE"/>
    <w:rsid w:val="6E3336F6"/>
    <w:rsid w:val="6E7855AD"/>
    <w:rsid w:val="6EB45D89"/>
    <w:rsid w:val="6F060E0B"/>
    <w:rsid w:val="6FA10C39"/>
    <w:rsid w:val="70BF647F"/>
    <w:rsid w:val="70FC4273"/>
    <w:rsid w:val="7113780F"/>
    <w:rsid w:val="71C70D25"/>
    <w:rsid w:val="722D13D1"/>
    <w:rsid w:val="724019FE"/>
    <w:rsid w:val="726141AB"/>
    <w:rsid w:val="72BD7A32"/>
    <w:rsid w:val="734819F2"/>
    <w:rsid w:val="736507F6"/>
    <w:rsid w:val="73F76F74"/>
    <w:rsid w:val="7406451D"/>
    <w:rsid w:val="744D6746"/>
    <w:rsid w:val="747A415B"/>
    <w:rsid w:val="748F3650"/>
    <w:rsid w:val="749D1FA4"/>
    <w:rsid w:val="74D07EF1"/>
    <w:rsid w:val="756A3232"/>
    <w:rsid w:val="759407F3"/>
    <w:rsid w:val="75A373B3"/>
    <w:rsid w:val="75BC0658"/>
    <w:rsid w:val="75DA6B4D"/>
    <w:rsid w:val="76A2766B"/>
    <w:rsid w:val="76AF3B36"/>
    <w:rsid w:val="773F135E"/>
    <w:rsid w:val="777803CC"/>
    <w:rsid w:val="77DF544D"/>
    <w:rsid w:val="783458C3"/>
    <w:rsid w:val="784D7AAA"/>
    <w:rsid w:val="788039DC"/>
    <w:rsid w:val="78F47F26"/>
    <w:rsid w:val="78FF0DA4"/>
    <w:rsid w:val="791C2494"/>
    <w:rsid w:val="79CC40F1"/>
    <w:rsid w:val="7A1E0C67"/>
    <w:rsid w:val="7A2D36EF"/>
    <w:rsid w:val="7A7B26AD"/>
    <w:rsid w:val="7B044DE1"/>
    <w:rsid w:val="7B0501C8"/>
    <w:rsid w:val="7B203254"/>
    <w:rsid w:val="7B3867F0"/>
    <w:rsid w:val="7B56651E"/>
    <w:rsid w:val="7C50388E"/>
    <w:rsid w:val="7C855A65"/>
    <w:rsid w:val="7CBE2D25"/>
    <w:rsid w:val="7D4661B3"/>
    <w:rsid w:val="7DBB7264"/>
    <w:rsid w:val="7DD76804"/>
    <w:rsid w:val="7E521976"/>
    <w:rsid w:val="7E5645BE"/>
    <w:rsid w:val="7E586BA4"/>
    <w:rsid w:val="7E7E6C0F"/>
    <w:rsid w:val="7E7F4735"/>
    <w:rsid w:val="7EB30231"/>
    <w:rsid w:val="7F132F29"/>
    <w:rsid w:val="7F1B445E"/>
    <w:rsid w:val="7F446008"/>
    <w:rsid w:val="7F9F6E3D"/>
    <w:rsid w:val="7FA97CBC"/>
    <w:rsid w:val="7FF41D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3"/>
    <w:qFormat/>
    <w:uiPriority w:val="99"/>
    <w:pPr>
      <w:keepNext/>
      <w:keepLines/>
      <w:spacing w:line="600" w:lineRule="exact"/>
      <w:jc w:val="center"/>
      <w:outlineLvl w:val="0"/>
    </w:pPr>
    <w:rPr>
      <w:rFonts w:ascii="Calibri" w:hAnsi="Calibri"/>
      <w:kern w:val="44"/>
      <w:sz w:val="44"/>
    </w:rPr>
  </w:style>
  <w:style w:type="paragraph" w:styleId="3">
    <w:name w:val="heading 2"/>
    <w:basedOn w:val="1"/>
    <w:next w:val="1"/>
    <w:qFormat/>
    <w:uiPriority w:val="0"/>
    <w:pPr>
      <w:keepNext/>
      <w:keepLines/>
      <w:spacing w:before="260" w:after="260" w:line="413" w:lineRule="auto"/>
      <w:outlineLvl w:val="1"/>
    </w:pPr>
    <w:rPr>
      <w:rFonts w:ascii="Arial" w:hAnsi="Arial" w:eastAsia="黑体"/>
      <w:b/>
      <w:sz w:val="32"/>
    </w:rPr>
  </w:style>
  <w:style w:type="paragraph" w:styleId="4">
    <w:name w:val="heading 3"/>
    <w:basedOn w:val="1"/>
    <w:next w:val="1"/>
    <w:qFormat/>
    <w:uiPriority w:val="0"/>
    <w:pPr>
      <w:keepNext/>
      <w:keepLines/>
      <w:spacing w:line="460" w:lineRule="exact"/>
      <w:outlineLvl w:val="2"/>
    </w:pPr>
    <w:rPr>
      <w:rFonts w:eastAsia="楷体"/>
      <w:b/>
      <w:bCs/>
      <w:sz w:val="28"/>
      <w:szCs w:val="32"/>
    </w:rPr>
  </w:style>
  <w:style w:type="paragraph" w:styleId="5">
    <w:name w:val="heading 4"/>
    <w:basedOn w:val="1"/>
    <w:next w:val="1"/>
    <w:semiHidden/>
    <w:unhideWhenUsed/>
    <w:qFormat/>
    <w:uiPriority w:val="0"/>
    <w:pPr>
      <w:spacing w:beforeAutospacing="1" w:afterAutospacing="1"/>
      <w:jc w:val="left"/>
      <w:outlineLvl w:val="3"/>
    </w:pPr>
    <w:rPr>
      <w:rFonts w:hint="eastAsia" w:ascii="宋体" w:hAnsi="宋体"/>
      <w:b/>
      <w:bCs/>
      <w:kern w:val="0"/>
      <w:sz w:val="24"/>
      <w:szCs w:val="24"/>
    </w:rPr>
  </w:style>
  <w:style w:type="character" w:default="1" w:styleId="20">
    <w:name w:val="Default Paragraph Font"/>
    <w:semiHidden/>
    <w:unhideWhenUsed/>
    <w:qFormat/>
    <w:uiPriority w:val="1"/>
  </w:style>
  <w:style w:type="table" w:default="1" w:styleId="18">
    <w:name w:val="Normal Table"/>
    <w:semiHidden/>
    <w:unhideWhenUsed/>
    <w:uiPriority w:val="99"/>
    <w:tblPr>
      <w:tblCellMar>
        <w:top w:w="0" w:type="dxa"/>
        <w:left w:w="108" w:type="dxa"/>
        <w:bottom w:w="0" w:type="dxa"/>
        <w:right w:w="108" w:type="dxa"/>
      </w:tblCellMar>
    </w:tblPr>
  </w:style>
  <w:style w:type="paragraph" w:styleId="6">
    <w:name w:val="Normal Indent"/>
    <w:qFormat/>
    <w:uiPriority w:val="0"/>
    <w:pPr>
      <w:widowControl w:val="0"/>
      <w:ind w:firstLine="420"/>
      <w:jc w:val="both"/>
    </w:pPr>
    <w:rPr>
      <w:rFonts w:ascii="Times New Roman" w:hAnsi="Times New Roman" w:eastAsia="宋体" w:cs="Times New Roman"/>
      <w:kern w:val="2"/>
      <w:sz w:val="21"/>
      <w:lang w:val="en-US" w:eastAsia="zh-CN" w:bidi="ar-SA"/>
    </w:rPr>
  </w:style>
  <w:style w:type="paragraph" w:styleId="7">
    <w:name w:val="annotation text"/>
    <w:basedOn w:val="1"/>
    <w:link w:val="24"/>
    <w:qFormat/>
    <w:uiPriority w:val="0"/>
    <w:pPr>
      <w:jc w:val="left"/>
    </w:pPr>
    <w:rPr>
      <w:rFonts w:ascii="Calibri" w:hAnsi="Calibri"/>
    </w:rPr>
  </w:style>
  <w:style w:type="paragraph" w:styleId="8">
    <w:name w:val="Body Text"/>
    <w:basedOn w:val="1"/>
    <w:next w:val="9"/>
    <w:link w:val="25"/>
    <w:unhideWhenUsed/>
    <w:qFormat/>
    <w:uiPriority w:val="99"/>
    <w:pPr>
      <w:spacing w:after="120"/>
    </w:pPr>
  </w:style>
  <w:style w:type="paragraph" w:styleId="9">
    <w:name w:val="Plain Text"/>
    <w:basedOn w:val="1"/>
    <w:unhideWhenUsed/>
    <w:qFormat/>
    <w:uiPriority w:val="99"/>
    <w:rPr>
      <w:rFonts w:ascii="宋体" w:hAnsi="Courier New"/>
      <w:kern w:val="0"/>
      <w:sz w:val="20"/>
    </w:rPr>
  </w:style>
  <w:style w:type="paragraph" w:styleId="10">
    <w:name w:val="Body Text Indent"/>
    <w:basedOn w:val="1"/>
    <w:unhideWhenUsed/>
    <w:qFormat/>
    <w:uiPriority w:val="0"/>
    <w:pPr>
      <w:spacing w:after="120"/>
      <w:ind w:left="420" w:leftChars="200"/>
    </w:pPr>
  </w:style>
  <w:style w:type="paragraph" w:styleId="11">
    <w:name w:val="Balloon Text"/>
    <w:basedOn w:val="1"/>
    <w:link w:val="26"/>
    <w:qFormat/>
    <w:uiPriority w:val="0"/>
    <w:rPr>
      <w:sz w:val="18"/>
      <w:szCs w:val="18"/>
    </w:rPr>
  </w:style>
  <w:style w:type="paragraph" w:styleId="12">
    <w:name w:val="footer"/>
    <w:basedOn w:val="1"/>
    <w:qFormat/>
    <w:uiPriority w:val="99"/>
    <w:pPr>
      <w:tabs>
        <w:tab w:val="center" w:pos="4153"/>
        <w:tab w:val="right" w:pos="8306"/>
      </w:tabs>
      <w:snapToGrid w:val="0"/>
      <w:jc w:val="left"/>
    </w:pPr>
    <w:rPr>
      <w:sz w:val="18"/>
      <w:szCs w:val="18"/>
    </w:rPr>
  </w:style>
  <w:style w:type="paragraph" w:styleId="13">
    <w:name w:val="header"/>
    <w:basedOn w:val="1"/>
    <w:qFormat/>
    <w:uiPriority w:val="99"/>
    <w:pPr>
      <w:pBdr>
        <w:bottom w:val="single" w:color="auto" w:sz="6" w:space="1"/>
      </w:pBdr>
      <w:tabs>
        <w:tab w:val="center" w:pos="4153"/>
        <w:tab w:val="right" w:pos="8306"/>
      </w:tabs>
      <w:snapToGrid w:val="0"/>
      <w:jc w:val="center"/>
    </w:pPr>
    <w:rPr>
      <w:sz w:val="18"/>
      <w:szCs w:val="18"/>
    </w:rPr>
  </w:style>
  <w:style w:type="paragraph" w:styleId="14">
    <w:name w:val="HTML Preformatted"/>
    <w:basedOn w:val="1"/>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szCs w:val="24"/>
    </w:rPr>
  </w:style>
  <w:style w:type="paragraph" w:styleId="15">
    <w:name w:val="Normal (Web)"/>
    <w:basedOn w:val="1"/>
    <w:qFormat/>
    <w:uiPriority w:val="0"/>
    <w:pPr>
      <w:spacing w:beforeAutospacing="1" w:afterAutospacing="1"/>
      <w:jc w:val="left"/>
    </w:pPr>
    <w:rPr>
      <w:kern w:val="0"/>
      <w:sz w:val="24"/>
    </w:rPr>
  </w:style>
  <w:style w:type="paragraph" w:styleId="16">
    <w:name w:val="Title"/>
    <w:basedOn w:val="1"/>
    <w:next w:val="1"/>
    <w:qFormat/>
    <w:uiPriority w:val="0"/>
    <w:pPr>
      <w:spacing w:before="240" w:after="60"/>
      <w:jc w:val="center"/>
      <w:outlineLvl w:val="0"/>
    </w:pPr>
    <w:rPr>
      <w:rFonts w:ascii="Cambria" w:hAnsi="Cambria"/>
      <w:b/>
      <w:bCs/>
      <w:kern w:val="0"/>
      <w:sz w:val="32"/>
      <w:szCs w:val="32"/>
    </w:rPr>
  </w:style>
  <w:style w:type="paragraph" w:styleId="17">
    <w:name w:val="Body Text First Indent 2"/>
    <w:basedOn w:val="10"/>
    <w:next w:val="12"/>
    <w:qFormat/>
    <w:uiPriority w:val="99"/>
    <w:pPr>
      <w:adjustRightInd w:val="0"/>
      <w:spacing w:after="0" w:line="312" w:lineRule="atLeast"/>
      <w:ind w:left="1296" w:leftChars="0"/>
      <w:textAlignment w:val="baseline"/>
    </w:pPr>
    <w:rPr>
      <w:rFonts w:eastAsia="仿宋_GB2312"/>
      <w:kern w:val="21"/>
      <w:sz w:val="32"/>
    </w:rPr>
  </w:style>
  <w:style w:type="table" w:styleId="19">
    <w:name w:val="Table Grid"/>
    <w:basedOn w:val="1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Strong"/>
    <w:basedOn w:val="20"/>
    <w:qFormat/>
    <w:uiPriority w:val="0"/>
    <w:rPr>
      <w:b/>
    </w:rPr>
  </w:style>
  <w:style w:type="character" w:styleId="22">
    <w:name w:val="Hyperlink"/>
    <w:basedOn w:val="20"/>
    <w:qFormat/>
    <w:uiPriority w:val="0"/>
    <w:rPr>
      <w:color w:val="0000FF"/>
      <w:u w:val="single"/>
    </w:rPr>
  </w:style>
  <w:style w:type="character" w:customStyle="1" w:styleId="23">
    <w:name w:val="标题 1 Char"/>
    <w:basedOn w:val="20"/>
    <w:link w:val="2"/>
    <w:qFormat/>
    <w:uiPriority w:val="99"/>
    <w:rPr>
      <w:rFonts w:cs="Times New Roman"/>
      <w:kern w:val="44"/>
      <w:sz w:val="44"/>
    </w:rPr>
  </w:style>
  <w:style w:type="character" w:customStyle="1" w:styleId="24">
    <w:name w:val="批注文字 Char"/>
    <w:basedOn w:val="20"/>
    <w:link w:val="7"/>
    <w:qFormat/>
    <w:uiPriority w:val="0"/>
    <w:rPr>
      <w:rFonts w:cs="Times New Roman"/>
      <w:kern w:val="2"/>
      <w:sz w:val="21"/>
    </w:rPr>
  </w:style>
  <w:style w:type="character" w:customStyle="1" w:styleId="25">
    <w:name w:val="正文文本 Char"/>
    <w:basedOn w:val="20"/>
    <w:link w:val="8"/>
    <w:qFormat/>
    <w:uiPriority w:val="99"/>
    <w:rPr>
      <w:rFonts w:ascii="Times New Roman" w:hAnsi="Times New Roman" w:cs="Times New Roman"/>
      <w:kern w:val="2"/>
      <w:sz w:val="21"/>
    </w:rPr>
  </w:style>
  <w:style w:type="character" w:customStyle="1" w:styleId="26">
    <w:name w:val="批注框文本 Char"/>
    <w:basedOn w:val="20"/>
    <w:link w:val="11"/>
    <w:qFormat/>
    <w:uiPriority w:val="0"/>
    <w:rPr>
      <w:rFonts w:ascii="Times New Roman" w:hAnsi="Times New Roman" w:cs="Times New Roman"/>
      <w:kern w:val="2"/>
      <w:sz w:val="18"/>
      <w:szCs w:val="18"/>
    </w:rPr>
  </w:style>
  <w:style w:type="paragraph" w:customStyle="1" w:styleId="27">
    <w:name w:val="列出段落11"/>
    <w:basedOn w:val="1"/>
    <w:qFormat/>
    <w:uiPriority w:val="99"/>
    <w:pPr>
      <w:ind w:firstLine="420" w:firstLineChars="200"/>
    </w:pPr>
  </w:style>
  <w:style w:type="paragraph" w:customStyle="1" w:styleId="28">
    <w:name w:val="reader-word-layer"/>
    <w:basedOn w:val="1"/>
    <w:qFormat/>
    <w:uiPriority w:val="99"/>
    <w:pPr>
      <w:widowControl/>
      <w:spacing w:before="100" w:beforeAutospacing="1" w:after="100" w:afterAutospacing="1"/>
      <w:jc w:val="left"/>
    </w:pPr>
    <w:rPr>
      <w:rFonts w:ascii="宋体" w:hAnsi="宋体" w:cs="宋体"/>
      <w:kern w:val="0"/>
      <w:sz w:val="24"/>
      <w:szCs w:val="24"/>
    </w:rPr>
  </w:style>
  <w:style w:type="paragraph" w:customStyle="1" w:styleId="29">
    <w:name w:val="列出段落1"/>
    <w:basedOn w:val="1"/>
    <w:qFormat/>
    <w:uiPriority w:val="34"/>
    <w:pPr>
      <w:ind w:firstLine="420" w:firstLineChars="200"/>
    </w:pPr>
  </w:style>
  <w:style w:type="paragraph" w:customStyle="1" w:styleId="30">
    <w:name w:val="Char"/>
    <w:qFormat/>
    <w:uiPriority w:val="0"/>
    <w:pPr>
      <w:widowControl w:val="0"/>
      <w:tabs>
        <w:tab w:val="left" w:pos="360"/>
      </w:tabs>
      <w:jc w:val="both"/>
    </w:pPr>
    <w:rPr>
      <w:rFonts w:ascii="Times New Roman" w:hAnsi="Times New Roman" w:eastAsia="宋体" w:cs="Times New Roman"/>
      <w:color w:val="000000"/>
      <w:kern w:val="2"/>
      <w:sz w:val="24"/>
      <w:szCs w:val="24"/>
      <w:lang w:val="en-US" w:eastAsia="zh-CN" w:bidi="ar-SA"/>
    </w:rPr>
  </w:style>
  <w:style w:type="character" w:customStyle="1" w:styleId="31">
    <w:name w:val="font11"/>
    <w:basedOn w:val="20"/>
    <w:qFormat/>
    <w:uiPriority w:val="0"/>
    <w:rPr>
      <w:rFonts w:hint="eastAsia" w:ascii="宋体" w:hAnsi="宋体" w:eastAsia="宋体" w:cs="宋体"/>
      <w:color w:val="FF0000"/>
      <w:sz w:val="24"/>
      <w:szCs w:val="24"/>
      <w:u w:val="none"/>
    </w:rPr>
  </w:style>
  <w:style w:type="character" w:customStyle="1" w:styleId="32">
    <w:name w:val="font01"/>
    <w:basedOn w:val="20"/>
    <w:qFormat/>
    <w:uiPriority w:val="0"/>
    <w:rPr>
      <w:rFonts w:hint="eastAsia" w:ascii="宋体" w:hAnsi="宋体" w:eastAsia="宋体" w:cs="宋体"/>
      <w:color w:val="000000"/>
      <w:sz w:val="24"/>
      <w:szCs w:val="24"/>
      <w:u w:val="none"/>
    </w:rPr>
  </w:style>
  <w:style w:type="character" w:customStyle="1" w:styleId="33">
    <w:name w:val="font41"/>
    <w:basedOn w:val="20"/>
    <w:qFormat/>
    <w:uiPriority w:val="0"/>
    <w:rPr>
      <w:rFonts w:hint="eastAsia" w:ascii="宋体" w:hAnsi="宋体" w:eastAsia="宋体" w:cs="宋体"/>
      <w:b/>
      <w:bCs/>
      <w:color w:val="000000"/>
      <w:sz w:val="20"/>
      <w:szCs w:val="20"/>
      <w:u w:val="none"/>
    </w:rPr>
  </w:style>
  <w:style w:type="character" w:customStyle="1" w:styleId="34">
    <w:name w:val="font31"/>
    <w:basedOn w:val="20"/>
    <w:qFormat/>
    <w:uiPriority w:val="0"/>
    <w:rPr>
      <w:rFonts w:hint="eastAsia" w:ascii="宋体" w:hAnsi="宋体" w:eastAsia="宋体" w:cs="宋体"/>
      <w:color w:val="000000"/>
      <w:sz w:val="20"/>
      <w:szCs w:val="20"/>
      <w:u w:val="none"/>
    </w:rPr>
  </w:style>
  <w:style w:type="character" w:customStyle="1" w:styleId="35">
    <w:name w:val="font21"/>
    <w:basedOn w:val="20"/>
    <w:qFormat/>
    <w:uiPriority w:val="0"/>
    <w:rPr>
      <w:rFonts w:ascii="Calibri" w:hAnsi="Calibri" w:cs="Calibri"/>
      <w:color w:val="000000"/>
      <w:sz w:val="16"/>
      <w:szCs w:val="16"/>
      <w:u w:val="none"/>
    </w:rPr>
  </w:style>
  <w:style w:type="character" w:customStyle="1" w:styleId="36">
    <w:name w:val="font51"/>
    <w:basedOn w:val="20"/>
    <w:qFormat/>
    <w:uiPriority w:val="0"/>
    <w:rPr>
      <w:rFonts w:ascii="仿宋_GB2312" w:eastAsia="仿宋_GB2312" w:cs="仿宋_GB2312"/>
      <w:color w:val="000000"/>
      <w:sz w:val="18"/>
      <w:szCs w:val="18"/>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26</Pages>
  <Words>846</Words>
  <Characters>1000</Characters>
  <Lines>81</Lines>
  <Paragraphs>22</Paragraphs>
  <TotalTime>2</TotalTime>
  <ScaleCrop>false</ScaleCrop>
  <LinksUpToDate>false</LinksUpToDate>
  <CharactersWithSpaces>1063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2023-08-10T06:55:00Z</dcterms:created>
  <dc:creator>Administrator</dc:creator>
  <cp:lastModifiedBy>yyq.</cp:lastModifiedBy>
  <cp:lastPrinted>2025-06-17T03:05:00Z</cp:lastPrinted>
  <dcterms:modified xsi:type="dcterms:W3CDTF">2026-07-20T05:07:35Z</dcterms:modified>
  <dc:title>镇江海纳川物流产业发展有限责任公司</dc:title>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0AC5BD2BC9AD41B38CB8B49A82B6AEFB_13</vt:lpwstr>
  </property>
  <property fmtid="{D5CDD505-2E9C-101B-9397-08002B2CF9AE}" pid="4" name="KSOTemplateDocerSaveRecord">
    <vt:lpwstr>eyJoZGlkIjoiMTU0M2ZmNzc2YmY1YWRjZGI2MWY1NzhmMzhkZTA1ZDciLCJ1c2VySWQiOiI1NDQ5ODI3MTIifQ==</vt:lpwstr>
  </property>
</Properties>
</file>