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E6239">
      <w:pPr>
        <w:pStyle w:val="2"/>
        <w:jc w:val="center"/>
      </w:pPr>
      <w:r>
        <w:t>采购询价书</w:t>
      </w:r>
    </w:p>
    <w:p w14:paraId="0DDD079B">
      <w:pPr>
        <w:numPr>
          <w:ilvl w:val="0"/>
          <w:numId w:val="0"/>
        </w:numPr>
        <w:spacing w:before="0" w:beforeAutospacing="1" w:after="0" w:afterAutospacing="1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 w14:paraId="4678741B">
      <w:pPr>
        <w:pStyle w:val="3"/>
        <w:rPr>
          <w:sz w:val="24"/>
          <w:szCs w:val="24"/>
        </w:rPr>
      </w:pPr>
      <w:r>
        <w:rPr>
          <w:sz w:val="24"/>
          <w:szCs w:val="24"/>
        </w:rPr>
        <w:t>一、项目概况</w:t>
      </w:r>
    </w:p>
    <w:p w14:paraId="4F7B6320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项目名称</w:t>
      </w:r>
      <w:r>
        <w:rPr>
          <w:sz w:val="24"/>
          <w:szCs w:val="24"/>
        </w:rPr>
        <w:t>：</w:t>
      </w:r>
      <w:r>
        <w:rPr>
          <w:rFonts w:hint="eastAsia"/>
          <w:sz w:val="24"/>
          <w:szCs w:val="24"/>
          <w:lang w:val="en-US" w:eastAsia="zh-CN"/>
        </w:rPr>
        <w:t>2026-2027年度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聚合氯化铝（液体）9000吨采</w:t>
      </w:r>
      <w:r>
        <w:rPr>
          <w:sz w:val="24"/>
          <w:szCs w:val="24"/>
        </w:rPr>
        <w:t>购</w:t>
      </w:r>
    </w:p>
    <w:p w14:paraId="261CEC3C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采</w:t>
      </w:r>
      <w:r>
        <w:rPr>
          <w:rFonts w:hint="eastAsia"/>
          <w:b/>
          <w:sz w:val="24"/>
          <w:szCs w:val="24"/>
          <w:lang w:val="en-US" w:eastAsia="zh-CN"/>
        </w:rPr>
        <w:t xml:space="preserve"> </w:t>
      </w:r>
      <w:r>
        <w:rPr>
          <w:b/>
          <w:sz w:val="24"/>
          <w:szCs w:val="24"/>
        </w:rPr>
        <w:t>购</w:t>
      </w:r>
      <w:r>
        <w:rPr>
          <w:rFonts w:hint="eastAsia"/>
          <w:b/>
          <w:sz w:val="24"/>
          <w:szCs w:val="24"/>
          <w:lang w:val="en-US" w:eastAsia="zh-CN"/>
        </w:rPr>
        <w:t xml:space="preserve"> </w:t>
      </w:r>
      <w:r>
        <w:rPr>
          <w:b/>
          <w:sz w:val="24"/>
          <w:szCs w:val="24"/>
        </w:rPr>
        <w:t>人</w:t>
      </w:r>
      <w:r>
        <w:rPr>
          <w:sz w:val="24"/>
          <w:szCs w:val="24"/>
        </w:rPr>
        <w:t>：江苏索普化工股份有限公司供应保障部</w:t>
      </w:r>
    </w:p>
    <w:p w14:paraId="24EBA3D0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报价截止与评审时间</w:t>
      </w:r>
      <w:r>
        <w:rPr>
          <w:rFonts w:hint="eastAsia"/>
          <w:sz w:val="24"/>
          <w:szCs w:val="24"/>
          <w:lang w:val="en-US" w:eastAsia="zh-CN"/>
        </w:rPr>
        <w:t>：2026年8月13日9：30（北京时间）</w:t>
      </w:r>
    </w:p>
    <w:p w14:paraId="688E622A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评审地点</w:t>
      </w:r>
      <w:r>
        <w:rPr>
          <w:rFonts w:hint="eastAsia"/>
          <w:sz w:val="24"/>
          <w:szCs w:val="24"/>
          <w:lang w:val="en-US" w:eastAsia="zh-CN"/>
        </w:rPr>
        <w:t>：江苏索普（集团）有限公司评审中心</w:t>
      </w:r>
    </w:p>
    <w:p w14:paraId="4195C5FE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交货时间：</w:t>
      </w:r>
      <w:r>
        <w:rPr>
          <w:rFonts w:hint="eastAsia"/>
          <w:sz w:val="24"/>
          <w:szCs w:val="24"/>
          <w:lang w:val="en-US" w:eastAsia="zh-CN"/>
        </w:rPr>
        <w:t xml:space="preserve">2026年9月1日至2027年8月31日，听通知根据生产使用要求送货 </w:t>
      </w:r>
    </w:p>
    <w:p w14:paraId="5CE043A4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交货地址</w:t>
      </w:r>
      <w:r>
        <w:rPr>
          <w:rFonts w:hint="eastAsia"/>
          <w:sz w:val="24"/>
          <w:szCs w:val="24"/>
          <w:lang w:val="en-US" w:eastAsia="zh-CN"/>
        </w:rPr>
        <w:t>：</w:t>
      </w:r>
      <w:r>
        <w:rPr>
          <w:sz w:val="24"/>
          <w:szCs w:val="24"/>
        </w:rPr>
        <w:t>江苏索普化工股份有限公司</w:t>
      </w:r>
      <w:r>
        <w:rPr>
          <w:rFonts w:hint="eastAsia"/>
          <w:sz w:val="24"/>
          <w:szCs w:val="24"/>
          <w:lang w:val="en-US" w:eastAsia="zh-CN"/>
        </w:rPr>
        <w:t>热电厂水汽、污水处理站（江苏省镇江市京口区求索路88号）</w:t>
      </w:r>
    </w:p>
    <w:p w14:paraId="57A490E9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rFonts w:hint="eastAsia"/>
          <w:b/>
          <w:sz w:val="24"/>
          <w:szCs w:val="24"/>
          <w:lang w:val="en-US" w:eastAsia="zh-CN"/>
        </w:rPr>
        <w:t>公示</w:t>
      </w:r>
      <w:r>
        <w:rPr>
          <w:b/>
          <w:sz w:val="24"/>
          <w:szCs w:val="24"/>
        </w:rPr>
        <w:t>查询</w:t>
      </w:r>
      <w:r>
        <w:rPr>
          <w:sz w:val="24"/>
          <w:szCs w:val="24"/>
        </w:rPr>
        <w:t>：</w:t>
      </w:r>
      <w:r>
        <w:rPr>
          <w:rFonts w:hint="eastAsia"/>
          <w:sz w:val="24"/>
          <w:szCs w:val="24"/>
          <w:lang w:val="en-US" w:eastAsia="zh-CN"/>
        </w:rPr>
        <w:t>ww</w:t>
      </w:r>
      <w:r>
        <w:rPr>
          <w:sz w:val="24"/>
          <w:szCs w:val="24"/>
        </w:rPr>
        <w:t>w.sopo.com.cn</w:t>
      </w:r>
    </w:p>
    <w:p w14:paraId="76821092">
      <w:pPr>
        <w:pStyle w:val="3"/>
        <w:rPr>
          <w:sz w:val="24"/>
          <w:szCs w:val="24"/>
        </w:rPr>
      </w:pPr>
      <w:r>
        <w:rPr>
          <w:sz w:val="24"/>
          <w:szCs w:val="24"/>
        </w:rPr>
        <w:t>二、采购内容及要求</w:t>
      </w:r>
    </w:p>
    <w:p w14:paraId="52B753BB">
      <w:pPr>
        <w:pStyle w:val="4"/>
        <w:rPr>
          <w:sz w:val="24"/>
          <w:szCs w:val="24"/>
        </w:rPr>
      </w:pPr>
      <w:r>
        <w:rPr>
          <w:sz w:val="24"/>
          <w:szCs w:val="24"/>
        </w:rPr>
        <w:t>（一）采购清单</w:t>
      </w:r>
    </w:p>
    <w:tbl>
      <w:tblPr>
        <w:tblStyle w:val="7"/>
        <w:tblW w:w="870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1655"/>
        <w:gridCol w:w="3540"/>
        <w:gridCol w:w="870"/>
        <w:gridCol w:w="1489"/>
      </w:tblGrid>
      <w:tr w14:paraId="0CC03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CAB55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编码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4248D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物料</w:t>
            </w:r>
          </w:p>
          <w:p w14:paraId="1AEE7A59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名称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5F263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规格型号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78FDC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单位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D3A07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数量</w:t>
            </w:r>
          </w:p>
        </w:tc>
      </w:tr>
      <w:tr w14:paraId="64C6C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67A3A"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</w:rPr>
              <w:t>03020000000022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17161">
            <w:pPr>
              <w:spacing w:line="440" w:lineRule="exact"/>
              <w:jc w:val="center"/>
              <w:rPr>
                <w:rFonts w:hint="eastAsia" w:ascii="仿宋_GB2312" w:hAnsi="宋体" w:eastAsia="仿宋_GB2312"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</w:rPr>
              <w:t>聚</w:t>
            </w:r>
            <w:r>
              <w:rPr>
                <w:rFonts w:hint="eastAsia" w:ascii="仿宋_GB2312" w:hAnsi="宋体" w:eastAsia="仿宋_GB2312"/>
                <w:bCs/>
                <w:color w:val="auto"/>
                <w:sz w:val="24"/>
                <w:lang w:eastAsia="zh-CN"/>
              </w:rPr>
              <w:t>合</w:t>
            </w:r>
            <w:r>
              <w:rPr>
                <w:rFonts w:hint="eastAsia" w:ascii="仿宋_GB2312" w:hAnsi="宋体" w:eastAsia="仿宋_GB2312"/>
                <w:bCs/>
                <w:color w:val="auto"/>
                <w:sz w:val="24"/>
              </w:rPr>
              <w:t>氯化铝</w:t>
            </w:r>
            <w:r>
              <w:rPr>
                <w:rFonts w:hint="eastAsia" w:ascii="仿宋_GB2312" w:hAnsi="宋体" w:eastAsia="仿宋_GB2312"/>
                <w:bCs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bCs/>
                <w:color w:val="auto"/>
                <w:sz w:val="24"/>
                <w:lang w:val="en-US" w:eastAsia="zh-CN"/>
              </w:rPr>
              <w:t>液体</w:t>
            </w:r>
            <w:r>
              <w:rPr>
                <w:rFonts w:hint="eastAsia" w:ascii="仿宋_GB2312" w:hAnsi="宋体" w:eastAsia="仿宋_GB2312"/>
                <w:bCs/>
                <w:color w:val="auto"/>
                <w:sz w:val="24"/>
                <w:lang w:eastAsia="zh-CN"/>
              </w:rPr>
              <w:t>）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5BC66"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Cs w:val="21"/>
                <w:lang w:val="en-US" w:eastAsia="zh-CN"/>
              </w:rPr>
              <w:t>液体</w:t>
            </w:r>
            <w:r>
              <w:rPr>
                <w:rFonts w:hint="eastAsia" w:ascii="仿宋_GB2312" w:hAnsi="宋体" w:eastAsia="仿宋_GB2312"/>
                <w:bCs/>
                <w:color w:val="auto"/>
                <w:szCs w:val="21"/>
              </w:rPr>
              <w:t>氧化铝（Al</w:t>
            </w:r>
            <w:r>
              <w:rPr>
                <w:rFonts w:hint="eastAsia" w:ascii="仿宋_GB2312" w:hAnsi="宋体" w:eastAsia="仿宋_GB2312"/>
                <w:bCs/>
                <w:color w:val="auto"/>
                <w:szCs w:val="21"/>
                <w:vertAlign w:val="subscript"/>
              </w:rPr>
              <w:t>2</w:t>
            </w:r>
            <w:r>
              <w:rPr>
                <w:rFonts w:hint="eastAsia" w:ascii="仿宋_GB2312" w:hAnsi="宋体" w:eastAsia="仿宋_GB2312"/>
                <w:bCs/>
                <w:color w:val="auto"/>
                <w:szCs w:val="21"/>
              </w:rPr>
              <w:t>O</w:t>
            </w:r>
            <w:r>
              <w:rPr>
                <w:rFonts w:hint="eastAsia" w:ascii="仿宋_GB2312" w:hAnsi="宋体" w:eastAsia="仿宋_GB2312"/>
                <w:bCs/>
                <w:color w:val="auto"/>
                <w:szCs w:val="21"/>
                <w:vertAlign w:val="subscript"/>
              </w:rPr>
              <w:t>3</w:t>
            </w:r>
            <w:r>
              <w:rPr>
                <w:rFonts w:hint="eastAsia" w:ascii="仿宋_GB2312" w:hAnsi="宋体" w:eastAsia="仿宋_GB2312"/>
                <w:bCs/>
                <w:color w:val="auto"/>
                <w:szCs w:val="21"/>
              </w:rPr>
              <w:t>）含量</w:t>
            </w:r>
            <w:r>
              <w:rPr>
                <w:rFonts w:ascii="仿宋_GB2312" w:hAnsi="宋体" w:eastAsia="仿宋_GB2312"/>
                <w:bCs/>
                <w:color w:val="auto"/>
                <w:szCs w:val="21"/>
              </w:rPr>
              <w:t>≥</w:t>
            </w:r>
            <w:r>
              <w:rPr>
                <w:rFonts w:hint="eastAsia" w:ascii="仿宋_GB2312" w:hAnsi="宋体" w:eastAsia="仿宋_GB2312"/>
                <w:bCs/>
                <w:color w:val="auto"/>
                <w:szCs w:val="21"/>
              </w:rPr>
              <w:t>10</w:t>
            </w:r>
            <w:r>
              <w:rPr>
                <w:rFonts w:hint="eastAsia" w:ascii="仿宋_GB2312" w:hAnsi="宋体" w:eastAsia="仿宋_GB2312"/>
                <w:bCs/>
                <w:color w:val="auto"/>
                <w:szCs w:val="21"/>
                <w:lang w:val="en-US" w:eastAsia="zh-CN"/>
              </w:rPr>
              <w:t>.0</w:t>
            </w:r>
            <w:r>
              <w:rPr>
                <w:rFonts w:hint="eastAsia" w:ascii="仿宋_GB2312" w:hAnsi="宋体" w:eastAsia="仿宋_GB2312"/>
                <w:bCs/>
                <w:color w:val="auto"/>
                <w:szCs w:val="21"/>
              </w:rPr>
              <w:t>%,盐基度45</w:t>
            </w:r>
            <w:r>
              <w:rPr>
                <w:rFonts w:hint="eastAsia" w:ascii="仿宋_GB2312" w:hAnsi="宋体" w:eastAsia="仿宋_GB2312"/>
                <w:bCs/>
                <w:color w:val="auto"/>
                <w:szCs w:val="21"/>
                <w:lang w:val="en-US" w:eastAsia="zh-CN"/>
              </w:rPr>
              <w:t>.0</w:t>
            </w:r>
            <w:r>
              <w:rPr>
                <w:rFonts w:hint="eastAsia" w:ascii="仿宋_GB2312" w:hAnsi="宋体" w:eastAsia="仿宋_GB2312"/>
                <w:bCs/>
                <w:color w:val="auto"/>
                <w:szCs w:val="21"/>
              </w:rPr>
              <w:t>%-90</w:t>
            </w:r>
            <w:r>
              <w:rPr>
                <w:rFonts w:hint="eastAsia" w:ascii="仿宋_GB2312" w:hAnsi="宋体" w:eastAsia="仿宋_GB2312"/>
                <w:bCs/>
                <w:color w:val="auto"/>
                <w:szCs w:val="21"/>
                <w:lang w:val="en-US" w:eastAsia="zh-CN"/>
              </w:rPr>
              <w:t>.0</w:t>
            </w:r>
            <w:r>
              <w:rPr>
                <w:rFonts w:hint="eastAsia" w:ascii="仿宋_GB2312" w:hAnsi="宋体" w:eastAsia="仿宋_GB2312"/>
                <w:bCs/>
                <w:color w:val="auto"/>
                <w:szCs w:val="21"/>
              </w:rPr>
              <w:t>%。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B7309">
            <w:pPr>
              <w:spacing w:line="440" w:lineRule="exact"/>
              <w:jc w:val="center"/>
              <w:rPr>
                <w:rFonts w:hint="eastAsia" w:ascii="仿宋_GB2312" w:hAnsi="宋体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</w:rPr>
              <w:t>吨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19E68">
            <w:pPr>
              <w:spacing w:line="440" w:lineRule="exact"/>
              <w:jc w:val="center"/>
              <w:rPr>
                <w:rFonts w:hint="eastAsia" w:ascii="仿宋_GB2312" w:hAnsi="宋体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  <w:lang w:val="en-US" w:eastAsia="zh-CN"/>
              </w:rPr>
              <w:t>9000</w:t>
            </w:r>
            <w:r>
              <w:rPr>
                <w:rFonts w:hint="eastAsia" w:ascii="仿宋_GB2312" w:hAnsi="宋体" w:eastAsia="仿宋_GB2312"/>
                <w:bCs/>
                <w:color w:val="auto"/>
                <w:sz w:val="24"/>
              </w:rPr>
              <w:t>（预估）</w:t>
            </w:r>
          </w:p>
        </w:tc>
      </w:tr>
    </w:tbl>
    <w:p w14:paraId="2B6727DB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注：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1.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报价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含1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%增值税一票制送到价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，采购量为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一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年预估量，每月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送货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约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700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吨，以实际生产需求通知供货，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每月根据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询价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人磅单结算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。</w:t>
      </w:r>
    </w:p>
    <w:p w14:paraId="1FE4D055">
      <w:pPr>
        <w:tabs>
          <w:tab w:val="left" w:pos="1719"/>
        </w:tabs>
        <w:adjustRightInd w:val="0"/>
        <w:snapToGrid w:val="0"/>
        <w:spacing w:line="600" w:lineRule="exact"/>
        <w:ind w:left="1495" w:leftChars="426" w:hanging="600" w:hangingChars="200"/>
        <w:rPr>
          <w:rFonts w:hint="eastAsia" w:ascii="仿宋_GB2312" w:hAnsi="仿宋_GB2312" w:eastAsia="仿宋_GB2312" w:cs="仿宋_GB2312"/>
          <w:bCs/>
          <w:color w:val="auto"/>
          <w:sz w:val="30"/>
          <w:szCs w:val="30"/>
          <w:lang w:eastAsia="zh-CN"/>
        </w:rPr>
      </w:pPr>
    </w:p>
    <w:p w14:paraId="3C06393A">
      <w:pPr>
        <w:pStyle w:val="4"/>
        <w:rPr>
          <w:sz w:val="24"/>
          <w:szCs w:val="24"/>
        </w:rPr>
      </w:pPr>
      <w:r>
        <w:rPr>
          <w:sz w:val="24"/>
          <w:szCs w:val="24"/>
        </w:rPr>
        <w:t>（二）技术及资质要求</w:t>
      </w:r>
    </w:p>
    <w:p w14:paraId="31A4D8A3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b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lang w:val="en-US" w:eastAsia="zh-CN" w:bidi="ar-SA"/>
        </w:rPr>
        <w:t>1.技术指标：</w:t>
      </w:r>
    </w:p>
    <w:p w14:paraId="34169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3" w:afterLines="100" w:line="520" w:lineRule="exact"/>
        <w:ind w:right="0" w:rightChars="0" w:firstLine="3012" w:firstLineChars="1000"/>
        <w:jc w:val="both"/>
        <w:textAlignment w:val="auto"/>
        <w:outlineLvl w:val="9"/>
        <w:rPr>
          <w:rFonts w:hint="default" w:ascii="仿宋" w:hAnsi="仿宋" w:eastAsia="仿宋" w:cs="仿宋"/>
          <w:b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lang w:val="en-US" w:eastAsia="zh-CN"/>
        </w:rPr>
        <w:t>聚氯化铝（液体）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8"/>
        <w:gridCol w:w="3914"/>
      </w:tblGrid>
      <w:tr w14:paraId="45F06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2703" w:type="pct"/>
            <w:noWrap w:val="0"/>
            <w:vAlign w:val="top"/>
          </w:tcPr>
          <w:p w14:paraId="56B9B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313" w:afterLines="10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项目</w:t>
            </w:r>
          </w:p>
        </w:tc>
        <w:tc>
          <w:tcPr>
            <w:tcW w:w="2296" w:type="pct"/>
            <w:noWrap w:val="0"/>
            <w:vAlign w:val="top"/>
          </w:tcPr>
          <w:p w14:paraId="6F03F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313" w:afterLines="10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指标（液体）</w:t>
            </w:r>
          </w:p>
        </w:tc>
      </w:tr>
      <w:tr w14:paraId="66D20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608" w:type="dxa"/>
            <w:noWrap w:val="0"/>
            <w:vAlign w:val="center"/>
          </w:tcPr>
          <w:p w14:paraId="59B0C526">
            <w:pPr>
              <w:jc w:val="center"/>
              <w:rPr>
                <w:rFonts w:hint="default" w:ascii="仿宋" w:hAnsi="仿宋" w:eastAsia="仿宋" w:cs="仿宋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项  目</w:t>
            </w:r>
          </w:p>
        </w:tc>
        <w:tc>
          <w:tcPr>
            <w:tcW w:w="3914" w:type="dxa"/>
            <w:noWrap w:val="0"/>
            <w:vAlign w:val="center"/>
          </w:tcPr>
          <w:p w14:paraId="6F38E432">
            <w:pPr>
              <w:jc w:val="center"/>
              <w:rPr>
                <w:rFonts w:hint="default" w:ascii="仿宋" w:hAnsi="仿宋" w:eastAsia="仿宋" w:cs="仿宋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指标(液体)</w:t>
            </w:r>
          </w:p>
        </w:tc>
      </w:tr>
      <w:tr w14:paraId="4E7EF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608" w:type="dxa"/>
            <w:noWrap w:val="0"/>
            <w:vAlign w:val="center"/>
          </w:tcPr>
          <w:p w14:paraId="42DF0835">
            <w:pPr>
              <w:jc w:val="center"/>
              <w:rPr>
                <w:rFonts w:hint="default" w:ascii="仿宋" w:hAnsi="仿宋" w:eastAsia="仿宋" w:cs="仿宋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外观</w:t>
            </w:r>
          </w:p>
        </w:tc>
        <w:tc>
          <w:tcPr>
            <w:tcW w:w="3914" w:type="dxa"/>
            <w:noWrap w:val="0"/>
            <w:vAlign w:val="center"/>
          </w:tcPr>
          <w:p w14:paraId="551A8C62">
            <w:pPr>
              <w:jc w:val="center"/>
              <w:rPr>
                <w:rFonts w:hint="default" w:ascii="仿宋" w:hAnsi="仿宋" w:eastAsia="仿宋" w:cs="仿宋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无色至淡黄色透明液体</w:t>
            </w:r>
          </w:p>
        </w:tc>
      </w:tr>
      <w:tr w14:paraId="15E14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4608" w:type="dxa"/>
            <w:noWrap w:val="0"/>
            <w:vAlign w:val="center"/>
          </w:tcPr>
          <w:p w14:paraId="0CAE8532">
            <w:pPr>
              <w:jc w:val="center"/>
              <w:rPr>
                <w:rFonts w:hint="default" w:ascii="仿宋" w:hAnsi="仿宋" w:eastAsia="仿宋" w:cs="仿宋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密度（20℃）g/cm</w:t>
            </w:r>
            <w:r>
              <w:rPr>
                <w:rFonts w:hint="eastAsia" w:ascii="仿宋_GB2312" w:eastAsia="仿宋_GB2312"/>
                <w:color w:val="auto"/>
                <w:sz w:val="24"/>
                <w:vertAlign w:val="superscript"/>
              </w:rPr>
              <w:t>3</w:t>
            </w: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≥</w:t>
            </w:r>
          </w:p>
        </w:tc>
        <w:tc>
          <w:tcPr>
            <w:tcW w:w="3914" w:type="dxa"/>
            <w:noWrap w:val="0"/>
            <w:vAlign w:val="center"/>
          </w:tcPr>
          <w:p w14:paraId="795450F4">
            <w:pPr>
              <w:jc w:val="center"/>
              <w:rPr>
                <w:rFonts w:hint="default" w:ascii="仿宋" w:hAnsi="仿宋" w:eastAsia="仿宋" w:cs="仿宋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1.12</w:t>
            </w:r>
          </w:p>
        </w:tc>
      </w:tr>
      <w:tr w14:paraId="07DBF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4608" w:type="dxa"/>
            <w:noWrap w:val="0"/>
            <w:vAlign w:val="center"/>
          </w:tcPr>
          <w:p w14:paraId="16E17100">
            <w:pPr>
              <w:jc w:val="center"/>
              <w:rPr>
                <w:rFonts w:hint="default" w:ascii="仿宋" w:hAnsi="仿宋" w:eastAsia="仿宋" w:cs="仿宋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氧化铝（Al</w:t>
            </w:r>
            <w:r>
              <w:rPr>
                <w:rFonts w:hint="eastAsia" w:ascii="仿宋_GB2312" w:eastAsia="仿宋_GB2312"/>
                <w:color w:val="auto"/>
                <w:sz w:val="24"/>
                <w:vertAlign w:val="subscript"/>
              </w:rPr>
              <w:t>2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O</w:t>
            </w:r>
            <w:r>
              <w:rPr>
                <w:rFonts w:hint="eastAsia" w:ascii="仿宋_GB2312" w:eastAsia="仿宋_GB2312"/>
                <w:color w:val="auto"/>
                <w:sz w:val="24"/>
                <w:vertAlign w:val="subscript"/>
              </w:rPr>
              <w:t>3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）含量，%  ≥</w:t>
            </w:r>
          </w:p>
        </w:tc>
        <w:tc>
          <w:tcPr>
            <w:tcW w:w="3914" w:type="dxa"/>
            <w:noWrap w:val="0"/>
            <w:vAlign w:val="center"/>
          </w:tcPr>
          <w:p w14:paraId="1AD91F6A">
            <w:pPr>
              <w:jc w:val="center"/>
              <w:rPr>
                <w:rFonts w:hint="default" w:ascii="仿宋" w:hAnsi="仿宋" w:eastAsia="仿宋" w:cs="仿宋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10.0</w:t>
            </w:r>
          </w:p>
        </w:tc>
      </w:tr>
      <w:tr w14:paraId="79205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4608" w:type="dxa"/>
            <w:noWrap w:val="0"/>
            <w:vAlign w:val="center"/>
          </w:tcPr>
          <w:p w14:paraId="23DAB842">
            <w:pPr>
              <w:jc w:val="center"/>
              <w:rPr>
                <w:rFonts w:hint="default" w:ascii="仿宋" w:hAnsi="仿宋" w:eastAsia="仿宋" w:cs="仿宋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盐基度，%</w:t>
            </w:r>
          </w:p>
        </w:tc>
        <w:tc>
          <w:tcPr>
            <w:tcW w:w="3914" w:type="dxa"/>
            <w:noWrap w:val="0"/>
            <w:vAlign w:val="center"/>
          </w:tcPr>
          <w:p w14:paraId="393D33B5">
            <w:pPr>
              <w:jc w:val="center"/>
              <w:rPr>
                <w:rFonts w:hint="default" w:ascii="仿宋" w:hAnsi="仿宋" w:eastAsia="仿宋" w:cs="仿宋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45.0～90.0</w:t>
            </w:r>
          </w:p>
        </w:tc>
      </w:tr>
      <w:tr w14:paraId="0F357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4608" w:type="dxa"/>
            <w:noWrap w:val="0"/>
            <w:vAlign w:val="center"/>
          </w:tcPr>
          <w:p w14:paraId="617B54E8">
            <w:pPr>
              <w:jc w:val="center"/>
              <w:rPr>
                <w:rFonts w:hint="default" w:ascii="仿宋" w:hAnsi="仿宋" w:eastAsia="仿宋" w:cs="仿宋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不溶物含量，% ≤</w:t>
            </w:r>
          </w:p>
        </w:tc>
        <w:tc>
          <w:tcPr>
            <w:tcW w:w="3914" w:type="dxa"/>
            <w:noWrap w:val="0"/>
            <w:vAlign w:val="center"/>
          </w:tcPr>
          <w:p w14:paraId="20CBB3F3">
            <w:pPr>
              <w:jc w:val="center"/>
              <w:rPr>
                <w:rFonts w:hint="default" w:ascii="仿宋" w:hAnsi="仿宋" w:eastAsia="仿宋" w:cs="仿宋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0.1</w:t>
            </w:r>
          </w:p>
        </w:tc>
      </w:tr>
      <w:tr w14:paraId="11739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608" w:type="dxa"/>
            <w:noWrap w:val="0"/>
            <w:vAlign w:val="center"/>
          </w:tcPr>
          <w:p w14:paraId="78FC7F86">
            <w:pPr>
              <w:jc w:val="center"/>
              <w:rPr>
                <w:rFonts w:hint="default" w:ascii="仿宋" w:hAnsi="仿宋" w:eastAsia="仿宋" w:cs="仿宋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pH（10g/L水溶液）</w:t>
            </w:r>
          </w:p>
        </w:tc>
        <w:tc>
          <w:tcPr>
            <w:tcW w:w="3914" w:type="dxa"/>
            <w:noWrap w:val="0"/>
            <w:vAlign w:val="center"/>
          </w:tcPr>
          <w:p w14:paraId="601F1245">
            <w:pPr>
              <w:jc w:val="center"/>
              <w:rPr>
                <w:rFonts w:hint="default" w:ascii="仿宋" w:hAnsi="仿宋" w:eastAsia="仿宋" w:cs="仿宋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3.5～5.0</w:t>
            </w:r>
          </w:p>
        </w:tc>
      </w:tr>
    </w:tbl>
    <w:p w14:paraId="5B065AA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43" w:right="0" w:rightChars="0" w:firstLine="482" w:firstLineChars="200"/>
        <w:jc w:val="left"/>
        <w:textAlignment w:val="auto"/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引用标准：GB 15892-2020 《生活饮用水用聚氯化铝》</w:t>
      </w:r>
    </w:p>
    <w:p w14:paraId="2D4ADE8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43" w:right="0" w:rightChars="0" w:firstLine="482" w:firstLineChars="200"/>
        <w:jc w:val="left"/>
        <w:textAlignment w:val="auto"/>
        <w:rPr>
          <w:rFonts w:hint="default" w:ascii="宋体" w:hAnsi="宋体" w:cs="宋体"/>
          <w:b/>
          <w:bCs/>
          <w:sz w:val="24"/>
          <w:szCs w:val="24"/>
          <w:highlight w:val="none"/>
          <w:lang w:val="en-US" w:eastAsia="zh-CN"/>
        </w:rPr>
      </w:pPr>
    </w:p>
    <w:p w14:paraId="48A324B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43" w:right="0" w:rightChars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2.询价人聚合氯化铝有效罐容约30吨，正常生产时使用量约15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-20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吨/</w:t>
      </w:r>
    </w:p>
    <w:p w14:paraId="7745325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43" w:right="0" w:rightChars="0" w:firstLine="482" w:firstLineChars="200"/>
        <w:jc w:val="left"/>
        <w:textAlignment w:val="auto"/>
        <w:rPr>
          <w:rFonts w:hint="default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天，受询价方场地限制，建议采用载重15吨以内的槽车送货（含15吨槽车）,如超过15吨请提前至现场勘察，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报价人需携带卸货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软管并安全连接（不能影响询价人正常生产操作）。根据生产及车辆情况，可能需要每天送货约两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次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到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三次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（非特殊情况，原则上晚间及夜间不收货）。当供货方接到我方供货通知时，供货人要保证聚氯化铝（液体）在3小时内能够送到，保证我公司生产正常运行。如供货方不能按时供货需承担一切后果。</w:t>
      </w:r>
    </w:p>
    <w:p w14:paraId="1B3B779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43" w:right="0" w:rightChars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3.有合作意向未合作过的新供应商，请报价时提供相关资质材料，否则报价无效。报价人接到候选人通知后，根据询价人安排试供两车，符合我方要求后签订合同，否则视为无履约能力判定报价无效，将顺延与符合我公司要求且报价第二低的供应商联系， 按照上述流程考察审核,以此类推。</w:t>
      </w:r>
    </w:p>
    <w:p w14:paraId="1A9CBA5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43" w:right="0" w:rightChars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 xml:space="preserve"> 4.报价人必须具备良好的保供及售后服务能力，需确保能够满足询价人的生产使用需求，不得出现断供情况。要求供应商送货联系人的电话保持畅通，在接到电话后 2 小时内能够给出明确的解决方案。同时，供应商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须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具备在 3 小时内将货物送达我方生产现场的保障能力。我方不接受因供应商自身生产出现问题，或道路受限、运输不畅等任何可能导致无法保供的异常情况，供应商必须组织货源按时交货。</w:t>
      </w:r>
    </w:p>
    <w:p w14:paraId="69F84AE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43" w:right="0" w:rightChars="0" w:firstLine="482" w:firstLineChars="200"/>
        <w:jc w:val="left"/>
        <w:textAlignment w:val="auto"/>
        <w:rPr>
          <w:rFonts w:hint="default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5.送货车辆必须符合并遵守中华人民共和国相关法律法规要求，送货途中注意安全，杜绝违章，发生异常情况时由供货人全权负责；进入厂区送货车辆要求达到“国五”排放标准，严禁超限超载（行驶证核定总质量）。如有违反，收货人有权拒绝收货。</w:t>
      </w:r>
    </w:p>
    <w:p w14:paraId="727FAE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left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.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资质文件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：</w:t>
      </w:r>
      <w:r>
        <w:rPr>
          <w:rFonts w:ascii="宋体" w:hAnsi="宋体" w:eastAsia="宋体" w:cs="宋体"/>
          <w:sz w:val="24"/>
          <w:szCs w:val="24"/>
        </w:rPr>
        <w:t>供应商须提供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营业执照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，或</w:t>
      </w:r>
      <w:r>
        <w:rPr>
          <w:rFonts w:ascii="宋体" w:hAnsi="宋体" w:eastAsia="宋体" w:cs="宋体"/>
          <w:sz w:val="24"/>
          <w:szCs w:val="24"/>
        </w:rPr>
        <w:t>授权代理证明文件。</w:t>
      </w:r>
    </w:p>
    <w:p w14:paraId="4A271A3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left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403E8BB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43" w:right="0" w:rightChars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7E91D100">
      <w:pPr>
        <w:pStyle w:val="3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>三、报价要求</w:t>
      </w:r>
    </w:p>
    <w:p w14:paraId="74662129">
      <w:pPr>
        <w:pStyle w:val="4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>（一）报价方式</w:t>
      </w:r>
    </w:p>
    <w:p w14:paraId="783DFFDB">
      <w:pPr>
        <w:numPr>
          <w:ilvl w:val="0"/>
          <w:numId w:val="0"/>
        </w:numPr>
        <w:spacing w:before="0" w:beforeAutospacing="1" w:after="0" w:afterAutospacing="1"/>
        <w:ind w:left="360" w:leftChars="0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>含税送到价（含增值税）。税率调整时，按公式“合同含税价格/(1+合同约定税率)×(1+新税率)”调整</w:t>
      </w:r>
      <w:r>
        <w:rPr>
          <w:rFonts w:hint="eastAsia"/>
          <w:sz w:val="24"/>
          <w:szCs w:val="24"/>
          <w:highlight w:val="none"/>
          <w:lang w:eastAsia="zh-CN"/>
        </w:rPr>
        <w:t>，</w:t>
      </w:r>
      <w:r>
        <w:rPr>
          <w:rFonts w:hint="eastAsia"/>
          <w:sz w:val="24"/>
          <w:szCs w:val="24"/>
          <w:highlight w:val="none"/>
          <w:lang w:val="en-US" w:eastAsia="zh-CN"/>
        </w:rPr>
        <w:t>报价函格式。</w:t>
      </w:r>
    </w:p>
    <w:p w14:paraId="6E64C763">
      <w:pPr>
        <w:pStyle w:val="4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>（二）付款方式</w:t>
      </w:r>
    </w:p>
    <w:p w14:paraId="2DAA967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/>
        <w:spacing w:before="0" w:beforeAutospacing="0" w:after="0" w:afterAutospacing="0"/>
        <w:ind w:left="0" w:right="0" w:firstLine="240" w:firstLineChars="100"/>
        <w:jc w:val="left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-SA"/>
        </w:rPr>
        <w:t>1.货到增值税专用发票入账后60天内付款，付款方式为承兑。</w:t>
      </w:r>
    </w:p>
    <w:p w14:paraId="747C0F30">
      <w:pPr>
        <w:numPr>
          <w:ilvl w:val="0"/>
          <w:numId w:val="0"/>
        </w:numPr>
        <w:spacing w:before="0" w:beforeAutospacing="1" w:after="0" w:afterAutospacing="1"/>
        <w:ind w:left="360" w:leftChars="0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2.</w:t>
      </w:r>
      <w:r>
        <w:rPr>
          <w:sz w:val="24"/>
          <w:szCs w:val="24"/>
          <w:highlight w:val="none"/>
        </w:rPr>
        <w:t>不接受默认付款方式的供应商，须在报价中明确可接受的付款方式及时间（涉及预付款的需提供评审前3个月内企业信用报告并加盖公章）。</w:t>
      </w:r>
    </w:p>
    <w:p w14:paraId="0CBFDEEF">
      <w:pPr>
        <w:pStyle w:val="4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>（三）报价提交方式</w:t>
      </w:r>
    </w:p>
    <w:p w14:paraId="71D4B657">
      <w:pPr>
        <w:numPr>
          <w:ilvl w:val="0"/>
          <w:numId w:val="2"/>
        </w:numPr>
        <w:spacing w:before="0" w:beforeAutospacing="1" w:after="0" w:afterAutospacing="1"/>
        <w:ind w:left="720" w:hanging="360"/>
        <w:rPr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>线上报价</w:t>
      </w:r>
      <w:r>
        <w:rPr>
          <w:sz w:val="24"/>
          <w:szCs w:val="24"/>
          <w:highlight w:val="none"/>
        </w:rPr>
        <w:t>：通过大企汇工作台（www.daqihui.com）按格式填写，上传加盖报价章的报价单及资质材料。</w:t>
      </w:r>
    </w:p>
    <w:p w14:paraId="12F2DE97">
      <w:pPr>
        <w:numPr>
          <w:ilvl w:val="0"/>
          <w:numId w:val="2"/>
        </w:numPr>
        <w:spacing w:before="0" w:beforeAutospacing="1" w:after="0" w:afterAutospacing="1"/>
        <w:ind w:left="720" w:hanging="360"/>
        <w:rPr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>线下报价</w:t>
      </w:r>
      <w:r>
        <w:rPr>
          <w:sz w:val="24"/>
          <w:szCs w:val="24"/>
          <w:highlight w:val="none"/>
        </w:rPr>
        <w:t>：密封送达</w:t>
      </w:r>
      <w:r>
        <w:rPr>
          <w:rFonts w:hint="eastAsia"/>
          <w:sz w:val="24"/>
          <w:szCs w:val="24"/>
          <w:highlight w:val="none"/>
          <w:lang w:val="en-US" w:eastAsia="zh-CN"/>
        </w:rPr>
        <w:t>或邮寄送达</w:t>
      </w:r>
      <w:r>
        <w:rPr>
          <w:sz w:val="24"/>
          <w:szCs w:val="24"/>
          <w:highlight w:val="none"/>
        </w:rPr>
        <w:t>（封条需加盖公章、法人章并注明密封日期；封面注明项目名称、供应商信息、联系方式），</w:t>
      </w:r>
      <w:r>
        <w:rPr>
          <w:rFonts w:hint="eastAsia"/>
          <w:sz w:val="24"/>
          <w:szCs w:val="24"/>
          <w:highlight w:val="none"/>
          <w:lang w:val="en-US" w:eastAsia="zh-CN"/>
        </w:rPr>
        <w:t>邮寄送达需电联报价联系人告知快递单号，逾期无效</w:t>
      </w:r>
      <w:r>
        <w:rPr>
          <w:sz w:val="24"/>
          <w:szCs w:val="24"/>
          <w:highlight w:val="none"/>
        </w:rPr>
        <w:t>。</w:t>
      </w:r>
    </w:p>
    <w:p w14:paraId="7C743C17">
      <w:pPr>
        <w:pStyle w:val="4"/>
        <w:rPr>
          <w:sz w:val="24"/>
          <w:szCs w:val="24"/>
        </w:rPr>
      </w:pPr>
      <w:r>
        <w:rPr>
          <w:sz w:val="24"/>
          <w:szCs w:val="24"/>
        </w:rPr>
        <w:t>（四）送达地址及联系方式</w:t>
      </w:r>
    </w:p>
    <w:p w14:paraId="6AC27BF7">
      <w:pPr>
        <w:numPr>
          <w:ilvl w:val="0"/>
          <w:numId w:val="3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收件单位</w:t>
      </w:r>
      <w:r>
        <w:rPr>
          <w:sz w:val="24"/>
          <w:szCs w:val="24"/>
        </w:rPr>
        <w:t>：江苏索普化工股份有限公司供应保障部</w:t>
      </w:r>
    </w:p>
    <w:p w14:paraId="09A9996A">
      <w:pPr>
        <w:numPr>
          <w:ilvl w:val="0"/>
          <w:numId w:val="3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地</w:t>
      </w:r>
      <w:r>
        <w:rPr>
          <w:rFonts w:hint="eastAsia"/>
          <w:b/>
          <w:sz w:val="24"/>
          <w:szCs w:val="24"/>
          <w:lang w:val="en-US" w:eastAsia="zh-CN"/>
        </w:rPr>
        <w:t xml:space="preserve">    </w:t>
      </w:r>
      <w:r>
        <w:rPr>
          <w:b/>
          <w:sz w:val="24"/>
          <w:szCs w:val="24"/>
        </w:rPr>
        <w:t>址</w:t>
      </w:r>
      <w:r>
        <w:rPr>
          <w:sz w:val="24"/>
          <w:szCs w:val="24"/>
        </w:rPr>
        <w:t>：江苏省镇江市京口区求索路101号（邮编：212006）</w:t>
      </w:r>
    </w:p>
    <w:p w14:paraId="14CC59C7">
      <w:pPr>
        <w:numPr>
          <w:ilvl w:val="0"/>
          <w:numId w:val="3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联</w:t>
      </w:r>
      <w:r>
        <w:rPr>
          <w:rFonts w:hint="eastAsia"/>
          <w:b/>
          <w:sz w:val="24"/>
          <w:szCs w:val="24"/>
          <w:lang w:val="en-US" w:eastAsia="zh-CN"/>
        </w:rPr>
        <w:t xml:space="preserve"> </w:t>
      </w:r>
      <w:r>
        <w:rPr>
          <w:b/>
          <w:sz w:val="24"/>
          <w:szCs w:val="24"/>
        </w:rPr>
        <w:t>系</w:t>
      </w:r>
      <w:r>
        <w:rPr>
          <w:rFonts w:hint="eastAsia"/>
          <w:b/>
          <w:sz w:val="24"/>
          <w:szCs w:val="24"/>
          <w:lang w:val="en-US" w:eastAsia="zh-CN"/>
        </w:rPr>
        <w:t xml:space="preserve"> </w:t>
      </w:r>
      <w:r>
        <w:rPr>
          <w:b/>
          <w:sz w:val="24"/>
          <w:szCs w:val="24"/>
        </w:rPr>
        <w:t>人</w:t>
      </w:r>
      <w:r>
        <w:rPr>
          <w:sz w:val="24"/>
          <w:szCs w:val="24"/>
        </w:rPr>
        <w:t>：</w:t>
      </w:r>
      <w:r>
        <w:rPr>
          <w:rFonts w:hint="eastAsia"/>
          <w:sz w:val="24"/>
          <w:szCs w:val="24"/>
          <w:lang w:eastAsia="zh-CN"/>
        </w:rPr>
        <w:t>沈杰</w:t>
      </w:r>
      <w:r>
        <w:rPr>
          <w:sz w:val="24"/>
          <w:szCs w:val="24"/>
        </w:rPr>
        <w:t>，电话：</w:t>
      </w:r>
      <w:r>
        <w:rPr>
          <w:rFonts w:hint="eastAsia"/>
          <w:sz w:val="24"/>
          <w:szCs w:val="24"/>
          <w:lang w:val="en-US" w:eastAsia="zh-CN"/>
        </w:rPr>
        <w:t>13505281175</w:t>
      </w:r>
    </w:p>
    <w:p w14:paraId="46E1F8B6">
      <w:pPr>
        <w:pStyle w:val="4"/>
        <w:rPr>
          <w:sz w:val="24"/>
          <w:szCs w:val="24"/>
        </w:rPr>
      </w:pPr>
      <w:r>
        <w:rPr>
          <w:sz w:val="24"/>
          <w:szCs w:val="24"/>
        </w:rPr>
        <w:t>（五）疑问咨询</w:t>
      </w:r>
    </w:p>
    <w:p w14:paraId="20BA2C34">
      <w:pPr>
        <w:numPr>
          <w:ilvl w:val="0"/>
          <w:numId w:val="4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rFonts w:hint="eastAsia"/>
          <w:b/>
          <w:sz w:val="24"/>
          <w:szCs w:val="24"/>
          <w:lang w:val="en-US" w:eastAsia="zh-CN"/>
        </w:rPr>
        <w:t>报价</w:t>
      </w:r>
      <w:r>
        <w:rPr>
          <w:b/>
          <w:sz w:val="24"/>
          <w:szCs w:val="24"/>
        </w:rPr>
        <w:t>联系人</w:t>
      </w:r>
      <w:r>
        <w:rPr>
          <w:sz w:val="24"/>
          <w:szCs w:val="24"/>
        </w:rPr>
        <w:t>：</w:t>
      </w:r>
      <w:r>
        <w:rPr>
          <w:rFonts w:hint="eastAsia"/>
          <w:sz w:val="24"/>
          <w:szCs w:val="24"/>
          <w:lang w:eastAsia="zh-CN"/>
        </w:rPr>
        <w:t>沈</w:t>
      </w:r>
      <w:r>
        <w:rPr>
          <w:rFonts w:hint="eastAsia"/>
          <w:sz w:val="24"/>
          <w:szCs w:val="24"/>
          <w:lang w:val="en-US" w:eastAsia="zh-CN"/>
        </w:rPr>
        <w:t>杰13505281175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详情咨询</w:t>
      </w:r>
      <w:r>
        <w:rPr>
          <w:rFonts w:hint="eastAsia"/>
          <w:sz w:val="24"/>
          <w:szCs w:val="24"/>
          <w:lang w:eastAsia="zh-CN"/>
        </w:rPr>
        <w:t>）</w:t>
      </w:r>
    </w:p>
    <w:p w14:paraId="42C1A109">
      <w:pPr>
        <w:adjustRightInd w:val="0"/>
        <w:snapToGrid w:val="0"/>
        <w:spacing w:line="600" w:lineRule="exact"/>
        <w:ind w:firstLine="585"/>
        <w:jc w:val="left"/>
        <w:rPr>
          <w:sz w:val="24"/>
          <w:szCs w:val="24"/>
        </w:rPr>
      </w:pPr>
      <w:r>
        <w:rPr>
          <w:rFonts w:hint="eastAsia"/>
          <w:b/>
          <w:sz w:val="24"/>
          <w:szCs w:val="24"/>
          <w:lang w:val="en-US" w:eastAsia="zh-CN"/>
        </w:rPr>
        <w:t>技术咨询联系人：</w:t>
      </w:r>
      <w:r>
        <w:rPr>
          <w:rFonts w:hint="eastAsia"/>
          <w:sz w:val="24"/>
          <w:szCs w:val="24"/>
          <w:lang w:val="en-US" w:eastAsia="zh-CN"/>
        </w:rPr>
        <w:t>华良 15189125188（现场咨询）</w:t>
      </w:r>
    </w:p>
    <w:p w14:paraId="7A111C8A">
      <w:pPr>
        <w:numPr>
          <w:ilvl w:val="0"/>
          <w:numId w:val="4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rFonts w:hint="eastAsia"/>
          <w:b/>
          <w:sz w:val="24"/>
          <w:szCs w:val="24"/>
          <w:lang w:val="en-US" w:eastAsia="zh-CN"/>
        </w:rPr>
        <w:t>部门负责人</w:t>
      </w:r>
      <w:r>
        <w:rPr>
          <w:sz w:val="24"/>
          <w:szCs w:val="24"/>
        </w:rPr>
        <w:t>：解云13913442555</w:t>
      </w:r>
    </w:p>
    <w:p w14:paraId="21BF4B68">
      <w:pPr>
        <w:pStyle w:val="3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四</w:t>
      </w:r>
      <w:r>
        <w:rPr>
          <w:sz w:val="24"/>
          <w:szCs w:val="24"/>
        </w:rPr>
        <w:t>、其他要求</w:t>
      </w:r>
    </w:p>
    <w:p w14:paraId="5278A02B">
      <w:pPr>
        <w:numPr>
          <w:ilvl w:val="0"/>
          <w:numId w:val="5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进场服务材料</w:t>
      </w:r>
      <w:r>
        <w:rPr>
          <w:sz w:val="24"/>
          <w:szCs w:val="24"/>
        </w:rPr>
        <w:t>（如需）：施工人员年龄18-60周岁，（重大疾病或职业禁忌者不得作业）。</w:t>
      </w:r>
    </w:p>
    <w:p w14:paraId="26F2A39A">
      <w:pPr>
        <w:numPr>
          <w:ilvl w:val="0"/>
          <w:numId w:val="5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供应商资格</w:t>
      </w:r>
      <w:r>
        <w:rPr>
          <w:sz w:val="24"/>
          <w:szCs w:val="24"/>
        </w:rPr>
        <w:t>：不接受失信被执行人、重大违法案件当事人。</w:t>
      </w:r>
    </w:p>
    <w:p w14:paraId="548B90C1">
      <w:pPr>
        <w:numPr>
          <w:ilvl w:val="0"/>
          <w:numId w:val="5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售后服务</w:t>
      </w:r>
      <w:r>
        <w:rPr>
          <w:sz w:val="24"/>
          <w:szCs w:val="24"/>
        </w:rPr>
        <w:t>：电话响应≤8小时，明确解决方案。</w:t>
      </w:r>
    </w:p>
    <w:p w14:paraId="0C9D0B36">
      <w:pPr>
        <w:numPr>
          <w:ilvl w:val="0"/>
          <w:numId w:val="5"/>
        </w:numPr>
        <w:spacing w:before="0" w:beforeAutospacing="1" w:after="0" w:afterAutospacing="1"/>
        <w:ind w:left="720" w:hanging="360"/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-SA"/>
        </w:rPr>
      </w:pPr>
      <w:r>
        <w:rPr>
          <w:b/>
          <w:sz w:val="24"/>
          <w:szCs w:val="24"/>
        </w:rPr>
        <w:t>知识产权</w:t>
      </w:r>
      <w:r>
        <w:rPr>
          <w:sz w:val="24"/>
          <w:szCs w:val="24"/>
        </w:rPr>
        <w:t>：供应商承担所有知识产权纠纷责任。</w:t>
      </w:r>
    </w:p>
    <w:p w14:paraId="7B0F136B">
      <w:pPr>
        <w:numPr>
          <w:ilvl w:val="0"/>
          <w:numId w:val="5"/>
        </w:numPr>
        <w:spacing w:before="0" w:beforeAutospacing="1" w:after="0" w:afterAutospacing="1"/>
        <w:ind w:left="720" w:hanging="360"/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-SA"/>
        </w:rPr>
        <w:t>报价人须在接到成交通知3个工作日内缴纳保证金10万元（现汇），确认缴纳保证金后签订合同，逾期视为放弃成交结果，并按照《索普股份供应商负面清单管理规定》处理。成交人的保证金在合同正常履行完毕后，将连同货款返还成交人。</w:t>
      </w:r>
    </w:p>
    <w:p w14:paraId="30520F7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/>
        <w:textAlignment w:val="auto"/>
        <w:outlineLvl w:val="9"/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-SA"/>
        </w:rPr>
        <w:t xml:space="preserve">    保证金请汇入以下账户：</w:t>
      </w:r>
    </w:p>
    <w:p w14:paraId="31CE447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/>
        <w:textAlignment w:val="auto"/>
        <w:outlineLvl w:val="9"/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-SA"/>
        </w:rPr>
        <w:t xml:space="preserve">    账户名：江苏索普化工股份有限公司</w:t>
      </w:r>
    </w:p>
    <w:p w14:paraId="14C4068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/>
        <w:textAlignment w:val="auto"/>
        <w:outlineLvl w:val="9"/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-SA"/>
        </w:rPr>
        <w:t xml:space="preserve">    账号：513174009312</w:t>
      </w:r>
    </w:p>
    <w:p w14:paraId="4FE3206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leftChars="0" w:right="0" w:rightChars="0"/>
        <w:textAlignment w:val="auto"/>
        <w:outlineLvl w:val="9"/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-SA"/>
        </w:rPr>
        <w:t xml:space="preserve">    开户行：中国银行镇江谏壁支行</w:t>
      </w:r>
    </w:p>
    <w:p w14:paraId="14247EF0">
      <w:pPr>
        <w:pStyle w:val="3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五</w:t>
      </w:r>
      <w:r>
        <w:rPr>
          <w:sz w:val="24"/>
          <w:szCs w:val="24"/>
        </w:rPr>
        <w:t>、评审流程</w:t>
      </w:r>
    </w:p>
    <w:p w14:paraId="31F18230">
      <w:pPr>
        <w:numPr>
          <w:ilvl w:val="0"/>
          <w:numId w:val="6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评</w:t>
      </w:r>
      <w:r>
        <w:rPr>
          <w:rFonts w:hint="eastAsia"/>
          <w:b/>
          <w:sz w:val="24"/>
          <w:szCs w:val="24"/>
          <w:lang w:val="en-US" w:eastAsia="zh-CN"/>
        </w:rPr>
        <w:t xml:space="preserve">    </w:t>
      </w:r>
      <w:r>
        <w:rPr>
          <w:b/>
          <w:sz w:val="24"/>
          <w:szCs w:val="24"/>
        </w:rPr>
        <w:t>审</w:t>
      </w:r>
      <w:r>
        <w:rPr>
          <w:sz w:val="24"/>
          <w:szCs w:val="24"/>
        </w:rPr>
        <w:t>：采购人组织评审小组，</w:t>
      </w:r>
      <w:r>
        <w:rPr>
          <w:rFonts w:hint="eastAsia"/>
          <w:sz w:val="24"/>
          <w:szCs w:val="24"/>
          <w:lang w:val="en-US" w:eastAsia="zh-CN"/>
        </w:rPr>
        <w:t>评审</w:t>
      </w:r>
      <w:r>
        <w:rPr>
          <w:sz w:val="24"/>
          <w:szCs w:val="24"/>
        </w:rPr>
        <w:t>供应商报价，供应商需保持通讯畅通。</w:t>
      </w:r>
    </w:p>
    <w:p w14:paraId="0F994B82">
      <w:pPr>
        <w:numPr>
          <w:ilvl w:val="0"/>
          <w:numId w:val="6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评定标准</w:t>
      </w:r>
      <w:r>
        <w:rPr>
          <w:sz w:val="24"/>
          <w:szCs w:val="24"/>
        </w:rPr>
        <w:t>：满足技术及供货期要求的供应商中，总价最低者为成交候选人。</w:t>
      </w:r>
    </w:p>
    <w:p w14:paraId="3F9E105C">
      <w:pPr>
        <w:numPr>
          <w:ilvl w:val="0"/>
          <w:numId w:val="6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询价废止</w:t>
      </w:r>
      <w:r>
        <w:rPr>
          <w:sz w:val="24"/>
          <w:szCs w:val="24"/>
        </w:rPr>
        <w:t>：存在串通报价等违规行为的，作废并列入供应商负面清单。</w:t>
      </w:r>
    </w:p>
    <w:p w14:paraId="7C9B8AF9">
      <w:pPr>
        <w:numPr>
          <w:ilvl w:val="0"/>
          <w:numId w:val="6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无效报价</w:t>
      </w:r>
      <w:r>
        <w:rPr>
          <w:sz w:val="24"/>
          <w:szCs w:val="24"/>
        </w:rPr>
        <w:t>：资质不全、报价空项、不符合技术要求、价格明显偏离市场的，作无效处理。</w:t>
      </w:r>
    </w:p>
    <w:p w14:paraId="797A2A8A">
      <w:pPr>
        <w:pStyle w:val="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违约责任</w:t>
      </w:r>
    </w:p>
    <w:p w14:paraId="1751D116">
      <w:pPr>
        <w:numPr>
          <w:ilvl w:val="0"/>
          <w:numId w:val="0"/>
        </w:numPr>
      </w:pPr>
    </w:p>
    <w:p w14:paraId="7CF2FB56">
      <w:pPr>
        <w:numPr>
          <w:ilvl w:val="0"/>
          <w:numId w:val="8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逾期交货</w:t>
      </w:r>
      <w:r>
        <w:rPr>
          <w:sz w:val="24"/>
          <w:szCs w:val="24"/>
        </w:rPr>
        <w:t>：每日按合同总额1%支付违约金；超20日，采购人有权解除合同，要求返还货款并按总额20%赔偿。</w:t>
      </w:r>
    </w:p>
    <w:p w14:paraId="7CD62B7E">
      <w:pPr>
        <w:numPr>
          <w:ilvl w:val="0"/>
          <w:numId w:val="8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质量不合格</w:t>
      </w:r>
      <w:r>
        <w:rPr>
          <w:sz w:val="24"/>
          <w:szCs w:val="24"/>
        </w:rPr>
        <w:t>：</w:t>
      </w:r>
    </w:p>
    <w:p w14:paraId="6C6D2CED">
      <w:pPr>
        <w:numPr>
          <w:ilvl w:val="1"/>
          <w:numId w:val="8"/>
        </w:numPr>
        <w:spacing w:before="0" w:beforeAutospacing="1" w:after="0" w:afterAutospacing="1"/>
        <w:ind w:left="1440" w:hanging="360"/>
        <w:rPr>
          <w:sz w:val="24"/>
          <w:szCs w:val="24"/>
        </w:rPr>
      </w:pPr>
      <w:r>
        <w:rPr>
          <w:sz w:val="24"/>
          <w:szCs w:val="24"/>
        </w:rPr>
        <w:t>换货：费用由供应商承担，30日内重新供货，逾期按逾期条款处理；两次不合格则解除合同，返还货款并赔偿20%违约金。</w:t>
      </w:r>
    </w:p>
    <w:p w14:paraId="3787C0EC">
      <w:pPr>
        <w:numPr>
          <w:ilvl w:val="1"/>
          <w:numId w:val="8"/>
        </w:numPr>
        <w:spacing w:before="0" w:beforeAutospacing="1" w:after="0" w:afterAutospacing="1"/>
        <w:ind w:left="1440" w:hanging="360"/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-SA"/>
        </w:rPr>
      </w:pPr>
      <w:r>
        <w:rPr>
          <w:sz w:val="24"/>
          <w:szCs w:val="24"/>
        </w:rPr>
        <w:t>解除合同：退货费用由供应商承担，返还货款并赔偿20%违约金（质押货物期间仓储费由供应商承担）。</w:t>
      </w:r>
    </w:p>
    <w:p w14:paraId="75EB308B">
      <w:pPr>
        <w:numPr>
          <w:ilvl w:val="0"/>
          <w:numId w:val="8"/>
        </w:numPr>
        <w:spacing w:before="0" w:beforeAutospacing="1" w:after="0" w:afterAutospacing="1"/>
        <w:ind w:left="720" w:leftChars="0" w:hanging="360" w:firstLineChars="0"/>
        <w:rPr>
          <w:rFonts w:hint="eastAsia" w:ascii="Times New Roman" w:hAnsi="Times New Roman" w:eastAsia="宋体" w:cs="Times New Roman"/>
          <w:b/>
          <w:bCs/>
          <w:color w:val="000000"/>
          <w:sz w:val="24"/>
          <w:szCs w:val="24"/>
          <w:u w:val="singl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zCs w:val="24"/>
          <w:u w:val="single"/>
          <w:lang w:val="en-US" w:eastAsia="zh-CN" w:bidi="ar-SA"/>
        </w:rPr>
        <w:t>对需检验的品种，经采购人检验部门检验合格后方能收货，否则做退、换货处理；长期合约的供货人如出现两次产品质量不合格的情况，视为供货方无能力保障产品质量，采购人有权终止此次采购合同的执行。采购方对供货人所送货物进行不定期抽检，供货方送货人员须无条件配合。</w:t>
      </w:r>
    </w:p>
    <w:p w14:paraId="52632EBA">
      <w:pPr>
        <w:numPr>
          <w:ilvl w:val="0"/>
          <w:numId w:val="0"/>
        </w:numPr>
        <w:spacing w:before="0" w:beforeAutospacing="1" w:after="0" w:afterAutospacing="1"/>
        <w:ind w:firstLine="241" w:firstLineChars="100"/>
        <w:rPr>
          <w:sz w:val="24"/>
          <w:szCs w:val="24"/>
        </w:rPr>
      </w:pPr>
      <w:r>
        <w:rPr>
          <w:rFonts w:hint="eastAsia"/>
          <w:b/>
          <w:sz w:val="24"/>
          <w:szCs w:val="24"/>
          <w:lang w:val="en-US" w:eastAsia="zh-CN"/>
        </w:rPr>
        <w:t>4.</w:t>
      </w:r>
      <w:r>
        <w:rPr>
          <w:b/>
          <w:sz w:val="24"/>
          <w:szCs w:val="24"/>
        </w:rPr>
        <w:t>损失赔偿</w:t>
      </w:r>
      <w:r>
        <w:rPr>
          <w:sz w:val="24"/>
          <w:szCs w:val="24"/>
        </w:rPr>
        <w:t>：因质量或逾期造成的直接/间接损失，违约金不超过合同总价20%。</w:t>
      </w:r>
    </w:p>
    <w:p w14:paraId="1A94C3D1">
      <w:pPr>
        <w:pStyle w:val="3"/>
        <w:ind w:firstLine="241" w:firstLineChars="10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七</w:t>
      </w:r>
      <w:r>
        <w:rPr>
          <w:sz w:val="24"/>
          <w:szCs w:val="24"/>
        </w:rPr>
        <w:t>、其他事项</w:t>
      </w:r>
    </w:p>
    <w:p w14:paraId="3E4BA113">
      <w:pPr>
        <w:numPr>
          <w:ilvl w:val="0"/>
          <w:numId w:val="9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成交人须按询价书签订合同，违约将面临中止合作风险。</w:t>
      </w:r>
    </w:p>
    <w:p w14:paraId="228D9EB6">
      <w:pPr>
        <w:numPr>
          <w:ilvl w:val="0"/>
          <w:numId w:val="9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产品需经采购人检验合格，长期合约三次不合格者终止合同。</w:t>
      </w:r>
    </w:p>
    <w:p w14:paraId="2E46BB60">
      <w:pPr>
        <w:numPr>
          <w:ilvl w:val="0"/>
          <w:numId w:val="9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争议协商解决，仲裁按《产品质量仲裁检验和产品质量鉴定管理办法》执行。</w:t>
      </w:r>
    </w:p>
    <w:p w14:paraId="1E0C3DA3">
      <w:pPr>
        <w:numPr>
          <w:ilvl w:val="0"/>
          <w:numId w:val="9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违规供应商将列入负面清单，解释权归江苏索普化工股份有限公司供应保障部。</w:t>
      </w:r>
    </w:p>
    <w:p w14:paraId="1D48D955">
      <w:pPr>
        <w:jc w:val="right"/>
        <w:rPr>
          <w:sz w:val="24"/>
          <w:szCs w:val="24"/>
        </w:rPr>
      </w:pPr>
    </w:p>
    <w:p w14:paraId="61B8DBE6">
      <w:pPr>
        <w:jc w:val="righ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</w:t>
      </w:r>
    </w:p>
    <w:p w14:paraId="37D75DC6">
      <w:pPr>
        <w:jc w:val="right"/>
        <w:rPr>
          <w:rFonts w:hint="eastAsia"/>
          <w:sz w:val="24"/>
          <w:szCs w:val="24"/>
          <w:lang w:val="en-US" w:eastAsia="zh-CN"/>
        </w:rPr>
      </w:pPr>
    </w:p>
    <w:p w14:paraId="4D3E071A">
      <w:pPr>
        <w:jc w:val="right"/>
        <w:rPr>
          <w:rFonts w:hint="eastAsia"/>
          <w:sz w:val="24"/>
          <w:szCs w:val="24"/>
          <w:lang w:val="en-US" w:eastAsia="zh-CN"/>
        </w:rPr>
      </w:pPr>
    </w:p>
    <w:p w14:paraId="7F5142DD">
      <w:pPr>
        <w:jc w:val="right"/>
        <w:rPr>
          <w:sz w:val="24"/>
          <w:szCs w:val="24"/>
        </w:rPr>
      </w:pPr>
      <w:r>
        <w:rPr>
          <w:sz w:val="24"/>
          <w:szCs w:val="24"/>
        </w:rPr>
        <w:t>江苏索普化工股份有限公司供应保障部</w:t>
      </w:r>
    </w:p>
    <w:p w14:paraId="26E9FD79">
      <w:pPr>
        <w:jc w:val="right"/>
        <w:rPr>
          <w:sz w:val="24"/>
          <w:szCs w:val="24"/>
        </w:rPr>
      </w:pPr>
      <w:r>
        <w:rPr>
          <w:sz w:val="24"/>
          <w:szCs w:val="24"/>
        </w:rPr>
        <w:t>日期：____年__月__日</w:t>
      </w:r>
    </w:p>
    <w:p w14:paraId="3A4F3A57">
      <w:pPr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E629C24">
      <w:pPr>
        <w:pStyle w:val="3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附件1</w:t>
      </w:r>
    </w:p>
    <w:p w14:paraId="756083B5">
      <w:pPr>
        <w:pStyle w:val="3"/>
        <w:jc w:val="center"/>
        <w:rPr>
          <w:sz w:val="24"/>
          <w:szCs w:val="24"/>
        </w:rPr>
      </w:pPr>
      <w:r>
        <w:rPr>
          <w:sz w:val="24"/>
          <w:szCs w:val="24"/>
        </w:rPr>
        <w:t>报价函</w:t>
      </w:r>
    </w:p>
    <w:p w14:paraId="58D07B85">
      <w:pPr>
        <w:rPr>
          <w:sz w:val="24"/>
          <w:szCs w:val="24"/>
        </w:rPr>
      </w:pPr>
      <w:r>
        <w:rPr>
          <w:b/>
          <w:sz w:val="24"/>
          <w:szCs w:val="24"/>
        </w:rPr>
        <w:t>江苏索普化工股份有限公司</w:t>
      </w:r>
      <w:r>
        <w:rPr>
          <w:sz w:val="24"/>
          <w:szCs w:val="24"/>
        </w:rPr>
        <w:t>：</w:t>
      </w:r>
    </w:p>
    <w:p w14:paraId="03DF583E">
      <w:pPr>
        <w:rPr>
          <w:sz w:val="24"/>
          <w:szCs w:val="24"/>
        </w:rPr>
      </w:pPr>
      <w:r>
        <w:rPr>
          <w:sz w:val="24"/>
          <w:szCs w:val="24"/>
        </w:rPr>
        <w:t>（报价单位全称）授权（全权代表姓名、职务）为全权代表，参加贵方公开询比价活动，报价如下：</w:t>
      </w:r>
    </w:p>
    <w:p w14:paraId="5AB6199D">
      <w:pPr>
        <w:numPr>
          <w:ilvl w:val="0"/>
          <w:numId w:val="10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项目总价（含税）</w:t>
      </w:r>
      <w:r>
        <w:rPr>
          <w:sz w:val="24"/>
          <w:szCs w:val="24"/>
        </w:rPr>
        <w:t>：（大写）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</w:t>
      </w:r>
      <w:r>
        <w:rPr>
          <w:sz w:val="24"/>
          <w:szCs w:val="24"/>
          <w:u w:val="none"/>
        </w:rPr>
        <w:t>元人民币；税率</w:t>
      </w:r>
      <w:r>
        <w:rPr>
          <w:rFonts w:hint="eastAsia"/>
          <w:sz w:val="24"/>
          <w:szCs w:val="24"/>
          <w:u w:val="none"/>
          <w:lang w:val="en-US" w:eastAsia="zh-CN"/>
        </w:rPr>
        <w:t>13</w:t>
      </w:r>
      <w:r>
        <w:rPr>
          <w:sz w:val="24"/>
          <w:szCs w:val="24"/>
          <w:u w:val="none"/>
        </w:rPr>
        <w:t>%</w:t>
      </w:r>
      <w:r>
        <w:rPr>
          <w:sz w:val="24"/>
          <w:szCs w:val="24"/>
        </w:rPr>
        <w:t>。</w:t>
      </w:r>
    </w:p>
    <w:p w14:paraId="167DA178">
      <w:pPr>
        <w:numPr>
          <w:ilvl w:val="0"/>
          <w:numId w:val="10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交货时间</w:t>
      </w:r>
      <w:r>
        <w:rPr>
          <w:sz w:val="24"/>
          <w:szCs w:val="24"/>
        </w:rPr>
        <w:t>：________________________。</w:t>
      </w:r>
    </w:p>
    <w:p w14:paraId="7E6B970D">
      <w:pPr>
        <w:numPr>
          <w:ilvl w:val="0"/>
          <w:numId w:val="10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我方已审查全部询价书及补充文件，完全接受所有条款，放弃对条款不明或误解的权利；若条款冲突，同意按贵方解释处理。</w:t>
      </w:r>
    </w:p>
    <w:p w14:paraId="7CAEF8E2">
      <w:pPr>
        <w:numPr>
          <w:ilvl w:val="0"/>
          <w:numId w:val="10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愿意提供与报价相关的所有数据、资料，理解贵方无义务接受最低价或任何报价。</w:t>
      </w:r>
    </w:p>
    <w:p w14:paraId="6B11732D">
      <w:pPr>
        <w:numPr>
          <w:ilvl w:val="0"/>
          <w:numId w:val="10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不接受项</w:t>
      </w:r>
      <w:r>
        <w:rPr>
          <w:sz w:val="24"/>
          <w:szCs w:val="24"/>
        </w:rPr>
        <w:t>：________________________。</w:t>
      </w:r>
    </w:p>
    <w:p w14:paraId="1D8C735C">
      <w:pPr>
        <w:rPr>
          <w:sz w:val="24"/>
          <w:szCs w:val="24"/>
        </w:rPr>
      </w:pPr>
      <w:r>
        <w:rPr>
          <w:b/>
          <w:sz w:val="24"/>
          <w:szCs w:val="24"/>
        </w:rPr>
        <w:t>承诺</w:t>
      </w:r>
      <w:r>
        <w:rPr>
          <w:sz w:val="24"/>
          <w:szCs w:val="24"/>
        </w:rPr>
        <w:t>：遵守询价书规定，及时签订合同并履行责任；</w:t>
      </w:r>
      <w:r>
        <w:rPr>
          <w:rFonts w:hint="eastAsia"/>
          <w:sz w:val="24"/>
          <w:szCs w:val="24"/>
          <w:lang w:val="en-US" w:eastAsia="zh-CN"/>
        </w:rPr>
        <w:t>不串通报价</w:t>
      </w:r>
      <w:r>
        <w:rPr>
          <w:sz w:val="24"/>
          <w:szCs w:val="24"/>
        </w:rPr>
        <w:t>，信息真实有效；接受贵方核查与审计。如违反，承担法律责任及相关处理。</w:t>
      </w:r>
    </w:p>
    <w:p w14:paraId="0F5911FA">
      <w:pPr>
        <w:rPr>
          <w:sz w:val="24"/>
          <w:szCs w:val="24"/>
        </w:rPr>
      </w:pPr>
      <w:r>
        <w:rPr>
          <w:sz w:val="24"/>
          <w:szCs w:val="24"/>
        </w:rPr>
        <w:t>全权代表（签字）：________ 联系电话：________</w:t>
      </w:r>
    </w:p>
    <w:p w14:paraId="00829DAD">
      <w:pPr>
        <w:rPr>
          <w:sz w:val="24"/>
          <w:szCs w:val="24"/>
        </w:rPr>
      </w:pPr>
      <w:r>
        <w:rPr>
          <w:sz w:val="24"/>
          <w:szCs w:val="24"/>
        </w:rPr>
        <w:t>报价单位（盖章）：________ 日期：____年__月__日</w:t>
      </w:r>
    </w:p>
    <w:p w14:paraId="7CC6AC9C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9975C3"/>
    <w:multiLevelType w:val="singleLevel"/>
    <w:tmpl w:val="C89975C3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">
    <w:nsid w:val="F78C99A6"/>
    <w:multiLevelType w:val="multilevel"/>
    <w:tmpl w:val="F78C99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2">
    <w:nsid w:val="FBB01A2B"/>
    <w:multiLevelType w:val="singleLevel"/>
    <w:tmpl w:val="FBB01A2B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06D3EDA6"/>
    <w:multiLevelType w:val="singleLevel"/>
    <w:tmpl w:val="06D3ED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4">
    <w:nsid w:val="2E3E146E"/>
    <w:multiLevelType w:val="multilevel"/>
    <w:tmpl w:val="2E3E146E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5">
    <w:nsid w:val="31670EE2"/>
    <w:multiLevelType w:val="singleLevel"/>
    <w:tmpl w:val="31670EE2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6">
    <w:nsid w:val="3948E2D4"/>
    <w:multiLevelType w:val="singleLevel"/>
    <w:tmpl w:val="3948E2D4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7">
    <w:nsid w:val="56AB95D3"/>
    <w:multiLevelType w:val="singleLevel"/>
    <w:tmpl w:val="56AB95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8">
    <w:nsid w:val="657F2422"/>
    <w:multiLevelType w:val="singleLevel"/>
    <w:tmpl w:val="657F24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">
    <w:nsid w:val="75C12320"/>
    <w:multiLevelType w:val="singleLevel"/>
    <w:tmpl w:val="75C1232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20A61"/>
    <w:rsid w:val="00D30013"/>
    <w:rsid w:val="03656C08"/>
    <w:rsid w:val="03661A20"/>
    <w:rsid w:val="03824AAC"/>
    <w:rsid w:val="04475318"/>
    <w:rsid w:val="04C2712A"/>
    <w:rsid w:val="053578FC"/>
    <w:rsid w:val="05F05DE7"/>
    <w:rsid w:val="06F64FE7"/>
    <w:rsid w:val="08E44C73"/>
    <w:rsid w:val="090119A1"/>
    <w:rsid w:val="0A375EC4"/>
    <w:rsid w:val="0B1408EB"/>
    <w:rsid w:val="0CEF2A86"/>
    <w:rsid w:val="0D2C5A88"/>
    <w:rsid w:val="0D553231"/>
    <w:rsid w:val="0D5C67E2"/>
    <w:rsid w:val="10797237"/>
    <w:rsid w:val="12922C84"/>
    <w:rsid w:val="134678C7"/>
    <w:rsid w:val="13CF5E5B"/>
    <w:rsid w:val="146B158C"/>
    <w:rsid w:val="147931F1"/>
    <w:rsid w:val="14D05D11"/>
    <w:rsid w:val="15386004"/>
    <w:rsid w:val="15F1304B"/>
    <w:rsid w:val="168129A1"/>
    <w:rsid w:val="17920BDE"/>
    <w:rsid w:val="18532FFB"/>
    <w:rsid w:val="18E52D16"/>
    <w:rsid w:val="1BAD1FB6"/>
    <w:rsid w:val="1BD32800"/>
    <w:rsid w:val="1C0D408C"/>
    <w:rsid w:val="1C0E52F2"/>
    <w:rsid w:val="1C4B2B22"/>
    <w:rsid w:val="1D7C655F"/>
    <w:rsid w:val="1E117B3A"/>
    <w:rsid w:val="1E88705F"/>
    <w:rsid w:val="1F0E1492"/>
    <w:rsid w:val="228D7161"/>
    <w:rsid w:val="23377209"/>
    <w:rsid w:val="247C629F"/>
    <w:rsid w:val="24960418"/>
    <w:rsid w:val="24E05525"/>
    <w:rsid w:val="24E52C95"/>
    <w:rsid w:val="27886200"/>
    <w:rsid w:val="27BF3329"/>
    <w:rsid w:val="28D457C6"/>
    <w:rsid w:val="2B8C00D9"/>
    <w:rsid w:val="2BAE30C2"/>
    <w:rsid w:val="2CE00E0B"/>
    <w:rsid w:val="2D6D29C6"/>
    <w:rsid w:val="2D744D17"/>
    <w:rsid w:val="2D7C7196"/>
    <w:rsid w:val="2D977960"/>
    <w:rsid w:val="2E730AF8"/>
    <w:rsid w:val="2E735BC5"/>
    <w:rsid w:val="2EEA1AFE"/>
    <w:rsid w:val="2EEE0779"/>
    <w:rsid w:val="2F9904EA"/>
    <w:rsid w:val="30544484"/>
    <w:rsid w:val="30DA11D4"/>
    <w:rsid w:val="34C556EC"/>
    <w:rsid w:val="39331DC9"/>
    <w:rsid w:val="3B2F5BC5"/>
    <w:rsid w:val="3C0C0268"/>
    <w:rsid w:val="3D4C16AB"/>
    <w:rsid w:val="3DE503C5"/>
    <w:rsid w:val="3F6853D5"/>
    <w:rsid w:val="42235AE4"/>
    <w:rsid w:val="459B31D0"/>
    <w:rsid w:val="45B54290"/>
    <w:rsid w:val="4770020F"/>
    <w:rsid w:val="47796333"/>
    <w:rsid w:val="4849243F"/>
    <w:rsid w:val="487F4798"/>
    <w:rsid w:val="49227764"/>
    <w:rsid w:val="49CA38A7"/>
    <w:rsid w:val="4AC251FD"/>
    <w:rsid w:val="4AE1260F"/>
    <w:rsid w:val="4BD96800"/>
    <w:rsid w:val="4DD263A9"/>
    <w:rsid w:val="4F5F5F44"/>
    <w:rsid w:val="513A2283"/>
    <w:rsid w:val="51937451"/>
    <w:rsid w:val="536C67D1"/>
    <w:rsid w:val="53AE528F"/>
    <w:rsid w:val="543640C4"/>
    <w:rsid w:val="5449029B"/>
    <w:rsid w:val="57877110"/>
    <w:rsid w:val="58113834"/>
    <w:rsid w:val="5A702373"/>
    <w:rsid w:val="5AFA7489"/>
    <w:rsid w:val="5B136F0D"/>
    <w:rsid w:val="5E0E36D4"/>
    <w:rsid w:val="5F6706E3"/>
    <w:rsid w:val="5FED582A"/>
    <w:rsid w:val="60681AA9"/>
    <w:rsid w:val="60FA6A30"/>
    <w:rsid w:val="61EA6C19"/>
    <w:rsid w:val="626F711E"/>
    <w:rsid w:val="6326564D"/>
    <w:rsid w:val="63F87D96"/>
    <w:rsid w:val="64B90B25"/>
    <w:rsid w:val="6593322E"/>
    <w:rsid w:val="661E50E3"/>
    <w:rsid w:val="6662357E"/>
    <w:rsid w:val="68024591"/>
    <w:rsid w:val="68D50789"/>
    <w:rsid w:val="6935773D"/>
    <w:rsid w:val="694037F5"/>
    <w:rsid w:val="69444DF9"/>
    <w:rsid w:val="6A7950E7"/>
    <w:rsid w:val="6B1C5D1F"/>
    <w:rsid w:val="6BB301F4"/>
    <w:rsid w:val="6D2E7862"/>
    <w:rsid w:val="6DD76B71"/>
    <w:rsid w:val="6F9A3C78"/>
    <w:rsid w:val="71C225C6"/>
    <w:rsid w:val="72A11576"/>
    <w:rsid w:val="742064CB"/>
    <w:rsid w:val="748B4929"/>
    <w:rsid w:val="79D7762B"/>
    <w:rsid w:val="7A4773F3"/>
    <w:rsid w:val="7A995229"/>
    <w:rsid w:val="7B106F4E"/>
    <w:rsid w:val="7C831D8D"/>
    <w:rsid w:val="7DC36C1D"/>
    <w:rsid w:val="7ED2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99"/>
    <w:pPr>
      <w:spacing w:after="120"/>
    </w:pPr>
  </w:style>
  <w:style w:type="paragraph" w:styleId="6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font91"/>
    <w:basedOn w:val="9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2">
    <w:name w:val="font101"/>
    <w:basedOn w:val="9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13">
    <w:name w:val="font4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4">
    <w:name w:val="font112"/>
    <w:basedOn w:val="9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5">
    <w:name w:val="font2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3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7">
    <w:name w:val="font1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8">
    <w:name w:val="font8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9">
    <w:name w:val="font7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2739</Words>
  <Characters>3090</Characters>
  <Lines>0</Lines>
  <Paragraphs>0</Paragraphs>
  <TotalTime>9</TotalTime>
  <ScaleCrop>false</ScaleCrop>
  <LinksUpToDate>false</LinksUpToDate>
  <CharactersWithSpaces>3154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沈杰</cp:lastModifiedBy>
  <cp:lastPrinted>2026-01-13T08:37:00Z</cp:lastPrinted>
  <dcterms:modified xsi:type="dcterms:W3CDTF">2026-07-17T06:42:36Z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eyJoZGlkIjoiZTRlZDAzYTU5MjliZmFlZWZjZDE3NDg2NGY2MWEzMWEiLCJ1c2VySWQiOiIzNTI0NDc5MzYifQ==</vt:lpwstr>
  </property>
  <property fmtid="{D5CDD505-2E9C-101B-9397-08002B2CF9AE}" pid="4" name="ICV">
    <vt:lpwstr>27DA000638E54F38B2B32CFB3C1A88B0_13</vt:lpwstr>
  </property>
</Properties>
</file>