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D256A5">
      <w:pPr>
        <w:ind w:firstLine="0" w:firstLineChars="0"/>
        <w:jc w:val="center"/>
        <w:rPr>
          <w:rFonts w:hint="eastAsia" w:ascii="宋体" w:hAnsi="宋体" w:eastAsia="宋体" w:cs="宋体"/>
          <w:b/>
          <w:color w:val="000000"/>
          <w:sz w:val="28"/>
          <w:szCs w:val="28"/>
          <w:lang w:val="zh-CN"/>
        </w:rPr>
      </w:pPr>
    </w:p>
    <w:p w14:paraId="2052A80C">
      <w:pPr>
        <w:ind w:firstLine="0" w:firstLineChars="0"/>
        <w:jc w:val="center"/>
        <w:rPr>
          <w:rFonts w:hint="eastAsia" w:ascii="黑体" w:hAnsi="黑体" w:eastAsia="黑体" w:cs="黑体"/>
          <w:b/>
          <w:sz w:val="44"/>
          <w:szCs w:val="44"/>
        </w:rPr>
      </w:pPr>
      <w:r>
        <w:rPr>
          <w:rFonts w:hint="eastAsia" w:ascii="黑体" w:hAnsi="黑体" w:eastAsia="黑体" w:cs="黑体"/>
          <w:b/>
          <w:color w:val="000000"/>
          <w:sz w:val="44"/>
          <w:szCs w:val="44"/>
        </w:rPr>
        <w:t>10kV</w:t>
      </w:r>
      <w:r>
        <w:rPr>
          <w:rFonts w:hint="eastAsia" w:ascii="黑体" w:hAnsi="黑体" w:eastAsia="黑体" w:cs="黑体"/>
          <w:b/>
          <w:color w:val="000000"/>
          <w:sz w:val="44"/>
          <w:szCs w:val="44"/>
          <w:lang w:val="zh-CN"/>
        </w:rPr>
        <w:t>无功补偿成套装置</w:t>
      </w:r>
    </w:p>
    <w:p w14:paraId="1E059F5E">
      <w:pPr>
        <w:pStyle w:val="18"/>
        <w:ind w:firstLine="883"/>
        <w:rPr>
          <w:rFonts w:hint="eastAsia" w:ascii="黑体" w:hAnsi="黑体" w:eastAsia="黑体" w:cs="黑体"/>
          <w:b/>
          <w:sz w:val="44"/>
          <w:szCs w:val="44"/>
        </w:rPr>
      </w:pPr>
    </w:p>
    <w:p w14:paraId="58BF914E">
      <w:pPr>
        <w:pStyle w:val="18"/>
        <w:ind w:firstLine="883"/>
        <w:rPr>
          <w:rFonts w:hint="eastAsia" w:ascii="黑体" w:hAnsi="黑体" w:eastAsia="黑体" w:cs="黑体"/>
          <w:b/>
          <w:sz w:val="44"/>
          <w:szCs w:val="44"/>
        </w:rPr>
      </w:pPr>
    </w:p>
    <w:p w14:paraId="48364FB7">
      <w:pPr>
        <w:ind w:left="1920" w:leftChars="800" w:firstLine="1325" w:firstLineChars="300"/>
        <w:rPr>
          <w:rFonts w:hint="eastAsia" w:ascii="黑体" w:hAnsi="黑体" w:eastAsia="黑体" w:cs="黑体"/>
          <w:b/>
          <w:bCs/>
          <w:sz w:val="44"/>
          <w:szCs w:val="44"/>
        </w:rPr>
      </w:pPr>
      <w:r>
        <w:rPr>
          <w:rFonts w:hint="eastAsia" w:ascii="黑体" w:hAnsi="黑体" w:eastAsia="黑体" w:cs="黑体"/>
          <w:b/>
          <w:sz w:val="44"/>
          <w:szCs w:val="44"/>
        </w:rPr>
        <w:t>技术要求</w:t>
      </w:r>
    </w:p>
    <w:p w14:paraId="669CF0B3">
      <w:pPr>
        <w:ind w:left="1920" w:leftChars="800" w:firstLine="562"/>
        <w:jc w:val="left"/>
        <w:rPr>
          <w:rFonts w:hint="eastAsia" w:ascii="宋体" w:hAnsi="宋体" w:eastAsia="宋体" w:cs="宋体"/>
          <w:b/>
          <w:bCs/>
          <w:sz w:val="28"/>
          <w:szCs w:val="28"/>
        </w:rPr>
      </w:pPr>
    </w:p>
    <w:p w14:paraId="2DCAFF56">
      <w:pPr>
        <w:ind w:left="1920" w:leftChars="800" w:firstLine="562"/>
        <w:jc w:val="left"/>
        <w:rPr>
          <w:rFonts w:hint="eastAsia" w:ascii="宋体" w:hAnsi="宋体" w:eastAsia="宋体" w:cs="宋体"/>
          <w:b/>
          <w:bCs/>
          <w:sz w:val="28"/>
          <w:szCs w:val="28"/>
        </w:rPr>
      </w:pPr>
    </w:p>
    <w:p w14:paraId="5FB246D4">
      <w:pPr>
        <w:pStyle w:val="18"/>
        <w:ind w:firstLine="562"/>
        <w:rPr>
          <w:rFonts w:hint="eastAsia" w:ascii="宋体" w:hAnsi="宋体" w:eastAsia="宋体" w:cs="宋体"/>
          <w:b/>
          <w:bCs/>
          <w:sz w:val="28"/>
          <w:szCs w:val="28"/>
        </w:rPr>
      </w:pPr>
    </w:p>
    <w:p w14:paraId="555422E2">
      <w:pPr>
        <w:pStyle w:val="18"/>
        <w:ind w:firstLine="562"/>
        <w:rPr>
          <w:rFonts w:hint="eastAsia" w:ascii="宋体" w:hAnsi="宋体" w:eastAsia="宋体" w:cs="宋体"/>
          <w:b/>
          <w:bCs/>
          <w:sz w:val="28"/>
          <w:szCs w:val="28"/>
        </w:rPr>
      </w:pPr>
    </w:p>
    <w:p w14:paraId="17CB1936">
      <w:pPr>
        <w:pStyle w:val="18"/>
        <w:ind w:firstLine="562"/>
        <w:rPr>
          <w:rFonts w:hint="eastAsia" w:ascii="宋体" w:hAnsi="宋体" w:eastAsia="宋体" w:cs="宋体"/>
          <w:b/>
          <w:bCs/>
          <w:sz w:val="28"/>
          <w:szCs w:val="28"/>
        </w:rPr>
      </w:pPr>
    </w:p>
    <w:p w14:paraId="6592EFAD">
      <w:pPr>
        <w:pStyle w:val="18"/>
        <w:ind w:firstLine="0" w:firstLineChars="0"/>
        <w:jc w:val="both"/>
        <w:rPr>
          <w:rFonts w:hint="eastAsia" w:ascii="宋体" w:hAnsi="宋体" w:eastAsia="宋体" w:cs="宋体"/>
          <w:b/>
          <w:bCs/>
          <w:sz w:val="28"/>
          <w:szCs w:val="28"/>
        </w:rPr>
      </w:pPr>
    </w:p>
    <w:p w14:paraId="5101AF7D">
      <w:pPr>
        <w:ind w:left="1920" w:leftChars="800" w:firstLine="562"/>
        <w:jc w:val="left"/>
        <w:rPr>
          <w:rFonts w:hint="eastAsia" w:ascii="宋体" w:hAnsi="宋体" w:eastAsia="宋体" w:cs="宋体"/>
          <w:b/>
          <w:bCs/>
          <w:sz w:val="28"/>
          <w:szCs w:val="28"/>
        </w:rPr>
      </w:pPr>
    </w:p>
    <w:p w14:paraId="48B640FA">
      <w:pPr>
        <w:ind w:firstLine="0" w:firstLineChars="0"/>
        <w:rPr>
          <w:rFonts w:hint="eastAsia" w:ascii="宋体" w:hAnsi="宋体" w:eastAsia="宋体" w:cs="宋体"/>
          <w:b/>
          <w:kern w:val="1"/>
          <w:sz w:val="28"/>
          <w:szCs w:val="28"/>
        </w:rPr>
      </w:pPr>
    </w:p>
    <w:p w14:paraId="12E7863F">
      <w:pPr>
        <w:pStyle w:val="2"/>
        <w:ind w:firstLine="560"/>
        <w:rPr>
          <w:rFonts w:hint="eastAsia" w:ascii="宋体" w:hAnsi="宋体" w:eastAsia="宋体" w:cs="宋体"/>
          <w:sz w:val="28"/>
          <w:szCs w:val="28"/>
        </w:rPr>
      </w:pPr>
    </w:p>
    <w:p w14:paraId="5715E70B">
      <w:pPr>
        <w:pStyle w:val="3"/>
        <w:ind w:firstLine="560"/>
        <w:rPr>
          <w:rFonts w:hint="eastAsia"/>
          <w:sz w:val="28"/>
          <w:szCs w:val="28"/>
        </w:rPr>
      </w:pPr>
    </w:p>
    <w:p w14:paraId="7E4D67C2">
      <w:pPr>
        <w:pStyle w:val="3"/>
        <w:ind w:firstLine="560"/>
        <w:rPr>
          <w:rFonts w:hint="eastAsia"/>
          <w:sz w:val="28"/>
          <w:szCs w:val="28"/>
        </w:rPr>
      </w:pPr>
    </w:p>
    <w:p w14:paraId="7A928AB7">
      <w:pPr>
        <w:pStyle w:val="2"/>
        <w:ind w:firstLine="560"/>
        <w:rPr>
          <w:rFonts w:hint="eastAsia" w:ascii="宋体" w:hAnsi="宋体" w:eastAsia="宋体" w:cs="宋体"/>
          <w:sz w:val="28"/>
          <w:szCs w:val="28"/>
        </w:rPr>
      </w:pPr>
    </w:p>
    <w:p w14:paraId="62E07774">
      <w:pPr>
        <w:pStyle w:val="3"/>
        <w:ind w:firstLine="560"/>
        <w:rPr>
          <w:rFonts w:hint="eastAsia"/>
          <w:sz w:val="28"/>
          <w:szCs w:val="28"/>
        </w:rPr>
      </w:pPr>
    </w:p>
    <w:p w14:paraId="58538969">
      <w:pPr>
        <w:pStyle w:val="5"/>
        <w:rPr>
          <w:rFonts w:hint="eastAsia" w:ascii="宋体" w:hAnsi="宋体" w:eastAsia="宋体" w:cs="宋体"/>
          <w:b w:val="0"/>
          <w:bCs w:val="0"/>
          <w:sz w:val="28"/>
          <w:szCs w:val="28"/>
        </w:rPr>
      </w:pPr>
      <w:bookmarkStart w:id="0" w:name="_Toc79572543"/>
      <w:bookmarkStart w:id="1" w:name="_Toc253407803"/>
      <w:bookmarkStart w:id="2" w:name="_Toc253468763"/>
      <w:bookmarkStart w:id="3" w:name="_Toc253408130"/>
    </w:p>
    <w:p w14:paraId="17CB6D0B">
      <w:pPr>
        <w:ind w:firstLine="560"/>
        <w:rPr>
          <w:rFonts w:hint="eastAsia" w:ascii="宋体" w:hAnsi="宋体" w:eastAsia="宋体" w:cs="宋体"/>
          <w:sz w:val="28"/>
          <w:szCs w:val="28"/>
        </w:rPr>
      </w:pPr>
    </w:p>
    <w:p w14:paraId="7223080C">
      <w:pPr>
        <w:pStyle w:val="2"/>
        <w:ind w:firstLine="560"/>
        <w:rPr>
          <w:rFonts w:hint="eastAsia" w:ascii="宋体" w:hAnsi="宋体" w:eastAsia="宋体" w:cs="宋体"/>
          <w:sz w:val="28"/>
          <w:szCs w:val="28"/>
        </w:rPr>
      </w:pPr>
    </w:p>
    <w:p w14:paraId="44F8B862">
      <w:pPr>
        <w:pStyle w:val="3"/>
        <w:ind w:firstLine="560"/>
        <w:rPr>
          <w:rFonts w:hint="eastAsia"/>
          <w:sz w:val="28"/>
          <w:szCs w:val="28"/>
        </w:rPr>
      </w:pPr>
    </w:p>
    <w:p w14:paraId="14C6638B">
      <w:pPr>
        <w:pStyle w:val="5"/>
        <w:rPr>
          <w:rFonts w:hint="eastAsia" w:ascii="宋体" w:hAnsi="宋体" w:eastAsia="宋体" w:cs="宋体"/>
          <w:sz w:val="28"/>
          <w:szCs w:val="28"/>
        </w:rPr>
      </w:pPr>
      <w:r>
        <w:rPr>
          <w:rFonts w:hint="eastAsia" w:ascii="宋体" w:hAnsi="宋体" w:eastAsia="宋体" w:cs="宋体"/>
          <w:sz w:val="28"/>
          <w:szCs w:val="28"/>
        </w:rPr>
        <w:t>1.总则</w:t>
      </w:r>
    </w:p>
    <w:p w14:paraId="19E57A1B">
      <w:pPr>
        <w:ind w:firstLine="560"/>
        <w:rPr>
          <w:rFonts w:hint="eastAsia" w:ascii="宋体" w:hAnsi="宋体" w:eastAsia="宋体" w:cs="宋体"/>
          <w:sz w:val="28"/>
          <w:szCs w:val="28"/>
        </w:rPr>
      </w:pPr>
      <w:r>
        <w:rPr>
          <w:rFonts w:hint="eastAsia" w:ascii="宋体" w:hAnsi="宋体" w:eastAsia="宋体" w:cs="宋体"/>
          <w:sz w:val="28"/>
          <w:szCs w:val="28"/>
        </w:rPr>
        <w:t>1.1本技术规范的使用范围仅限于10kV</w:t>
      </w:r>
      <w:r>
        <w:rPr>
          <w:rFonts w:hint="eastAsia" w:ascii="宋体" w:hAnsi="宋体" w:eastAsia="宋体" w:cs="宋体"/>
          <w:sz w:val="28"/>
          <w:szCs w:val="28"/>
          <w:lang w:val="zh-CN"/>
        </w:rPr>
        <w:t>无功补偿成套装置</w:t>
      </w:r>
      <w:r>
        <w:rPr>
          <w:rFonts w:hint="eastAsia" w:ascii="宋体" w:hAnsi="宋体" w:eastAsia="宋体" w:cs="宋体"/>
          <w:sz w:val="28"/>
          <w:szCs w:val="28"/>
        </w:rPr>
        <w:t>。高压电缆利旧，卖方需进行现场勘察并确认电缆接入位置，确保装置布局符合DL/T 5352-2018《高压配电装置设计规范》。</w:t>
      </w:r>
    </w:p>
    <w:p w14:paraId="138A108A">
      <w:pPr>
        <w:ind w:firstLine="560"/>
        <w:rPr>
          <w:rFonts w:hint="eastAsia" w:ascii="宋体" w:hAnsi="宋体" w:eastAsia="宋体" w:cs="宋体"/>
          <w:sz w:val="28"/>
          <w:szCs w:val="28"/>
        </w:rPr>
      </w:pPr>
      <w:r>
        <w:rPr>
          <w:rFonts w:hint="eastAsia" w:ascii="宋体" w:hAnsi="宋体" w:eastAsia="宋体" w:cs="宋体"/>
          <w:sz w:val="28"/>
          <w:szCs w:val="28"/>
        </w:rPr>
        <w:t>1.2本规范书提出的是最低限度的技术要求，并未对一切技术细节做出规定。卖方应提供符合国际/国内标准（如GB、DL、ISO等）的优质产品及服务。对国家有关安全、环保等强制性标准，必须满足其要求。</w:t>
      </w:r>
    </w:p>
    <w:p w14:paraId="32A9307C">
      <w:pPr>
        <w:ind w:firstLine="560"/>
        <w:rPr>
          <w:rFonts w:hint="eastAsia" w:ascii="宋体" w:hAnsi="宋体" w:eastAsia="宋体" w:cs="宋体"/>
          <w:sz w:val="28"/>
          <w:szCs w:val="28"/>
        </w:rPr>
      </w:pPr>
      <w:r>
        <w:rPr>
          <w:rFonts w:hint="eastAsia" w:ascii="宋体" w:hAnsi="宋体" w:eastAsia="宋体" w:cs="宋体"/>
          <w:sz w:val="28"/>
          <w:szCs w:val="28"/>
        </w:rPr>
        <w:t>如果卖方没有以书面形式对本协议书的条文提出异议，则认为卖方提供的设备完全符合本协议书的要求。如有异议，应以“对协议书的意见和协议书的差异”为标题的专门章节中加以详细描述。</w:t>
      </w:r>
    </w:p>
    <w:p w14:paraId="1FB5E149">
      <w:pPr>
        <w:ind w:firstLine="560"/>
        <w:rPr>
          <w:rFonts w:hint="eastAsia" w:ascii="宋体" w:hAnsi="宋体" w:eastAsia="宋体" w:cs="宋体"/>
          <w:sz w:val="28"/>
          <w:szCs w:val="28"/>
        </w:rPr>
      </w:pPr>
      <w:r>
        <w:rPr>
          <w:rFonts w:hint="eastAsia" w:ascii="宋体" w:hAnsi="宋体" w:eastAsia="宋体" w:cs="宋体"/>
          <w:sz w:val="28"/>
          <w:szCs w:val="28"/>
        </w:rPr>
        <w:t>1.3 买方有权以书面形式提出因本技术规范书所采用的标准和规程发生变化而产生的一些补充修改要求,卖方应遵守这些要求。</w:t>
      </w:r>
    </w:p>
    <w:p w14:paraId="1F907800">
      <w:pPr>
        <w:ind w:firstLine="560"/>
        <w:rPr>
          <w:rFonts w:hint="eastAsia" w:ascii="宋体" w:hAnsi="宋体" w:eastAsia="宋体" w:cs="宋体"/>
          <w:sz w:val="28"/>
          <w:szCs w:val="28"/>
        </w:rPr>
      </w:pPr>
      <w:r>
        <w:rPr>
          <w:rFonts w:hint="eastAsia" w:ascii="宋体" w:hAnsi="宋体" w:eastAsia="宋体" w:cs="宋体"/>
          <w:sz w:val="28"/>
          <w:szCs w:val="28"/>
        </w:rPr>
        <w:t>1.4卖方在系统和设备的设计和制造中所涉及的各项规程、规范和标准必须遵循中国系列最新版本的标准。本技术规范书所使用的标准如与卖方所执行的标准发生矛盾时，按较高标准执行。</w:t>
      </w:r>
    </w:p>
    <w:p w14:paraId="0458609C">
      <w:pPr>
        <w:ind w:firstLine="560"/>
        <w:rPr>
          <w:rFonts w:hint="eastAsia" w:ascii="宋体" w:hAnsi="宋体" w:eastAsia="宋体" w:cs="宋体"/>
          <w:sz w:val="28"/>
          <w:szCs w:val="28"/>
        </w:rPr>
      </w:pPr>
      <w:r>
        <w:rPr>
          <w:rFonts w:hint="eastAsia" w:ascii="宋体" w:hAnsi="宋体" w:eastAsia="宋体" w:cs="宋体"/>
          <w:sz w:val="28"/>
          <w:szCs w:val="28"/>
        </w:rPr>
        <w:t>1.5 卖方对成套设备负有全责，即包括分包（或采购）的产品。分包（或采购）的产品制造商应事先经买方的认可，但不免除卖方责任。凡系统所必需的但在规范中未体现的，卖方应无条件免费提供，确保系统设备的完整性。</w:t>
      </w:r>
    </w:p>
    <w:p w14:paraId="4D7EF486">
      <w:pPr>
        <w:ind w:firstLine="560"/>
        <w:rPr>
          <w:rFonts w:hint="eastAsia" w:ascii="宋体" w:hAnsi="宋体" w:eastAsia="宋体" w:cs="宋体"/>
          <w:sz w:val="28"/>
          <w:szCs w:val="28"/>
        </w:rPr>
      </w:pPr>
      <w:r>
        <w:rPr>
          <w:rFonts w:hint="eastAsia" w:ascii="宋体" w:hAnsi="宋体" w:eastAsia="宋体" w:cs="宋体"/>
          <w:sz w:val="28"/>
          <w:szCs w:val="28"/>
        </w:rPr>
        <w:t>1.6设备采用的专利涉及到的全部费用均被认为已包含在设备报价中，卖方应保证买方不承担有关设备专利的任何责任和费用。</w:t>
      </w:r>
    </w:p>
    <w:p w14:paraId="1A7786D5">
      <w:pPr>
        <w:ind w:firstLine="560"/>
        <w:jc w:val="left"/>
        <w:rPr>
          <w:rFonts w:hint="eastAsia" w:ascii="宋体" w:hAnsi="宋体" w:eastAsia="宋体" w:cs="宋体"/>
          <w:color w:val="FF0000"/>
          <w:sz w:val="28"/>
          <w:szCs w:val="28"/>
        </w:rPr>
      </w:pPr>
      <w:r>
        <w:rPr>
          <w:rFonts w:hint="eastAsia" w:ascii="宋体" w:hAnsi="宋体" w:eastAsia="宋体" w:cs="宋体"/>
          <w:sz w:val="28"/>
          <w:szCs w:val="28"/>
        </w:rPr>
        <w:t>1.7卖方需具备10年以上无功补偿设备生产经验，产品通过GB/T 11024、IEC 60871认证的产品。并提供ISO 9001、ISO 14001、ISO 45001认证（含“电容器单元及电容器成套设计、制造”范围）认证上的公司名称，商标名称，生产厂地址，公司地址必须一致，不得使用OEM或贴标产品，电容器单元提供CNAS认可的试验报告（符合GB/T 11024《标称电压1000V以上交流电力系统用并联电容器》、DL/T 840《高压并联电容器使用技术条件》）及电容器成套提供CNAS认可的型式试验报告（符合DL/T 604《高压并联电容器装置使用技术条件》、GB 50227《并联电容器装置设计规范》）。应保证文件的真实性。如提供虚假文件，取消供货资格，或买方可在公示期、签订合同前后要求卖方改正。</w:t>
      </w:r>
    </w:p>
    <w:p w14:paraId="767C5E29">
      <w:pPr>
        <w:ind w:firstLine="560"/>
        <w:rPr>
          <w:rFonts w:hint="eastAsia" w:ascii="宋体" w:hAnsi="宋体" w:eastAsia="宋体" w:cs="宋体"/>
          <w:sz w:val="28"/>
          <w:szCs w:val="28"/>
        </w:rPr>
      </w:pPr>
      <w:r>
        <w:rPr>
          <w:rFonts w:hint="eastAsia" w:ascii="宋体" w:hAnsi="宋体" w:eastAsia="宋体" w:cs="宋体"/>
          <w:sz w:val="28"/>
          <w:szCs w:val="28"/>
        </w:rPr>
        <w:t>1.8卖方提供的所有的技术资料、表格、图纸和所有的设备都应使用国际单位制。书写语言为中文。</w:t>
      </w:r>
    </w:p>
    <w:p w14:paraId="1C35415C">
      <w:pPr>
        <w:ind w:firstLine="560"/>
        <w:rPr>
          <w:rFonts w:hint="eastAsia" w:ascii="宋体" w:hAnsi="宋体" w:eastAsia="宋体" w:cs="宋体"/>
          <w:sz w:val="28"/>
          <w:szCs w:val="28"/>
        </w:rPr>
      </w:pPr>
      <w:r>
        <w:rPr>
          <w:rFonts w:hint="eastAsia" w:ascii="宋体" w:hAnsi="宋体" w:eastAsia="宋体" w:cs="宋体"/>
          <w:sz w:val="28"/>
          <w:szCs w:val="28"/>
        </w:rPr>
        <w:t>1.9 卖方必须对技术规范书中涉及设备技术参数的部分进行校核计算，买方有权提出因技术规范书标准和规程发生变化而产生的一些补充要求，具体项目由买卖双方共同商定。当设备参数因需要满足系统完整性、运行稳定性而产生必要的调整时，卖方需承诺设备合同价格不变。</w:t>
      </w:r>
    </w:p>
    <w:p w14:paraId="421920A4">
      <w:pPr>
        <w:pStyle w:val="5"/>
        <w:rPr>
          <w:rFonts w:hint="eastAsia" w:ascii="宋体" w:hAnsi="宋体" w:eastAsia="宋体" w:cs="宋体"/>
          <w:sz w:val="28"/>
          <w:szCs w:val="28"/>
        </w:rPr>
      </w:pPr>
      <w:r>
        <w:rPr>
          <w:rFonts w:hint="eastAsia" w:ascii="宋体" w:hAnsi="宋体" w:eastAsia="宋体" w:cs="宋体"/>
          <w:sz w:val="28"/>
          <w:szCs w:val="28"/>
        </w:rPr>
        <w:t>2.引用标准</w:t>
      </w:r>
      <w:bookmarkEnd w:id="0"/>
    </w:p>
    <w:p w14:paraId="59061296">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本技术文件是参照以下标准制定的，厂家所提供的设备符合本技术规范的要求。技术规范未作规定的应参照下述标准执行。所有设备、备品备件，除本技术条件规定的参数以外，其余均应遵照最新版本的国家标准和行业标准，这是对设备的最低要求。</w:t>
      </w:r>
    </w:p>
    <w:p w14:paraId="5903EA9E">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DL/T 5352-2018      《高压配电装置设计规范》</w:t>
      </w:r>
    </w:p>
    <w:p w14:paraId="064C9F58">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 50227-2017 《并联电容器装置设计规范》</w:t>
      </w:r>
    </w:p>
    <w:p w14:paraId="4489B4AE">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GB/T 1094.6-2011 《电力变压器 第 6 部分：电抗器》</w:t>
      </w:r>
    </w:p>
    <w:p w14:paraId="71E55C83">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GB4208-2017 《外壳防护等级（IP 代码）》</w:t>
      </w:r>
    </w:p>
    <w:p w14:paraId="071AFD9D">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GB12747.2-2017 《第 2 部分：老化试验、自愈性试验和破坏试验 》</w:t>
      </w:r>
    </w:p>
    <w:p w14:paraId="3180126E">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GB/T 1094.3-2017 《绝缘水平、绝缘试验和外绝缘空气间隙》</w:t>
      </w:r>
    </w:p>
    <w:p w14:paraId="194FC7C0">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GB/T 11022-2011 《高压开关设备和控制设备标准的共用技术要求》</w:t>
      </w:r>
    </w:p>
    <w:p w14:paraId="24AED6A9">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 50060-2008 《3~110kV 高压配电装置设计规范》</w:t>
      </w:r>
    </w:p>
    <w:p w14:paraId="626DD6ED">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 50052          《供配电系统设计规范》</w:t>
      </w:r>
    </w:p>
    <w:p w14:paraId="2ADB3185">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GB7354               《局部放电测量》</w:t>
      </w:r>
    </w:p>
    <w:p w14:paraId="3607729D">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GB11022              《高压开关设备通用技术条件》</w:t>
      </w:r>
    </w:p>
    <w:p w14:paraId="56C4CCD2">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DL/T486              《交流高压隔离开关订货技术条件》</w:t>
      </w:r>
    </w:p>
    <w:p w14:paraId="56F281AF">
      <w:pPr>
        <w:adjustRightInd w:val="0"/>
        <w:snapToGrid w:val="0"/>
        <w:ind w:firstLine="480"/>
        <w:jc w:val="left"/>
        <w:rPr>
          <w:rFonts w:hint="eastAsia" w:ascii="宋体" w:hAnsi="宋体" w:eastAsia="宋体" w:cs="宋体"/>
          <w:sz w:val="28"/>
          <w:szCs w:val="28"/>
        </w:rPr>
      </w:pPr>
      <w:r>
        <w:fldChar w:fldCharType="begin"/>
      </w:r>
      <w:r>
        <w:instrText xml:space="preserve"> HYPERLINK "http://www.csres.com/detail/51023.html" \t "http://www.csres.com/_blank" </w:instrText>
      </w:r>
      <w:r>
        <w:fldChar w:fldCharType="separate"/>
      </w:r>
      <w:r>
        <w:rPr>
          <w:rFonts w:hint="eastAsia" w:ascii="宋体" w:hAnsi="宋体" w:eastAsia="宋体" w:cs="宋体"/>
          <w:sz w:val="28"/>
          <w:szCs w:val="28"/>
        </w:rPr>
        <w:t>GB/T 11024-20</w:t>
      </w:r>
      <w:r>
        <w:rPr>
          <w:rFonts w:hint="eastAsia" w:ascii="宋体" w:hAnsi="宋体" w:eastAsia="宋体" w:cs="宋体"/>
          <w:sz w:val="28"/>
          <w:szCs w:val="28"/>
        </w:rPr>
        <w:fldChar w:fldCharType="end"/>
      </w:r>
      <w:r>
        <w:rPr>
          <w:rFonts w:hint="eastAsia" w:ascii="宋体" w:hAnsi="宋体" w:eastAsia="宋体" w:cs="宋体"/>
          <w:sz w:val="28"/>
          <w:szCs w:val="28"/>
        </w:rPr>
        <w:t>19</w:t>
      </w:r>
      <w:r>
        <w:rPr>
          <w:rFonts w:hint="eastAsia" w:ascii="宋体" w:hAnsi="宋体" w:eastAsia="宋体" w:cs="宋体"/>
          <w:sz w:val="28"/>
          <w:szCs w:val="28"/>
        </w:rPr>
        <w:tab/>
      </w:r>
      <w:r>
        <w:rPr>
          <w:rFonts w:hint="eastAsia" w:ascii="宋体" w:hAnsi="宋体" w:eastAsia="宋体" w:cs="宋体"/>
          <w:sz w:val="28"/>
          <w:szCs w:val="28"/>
        </w:rPr>
        <w:t xml:space="preserve">    《标称电压1kV以上交流电力系统用并联电容器》</w:t>
      </w:r>
    </w:p>
    <w:p w14:paraId="3065F7E8">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 11032-2020</w:t>
      </w:r>
      <w:r>
        <w:rPr>
          <w:rFonts w:hint="eastAsia" w:ascii="宋体" w:hAnsi="宋体" w:eastAsia="宋体" w:cs="宋体"/>
          <w:sz w:val="28"/>
          <w:szCs w:val="28"/>
        </w:rPr>
        <w:tab/>
      </w:r>
      <w:r>
        <w:rPr>
          <w:rFonts w:hint="eastAsia" w:ascii="宋体" w:hAnsi="宋体" w:eastAsia="宋体" w:cs="宋体"/>
          <w:sz w:val="28"/>
          <w:szCs w:val="28"/>
        </w:rPr>
        <w:t xml:space="preserve">       《交流无间隙金属氧化物避雷器》</w:t>
      </w:r>
    </w:p>
    <w:p w14:paraId="52E4573F">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DL/T653-2009</w:t>
      </w:r>
      <w:r>
        <w:rPr>
          <w:rFonts w:hint="eastAsia" w:ascii="宋体" w:hAnsi="宋体" w:eastAsia="宋体" w:cs="宋体"/>
          <w:sz w:val="28"/>
          <w:szCs w:val="28"/>
        </w:rPr>
        <w:tab/>
      </w:r>
      <w:r>
        <w:rPr>
          <w:rFonts w:hint="eastAsia" w:ascii="宋体" w:hAnsi="宋体" w:eastAsia="宋体" w:cs="宋体"/>
          <w:sz w:val="28"/>
          <w:szCs w:val="28"/>
        </w:rPr>
        <w:tab/>
      </w:r>
      <w:r>
        <w:rPr>
          <w:rFonts w:hint="eastAsia" w:ascii="宋体" w:hAnsi="宋体" w:eastAsia="宋体" w:cs="宋体"/>
          <w:sz w:val="28"/>
          <w:szCs w:val="28"/>
        </w:rPr>
        <w:t xml:space="preserve">    《高压并联电容器用放电线圈使用技术条件》</w:t>
      </w:r>
    </w:p>
    <w:p w14:paraId="1CF3EF2B">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GB 50053-2013        《20kV及以下变电站设计规范》</w:t>
      </w:r>
    </w:p>
    <w:p w14:paraId="552B11F2">
      <w:pPr>
        <w:adjustRightInd w:val="0"/>
        <w:snapToGrid w:val="0"/>
        <w:ind w:left="480" w:leftChars="200" w:firstLine="0" w:firstLineChars="0"/>
        <w:jc w:val="left"/>
        <w:rPr>
          <w:rFonts w:hint="eastAsia" w:ascii="宋体" w:hAnsi="宋体" w:eastAsia="宋体" w:cs="宋体"/>
          <w:sz w:val="28"/>
          <w:szCs w:val="28"/>
        </w:rPr>
      </w:pPr>
      <w:r>
        <w:rPr>
          <w:rFonts w:hint="eastAsia" w:ascii="宋体" w:hAnsi="宋体" w:eastAsia="宋体" w:cs="宋体"/>
          <w:sz w:val="28"/>
          <w:szCs w:val="28"/>
        </w:rPr>
        <w:t>GB50150-2016        《电气装置安装工程电气设备交接试验标准》GB50169-2016         《电气装置安装工程接地装置施工及验收规范》</w:t>
      </w:r>
    </w:p>
    <w:p w14:paraId="705C5C22">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 xml:space="preserve">GB 50171-2012       《电气装置安装工程 盘、柜及二次回路接线施工及验收规范》 </w:t>
      </w:r>
    </w:p>
    <w:p w14:paraId="224781C9">
      <w:pPr>
        <w:adjustRightInd w:val="0"/>
        <w:snapToGrid w:val="0"/>
        <w:ind w:firstLine="560"/>
        <w:jc w:val="left"/>
        <w:rPr>
          <w:rFonts w:hint="eastAsia" w:ascii="宋体" w:hAnsi="宋体" w:eastAsia="宋体" w:cs="宋体"/>
          <w:sz w:val="28"/>
          <w:szCs w:val="28"/>
        </w:rPr>
      </w:pPr>
      <w:r>
        <w:rPr>
          <w:rFonts w:hint="eastAsia" w:ascii="宋体" w:hAnsi="宋体" w:eastAsia="宋体" w:cs="宋体"/>
          <w:sz w:val="28"/>
          <w:szCs w:val="28"/>
        </w:rPr>
        <w:t>以上标准若有最新版本，则按最新版本执行。本技术规范书所使用的标准如与卖方所执行的标准发生矛盾时，按较高标准执行。所有螺栓、双头螺栓、螺丝、管螺纹、螺栓头及螺帽等均遵照ISO及SI国际标准。</w:t>
      </w:r>
      <w:bookmarkStart w:id="4" w:name="_Toc79572544"/>
    </w:p>
    <w:bookmarkEnd w:id="4"/>
    <w:p w14:paraId="2C4AB232">
      <w:pPr>
        <w:pStyle w:val="5"/>
        <w:numPr>
          <w:ilvl w:val="0"/>
          <w:numId w:val="1"/>
        </w:numPr>
        <w:rPr>
          <w:rFonts w:hint="eastAsia" w:ascii="宋体" w:hAnsi="宋体" w:eastAsia="宋体" w:cs="宋体"/>
          <w:sz w:val="28"/>
          <w:szCs w:val="28"/>
        </w:rPr>
      </w:pPr>
      <w:r>
        <w:rPr>
          <w:rFonts w:hint="eastAsia" w:ascii="宋体" w:hAnsi="宋体" w:eastAsia="宋体" w:cs="宋体"/>
          <w:sz w:val="28"/>
          <w:szCs w:val="28"/>
        </w:rPr>
        <w:t>使用条件</w:t>
      </w:r>
    </w:p>
    <w:p w14:paraId="48A2E827">
      <w:pPr>
        <w:pStyle w:val="6"/>
        <w:rPr>
          <w:rFonts w:hint="eastAsia" w:ascii="宋体" w:hAnsi="宋体" w:eastAsia="宋体" w:cs="宋体"/>
          <w:sz w:val="28"/>
          <w:szCs w:val="28"/>
        </w:rPr>
      </w:pPr>
      <w:r>
        <w:rPr>
          <w:rFonts w:hint="eastAsia" w:ascii="宋体" w:hAnsi="宋体" w:eastAsia="宋体" w:cs="宋体"/>
          <w:sz w:val="28"/>
          <w:szCs w:val="28"/>
        </w:rPr>
        <w:t>3.1环境条件</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4"/>
        <w:gridCol w:w="6490"/>
        <w:gridCol w:w="1311"/>
      </w:tblGrid>
      <w:tr w14:paraId="5BE7F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restart"/>
            <w:noWrap/>
            <w:vAlign w:val="center"/>
          </w:tcPr>
          <w:p w14:paraId="2CB0FEA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1</w:t>
            </w:r>
          </w:p>
        </w:tc>
        <w:tc>
          <w:tcPr>
            <w:tcW w:w="7801" w:type="dxa"/>
            <w:gridSpan w:val="2"/>
            <w:noWrap/>
            <w:vAlign w:val="center"/>
          </w:tcPr>
          <w:p w14:paraId="1D262862">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周围空气温度</w:t>
            </w:r>
          </w:p>
        </w:tc>
      </w:tr>
      <w:tr w14:paraId="1E507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6D151A35">
            <w:pPr>
              <w:pStyle w:val="5"/>
              <w:rPr>
                <w:rFonts w:hint="eastAsia" w:ascii="宋体" w:hAnsi="宋体" w:eastAsia="宋体" w:cs="宋体"/>
                <w:b w:val="0"/>
                <w:bCs w:val="0"/>
                <w:sz w:val="28"/>
                <w:szCs w:val="28"/>
              </w:rPr>
            </w:pPr>
          </w:p>
        </w:tc>
        <w:tc>
          <w:tcPr>
            <w:tcW w:w="6490" w:type="dxa"/>
            <w:noWrap/>
            <w:vAlign w:val="center"/>
          </w:tcPr>
          <w:p w14:paraId="5D9B6135">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最高温度  ℃</w:t>
            </w:r>
          </w:p>
        </w:tc>
        <w:tc>
          <w:tcPr>
            <w:tcW w:w="1311" w:type="dxa"/>
            <w:noWrap/>
            <w:vAlign w:val="center"/>
          </w:tcPr>
          <w:p w14:paraId="2CED1522">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45</w:t>
            </w:r>
          </w:p>
        </w:tc>
      </w:tr>
      <w:tr w14:paraId="548F8D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10AD98B2">
            <w:pPr>
              <w:pStyle w:val="5"/>
              <w:rPr>
                <w:rFonts w:hint="eastAsia" w:ascii="宋体" w:hAnsi="宋体" w:eastAsia="宋体" w:cs="宋体"/>
                <w:b w:val="0"/>
                <w:bCs w:val="0"/>
                <w:sz w:val="28"/>
                <w:szCs w:val="28"/>
              </w:rPr>
            </w:pPr>
          </w:p>
        </w:tc>
        <w:tc>
          <w:tcPr>
            <w:tcW w:w="6490" w:type="dxa"/>
            <w:noWrap/>
            <w:vAlign w:val="center"/>
          </w:tcPr>
          <w:p w14:paraId="6EC7A759">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最低温度  ℃</w:t>
            </w:r>
          </w:p>
        </w:tc>
        <w:tc>
          <w:tcPr>
            <w:tcW w:w="1311" w:type="dxa"/>
            <w:noWrap/>
            <w:vAlign w:val="center"/>
          </w:tcPr>
          <w:p w14:paraId="7C6BF47E">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-15</w:t>
            </w:r>
          </w:p>
        </w:tc>
      </w:tr>
      <w:tr w14:paraId="0703AA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2221CD6A">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2</w:t>
            </w:r>
          </w:p>
        </w:tc>
        <w:tc>
          <w:tcPr>
            <w:tcW w:w="6490" w:type="dxa"/>
            <w:noWrap/>
            <w:vAlign w:val="center"/>
          </w:tcPr>
          <w:p w14:paraId="05D211C3">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海拔高度  m</w:t>
            </w:r>
          </w:p>
        </w:tc>
        <w:tc>
          <w:tcPr>
            <w:tcW w:w="1311" w:type="dxa"/>
            <w:noWrap/>
            <w:vAlign w:val="center"/>
          </w:tcPr>
          <w:p w14:paraId="6700066E">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≤1000</w:t>
            </w:r>
          </w:p>
        </w:tc>
      </w:tr>
      <w:tr w14:paraId="4C6F0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32B7FE0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3</w:t>
            </w:r>
          </w:p>
        </w:tc>
        <w:tc>
          <w:tcPr>
            <w:tcW w:w="6490" w:type="dxa"/>
            <w:noWrap/>
            <w:vAlign w:val="center"/>
          </w:tcPr>
          <w:p w14:paraId="57990F15">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环境相对湿度（在25℃时）月平均值</w:t>
            </w:r>
          </w:p>
        </w:tc>
        <w:tc>
          <w:tcPr>
            <w:tcW w:w="1311" w:type="dxa"/>
            <w:noWrap/>
            <w:vAlign w:val="center"/>
          </w:tcPr>
          <w:p w14:paraId="25E48FD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90%</w:t>
            </w:r>
          </w:p>
        </w:tc>
      </w:tr>
      <w:tr w14:paraId="581081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5A0F2A3B">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4</w:t>
            </w:r>
          </w:p>
        </w:tc>
        <w:tc>
          <w:tcPr>
            <w:tcW w:w="6490" w:type="dxa"/>
            <w:noWrap/>
            <w:vAlign w:val="center"/>
          </w:tcPr>
          <w:p w14:paraId="12D4076E">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地震烈度(中国12级度标准)</w:t>
            </w:r>
          </w:p>
        </w:tc>
        <w:tc>
          <w:tcPr>
            <w:tcW w:w="1311" w:type="dxa"/>
            <w:noWrap/>
            <w:vAlign w:val="center"/>
          </w:tcPr>
          <w:p w14:paraId="6B2DD350">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7级</w:t>
            </w:r>
          </w:p>
        </w:tc>
      </w:tr>
      <w:tr w14:paraId="3EF334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restart"/>
            <w:noWrap/>
            <w:vAlign w:val="center"/>
          </w:tcPr>
          <w:p w14:paraId="0C41F2AA">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5</w:t>
            </w:r>
          </w:p>
        </w:tc>
        <w:tc>
          <w:tcPr>
            <w:tcW w:w="6490" w:type="dxa"/>
            <w:noWrap/>
            <w:vAlign w:val="center"/>
          </w:tcPr>
          <w:p w14:paraId="590722D9">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污秽等级</w:t>
            </w:r>
          </w:p>
        </w:tc>
        <w:tc>
          <w:tcPr>
            <w:tcW w:w="1311" w:type="dxa"/>
            <w:noWrap/>
            <w:vAlign w:val="center"/>
          </w:tcPr>
          <w:p w14:paraId="01D0B66D">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II</w:t>
            </w:r>
          </w:p>
        </w:tc>
      </w:tr>
      <w:tr w14:paraId="469261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13201F35">
            <w:pPr>
              <w:pStyle w:val="5"/>
              <w:rPr>
                <w:rFonts w:hint="eastAsia" w:ascii="宋体" w:hAnsi="宋体" w:eastAsia="宋体" w:cs="宋体"/>
                <w:b w:val="0"/>
                <w:bCs w:val="0"/>
                <w:sz w:val="28"/>
                <w:szCs w:val="28"/>
              </w:rPr>
            </w:pPr>
          </w:p>
        </w:tc>
        <w:tc>
          <w:tcPr>
            <w:tcW w:w="6490" w:type="dxa"/>
            <w:noWrap/>
            <w:vAlign w:val="center"/>
          </w:tcPr>
          <w:p w14:paraId="5259E7E1">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泄漏比距</w:t>
            </w:r>
          </w:p>
        </w:tc>
        <w:tc>
          <w:tcPr>
            <w:tcW w:w="1311" w:type="dxa"/>
            <w:noWrap/>
            <w:vAlign w:val="center"/>
          </w:tcPr>
          <w:p w14:paraId="5E218258">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20mm/kV</w:t>
            </w:r>
          </w:p>
        </w:tc>
      </w:tr>
      <w:tr w14:paraId="2DAB57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vMerge w:val="continue"/>
            <w:noWrap/>
            <w:vAlign w:val="center"/>
          </w:tcPr>
          <w:p w14:paraId="78B27AA8">
            <w:pPr>
              <w:pStyle w:val="5"/>
              <w:rPr>
                <w:rFonts w:hint="eastAsia" w:ascii="宋体" w:hAnsi="宋体" w:eastAsia="宋体" w:cs="宋体"/>
                <w:b w:val="0"/>
                <w:bCs w:val="0"/>
                <w:sz w:val="28"/>
                <w:szCs w:val="28"/>
              </w:rPr>
            </w:pPr>
          </w:p>
        </w:tc>
        <w:tc>
          <w:tcPr>
            <w:tcW w:w="7801" w:type="dxa"/>
            <w:gridSpan w:val="2"/>
            <w:noWrap/>
            <w:vAlign w:val="center"/>
          </w:tcPr>
          <w:p w14:paraId="72186A1A">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最高运行电压条件下，制造厂根据实际使用高海拔进行修正。</w:t>
            </w:r>
          </w:p>
        </w:tc>
      </w:tr>
      <w:tr w14:paraId="7B8943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9" w:hRule="atLeast"/>
          <w:jc w:val="center"/>
        </w:trPr>
        <w:tc>
          <w:tcPr>
            <w:tcW w:w="454" w:type="dxa"/>
            <w:noWrap/>
            <w:vAlign w:val="center"/>
          </w:tcPr>
          <w:p w14:paraId="2135F9C4">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6</w:t>
            </w:r>
          </w:p>
        </w:tc>
        <w:tc>
          <w:tcPr>
            <w:tcW w:w="7801" w:type="dxa"/>
            <w:gridSpan w:val="2"/>
            <w:noWrap/>
            <w:vAlign w:val="center"/>
          </w:tcPr>
          <w:p w14:paraId="6B6ACEB7">
            <w:pPr>
              <w:pStyle w:val="5"/>
              <w:rPr>
                <w:rFonts w:hint="eastAsia" w:ascii="宋体" w:hAnsi="宋体" w:eastAsia="宋体" w:cs="宋体"/>
                <w:b w:val="0"/>
                <w:bCs w:val="0"/>
                <w:sz w:val="28"/>
                <w:szCs w:val="28"/>
              </w:rPr>
            </w:pPr>
            <w:r>
              <w:rPr>
                <w:rFonts w:hint="eastAsia" w:ascii="宋体" w:hAnsi="宋体" w:eastAsia="宋体" w:cs="宋体"/>
                <w:b w:val="0"/>
                <w:bCs w:val="0"/>
                <w:sz w:val="28"/>
                <w:szCs w:val="28"/>
              </w:rPr>
              <w:t>安装位置：302 1段、2段；303 1段、2段；304 1段、2段</w:t>
            </w:r>
          </w:p>
        </w:tc>
      </w:tr>
    </w:tbl>
    <w:p w14:paraId="5BEFA3F9">
      <w:pPr>
        <w:pStyle w:val="6"/>
        <w:rPr>
          <w:rFonts w:hint="eastAsia" w:ascii="宋体" w:hAnsi="宋体" w:eastAsia="宋体" w:cs="宋体"/>
          <w:sz w:val="28"/>
          <w:szCs w:val="28"/>
        </w:rPr>
      </w:pPr>
      <w:r>
        <w:rPr>
          <w:rFonts w:hint="eastAsia" w:ascii="宋体" w:hAnsi="宋体" w:eastAsia="宋体" w:cs="宋体"/>
          <w:sz w:val="28"/>
          <w:szCs w:val="28"/>
        </w:rPr>
        <w:t>3.2 电气条件</w:t>
      </w:r>
    </w:p>
    <w:p w14:paraId="137267E5">
      <w:pPr>
        <w:pStyle w:val="2"/>
        <w:ind w:firstLine="560"/>
        <w:rPr>
          <w:rFonts w:hint="eastAsia" w:ascii="宋体" w:hAnsi="宋体" w:eastAsia="宋体" w:cs="宋体"/>
          <w:sz w:val="28"/>
          <w:szCs w:val="28"/>
        </w:rPr>
      </w:pPr>
      <w:r>
        <w:rPr>
          <w:rFonts w:hint="eastAsia" w:ascii="宋体" w:hAnsi="宋体" w:eastAsia="宋体" w:cs="宋体"/>
          <w:sz w:val="28"/>
          <w:szCs w:val="28"/>
        </w:rPr>
        <w:t xml:space="preserve">系统额定电压：   10kV       </w:t>
      </w:r>
    </w:p>
    <w:p w14:paraId="270866E7">
      <w:pPr>
        <w:pStyle w:val="2"/>
        <w:ind w:firstLine="560"/>
        <w:rPr>
          <w:rFonts w:hint="eastAsia" w:ascii="宋体" w:hAnsi="宋体" w:eastAsia="宋体" w:cs="宋体"/>
          <w:sz w:val="28"/>
          <w:szCs w:val="28"/>
          <w:lang w:val="en-US" w:eastAsia="zh-CN"/>
        </w:rPr>
      </w:pPr>
      <w:r>
        <w:rPr>
          <w:rFonts w:hint="eastAsia" w:ascii="宋体" w:hAnsi="宋体" w:eastAsia="宋体" w:cs="宋体"/>
          <w:sz w:val="28"/>
          <w:szCs w:val="28"/>
        </w:rPr>
        <w:t xml:space="preserve">母线最高电压:    11kV    </w:t>
      </w:r>
    </w:p>
    <w:p w14:paraId="086073EE">
      <w:pPr>
        <w:pStyle w:val="2"/>
        <w:ind w:firstLine="560"/>
        <w:rPr>
          <w:rFonts w:hint="eastAsia" w:ascii="宋体" w:hAnsi="宋体" w:eastAsia="宋体" w:cs="宋体"/>
          <w:sz w:val="28"/>
          <w:szCs w:val="28"/>
        </w:rPr>
      </w:pPr>
      <w:r>
        <w:rPr>
          <w:rFonts w:hint="eastAsia" w:ascii="宋体" w:hAnsi="宋体" w:eastAsia="宋体" w:cs="宋体"/>
          <w:sz w:val="28"/>
          <w:szCs w:val="28"/>
        </w:rPr>
        <w:t>系统额定频率:    50Hz</w:t>
      </w:r>
    </w:p>
    <w:p w14:paraId="774C13ED">
      <w:pPr>
        <w:pStyle w:val="2"/>
        <w:ind w:firstLine="560"/>
        <w:rPr>
          <w:rFonts w:hint="eastAsia" w:ascii="宋体" w:hAnsi="宋体" w:eastAsia="宋体" w:cs="宋体"/>
          <w:sz w:val="28"/>
          <w:szCs w:val="28"/>
        </w:rPr>
      </w:pPr>
      <w:r>
        <w:rPr>
          <w:rFonts w:hint="eastAsia" w:ascii="宋体" w:hAnsi="宋体" w:eastAsia="宋体" w:cs="宋体"/>
          <w:sz w:val="28"/>
          <w:szCs w:val="28"/>
        </w:rPr>
        <w:t>接 地 方 式：   10kV中性点不接地</w:t>
      </w:r>
    </w:p>
    <w:p w14:paraId="3CA55A38">
      <w:pPr>
        <w:pStyle w:val="3"/>
        <w:ind w:firstLine="560"/>
        <w:rPr>
          <w:rFonts w:hint="eastAsia"/>
          <w:sz w:val="28"/>
          <w:szCs w:val="28"/>
        </w:rPr>
      </w:pPr>
      <w:r>
        <w:rPr>
          <w:rFonts w:hint="eastAsia"/>
          <w:sz w:val="28"/>
          <w:szCs w:val="28"/>
        </w:rPr>
        <w:t>电缆：下进下出</w:t>
      </w:r>
    </w:p>
    <w:p w14:paraId="650F2948">
      <w:pPr>
        <w:pStyle w:val="3"/>
        <w:ind w:firstLine="560"/>
        <w:rPr>
          <w:rFonts w:hint="default" w:eastAsia="宋体"/>
          <w:color w:val="auto"/>
          <w:sz w:val="28"/>
          <w:szCs w:val="28"/>
          <w:lang w:val="en-US" w:eastAsia="zh-CN"/>
        </w:rPr>
      </w:pPr>
      <w:r>
        <w:rPr>
          <w:rFonts w:hint="eastAsia"/>
          <w:sz w:val="28"/>
          <w:szCs w:val="28"/>
        </w:rPr>
        <w:t>电容器组高压电源开关柜利旧</w:t>
      </w:r>
      <w:r>
        <w:rPr>
          <w:rFonts w:hint="eastAsia"/>
          <w:sz w:val="28"/>
          <w:szCs w:val="28"/>
          <w:lang w:val="en-US" w:eastAsia="zh-CN"/>
        </w:rPr>
        <w:t>:</w:t>
      </w:r>
      <w:r>
        <w:rPr>
          <w:rFonts w:hint="eastAsia"/>
          <w:color w:val="auto"/>
          <w:sz w:val="28"/>
          <w:szCs w:val="28"/>
          <w:lang w:val="en-US" w:eastAsia="zh-CN"/>
        </w:rPr>
        <w:t>6台高压电容电源开关柜电流互感器变比均为100/1，保护为南京中德NSP782</w:t>
      </w:r>
      <w:r>
        <w:rPr>
          <w:rFonts w:hint="eastAsia"/>
          <w:color w:val="auto"/>
          <w:sz w:val="28"/>
          <w:szCs w:val="28"/>
        </w:rPr>
        <w:t>。</w:t>
      </w:r>
    </w:p>
    <w:p w14:paraId="454B34A0">
      <w:pPr>
        <w:pStyle w:val="3"/>
        <w:ind w:left="0" w:leftChars="0" w:firstLine="0" w:firstLineChars="0"/>
        <w:rPr>
          <w:rFonts w:hint="eastAsia"/>
          <w:b/>
          <w:bCs/>
          <w:sz w:val="28"/>
          <w:szCs w:val="28"/>
          <w:lang w:val="en-US" w:eastAsia="zh-CN"/>
        </w:rPr>
      </w:pPr>
    </w:p>
    <w:p w14:paraId="1FBD8D9A">
      <w:pPr>
        <w:pStyle w:val="3"/>
        <w:ind w:left="0" w:leftChars="0" w:firstLine="0" w:firstLineChars="0"/>
        <w:rPr>
          <w:rFonts w:hint="eastAsia"/>
          <w:b/>
          <w:bCs/>
          <w:sz w:val="28"/>
          <w:szCs w:val="28"/>
          <w:lang w:val="en-US" w:eastAsia="zh-CN"/>
        </w:rPr>
      </w:pPr>
    </w:p>
    <w:p w14:paraId="6CAD3621">
      <w:pPr>
        <w:pStyle w:val="3"/>
        <w:ind w:left="0" w:leftChars="0" w:firstLine="0" w:firstLineChars="0"/>
        <w:rPr>
          <w:rFonts w:hint="eastAsia"/>
          <w:b/>
          <w:bCs/>
          <w:sz w:val="28"/>
          <w:szCs w:val="28"/>
        </w:rPr>
      </w:pPr>
      <w:r>
        <w:rPr>
          <w:rFonts w:hint="eastAsia"/>
          <w:b/>
          <w:bCs/>
          <w:sz w:val="28"/>
          <w:szCs w:val="28"/>
          <w:lang w:val="en-US" w:eastAsia="zh-CN"/>
        </w:rPr>
        <w:t>4.</w:t>
      </w:r>
      <w:r>
        <w:rPr>
          <w:rFonts w:hint="eastAsia"/>
          <w:b/>
          <w:bCs/>
          <w:sz w:val="28"/>
          <w:szCs w:val="28"/>
        </w:rPr>
        <w:t>装置配置</w:t>
      </w:r>
    </w:p>
    <w:p w14:paraId="4C0277C3">
      <w:pPr>
        <w:pStyle w:val="3"/>
        <w:numPr>
          <w:ilvl w:val="0"/>
          <w:numId w:val="2"/>
        </w:numPr>
        <w:pBdr>
          <w:top w:val="none" w:color="auto" w:sz="0" w:space="1"/>
          <w:left w:val="none" w:color="auto" w:sz="0" w:space="4"/>
          <w:bottom w:val="none" w:color="auto" w:sz="0" w:space="1"/>
          <w:right w:val="none" w:color="auto" w:sz="0" w:space="4"/>
        </w:pBdr>
        <w:ind w:firstLineChars="0"/>
        <w:rPr>
          <w:rFonts w:hint="eastAsia"/>
          <w:b/>
          <w:bCs/>
          <w:color w:val="auto"/>
          <w:sz w:val="28"/>
          <w:szCs w:val="28"/>
        </w:rPr>
      </w:pPr>
      <w:r>
        <w:rPr>
          <w:rFonts w:hint="eastAsia"/>
          <w:sz w:val="28"/>
          <w:szCs w:val="28"/>
        </w:rPr>
        <w:t>10kV无功补偿成套装置采用户内柜式安装，共计6套。10kV系统电压下输出无功功率为1000kvar，电容器组单星型接线。</w:t>
      </w:r>
      <w:r>
        <w:rPr>
          <w:rFonts w:hint="eastAsia" w:ascii="仿宋_GB2312" w:hAnsi="仿宋_GB2312" w:eastAsia="仿宋_GB2312" w:cs="仿宋_GB2312"/>
          <w:b/>
          <w:bCs/>
          <w:color w:val="auto"/>
          <w:sz w:val="32"/>
          <w:szCs w:val="32"/>
        </w:rPr>
        <w:t>每套装置不分组投退，由电源高压开关柜控制整组投退。</w:t>
      </w:r>
    </w:p>
    <w:p w14:paraId="15B963B6">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保护方式：单台电容器有内熔丝保护。成套电容器组高压电源开关柜保护有过电流、过电压、低电压、不平衡保护。</w:t>
      </w:r>
    </w:p>
    <w:p w14:paraId="0432F7DD">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装置包括设备：隔离接地开关，并联电容器，放电线圈，串联电抗器，避雷器，</w:t>
      </w:r>
      <w:r>
        <w:rPr>
          <w:rFonts w:hint="eastAsia"/>
          <w:color w:val="auto"/>
          <w:sz w:val="28"/>
          <w:szCs w:val="28"/>
        </w:rPr>
        <w:t>弧光保护装置，</w:t>
      </w:r>
      <w:r>
        <w:rPr>
          <w:rFonts w:hint="eastAsia"/>
          <w:sz w:val="28"/>
          <w:szCs w:val="28"/>
        </w:rPr>
        <w:t>绝缘子。</w:t>
      </w:r>
    </w:p>
    <w:p w14:paraId="325B9C59">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串联电抗器置于电源侧，避雷器安装于电容器组进线侧，另一端与地连接。</w:t>
      </w:r>
    </w:p>
    <w:p w14:paraId="7F89CB9C">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电容器至电容器组横联线之间必须采用软连接，不得将电容器的套管直接做支撑使用。</w:t>
      </w:r>
    </w:p>
    <w:p w14:paraId="6455123C">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电器和导体选择：电器和导体选择应符合GB-50227的有关规定要求。</w:t>
      </w:r>
    </w:p>
    <w:p w14:paraId="2EA97DA9">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装置的布置和安装应符合GB 50227的有关规定要求。应有足够强度和防腐措施。</w:t>
      </w:r>
    </w:p>
    <w:p w14:paraId="37468B85">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柜式装置的结构件应具备通用性与互换性。</w:t>
      </w:r>
    </w:p>
    <w:p w14:paraId="28633FF7">
      <w:pPr>
        <w:pStyle w:val="3"/>
        <w:numPr>
          <w:ilvl w:val="0"/>
          <w:numId w:val="2"/>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其他性能应满足：GB 50227、GB/T 11024、DL/T 604、DL/T 840标准要求。</w:t>
      </w:r>
    </w:p>
    <w:p w14:paraId="6C42A458">
      <w:pPr>
        <w:pStyle w:val="5"/>
        <w:rPr>
          <w:rFonts w:hint="eastAsia" w:ascii="宋体" w:hAnsi="宋体" w:eastAsia="宋体" w:cs="宋体"/>
          <w:sz w:val="28"/>
          <w:szCs w:val="28"/>
          <w:lang w:val="en-US" w:eastAsia="zh-CN"/>
        </w:rPr>
      </w:pPr>
    </w:p>
    <w:p w14:paraId="0299A79F">
      <w:pPr>
        <w:pStyle w:val="5"/>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.并联电容器组的技术要求</w:t>
      </w:r>
    </w:p>
    <w:bookmarkEnd w:id="1"/>
    <w:bookmarkEnd w:id="2"/>
    <w:bookmarkEnd w:id="3"/>
    <w:p w14:paraId="5BC03DC6">
      <w:pPr>
        <w:pStyle w:val="6"/>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.1 并联电容器组</w:t>
      </w:r>
    </w:p>
    <w:p w14:paraId="285AC97E">
      <w:pPr>
        <w:pStyle w:val="3"/>
        <w:numPr>
          <w:ilvl w:val="0"/>
          <w:numId w:val="3"/>
        </w:numPr>
        <w:pBdr>
          <w:top w:val="none" w:color="auto" w:sz="0" w:space="1"/>
          <w:left w:val="none" w:color="auto" w:sz="0" w:space="4"/>
          <w:bottom w:val="none" w:color="auto" w:sz="0" w:space="1"/>
          <w:right w:val="none" w:color="auto" w:sz="0" w:space="4"/>
        </w:pBdr>
        <w:ind w:firstLineChars="0"/>
        <w:rPr>
          <w:rFonts w:hint="eastAsia"/>
          <w:color w:val="auto"/>
          <w:sz w:val="28"/>
          <w:szCs w:val="28"/>
        </w:rPr>
      </w:pPr>
      <w:r>
        <w:rPr>
          <w:rFonts w:hint="eastAsia"/>
          <w:color w:val="auto"/>
          <w:sz w:val="28"/>
          <w:szCs w:val="28"/>
          <w:lang w:val="en-US" w:eastAsia="zh-CN"/>
        </w:rPr>
        <w:t>装置参数</w:t>
      </w:r>
    </w:p>
    <w:p w14:paraId="430BCC90">
      <w:pPr>
        <w:pStyle w:val="3"/>
        <w:numPr>
          <w:ilvl w:val="0"/>
          <w:numId w:val="0"/>
        </w:numPr>
        <w:pBdr>
          <w:top w:val="none" w:color="auto" w:sz="0" w:space="1"/>
          <w:left w:val="none" w:color="auto" w:sz="0" w:space="4"/>
          <w:bottom w:val="none" w:color="auto" w:sz="0" w:space="1"/>
          <w:right w:val="none" w:color="auto" w:sz="0" w:space="4"/>
        </w:pBdr>
        <w:ind w:leftChars="0"/>
        <w:rPr>
          <w:rFonts w:hint="default"/>
          <w:color w:val="auto"/>
          <w:sz w:val="28"/>
          <w:szCs w:val="28"/>
          <w:lang w:val="en-US" w:eastAsia="zh-CN"/>
        </w:rPr>
      </w:pPr>
      <w:r>
        <w:rPr>
          <w:rFonts w:hint="eastAsia"/>
          <w:color w:val="auto"/>
          <w:sz w:val="28"/>
          <w:szCs w:val="28"/>
          <w:lang w:val="en-US" w:eastAsia="zh-CN"/>
        </w:rPr>
        <w:t>容量：6套装置，每套容量均为1000kvar。</w:t>
      </w:r>
    </w:p>
    <w:p w14:paraId="34B37E69">
      <w:pPr>
        <w:numPr>
          <w:ilvl w:val="0"/>
          <w:numId w:val="0"/>
        </w:numPr>
        <w:spacing w:line="500" w:lineRule="exact"/>
        <w:rPr>
          <w:rFonts w:hint="eastAsia" w:ascii="宋体" w:hAnsi="宋体" w:eastAsia="宋体" w:cs="宋体"/>
          <w:sz w:val="28"/>
          <w:szCs w:val="28"/>
        </w:rPr>
      </w:pPr>
      <w:r>
        <w:rPr>
          <w:rFonts w:hint="eastAsia" w:ascii="宋体" w:hAnsi="宋体" w:eastAsia="宋体" w:cs="宋体"/>
          <w:sz w:val="28"/>
          <w:szCs w:val="28"/>
        </w:rPr>
        <w:t>绝缘水平：</w:t>
      </w:r>
    </w:p>
    <w:p w14:paraId="16BF161B">
      <w:pPr>
        <w:spacing w:line="500" w:lineRule="exact"/>
        <w:ind w:left="137" w:leftChars="57" w:firstLine="280" w:firstLineChars="100"/>
        <w:rPr>
          <w:rFonts w:hint="eastAsia" w:ascii="宋体" w:hAnsi="宋体" w:eastAsia="宋体" w:cs="宋体"/>
          <w:sz w:val="28"/>
          <w:szCs w:val="28"/>
        </w:rPr>
      </w:pPr>
      <w:r>
        <w:rPr>
          <w:rFonts w:hint="eastAsia" w:ascii="宋体" w:hAnsi="宋体" w:eastAsia="宋体" w:cs="宋体"/>
          <w:sz w:val="28"/>
          <w:szCs w:val="28"/>
        </w:rPr>
        <w:t>补偿装置一次电路的各相之间及相与地之间、二次电路与地之间能承受规定的耐受电压。工频耐受电压施加的时间为1min。</w:t>
      </w:r>
    </w:p>
    <w:tbl>
      <w:tblPr>
        <w:tblStyle w:val="1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95"/>
        <w:gridCol w:w="2169"/>
        <w:gridCol w:w="2081"/>
        <w:gridCol w:w="2239"/>
      </w:tblGrid>
      <w:tr w14:paraId="3C33E6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1" w:hRule="atLeast"/>
          <w:jc w:val="center"/>
        </w:trPr>
        <w:tc>
          <w:tcPr>
            <w:tcW w:w="1395" w:type="dxa"/>
            <w:vMerge w:val="restart"/>
            <w:noWrap w:val="0"/>
            <w:vAlign w:val="center"/>
          </w:tcPr>
          <w:p w14:paraId="6663B960">
            <w:pPr>
              <w:spacing w:line="360" w:lineRule="auto"/>
              <w:ind w:left="0" w:leftChars="0" w:firstLine="0" w:firstLineChars="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装置额定电压</w:t>
            </w:r>
          </w:p>
        </w:tc>
        <w:tc>
          <w:tcPr>
            <w:tcW w:w="4250" w:type="dxa"/>
            <w:gridSpan w:val="2"/>
            <w:noWrap w:val="0"/>
            <w:vAlign w:val="center"/>
          </w:tcPr>
          <w:p w14:paraId="7C4CF90E">
            <w:pPr>
              <w:spacing w:line="36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一次电路</w:t>
            </w:r>
          </w:p>
        </w:tc>
        <w:tc>
          <w:tcPr>
            <w:tcW w:w="2239" w:type="dxa"/>
            <w:vMerge w:val="restart"/>
            <w:noWrap w:val="0"/>
            <w:vAlign w:val="center"/>
          </w:tcPr>
          <w:p w14:paraId="5F7B6A9C">
            <w:pPr>
              <w:spacing w:line="360" w:lineRule="auto"/>
              <w:ind w:left="0" w:leftChars="0" w:firstLine="0" w:firstLineChars="0"/>
              <w:jc w:val="both"/>
              <w:rPr>
                <w:rFonts w:hint="eastAsia" w:ascii="宋体" w:hAnsi="宋体" w:eastAsia="宋体" w:cs="宋体"/>
                <w:color w:val="000000"/>
                <w:sz w:val="28"/>
                <w:szCs w:val="28"/>
              </w:rPr>
            </w:pPr>
            <w:r>
              <w:rPr>
                <w:rFonts w:hint="eastAsia" w:ascii="宋体" w:hAnsi="宋体" w:eastAsia="宋体" w:cs="宋体"/>
                <w:color w:val="000000"/>
                <w:sz w:val="28"/>
                <w:szCs w:val="28"/>
              </w:rPr>
              <w:t>二次电路工频耐受电压（方均根值）</w:t>
            </w:r>
          </w:p>
        </w:tc>
      </w:tr>
      <w:tr w14:paraId="7EB414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54" w:hRule="atLeast"/>
          <w:jc w:val="center"/>
        </w:trPr>
        <w:tc>
          <w:tcPr>
            <w:tcW w:w="1395" w:type="dxa"/>
            <w:vMerge w:val="continue"/>
            <w:noWrap w:val="0"/>
            <w:vAlign w:val="top"/>
          </w:tcPr>
          <w:p w14:paraId="0FEBC930">
            <w:pPr>
              <w:widowControl/>
              <w:spacing w:line="360" w:lineRule="auto"/>
              <w:ind w:left="6000" w:firstLine="420"/>
              <w:jc w:val="center"/>
              <w:rPr>
                <w:rFonts w:hint="eastAsia" w:ascii="宋体" w:hAnsi="宋体" w:eastAsia="宋体" w:cs="宋体"/>
                <w:color w:val="000000"/>
                <w:kern w:val="0"/>
                <w:sz w:val="28"/>
                <w:szCs w:val="28"/>
                <w:lang w:val="en-GB"/>
              </w:rPr>
            </w:pPr>
          </w:p>
        </w:tc>
        <w:tc>
          <w:tcPr>
            <w:tcW w:w="2169" w:type="dxa"/>
            <w:noWrap w:val="0"/>
            <w:vAlign w:val="center"/>
          </w:tcPr>
          <w:p w14:paraId="508FABC7">
            <w:pPr>
              <w:spacing w:line="360" w:lineRule="auto"/>
              <w:ind w:left="0" w:leftChars="0" w:firstLine="0" w:firstLineChars="0"/>
              <w:jc w:val="both"/>
              <w:rPr>
                <w:rFonts w:hint="eastAsia" w:ascii="宋体" w:hAnsi="宋体" w:eastAsia="宋体" w:cs="宋体"/>
                <w:color w:val="000000"/>
                <w:sz w:val="28"/>
                <w:szCs w:val="28"/>
              </w:rPr>
            </w:pPr>
            <w:r>
              <w:rPr>
                <w:rFonts w:hint="eastAsia" w:ascii="宋体" w:hAnsi="宋体" w:eastAsia="宋体" w:cs="宋体"/>
                <w:color w:val="000000"/>
                <w:sz w:val="28"/>
                <w:szCs w:val="28"/>
              </w:rPr>
              <w:t>1min工频耐受电压（方均根值）</w:t>
            </w:r>
          </w:p>
        </w:tc>
        <w:tc>
          <w:tcPr>
            <w:tcW w:w="2081" w:type="dxa"/>
            <w:noWrap w:val="0"/>
            <w:vAlign w:val="center"/>
          </w:tcPr>
          <w:p w14:paraId="3444497E">
            <w:pPr>
              <w:spacing w:line="360" w:lineRule="auto"/>
              <w:ind w:left="0" w:leftChars="0" w:firstLine="0" w:firstLineChars="0"/>
              <w:jc w:val="both"/>
              <w:rPr>
                <w:rFonts w:hint="eastAsia" w:ascii="宋体" w:hAnsi="宋体" w:eastAsia="宋体" w:cs="宋体"/>
                <w:color w:val="000000"/>
                <w:sz w:val="28"/>
                <w:szCs w:val="28"/>
              </w:rPr>
            </w:pPr>
            <w:r>
              <w:rPr>
                <w:rFonts w:hint="eastAsia" w:ascii="宋体" w:hAnsi="宋体" w:eastAsia="宋体" w:cs="宋体"/>
                <w:color w:val="000000"/>
                <w:sz w:val="28"/>
                <w:szCs w:val="28"/>
              </w:rPr>
              <w:t>冲击耐受电压（峰值）</w:t>
            </w:r>
          </w:p>
        </w:tc>
        <w:tc>
          <w:tcPr>
            <w:tcW w:w="2239" w:type="dxa"/>
            <w:vMerge w:val="continue"/>
            <w:noWrap w:val="0"/>
            <w:vAlign w:val="top"/>
          </w:tcPr>
          <w:p w14:paraId="110F243B">
            <w:pPr>
              <w:spacing w:line="360" w:lineRule="auto"/>
              <w:jc w:val="center"/>
              <w:rPr>
                <w:rFonts w:hint="eastAsia" w:ascii="宋体" w:hAnsi="宋体" w:eastAsia="宋体" w:cs="宋体"/>
                <w:color w:val="000000"/>
                <w:sz w:val="28"/>
                <w:szCs w:val="28"/>
              </w:rPr>
            </w:pPr>
          </w:p>
        </w:tc>
      </w:tr>
      <w:tr w14:paraId="3D1A82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84" w:hRule="atLeast"/>
          <w:jc w:val="center"/>
        </w:trPr>
        <w:tc>
          <w:tcPr>
            <w:tcW w:w="1395" w:type="dxa"/>
            <w:noWrap w:val="0"/>
            <w:vAlign w:val="center"/>
          </w:tcPr>
          <w:p w14:paraId="7B84E0B0">
            <w:pPr>
              <w:widowControl/>
              <w:spacing w:line="360" w:lineRule="auto"/>
              <w:jc w:val="center"/>
              <w:rPr>
                <w:rFonts w:hint="eastAsia" w:ascii="宋体" w:hAnsi="宋体" w:eastAsia="宋体" w:cs="宋体"/>
                <w:color w:val="000000"/>
                <w:kern w:val="0"/>
                <w:sz w:val="28"/>
                <w:szCs w:val="28"/>
                <w:lang w:val="en-GB"/>
              </w:rPr>
            </w:pPr>
            <w:r>
              <w:rPr>
                <w:rFonts w:hint="eastAsia" w:ascii="宋体" w:hAnsi="宋体" w:eastAsia="宋体" w:cs="宋体"/>
                <w:color w:val="000000"/>
                <w:kern w:val="0"/>
                <w:sz w:val="28"/>
                <w:szCs w:val="28"/>
                <w:lang w:val="en-US" w:eastAsia="zh-CN"/>
              </w:rPr>
              <w:t>10</w:t>
            </w:r>
            <w:r>
              <w:rPr>
                <w:rFonts w:hint="eastAsia" w:ascii="宋体" w:hAnsi="宋体" w:eastAsia="宋体" w:cs="宋体"/>
                <w:color w:val="000000"/>
                <w:kern w:val="0"/>
                <w:sz w:val="28"/>
                <w:szCs w:val="28"/>
                <w:lang w:val="en-GB"/>
              </w:rPr>
              <w:t>kV</w:t>
            </w:r>
          </w:p>
        </w:tc>
        <w:tc>
          <w:tcPr>
            <w:tcW w:w="2169" w:type="dxa"/>
            <w:noWrap w:val="0"/>
            <w:vAlign w:val="center"/>
          </w:tcPr>
          <w:p w14:paraId="11F59BC9">
            <w:pPr>
              <w:spacing w:line="36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42</w:t>
            </w:r>
            <w:r>
              <w:rPr>
                <w:rFonts w:hint="eastAsia" w:ascii="宋体" w:hAnsi="宋体" w:eastAsia="宋体" w:cs="宋体"/>
                <w:color w:val="000000"/>
                <w:sz w:val="28"/>
                <w:szCs w:val="28"/>
              </w:rPr>
              <w:t>kV</w:t>
            </w:r>
          </w:p>
        </w:tc>
        <w:tc>
          <w:tcPr>
            <w:tcW w:w="2081" w:type="dxa"/>
            <w:noWrap w:val="0"/>
            <w:vAlign w:val="center"/>
          </w:tcPr>
          <w:p w14:paraId="59DFFCDA">
            <w:pPr>
              <w:spacing w:line="36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lang w:val="en-US" w:eastAsia="zh-CN"/>
              </w:rPr>
              <w:t>75</w:t>
            </w:r>
            <w:r>
              <w:rPr>
                <w:rFonts w:hint="eastAsia" w:ascii="宋体" w:hAnsi="宋体" w:eastAsia="宋体" w:cs="宋体"/>
                <w:color w:val="000000"/>
                <w:sz w:val="28"/>
                <w:szCs w:val="28"/>
              </w:rPr>
              <w:t>kV</w:t>
            </w:r>
          </w:p>
        </w:tc>
        <w:tc>
          <w:tcPr>
            <w:tcW w:w="2239" w:type="dxa"/>
            <w:noWrap w:val="0"/>
            <w:vAlign w:val="center"/>
          </w:tcPr>
          <w:p w14:paraId="5051249E">
            <w:pPr>
              <w:spacing w:line="36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3kV</w:t>
            </w:r>
          </w:p>
        </w:tc>
      </w:tr>
    </w:tbl>
    <w:p w14:paraId="790ECBEA">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电容器单元 </w:t>
      </w:r>
    </w:p>
    <w:p w14:paraId="47B1D1EF">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w:t>
      </w:r>
      <w:r>
        <w:rPr>
          <w:rFonts w:hint="eastAsia"/>
          <w:color w:val="000000" w:themeColor="text1"/>
          <w:sz w:val="28"/>
          <w:szCs w:val="28"/>
          <w14:textFill>
            <w14:solidFill>
              <w14:schemeClr w14:val="tx1"/>
            </w14:solidFill>
          </w14:textFill>
        </w:rPr>
        <w:t xml:space="preserve">  型号：BAM型，</w:t>
      </w:r>
      <w:r>
        <w:rPr>
          <w:rFonts w:hint="eastAsia"/>
          <w:color w:val="auto"/>
          <w:sz w:val="28"/>
          <w:szCs w:val="28"/>
        </w:rPr>
        <w:t>额定</w:t>
      </w:r>
      <w:r>
        <w:rPr>
          <w:rFonts w:hint="eastAsia"/>
          <w:color w:val="auto"/>
          <w:sz w:val="28"/>
          <w:szCs w:val="28"/>
          <w:lang w:val="en-US" w:eastAsia="zh-CN"/>
        </w:rPr>
        <w:t>电</w:t>
      </w:r>
      <w:r>
        <w:rPr>
          <w:rFonts w:hint="eastAsia"/>
          <w:color w:val="auto"/>
          <w:sz w:val="28"/>
          <w:szCs w:val="28"/>
        </w:rPr>
        <w:t xml:space="preserve">压12/√3kV。 </w:t>
      </w:r>
      <w:r>
        <w:rPr>
          <w:rFonts w:hint="eastAsia"/>
          <w:sz w:val="28"/>
          <w:szCs w:val="28"/>
        </w:rPr>
        <w:t xml:space="preserve"> </w:t>
      </w:r>
    </w:p>
    <w:p w14:paraId="0BCF9678">
      <w:pPr>
        <w:pStyle w:val="3"/>
        <w:pBdr>
          <w:top w:val="none" w:color="auto" w:sz="0" w:space="1"/>
          <w:left w:val="none" w:color="auto" w:sz="0" w:space="4"/>
          <w:bottom w:val="none" w:color="auto" w:sz="0" w:space="1"/>
          <w:right w:val="none" w:color="auto" w:sz="0" w:space="4"/>
        </w:pBdr>
        <w:ind w:firstLine="640" w:firstLineChars="0"/>
        <w:rPr>
          <w:rFonts w:hint="eastAsia"/>
          <w:sz w:val="28"/>
          <w:szCs w:val="28"/>
        </w:rPr>
      </w:pPr>
      <w:r>
        <w:rPr>
          <w:rFonts w:hint="eastAsia"/>
          <w:sz w:val="28"/>
          <w:szCs w:val="28"/>
        </w:rPr>
        <w:t>外壳：不锈钢板（厚度≥1.5mm），内置熔丝及放电电阻。</w:t>
      </w:r>
    </w:p>
    <w:p w14:paraId="35CC2880">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 xml:space="preserve">型式：浸渍的全膜介质  </w:t>
      </w:r>
    </w:p>
    <w:p w14:paraId="743A8519">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电容偏差：单台-3～+5%，三相电容比≤1.02，总偏差0～5%。</w:t>
      </w:r>
    </w:p>
    <w:p w14:paraId="1B071096">
      <w:pPr>
        <w:ind w:firstLine="560"/>
        <w:rPr>
          <w:rFonts w:hint="eastAsia"/>
          <w:strike/>
          <w:dstrike w:val="0"/>
          <w:sz w:val="28"/>
          <w:szCs w:val="28"/>
          <w:highlight w:val="red"/>
        </w:rPr>
      </w:pPr>
      <w:r>
        <w:rPr>
          <w:rFonts w:hint="eastAsia" w:ascii="宋体" w:hAnsi="宋体" w:eastAsia="宋体" w:cs="宋体"/>
          <w:sz w:val="28"/>
          <w:szCs w:val="28"/>
        </w:rPr>
        <w:t xml:space="preserve">放电电阻：内置，断电10分钟内残余电压降至75V以下。 </w:t>
      </w:r>
    </w:p>
    <w:p w14:paraId="791406E2">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串联电抗器  </w:t>
      </w:r>
    </w:p>
    <w:p w14:paraId="1058F561">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铜线圈铁芯干式，电抗率5%-7%，由厂家结合现场谐波测试确定，额定电流≥1.35倍电容器组电流。电抗器能承受25倍额定电流的最大短时电流的作用；不产生任何热的和机械的损伤。</w:t>
      </w:r>
    </w:p>
    <w:p w14:paraId="3FCA45A8">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电抗偏差：在额定电流下，电抗值的容许偏差为 0～+5%，三相电抗器每相电抗值不超过三相平均值的±2%。</w:t>
      </w:r>
    </w:p>
    <w:p w14:paraId="4DDF1971">
      <w:pPr>
        <w:pStyle w:val="3"/>
        <w:pBdr>
          <w:top w:val="none" w:color="auto" w:sz="0" w:space="1"/>
          <w:left w:val="none" w:color="auto" w:sz="0" w:space="4"/>
          <w:bottom w:val="none" w:color="auto" w:sz="0" w:space="1"/>
          <w:right w:val="none" w:color="auto" w:sz="0" w:space="4"/>
        </w:pBdr>
        <w:ind w:firstLine="0" w:firstLineChars="0"/>
        <w:rPr>
          <w:rFonts w:hint="eastAsia"/>
          <w:color w:val="auto"/>
          <w:sz w:val="28"/>
          <w:szCs w:val="28"/>
        </w:rPr>
      </w:pPr>
      <w:r>
        <w:rPr>
          <w:rFonts w:hint="eastAsia"/>
          <w:sz w:val="28"/>
          <w:szCs w:val="28"/>
        </w:rPr>
        <w:t xml:space="preserve">   电抗器需通过JB/T 5346-2014《高压并联电容器用串联电抗器》温升试验（绕组温升≤95K）</w:t>
      </w:r>
      <w:r>
        <w:rPr>
          <w:rFonts w:hint="eastAsia"/>
          <w:color w:val="auto"/>
          <w:sz w:val="28"/>
          <w:szCs w:val="28"/>
        </w:rPr>
        <w:t>，噪音≤6</w:t>
      </w:r>
      <w:r>
        <w:rPr>
          <w:rFonts w:hint="eastAsia"/>
          <w:color w:val="auto"/>
          <w:sz w:val="28"/>
          <w:szCs w:val="28"/>
          <w:lang w:val="en-US" w:eastAsia="zh-CN"/>
        </w:rPr>
        <w:t>0</w:t>
      </w:r>
      <w:r>
        <w:rPr>
          <w:rFonts w:hint="eastAsia"/>
          <w:color w:val="auto"/>
          <w:sz w:val="28"/>
          <w:szCs w:val="28"/>
        </w:rPr>
        <w:t>dB（距柜</w:t>
      </w:r>
      <w:r>
        <w:rPr>
          <w:rFonts w:hint="eastAsia"/>
          <w:color w:val="auto"/>
          <w:sz w:val="28"/>
          <w:szCs w:val="28"/>
          <w:lang w:val="en-US" w:eastAsia="zh-CN"/>
        </w:rPr>
        <w:t>1</w:t>
      </w:r>
      <w:r>
        <w:rPr>
          <w:rFonts w:hint="eastAsia"/>
          <w:color w:val="auto"/>
          <w:sz w:val="28"/>
          <w:szCs w:val="28"/>
        </w:rPr>
        <w:t>米）。</w:t>
      </w:r>
    </w:p>
    <w:p w14:paraId="02DFF4F9">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过电压能力：电抗器能在工频加谐波电压峰值为3√2UM下运行。</w:t>
      </w:r>
    </w:p>
    <w:p w14:paraId="64C59DAA">
      <w:pPr>
        <w:pStyle w:val="3"/>
        <w:pBdr>
          <w:top w:val="none" w:color="auto" w:sz="0" w:space="1"/>
          <w:left w:val="none" w:color="auto" w:sz="0" w:space="4"/>
          <w:bottom w:val="none" w:color="auto" w:sz="0" w:space="1"/>
          <w:right w:val="none" w:color="auto" w:sz="0" w:space="4"/>
        </w:pBdr>
        <w:ind w:firstLine="280" w:firstLineChars="100"/>
        <w:rPr>
          <w:rFonts w:hint="eastAsia"/>
          <w:sz w:val="28"/>
          <w:szCs w:val="28"/>
        </w:rPr>
      </w:pPr>
      <w:r>
        <w:rPr>
          <w:rFonts w:hint="eastAsia"/>
          <w:sz w:val="28"/>
          <w:szCs w:val="28"/>
        </w:rPr>
        <w:t>过电流能力：电抗器能在工频电流为1.35倍额定电流的最大工作电流下连续运行。电抗器能在三次和五次谐波电流含量不大于35%，总电流有效值不大于1.2倍额定电流的情况下连续运行。</w:t>
      </w:r>
    </w:p>
    <w:p w14:paraId="0C3E7F38">
      <w:pPr>
        <w:pStyle w:val="3"/>
        <w:pBdr>
          <w:top w:val="none" w:color="auto" w:sz="0" w:space="1"/>
          <w:left w:val="none" w:color="auto" w:sz="0" w:space="4"/>
          <w:bottom w:val="none" w:color="auto" w:sz="0" w:space="1"/>
          <w:right w:val="none" w:color="auto" w:sz="0" w:space="4"/>
        </w:pBdr>
        <w:ind w:firstLine="280" w:firstLineChars="100"/>
        <w:rPr>
          <w:rFonts w:hint="eastAsia"/>
          <w:sz w:val="28"/>
          <w:szCs w:val="28"/>
        </w:rPr>
      </w:pPr>
      <w:r>
        <w:rPr>
          <w:rFonts w:hint="eastAsia"/>
          <w:sz w:val="28"/>
          <w:szCs w:val="28"/>
        </w:rPr>
        <w:t>工频耐压：42kV</w:t>
      </w:r>
    </w:p>
    <w:p w14:paraId="54A34682">
      <w:pPr>
        <w:pStyle w:val="3"/>
        <w:pBdr>
          <w:top w:val="none" w:color="auto" w:sz="0" w:space="1"/>
          <w:left w:val="none" w:color="auto" w:sz="0" w:space="4"/>
          <w:bottom w:val="none" w:color="auto" w:sz="0" w:space="1"/>
          <w:right w:val="none" w:color="auto" w:sz="0" w:space="4"/>
        </w:pBdr>
        <w:ind w:firstLine="0" w:firstLineChars="0"/>
        <w:rPr>
          <w:rFonts w:hint="eastAsia"/>
          <w:color w:val="auto"/>
          <w:sz w:val="28"/>
          <w:szCs w:val="28"/>
        </w:rPr>
      </w:pPr>
      <w:r>
        <w:rPr>
          <w:rFonts w:hint="eastAsia"/>
          <w:sz w:val="28"/>
          <w:szCs w:val="28"/>
        </w:rPr>
        <w:t xml:space="preserve">  冲击耐压：1.2/50μs全波冲击耐压（峰值）：</w:t>
      </w:r>
      <w:r>
        <w:rPr>
          <w:rFonts w:hint="eastAsia"/>
          <w:color w:val="auto"/>
          <w:sz w:val="28"/>
          <w:szCs w:val="28"/>
          <w:lang w:val="en-US" w:eastAsia="zh-CN"/>
        </w:rPr>
        <w:t>75</w:t>
      </w:r>
      <w:r>
        <w:rPr>
          <w:rFonts w:hint="eastAsia"/>
          <w:color w:val="auto"/>
          <w:sz w:val="28"/>
          <w:szCs w:val="28"/>
        </w:rPr>
        <w:t>kV</w:t>
      </w:r>
    </w:p>
    <w:p w14:paraId="16D4C7CA">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 工频损耗：≤3%电抗器额定容量（75℃时） </w:t>
      </w:r>
    </w:p>
    <w:p w14:paraId="7C014CB2">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放电线圈 </w:t>
      </w:r>
    </w:p>
    <w:p w14:paraId="58E85155">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额定电压12/√3kV，放电时间5秒</w:t>
      </w:r>
      <w:r>
        <w:rPr>
          <w:rFonts w:hint="eastAsia"/>
          <w:sz w:val="28"/>
          <w:szCs w:val="28"/>
          <w:lang w:val="en-US" w:eastAsia="zh-CN"/>
        </w:rPr>
        <w:t>内剩余电压从额定电压峰值</w:t>
      </w:r>
      <w:r>
        <w:rPr>
          <w:rFonts w:hint="eastAsia"/>
          <w:sz w:val="28"/>
          <w:szCs w:val="28"/>
        </w:rPr>
        <w:t>降至≤50V以下，损耗≤1%。</w:t>
      </w:r>
    </w:p>
    <w:p w14:paraId="63850FB4">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一次绕组的放电容量不小于1.7</w:t>
      </w:r>
      <w:r>
        <w:rPr>
          <w:rFonts w:hint="eastAsia"/>
          <w:sz w:val="28"/>
          <w:szCs w:val="28"/>
          <w:lang w:val="en-US" w:eastAsia="zh-CN"/>
        </w:rPr>
        <w:t>M</w:t>
      </w:r>
      <w:r>
        <w:rPr>
          <w:rFonts w:hint="eastAsia"/>
          <w:sz w:val="28"/>
          <w:szCs w:val="28"/>
        </w:rPr>
        <w:t>var。</w:t>
      </w:r>
    </w:p>
    <w:p w14:paraId="02B866D4">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放电电流：不小于电容器组的额定电流的1.35倍。</w:t>
      </w:r>
    </w:p>
    <w:p w14:paraId="774D7ED8">
      <w:pPr>
        <w:pStyle w:val="3"/>
        <w:pBdr>
          <w:top w:val="none" w:color="auto" w:sz="0" w:space="1"/>
          <w:left w:val="none" w:color="auto" w:sz="0" w:space="4"/>
          <w:bottom w:val="none" w:color="auto" w:sz="0" w:space="1"/>
          <w:right w:val="none" w:color="auto" w:sz="0" w:space="4"/>
        </w:pBdr>
        <w:ind w:firstLine="480" w:firstLineChars="0"/>
        <w:rPr>
          <w:rFonts w:hint="eastAsia"/>
          <w:sz w:val="28"/>
          <w:szCs w:val="28"/>
        </w:rPr>
      </w:pPr>
      <w:r>
        <w:rPr>
          <w:rFonts w:hint="eastAsia"/>
          <w:sz w:val="28"/>
          <w:szCs w:val="28"/>
        </w:rPr>
        <w:t xml:space="preserve">放电线圈能承受在1.58倍电压峰值下电容器储能放电的作用。  </w:t>
      </w:r>
    </w:p>
    <w:p w14:paraId="73082EA3">
      <w:pPr>
        <w:pStyle w:val="3"/>
        <w:pBdr>
          <w:top w:val="none" w:color="auto" w:sz="0" w:space="1"/>
          <w:left w:val="none" w:color="auto" w:sz="0" w:space="4"/>
          <w:bottom w:val="none" w:color="auto" w:sz="0" w:space="1"/>
          <w:right w:val="none" w:color="auto" w:sz="0" w:space="4"/>
        </w:pBdr>
        <w:ind w:firstLine="480" w:firstLineChars="0"/>
        <w:rPr>
          <w:rFonts w:hint="eastAsia"/>
          <w:color w:val="auto"/>
          <w:sz w:val="28"/>
          <w:szCs w:val="28"/>
        </w:rPr>
      </w:pPr>
      <w:r>
        <w:rPr>
          <w:rFonts w:hint="eastAsia"/>
          <w:sz w:val="28"/>
          <w:szCs w:val="28"/>
        </w:rPr>
        <w:t>绝缘水平：工频</w:t>
      </w:r>
      <w:r>
        <w:rPr>
          <w:rFonts w:hint="eastAsia"/>
          <w:color w:val="auto"/>
          <w:sz w:val="28"/>
          <w:szCs w:val="28"/>
          <w:lang w:val="en-US" w:eastAsia="zh-CN"/>
        </w:rPr>
        <w:t>耐</w:t>
      </w:r>
      <w:r>
        <w:rPr>
          <w:rFonts w:hint="eastAsia"/>
          <w:color w:val="auto"/>
          <w:sz w:val="28"/>
          <w:szCs w:val="28"/>
        </w:rPr>
        <w:t>压</w:t>
      </w:r>
      <w:r>
        <w:rPr>
          <w:rFonts w:hint="eastAsia"/>
          <w:color w:val="auto"/>
          <w:sz w:val="28"/>
          <w:szCs w:val="28"/>
          <w:lang w:val="en-US" w:eastAsia="zh-CN"/>
        </w:rPr>
        <w:t>42</w:t>
      </w:r>
      <w:r>
        <w:rPr>
          <w:rFonts w:hint="eastAsia"/>
          <w:color w:val="auto"/>
          <w:sz w:val="28"/>
          <w:szCs w:val="28"/>
        </w:rPr>
        <w:t>kV一分钟，雷电冲击电压1.2/50μs,</w:t>
      </w:r>
      <w:r>
        <w:rPr>
          <w:rFonts w:hint="eastAsia"/>
          <w:color w:val="auto"/>
          <w:sz w:val="28"/>
          <w:szCs w:val="28"/>
          <w:lang w:val="en-US" w:eastAsia="zh-CN"/>
        </w:rPr>
        <w:t>75</w:t>
      </w:r>
      <w:r>
        <w:rPr>
          <w:rFonts w:hint="eastAsia"/>
          <w:color w:val="auto"/>
          <w:sz w:val="28"/>
          <w:szCs w:val="28"/>
        </w:rPr>
        <w:t>kV。</w:t>
      </w:r>
    </w:p>
    <w:p w14:paraId="1BF21209">
      <w:pPr>
        <w:pStyle w:val="3"/>
        <w:pBdr>
          <w:top w:val="none" w:color="auto" w:sz="0" w:space="1"/>
          <w:left w:val="none" w:color="auto" w:sz="0" w:space="4"/>
          <w:bottom w:val="none" w:color="auto" w:sz="0" w:space="1"/>
          <w:right w:val="none" w:color="auto" w:sz="0" w:space="4"/>
        </w:pBdr>
        <w:ind w:firstLine="480" w:firstLineChars="0"/>
        <w:rPr>
          <w:rFonts w:hint="eastAsia"/>
          <w:color w:val="auto"/>
          <w:sz w:val="28"/>
          <w:szCs w:val="28"/>
        </w:rPr>
      </w:pPr>
      <w:r>
        <w:rPr>
          <w:rFonts w:hint="eastAsia"/>
          <w:color w:val="auto"/>
          <w:sz w:val="28"/>
          <w:szCs w:val="28"/>
        </w:rPr>
        <w:t>绝缘试验及标准：按国标GB311.1-311.6《高压输配电设备的绝缘配合高电压试验技术》</w:t>
      </w:r>
    </w:p>
    <w:p w14:paraId="30AAAF9F">
      <w:pPr>
        <w:pStyle w:val="3"/>
        <w:pBdr>
          <w:top w:val="none" w:color="auto" w:sz="0" w:space="1"/>
          <w:left w:val="none" w:color="auto" w:sz="0" w:space="4"/>
          <w:bottom w:val="none" w:color="auto" w:sz="0" w:space="1"/>
          <w:right w:val="none" w:color="auto" w:sz="0" w:space="4"/>
        </w:pBdr>
        <w:ind w:firstLine="480" w:firstLineChars="0"/>
        <w:rPr>
          <w:rFonts w:hint="eastAsia"/>
          <w:color w:val="auto"/>
          <w:sz w:val="28"/>
          <w:szCs w:val="28"/>
        </w:rPr>
      </w:pPr>
      <w:r>
        <w:rPr>
          <w:rFonts w:hint="eastAsia"/>
          <w:color w:val="auto"/>
          <w:sz w:val="28"/>
          <w:szCs w:val="28"/>
        </w:rPr>
        <w:t xml:space="preserve">局部放电：在1.05倍的长期工作电压下其局部放电量应不大于20PC。  </w:t>
      </w:r>
    </w:p>
    <w:p w14:paraId="1F204420">
      <w:pPr>
        <w:pStyle w:val="3"/>
        <w:numPr>
          <w:ilvl w:val="0"/>
          <w:numId w:val="3"/>
        </w:numPr>
        <w:pBdr>
          <w:top w:val="none" w:color="auto" w:sz="0" w:space="1"/>
          <w:left w:val="none" w:color="auto" w:sz="0" w:space="4"/>
          <w:bottom w:val="none" w:color="auto" w:sz="0" w:space="1"/>
          <w:right w:val="none" w:color="auto" w:sz="0" w:space="4"/>
        </w:pBdr>
        <w:ind w:firstLineChars="0"/>
        <w:rPr>
          <w:rFonts w:hint="eastAsia"/>
          <w:color w:val="auto"/>
          <w:sz w:val="28"/>
          <w:szCs w:val="28"/>
        </w:rPr>
      </w:pPr>
      <w:r>
        <w:rPr>
          <w:rFonts w:hint="eastAsia"/>
          <w:color w:val="auto"/>
          <w:sz w:val="28"/>
          <w:szCs w:val="28"/>
        </w:rPr>
        <w:t xml:space="preserve">避雷器 </w:t>
      </w:r>
    </w:p>
    <w:p w14:paraId="33E23F8A">
      <w:pPr>
        <w:ind w:firstLine="560"/>
        <w:rPr>
          <w:rFonts w:hint="eastAsia" w:ascii="宋体" w:hAnsi="宋体" w:eastAsia="宋体" w:cs="宋体"/>
          <w:sz w:val="28"/>
          <w:szCs w:val="28"/>
        </w:rPr>
      </w:pPr>
      <w:r>
        <w:rPr>
          <w:rFonts w:hint="eastAsia" w:ascii="宋体" w:hAnsi="宋体" w:eastAsia="宋体" w:cs="宋体"/>
          <w:color w:val="auto"/>
          <w:sz w:val="28"/>
          <w:szCs w:val="28"/>
        </w:rPr>
        <w:t>型号HY5WR-1</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45</w:t>
      </w:r>
      <w:r>
        <w:rPr>
          <w:rFonts w:hint="eastAsia" w:ascii="宋体" w:hAnsi="宋体" w:eastAsia="宋体" w:cs="宋体"/>
          <w:color w:val="auto"/>
          <w:sz w:val="28"/>
          <w:szCs w:val="28"/>
        </w:rPr>
        <w:t>，硅橡胶外套，额定电压1</w:t>
      </w:r>
      <w:r>
        <w:rPr>
          <w:rFonts w:hint="eastAsia" w:ascii="宋体" w:hAnsi="宋体" w:eastAsia="宋体" w:cs="宋体"/>
          <w:color w:val="auto"/>
          <w:sz w:val="28"/>
          <w:szCs w:val="28"/>
          <w:lang w:val="en-US" w:eastAsia="zh-CN"/>
        </w:rPr>
        <w:t>7</w:t>
      </w:r>
      <w:r>
        <w:rPr>
          <w:rFonts w:hint="eastAsia" w:ascii="宋体" w:hAnsi="宋体" w:eastAsia="宋体" w:cs="宋体"/>
          <w:color w:val="auto"/>
          <w:sz w:val="28"/>
          <w:szCs w:val="28"/>
        </w:rPr>
        <w:t>kV， 2ms方波冲击耐受电流400A，雷电冲击电流下残压45kV,操作冲击电流下残压35</w:t>
      </w:r>
      <w:r>
        <w:rPr>
          <w:rFonts w:hint="eastAsia" w:ascii="宋体" w:hAnsi="宋体" w:eastAsia="宋体" w:cs="宋体"/>
          <w:sz w:val="28"/>
          <w:szCs w:val="28"/>
        </w:rPr>
        <w:t>kV。</w:t>
      </w:r>
    </w:p>
    <w:p w14:paraId="09AC68A7">
      <w:pPr>
        <w:pStyle w:val="3"/>
        <w:numPr>
          <w:ilvl w:val="0"/>
          <w:numId w:val="3"/>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隔离接地开关</w:t>
      </w:r>
    </w:p>
    <w:p w14:paraId="36378824">
      <w:pPr>
        <w:ind w:firstLine="560"/>
        <w:rPr>
          <w:rFonts w:hint="eastAsia" w:ascii="宋体" w:hAnsi="宋体" w:eastAsia="宋体" w:cs="宋体"/>
          <w:sz w:val="28"/>
          <w:szCs w:val="28"/>
        </w:rPr>
      </w:pPr>
      <w:r>
        <w:rPr>
          <w:rFonts w:hint="eastAsia" w:ascii="宋体" w:hAnsi="宋体" w:eastAsia="宋体" w:cs="宋体"/>
          <w:sz w:val="28"/>
          <w:szCs w:val="28"/>
        </w:rPr>
        <w:t>型号GN19-12D/630A 操作齿轮式，额定电压12kV， 额定电流：630A，额定短时耐受电流及持续时间：20kA（4s），额定峰值耐受电流：50kA， 耐受试验电压（工频/雷电）：</w:t>
      </w:r>
      <w:r>
        <w:rPr>
          <w:rFonts w:hint="eastAsia" w:ascii="宋体" w:hAnsi="宋体" w:eastAsia="宋体" w:cs="宋体"/>
          <w:sz w:val="28"/>
          <w:szCs w:val="28"/>
          <w:lang w:val="en-US" w:eastAsia="zh-CN"/>
        </w:rPr>
        <w:t>42</w:t>
      </w:r>
      <w:r>
        <w:rPr>
          <w:rFonts w:hint="eastAsia" w:ascii="宋体" w:hAnsi="宋体" w:eastAsia="宋体" w:cs="宋体"/>
          <w:sz w:val="28"/>
          <w:szCs w:val="28"/>
        </w:rPr>
        <w:t>/</w:t>
      </w:r>
      <w:r>
        <w:rPr>
          <w:rFonts w:hint="eastAsia" w:ascii="宋体" w:hAnsi="宋体" w:eastAsia="宋体" w:cs="宋体"/>
          <w:sz w:val="28"/>
          <w:szCs w:val="28"/>
          <w:lang w:val="en-US" w:eastAsia="zh-CN"/>
        </w:rPr>
        <w:t>75</w:t>
      </w:r>
      <w:r>
        <w:rPr>
          <w:rFonts w:hint="eastAsia" w:ascii="宋体" w:hAnsi="宋体" w:eastAsia="宋体" w:cs="宋体"/>
          <w:sz w:val="28"/>
          <w:szCs w:val="28"/>
        </w:rPr>
        <w:t>kV，接线端额定静拉力：≥450N。</w:t>
      </w:r>
    </w:p>
    <w:p w14:paraId="7191081B">
      <w:pPr>
        <w:pStyle w:val="3"/>
        <w:numPr>
          <w:ilvl w:val="0"/>
          <w:numId w:val="3"/>
        </w:numPr>
        <w:pBdr>
          <w:top w:val="none" w:color="auto" w:sz="0" w:space="1"/>
          <w:left w:val="none" w:color="auto" w:sz="0" w:space="4"/>
          <w:bottom w:val="none" w:color="auto" w:sz="0" w:space="1"/>
          <w:right w:val="none" w:color="auto" w:sz="0" w:space="4"/>
        </w:pBdr>
        <w:ind w:firstLineChars="0"/>
        <w:rPr>
          <w:rFonts w:hint="eastAsia"/>
          <w:color w:val="000000" w:themeColor="text1"/>
          <w:sz w:val="28"/>
          <w:szCs w:val="28"/>
          <w14:textFill>
            <w14:solidFill>
              <w14:schemeClr w14:val="tx1"/>
            </w14:solidFill>
          </w14:textFill>
        </w:rPr>
      </w:pPr>
      <w:r>
        <w:rPr>
          <w:rFonts w:hint="eastAsia"/>
          <w:color w:val="000000" w:themeColor="text1"/>
          <w:sz w:val="28"/>
          <w:szCs w:val="28"/>
          <w14:textFill>
            <w14:solidFill>
              <w14:schemeClr w14:val="tx1"/>
            </w14:solidFill>
          </w14:textFill>
        </w:rPr>
        <w:t>弧光保护装置</w:t>
      </w:r>
    </w:p>
    <w:p w14:paraId="3CE24A9A">
      <w:pPr>
        <w:ind w:firstLine="56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当柜内发生弧光或烟雾事故时，可迅速切离，以维护用电安全</w:t>
      </w:r>
      <w:r>
        <w:rPr>
          <w:rFonts w:hint="eastAsia" w:ascii="宋体" w:hAnsi="宋体" w:eastAsia="宋体" w:cs="宋体"/>
          <w:color w:val="000000" w:themeColor="text1"/>
          <w:sz w:val="28"/>
          <w:szCs w:val="28"/>
          <w:lang w:eastAsia="zh-CN"/>
          <w14:textFill>
            <w14:solidFill>
              <w14:schemeClr w14:val="tx1"/>
            </w14:solidFill>
          </w14:textFill>
        </w:rPr>
        <w:t>。</w:t>
      </w:r>
    </w:p>
    <w:p w14:paraId="6AF9FE27">
      <w:pPr>
        <w:ind w:firstLine="560"/>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工作电压</w:t>
      </w:r>
      <w:r>
        <w:rPr>
          <w:rFonts w:hint="eastAsia" w:ascii="宋体" w:hAnsi="宋体" w:eastAsia="宋体" w:cs="宋体"/>
          <w:color w:val="000000" w:themeColor="text1"/>
          <w:sz w:val="28"/>
          <w:szCs w:val="28"/>
          <w:lang w:val="en-US" w:eastAsia="zh-CN"/>
          <w14:textFill>
            <w14:solidFill>
              <w14:schemeClr w14:val="tx1"/>
            </w14:solidFill>
          </w14:textFill>
        </w:rPr>
        <w:t>交流</w:t>
      </w:r>
      <w:r>
        <w:rPr>
          <w:rFonts w:hint="eastAsia" w:ascii="宋体" w:hAnsi="宋体" w:eastAsia="宋体" w:cs="宋体"/>
          <w:color w:val="000000" w:themeColor="text1"/>
          <w:sz w:val="28"/>
          <w:szCs w:val="28"/>
          <w14:textFill>
            <w14:solidFill>
              <w14:schemeClr w14:val="tx1"/>
            </w14:solidFill>
          </w14:textFill>
        </w:rPr>
        <w:t>220</w:t>
      </w:r>
      <w:r>
        <w:rPr>
          <w:rFonts w:ascii="宋体" w:hAnsi="宋体" w:eastAsia="宋体" w:cs="宋体"/>
          <w:color w:val="000000" w:themeColor="text1"/>
          <w:sz w:val="28"/>
          <w:szCs w:val="28"/>
          <w14:textFill>
            <w14:solidFill>
              <w14:schemeClr w14:val="tx1"/>
            </w14:solidFill>
          </w14:textFill>
        </w:rPr>
        <w:t>V</w:t>
      </w:r>
      <w:r>
        <w:rPr>
          <w:rFonts w:hint="eastAsia" w:ascii="宋体" w:hAnsi="宋体" w:eastAsia="宋体" w:cs="宋体"/>
          <w:color w:val="000000" w:themeColor="text1"/>
          <w:sz w:val="28"/>
          <w:szCs w:val="28"/>
          <w14:textFill>
            <w14:solidFill>
              <w14:schemeClr w14:val="tx1"/>
            </w14:solidFill>
          </w14:textFill>
        </w:rPr>
        <w:t>，需接</w:t>
      </w:r>
      <w:r>
        <w:rPr>
          <w:rFonts w:ascii="宋体" w:hAnsi="宋体" w:eastAsia="宋体" w:cs="宋体"/>
          <w:color w:val="000000" w:themeColor="text1"/>
          <w:sz w:val="28"/>
          <w:szCs w:val="28"/>
          <w14:textFill>
            <w14:solidFill>
              <w14:schemeClr w14:val="tx1"/>
            </w14:solidFill>
          </w14:textFill>
        </w:rPr>
        <w:t>4</w:t>
      </w:r>
      <w:r>
        <w:rPr>
          <w:rFonts w:hint="eastAsia" w:ascii="宋体" w:hAnsi="宋体" w:eastAsia="宋体" w:cs="宋体"/>
          <w:color w:val="000000" w:themeColor="text1"/>
          <w:sz w:val="28"/>
          <w:szCs w:val="28"/>
          <w14:textFill>
            <w14:solidFill>
              <w14:schemeClr w14:val="tx1"/>
            </w14:solidFill>
          </w14:textFill>
        </w:rPr>
        <w:t>组弧光保护侦测器及烟感讯号，二组输出继电器具备自检功能，跳闸时间</w:t>
      </w:r>
      <w:r>
        <w:rPr>
          <w:rFonts w:ascii="宋体" w:hAnsi="宋体" w:eastAsia="宋体" w:cs="宋体"/>
          <w:color w:val="000000" w:themeColor="text1"/>
          <w:sz w:val="28"/>
          <w:szCs w:val="28"/>
          <w14:textFill>
            <w14:solidFill>
              <w14:schemeClr w14:val="tx1"/>
            </w14:solidFill>
          </w14:textFill>
        </w:rPr>
        <w:t>:7ms</w:t>
      </w:r>
      <w:r>
        <w:rPr>
          <w:rFonts w:hint="eastAsia" w:ascii="宋体" w:hAnsi="宋体" w:eastAsia="宋体" w:cs="宋体"/>
          <w:color w:val="000000" w:themeColor="text1"/>
          <w:sz w:val="28"/>
          <w:szCs w:val="28"/>
          <w:lang w:eastAsia="zh-CN"/>
          <w14:textFill>
            <w14:solidFill>
              <w14:schemeClr w14:val="tx1"/>
            </w14:solidFill>
          </w14:textFill>
        </w:rPr>
        <w:t>。</w:t>
      </w:r>
    </w:p>
    <w:p w14:paraId="5F994B8C">
      <w:pPr>
        <w:pStyle w:val="2"/>
        <w:ind w:firstLine="480"/>
      </w:pPr>
    </w:p>
    <w:p w14:paraId="0B6E8CC5">
      <w:pPr>
        <w:pStyle w:val="6"/>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 xml:space="preserve">.2 结构及安装 </w:t>
      </w:r>
    </w:p>
    <w:p w14:paraId="066BF78F">
      <w:pPr>
        <w:pStyle w:val="3"/>
        <w:pBdr>
          <w:top w:val="none" w:color="auto" w:sz="0" w:space="1"/>
          <w:left w:val="none" w:color="auto" w:sz="0" w:space="4"/>
          <w:bottom w:val="none" w:color="auto" w:sz="0" w:space="1"/>
          <w:right w:val="none" w:color="auto" w:sz="0" w:space="4"/>
        </w:pBdr>
        <w:shd w:val="clear"/>
        <w:ind w:firstLine="560"/>
        <w:rPr>
          <w:rFonts w:hint="default" w:eastAsia="宋体"/>
          <w:color w:val="FF0000"/>
          <w:sz w:val="28"/>
          <w:szCs w:val="28"/>
          <w:highlight w:val="none"/>
          <w:lang w:val="en-US" w:eastAsia="zh-CN"/>
        </w:rPr>
      </w:pPr>
      <w:r>
        <w:rPr>
          <w:rFonts w:hint="eastAsia"/>
          <w:sz w:val="28"/>
          <w:szCs w:val="28"/>
          <w:highlight w:val="none"/>
        </w:rPr>
        <w:t>柜体：柜体采用</w:t>
      </w:r>
      <w:r>
        <w:rPr>
          <w:rFonts w:hint="eastAsia"/>
          <w:sz w:val="28"/>
          <w:szCs w:val="28"/>
          <w:highlight w:val="none"/>
          <w:lang w:val="en-US" w:eastAsia="zh-CN"/>
        </w:rPr>
        <w:t>2.5</w:t>
      </w:r>
      <w:r>
        <w:rPr>
          <w:rFonts w:hint="eastAsia"/>
          <w:sz w:val="28"/>
          <w:szCs w:val="28"/>
          <w:highlight w:val="none"/>
        </w:rPr>
        <w:t>mm厚冷轧镀锌钢板折弯而成，外壳和隔板是采用高强度抗腐蚀性强的冷轧镀锌钢，同时具有足够的强度和刚度，电容器柜体的立柱采用焊接连接，不接受螺栓连接方式，柜体门板厚度≧2.0mm，柜体立柱材料厚度≧</w:t>
      </w:r>
      <w:r>
        <w:rPr>
          <w:rFonts w:hint="eastAsia"/>
          <w:sz w:val="28"/>
          <w:szCs w:val="28"/>
          <w:highlight w:val="none"/>
          <w:lang w:val="en-US" w:eastAsia="zh-CN"/>
        </w:rPr>
        <w:t>2</w:t>
      </w:r>
      <w:r>
        <w:rPr>
          <w:rFonts w:hint="eastAsia"/>
          <w:sz w:val="28"/>
          <w:szCs w:val="28"/>
          <w:highlight w:val="none"/>
        </w:rPr>
        <w:t>.</w:t>
      </w:r>
      <w:r>
        <w:rPr>
          <w:rFonts w:hint="eastAsia"/>
          <w:sz w:val="28"/>
          <w:szCs w:val="28"/>
          <w:highlight w:val="none"/>
          <w:lang w:val="en-US" w:eastAsia="zh-CN"/>
        </w:rPr>
        <w:t>5</w:t>
      </w:r>
      <w:r>
        <w:rPr>
          <w:rFonts w:hint="eastAsia"/>
          <w:sz w:val="28"/>
          <w:szCs w:val="28"/>
          <w:highlight w:val="none"/>
        </w:rPr>
        <w:t>mm，柜体内部支撑档厚度≧</w:t>
      </w:r>
      <w:r>
        <w:rPr>
          <w:rFonts w:hint="eastAsia"/>
          <w:sz w:val="28"/>
          <w:szCs w:val="28"/>
          <w:highlight w:val="none"/>
          <w:lang w:val="en-US" w:eastAsia="zh-CN"/>
        </w:rPr>
        <w:t>2</w:t>
      </w:r>
      <w:r>
        <w:rPr>
          <w:rFonts w:hint="eastAsia"/>
          <w:sz w:val="28"/>
          <w:szCs w:val="28"/>
          <w:highlight w:val="none"/>
        </w:rPr>
        <w:t>.5mm。环氧树脂烤漆(静电粉体涂装)，其焊缝工艺和油漆工艺符合规范要求。柜门需有有电磁锁，并预留挂五防锁位置。</w:t>
      </w:r>
    </w:p>
    <w:p w14:paraId="4B47BE8B">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柜体安装风扇并含散热孔以利盘体散热，温控开关具有手动、自动功能。</w:t>
      </w:r>
    </w:p>
    <w:p w14:paraId="1A65BF6D">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柜体进线:一、二次线均是下进线。</w:t>
      </w:r>
    </w:p>
    <w:p w14:paraId="4C6D85C6">
      <w:pPr>
        <w:pStyle w:val="3"/>
        <w:pBdr>
          <w:top w:val="none" w:color="auto" w:sz="0" w:space="1"/>
          <w:left w:val="none" w:color="auto" w:sz="0" w:space="4"/>
          <w:bottom w:val="none" w:color="auto" w:sz="0" w:space="1"/>
          <w:right w:val="none" w:color="auto" w:sz="0" w:space="4"/>
        </w:pBdr>
        <w:ind w:firstLine="560"/>
        <w:rPr>
          <w:rFonts w:hint="eastAsia"/>
          <w:sz w:val="28"/>
          <w:szCs w:val="28"/>
        </w:rPr>
      </w:pPr>
      <w:r>
        <w:rPr>
          <w:rFonts w:hint="eastAsia"/>
          <w:sz w:val="28"/>
          <w:szCs w:val="28"/>
        </w:rPr>
        <w:t xml:space="preserve">箱体尺寸:需到本公司现场确认安装空间。  </w:t>
      </w:r>
    </w:p>
    <w:p w14:paraId="20B1DA38">
      <w:pPr>
        <w:ind w:firstLine="560"/>
        <w:rPr>
          <w:rFonts w:hint="eastAsia" w:ascii="宋体" w:hAnsi="宋体" w:eastAsia="宋体" w:cs="宋体"/>
          <w:sz w:val="28"/>
          <w:szCs w:val="28"/>
        </w:rPr>
      </w:pPr>
      <w:r>
        <w:rPr>
          <w:rFonts w:hint="eastAsia" w:ascii="宋体" w:hAnsi="宋体" w:eastAsia="宋体" w:cs="宋体"/>
          <w:sz w:val="28"/>
          <w:szCs w:val="28"/>
        </w:rPr>
        <w:t>连接线：软连接，电容器间采用铜线连接（截面积≥35m²），避免套管受力。主母线载流量≥1.35倍工作电流。同时满足动、热稳定要求。</w:t>
      </w:r>
    </w:p>
    <w:p w14:paraId="620D4F4A">
      <w:pPr>
        <w:pStyle w:val="6"/>
        <w:rPr>
          <w:rFonts w:hint="eastAsia" w:ascii="宋体" w:hAnsi="宋体" w:eastAsia="宋体" w:cs="宋体"/>
          <w:sz w:val="28"/>
          <w:szCs w:val="28"/>
        </w:rPr>
      </w:pPr>
      <w:r>
        <w:rPr>
          <w:rFonts w:hint="eastAsia" w:ascii="宋体" w:hAnsi="宋体" w:eastAsia="宋体" w:cs="宋体"/>
          <w:sz w:val="28"/>
          <w:szCs w:val="28"/>
          <w:lang w:val="en-US" w:eastAsia="zh-CN"/>
        </w:rPr>
        <w:t>5</w:t>
      </w:r>
      <w:r>
        <w:rPr>
          <w:rFonts w:hint="eastAsia" w:ascii="宋体" w:hAnsi="宋体" w:eastAsia="宋体" w:cs="宋体"/>
          <w:sz w:val="28"/>
          <w:szCs w:val="28"/>
        </w:rPr>
        <w:t>.3 设备性能</w:t>
      </w:r>
    </w:p>
    <w:p w14:paraId="33A7A585">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投切时无谐波谐振或放大，避免保护误动。  </w:t>
      </w:r>
    </w:p>
    <w:p w14:paraId="4185BEC6">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配置开口三角保护接入点。</w:t>
      </w:r>
    </w:p>
    <w:p w14:paraId="42F49B81">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稳态过电流：装置能在方均根值不超过1.0*1.30In的电流连续运行。</w:t>
      </w:r>
    </w:p>
    <w:p w14:paraId="3CFE7B15">
      <w:pPr>
        <w:pStyle w:val="3"/>
        <w:numPr>
          <w:ilvl w:val="0"/>
          <w:numId w:val="4"/>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稳态过电压：装置的连续运行电压为1.0U</w:t>
      </w:r>
      <w:r>
        <w:rPr>
          <w:rFonts w:hint="eastAsia"/>
          <w:sz w:val="28"/>
          <w:szCs w:val="28"/>
          <w:vertAlign w:val="subscript"/>
        </w:rPr>
        <w:t>N</w:t>
      </w:r>
      <w:r>
        <w:rPr>
          <w:rFonts w:hint="eastAsia"/>
          <w:sz w:val="28"/>
          <w:szCs w:val="28"/>
        </w:rPr>
        <w:t>下表现规定的稳态电压下运行相应的时间。</w:t>
      </w:r>
    </w:p>
    <w:p w14:paraId="09C49898">
      <w:pPr>
        <w:pStyle w:val="3"/>
        <w:pBdr>
          <w:top w:val="none" w:color="auto" w:sz="0" w:space="1"/>
          <w:left w:val="none" w:color="auto" w:sz="0" w:space="4"/>
          <w:bottom w:val="none" w:color="auto" w:sz="0" w:space="1"/>
          <w:right w:val="none" w:color="auto" w:sz="0" w:space="4"/>
        </w:pBdr>
        <w:ind w:left="425" w:firstLine="0" w:firstLineChars="0"/>
        <w:rPr>
          <w:rFonts w:hint="eastAsia"/>
          <w:sz w:val="28"/>
          <w:szCs w:val="28"/>
        </w:rPr>
      </w:pPr>
      <w:r>
        <w:rPr>
          <w:rFonts w:hint="eastAsia"/>
          <w:sz w:val="28"/>
          <w:szCs w:val="28"/>
        </w:rPr>
        <w:t>运行中允许的过电压</w:t>
      </w:r>
    </w:p>
    <w:tbl>
      <w:tblPr>
        <w:tblStyle w:val="13"/>
        <w:tblW w:w="8647"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2"/>
        <w:gridCol w:w="2381"/>
        <w:gridCol w:w="3544"/>
      </w:tblGrid>
      <w:tr w14:paraId="77A35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561EA907">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工频过电压倍数</w:t>
            </w:r>
          </w:p>
        </w:tc>
        <w:tc>
          <w:tcPr>
            <w:tcW w:w="2381" w:type="dxa"/>
            <w:noWrap/>
            <w:vAlign w:val="center"/>
          </w:tcPr>
          <w:p w14:paraId="71475904">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持续时间</w:t>
            </w:r>
          </w:p>
        </w:tc>
        <w:tc>
          <w:tcPr>
            <w:tcW w:w="3544" w:type="dxa"/>
            <w:noWrap/>
            <w:vAlign w:val="center"/>
          </w:tcPr>
          <w:p w14:paraId="592EE8BC">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说  明</w:t>
            </w:r>
          </w:p>
        </w:tc>
      </w:tr>
      <w:tr w14:paraId="48407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517D496B">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1.05U</w:t>
            </w:r>
            <w:r>
              <w:rPr>
                <w:rFonts w:hint="eastAsia"/>
                <w:sz w:val="28"/>
                <w:szCs w:val="28"/>
                <w:vertAlign w:val="subscript"/>
              </w:rPr>
              <w:t>N</w:t>
            </w:r>
          </w:p>
        </w:tc>
        <w:tc>
          <w:tcPr>
            <w:tcW w:w="2381" w:type="dxa"/>
            <w:noWrap/>
            <w:vAlign w:val="center"/>
          </w:tcPr>
          <w:p w14:paraId="4E766503">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连续</w:t>
            </w:r>
          </w:p>
        </w:tc>
        <w:tc>
          <w:tcPr>
            <w:tcW w:w="3544" w:type="dxa"/>
            <w:noWrap/>
            <w:vAlign w:val="center"/>
          </w:tcPr>
          <w:p w14:paraId="2F0E0772">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p>
        </w:tc>
      </w:tr>
      <w:tr w14:paraId="244CE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6BCA2ADA">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1.10U</w:t>
            </w:r>
            <w:r>
              <w:rPr>
                <w:rFonts w:hint="eastAsia"/>
                <w:sz w:val="28"/>
                <w:szCs w:val="28"/>
                <w:vertAlign w:val="subscript"/>
              </w:rPr>
              <w:t>N</w:t>
            </w:r>
          </w:p>
        </w:tc>
        <w:tc>
          <w:tcPr>
            <w:tcW w:w="2381" w:type="dxa"/>
            <w:noWrap/>
            <w:vAlign w:val="center"/>
          </w:tcPr>
          <w:p w14:paraId="45DAEB0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12h/24h</w:t>
            </w:r>
          </w:p>
        </w:tc>
        <w:tc>
          <w:tcPr>
            <w:tcW w:w="3544" w:type="dxa"/>
            <w:vMerge w:val="restart"/>
            <w:noWrap/>
            <w:vAlign w:val="center"/>
          </w:tcPr>
          <w:p w14:paraId="7A7637F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系统电压的调整和波动</w:t>
            </w:r>
          </w:p>
        </w:tc>
      </w:tr>
      <w:tr w14:paraId="697B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722" w:type="dxa"/>
            <w:noWrap/>
            <w:vAlign w:val="center"/>
          </w:tcPr>
          <w:p w14:paraId="34B9F225">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1.15U</w:t>
            </w:r>
            <w:r>
              <w:rPr>
                <w:rFonts w:hint="eastAsia"/>
                <w:sz w:val="28"/>
                <w:szCs w:val="28"/>
                <w:vertAlign w:val="subscript"/>
              </w:rPr>
              <w:t>N</w:t>
            </w:r>
          </w:p>
        </w:tc>
        <w:tc>
          <w:tcPr>
            <w:tcW w:w="2381" w:type="dxa"/>
            <w:noWrap/>
            <w:vAlign w:val="center"/>
          </w:tcPr>
          <w:p w14:paraId="5C8B4D1B">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30min/24h</w:t>
            </w:r>
          </w:p>
        </w:tc>
        <w:tc>
          <w:tcPr>
            <w:tcW w:w="3544" w:type="dxa"/>
            <w:vMerge w:val="continue"/>
            <w:noWrap/>
            <w:vAlign w:val="center"/>
          </w:tcPr>
          <w:p w14:paraId="6719F294">
            <w:pPr>
              <w:pStyle w:val="3"/>
              <w:pBdr>
                <w:top w:val="none" w:color="auto" w:sz="0" w:space="1"/>
                <w:left w:val="none" w:color="auto" w:sz="0" w:space="4"/>
                <w:bottom w:val="none" w:color="auto" w:sz="0" w:space="1"/>
                <w:right w:val="none" w:color="auto" w:sz="0" w:space="4"/>
              </w:pBdr>
              <w:ind w:left="425" w:firstLine="560"/>
              <w:jc w:val="center"/>
              <w:rPr>
                <w:rFonts w:hint="eastAsia"/>
                <w:sz w:val="28"/>
                <w:szCs w:val="28"/>
              </w:rPr>
            </w:pPr>
          </w:p>
        </w:tc>
      </w:tr>
      <w:tr w14:paraId="04E6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5388F22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1.20U</w:t>
            </w:r>
            <w:r>
              <w:rPr>
                <w:rFonts w:hint="eastAsia"/>
                <w:sz w:val="28"/>
                <w:szCs w:val="28"/>
                <w:vertAlign w:val="subscript"/>
              </w:rPr>
              <w:t>N</w:t>
            </w:r>
          </w:p>
        </w:tc>
        <w:tc>
          <w:tcPr>
            <w:tcW w:w="2381" w:type="dxa"/>
            <w:noWrap/>
            <w:vAlign w:val="center"/>
          </w:tcPr>
          <w:p w14:paraId="47BD9AC7">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5min</w:t>
            </w:r>
          </w:p>
        </w:tc>
        <w:tc>
          <w:tcPr>
            <w:tcW w:w="3544" w:type="dxa"/>
            <w:vMerge w:val="restart"/>
            <w:noWrap/>
            <w:vAlign w:val="center"/>
          </w:tcPr>
          <w:p w14:paraId="4FE7A660">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轻载荷时电压升高</w:t>
            </w:r>
          </w:p>
        </w:tc>
      </w:tr>
      <w:tr w14:paraId="27F71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722" w:type="dxa"/>
            <w:noWrap/>
            <w:vAlign w:val="center"/>
          </w:tcPr>
          <w:p w14:paraId="1A0E4F8B">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1.30U</w:t>
            </w:r>
            <w:r>
              <w:rPr>
                <w:rFonts w:hint="eastAsia"/>
                <w:sz w:val="28"/>
                <w:szCs w:val="28"/>
                <w:vertAlign w:val="subscript"/>
              </w:rPr>
              <w:t>N</w:t>
            </w:r>
          </w:p>
        </w:tc>
        <w:tc>
          <w:tcPr>
            <w:tcW w:w="2381" w:type="dxa"/>
            <w:noWrap/>
            <w:vAlign w:val="center"/>
          </w:tcPr>
          <w:p w14:paraId="320E5892">
            <w:pPr>
              <w:pStyle w:val="3"/>
              <w:pBdr>
                <w:top w:val="none" w:color="auto" w:sz="0" w:space="1"/>
                <w:left w:val="none" w:color="auto" w:sz="0" w:space="4"/>
                <w:bottom w:val="none" w:color="auto" w:sz="0" w:space="1"/>
                <w:right w:val="none" w:color="auto" w:sz="0" w:space="4"/>
              </w:pBdr>
              <w:ind w:firstLine="0" w:firstLineChars="0"/>
              <w:jc w:val="center"/>
              <w:rPr>
                <w:rFonts w:hint="eastAsia"/>
                <w:sz w:val="28"/>
                <w:szCs w:val="28"/>
              </w:rPr>
            </w:pPr>
            <w:r>
              <w:rPr>
                <w:rFonts w:hint="eastAsia"/>
                <w:sz w:val="28"/>
                <w:szCs w:val="28"/>
              </w:rPr>
              <w:t>1min</w:t>
            </w:r>
          </w:p>
        </w:tc>
        <w:tc>
          <w:tcPr>
            <w:tcW w:w="3544" w:type="dxa"/>
            <w:vMerge w:val="continue"/>
            <w:noWrap/>
            <w:vAlign w:val="center"/>
          </w:tcPr>
          <w:p w14:paraId="6B68A10B">
            <w:pPr>
              <w:pStyle w:val="3"/>
              <w:pBdr>
                <w:top w:val="none" w:color="auto" w:sz="0" w:space="1"/>
                <w:left w:val="none" w:color="auto" w:sz="0" w:space="4"/>
                <w:bottom w:val="none" w:color="auto" w:sz="0" w:space="1"/>
                <w:right w:val="none" w:color="auto" w:sz="0" w:space="4"/>
              </w:pBdr>
              <w:ind w:left="425" w:firstLine="560"/>
              <w:rPr>
                <w:rFonts w:hint="eastAsia"/>
                <w:sz w:val="28"/>
                <w:szCs w:val="28"/>
              </w:rPr>
            </w:pPr>
          </w:p>
        </w:tc>
      </w:tr>
    </w:tbl>
    <w:p w14:paraId="4C81AA8E">
      <w:pPr>
        <w:pStyle w:val="3"/>
        <w:pBdr>
          <w:top w:val="none" w:color="auto" w:sz="0" w:space="1"/>
          <w:left w:val="none" w:color="auto" w:sz="0" w:space="4"/>
          <w:bottom w:val="none" w:color="auto" w:sz="0" w:space="1"/>
          <w:right w:val="none" w:color="auto" w:sz="0" w:space="4"/>
        </w:pBdr>
        <w:ind w:left="425" w:firstLine="0" w:firstLineChars="0"/>
        <w:rPr>
          <w:rFonts w:hint="eastAsia"/>
          <w:sz w:val="28"/>
          <w:szCs w:val="28"/>
        </w:rPr>
      </w:pPr>
    </w:p>
    <w:p w14:paraId="2578F1BD">
      <w:pPr>
        <w:pStyle w:val="5"/>
        <w:rPr>
          <w:rFonts w:hint="eastAsia" w:ascii="宋体" w:hAnsi="宋体" w:eastAsia="宋体" w:cs="宋体"/>
          <w:sz w:val="28"/>
          <w:szCs w:val="28"/>
        </w:rPr>
      </w:pPr>
      <w:r>
        <w:rPr>
          <w:rFonts w:hint="eastAsia" w:ascii="宋体" w:hAnsi="宋体" w:eastAsia="宋体" w:cs="宋体"/>
          <w:sz w:val="28"/>
          <w:szCs w:val="28"/>
          <w:lang w:val="en-US" w:eastAsia="zh-CN"/>
        </w:rPr>
        <w:t>6</w:t>
      </w:r>
      <w:r>
        <w:rPr>
          <w:rFonts w:hint="eastAsia" w:ascii="宋体" w:hAnsi="宋体" w:eastAsia="宋体" w:cs="宋体"/>
          <w:sz w:val="28"/>
          <w:szCs w:val="28"/>
        </w:rPr>
        <w:t xml:space="preserve">. 供货范围 </w:t>
      </w:r>
    </w:p>
    <w:p w14:paraId="2BDEA592">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一次侧：装置高压进线端子后的全部设备及线缆。  </w:t>
      </w:r>
    </w:p>
    <w:p w14:paraId="17829793">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二次侧：引至端子排，外接线缆由买方提供。  </w:t>
      </w:r>
    </w:p>
    <w:p w14:paraId="07FDAB76">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土建：基础利旧，卖方负责适配并提供安装图纸。如有偏差，由卖方负责解决，不增加另外费用。</w:t>
      </w:r>
    </w:p>
    <w:p w14:paraId="091C2FE2">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主要元器件一览表：</w:t>
      </w:r>
    </w:p>
    <w:p w14:paraId="15009E2E">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p>
    <w:tbl>
      <w:tblPr>
        <w:tblStyle w:val="13"/>
        <w:tblpPr w:leftFromText="180" w:rightFromText="180" w:vertAnchor="text" w:horzAnchor="page" w:tblpXSpec="center" w:tblpY="244"/>
        <w:tblOverlap w:val="never"/>
        <w:tblW w:w="8941" w:type="dxa"/>
        <w:jc w:val="center"/>
        <w:tblLayout w:type="fixed"/>
        <w:tblCellMar>
          <w:top w:w="0" w:type="dxa"/>
          <w:left w:w="108" w:type="dxa"/>
          <w:bottom w:w="0" w:type="dxa"/>
          <w:right w:w="108" w:type="dxa"/>
        </w:tblCellMar>
      </w:tblPr>
      <w:tblGrid>
        <w:gridCol w:w="841"/>
        <w:gridCol w:w="1950"/>
        <w:gridCol w:w="2591"/>
        <w:gridCol w:w="1144"/>
        <w:gridCol w:w="2415"/>
      </w:tblGrid>
      <w:tr w14:paraId="2E2071CB">
        <w:tblPrEx>
          <w:tblCellMar>
            <w:top w:w="0" w:type="dxa"/>
            <w:left w:w="108" w:type="dxa"/>
            <w:bottom w:w="0" w:type="dxa"/>
            <w:right w:w="108" w:type="dxa"/>
          </w:tblCellMar>
        </w:tblPrEx>
        <w:trPr>
          <w:trHeight w:val="47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1AAC780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序号</w:t>
            </w:r>
          </w:p>
        </w:tc>
        <w:tc>
          <w:tcPr>
            <w:tcW w:w="1950" w:type="dxa"/>
            <w:tcBorders>
              <w:top w:val="single" w:color="000000" w:sz="4" w:space="0"/>
              <w:left w:val="single" w:color="000000" w:sz="4" w:space="0"/>
              <w:bottom w:val="single" w:color="000000" w:sz="4" w:space="0"/>
              <w:right w:val="single" w:color="000000" w:sz="4" w:space="0"/>
            </w:tcBorders>
            <w:vAlign w:val="center"/>
          </w:tcPr>
          <w:p w14:paraId="65862B6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名称</w:t>
            </w:r>
          </w:p>
        </w:tc>
        <w:tc>
          <w:tcPr>
            <w:tcW w:w="2591" w:type="dxa"/>
            <w:tcBorders>
              <w:top w:val="single" w:color="000000" w:sz="4" w:space="0"/>
              <w:left w:val="single" w:color="000000" w:sz="4" w:space="0"/>
              <w:bottom w:val="single" w:color="000000" w:sz="4" w:space="0"/>
              <w:right w:val="single" w:color="000000" w:sz="4" w:space="0"/>
            </w:tcBorders>
            <w:vAlign w:val="center"/>
          </w:tcPr>
          <w:p w14:paraId="673B7CA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功能要求</w:t>
            </w:r>
          </w:p>
        </w:tc>
        <w:tc>
          <w:tcPr>
            <w:tcW w:w="1144" w:type="dxa"/>
            <w:tcBorders>
              <w:top w:val="single" w:color="000000" w:sz="4" w:space="0"/>
              <w:left w:val="single" w:color="000000" w:sz="4" w:space="0"/>
              <w:bottom w:val="single" w:color="000000" w:sz="4" w:space="0"/>
              <w:right w:val="single" w:color="000000" w:sz="4" w:space="0"/>
            </w:tcBorders>
            <w:vAlign w:val="center"/>
          </w:tcPr>
          <w:p w14:paraId="702A375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数量</w:t>
            </w:r>
          </w:p>
        </w:tc>
        <w:tc>
          <w:tcPr>
            <w:tcW w:w="2415" w:type="dxa"/>
            <w:tcBorders>
              <w:top w:val="single" w:color="000000" w:sz="4" w:space="0"/>
              <w:left w:val="single" w:color="000000" w:sz="4" w:space="0"/>
              <w:bottom w:val="single" w:color="000000" w:sz="4" w:space="0"/>
              <w:right w:val="single" w:color="000000" w:sz="4" w:space="0"/>
            </w:tcBorders>
            <w:vAlign w:val="center"/>
          </w:tcPr>
          <w:p w14:paraId="1E9AA7B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厂家</w:t>
            </w:r>
          </w:p>
        </w:tc>
      </w:tr>
      <w:tr w14:paraId="1641ED18">
        <w:tblPrEx>
          <w:tblCellMar>
            <w:top w:w="0" w:type="dxa"/>
            <w:left w:w="108" w:type="dxa"/>
            <w:bottom w:w="0" w:type="dxa"/>
            <w:right w:w="108" w:type="dxa"/>
          </w:tblCellMar>
        </w:tblPrEx>
        <w:trPr>
          <w:trHeight w:val="107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2DBA44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4541" w:type="dxa"/>
            <w:gridSpan w:val="2"/>
            <w:tcBorders>
              <w:top w:val="single" w:color="000000" w:sz="4" w:space="0"/>
              <w:left w:val="single" w:color="000000" w:sz="4" w:space="0"/>
              <w:bottom w:val="single" w:color="000000" w:sz="4" w:space="0"/>
              <w:right w:val="single" w:color="000000" w:sz="4" w:space="0"/>
            </w:tcBorders>
            <w:vAlign w:val="center"/>
          </w:tcPr>
          <w:p w14:paraId="5DE58E59">
            <w:pPr>
              <w:pStyle w:val="5"/>
              <w:rPr>
                <w:rFonts w:hint="eastAsia" w:ascii="宋体" w:hAnsi="宋体" w:eastAsia="宋体" w:cs="宋体"/>
                <w:b w:val="0"/>
                <w:bCs w:val="0"/>
                <w:strike/>
                <w:color w:val="FF0000"/>
                <w:sz w:val="21"/>
                <w:szCs w:val="21"/>
              </w:rPr>
            </w:pPr>
            <w:r>
              <w:rPr>
                <w:rFonts w:hint="eastAsia" w:ascii="宋体" w:hAnsi="宋体" w:eastAsia="宋体" w:cs="宋体"/>
                <w:b w:val="0"/>
                <w:bCs w:val="0"/>
                <w:sz w:val="21"/>
                <w:szCs w:val="21"/>
              </w:rPr>
              <w:t>并联电容器成套装置：单星型接线，带内熔丝，输出无功功率不小于1000kvar。</w:t>
            </w:r>
          </w:p>
          <w:p w14:paraId="4A92C918">
            <w:pPr>
              <w:ind w:firstLine="420"/>
              <w:rPr>
                <w:rFonts w:hint="eastAsia" w:ascii="宋体" w:hAnsi="宋体" w:eastAsia="宋体" w:cs="宋体"/>
                <w:strike/>
                <w:color w:val="FF0000"/>
                <w:sz w:val="21"/>
                <w:szCs w:val="21"/>
              </w:rPr>
            </w:pPr>
          </w:p>
          <w:p w14:paraId="7C39729C">
            <w:pPr>
              <w:pStyle w:val="2"/>
              <w:rPr>
                <w:rFonts w:hint="eastAsia" w:ascii="宋体" w:hAnsi="宋体" w:eastAsia="宋体" w:cs="宋体"/>
                <w:sz w:val="21"/>
                <w:szCs w:val="21"/>
              </w:rPr>
            </w:pPr>
          </w:p>
          <w:p w14:paraId="42EEC328">
            <w:pPr>
              <w:ind w:firstLine="420"/>
              <w:rPr>
                <w:rFonts w:hint="eastAsia" w:ascii="宋体" w:hAnsi="宋体" w:eastAsia="宋体" w:cs="宋体"/>
                <w:sz w:val="21"/>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5CC1B25E">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6套</w:t>
            </w:r>
          </w:p>
        </w:tc>
        <w:tc>
          <w:tcPr>
            <w:tcW w:w="2415" w:type="dxa"/>
            <w:tcBorders>
              <w:top w:val="single" w:color="000000" w:sz="4" w:space="0"/>
              <w:left w:val="single" w:color="000000" w:sz="4" w:space="0"/>
              <w:bottom w:val="single" w:color="000000" w:sz="4" w:space="0"/>
              <w:right w:val="single" w:color="000000" w:sz="4" w:space="0"/>
            </w:tcBorders>
            <w:vAlign w:val="center"/>
          </w:tcPr>
          <w:p w14:paraId="0DE49C04">
            <w:pPr>
              <w:pStyle w:val="5"/>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诺企、伊顿、柯贝尔、阿珂法、督凯提</w:t>
            </w:r>
          </w:p>
        </w:tc>
      </w:tr>
      <w:tr w14:paraId="54855B04">
        <w:tblPrEx>
          <w:tblCellMar>
            <w:top w:w="0" w:type="dxa"/>
            <w:left w:w="108" w:type="dxa"/>
            <w:bottom w:w="0" w:type="dxa"/>
            <w:right w:w="108" w:type="dxa"/>
          </w:tblCellMar>
        </w:tblPrEx>
        <w:trPr>
          <w:trHeight w:val="476" w:hRule="exact"/>
          <w:jc w:val="center"/>
        </w:trPr>
        <w:tc>
          <w:tcPr>
            <w:tcW w:w="8941" w:type="dxa"/>
            <w:gridSpan w:val="5"/>
            <w:tcBorders>
              <w:top w:val="single" w:color="000000" w:sz="4" w:space="0"/>
              <w:left w:val="single" w:color="000000" w:sz="4" w:space="0"/>
              <w:bottom w:val="single" w:color="000000" w:sz="4" w:space="0"/>
              <w:right w:val="single" w:color="000000" w:sz="4" w:space="0"/>
            </w:tcBorders>
            <w:vAlign w:val="center"/>
          </w:tcPr>
          <w:p w14:paraId="7A316890">
            <w:pPr>
              <w:pStyle w:val="5"/>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单套设备清单</w:t>
            </w:r>
          </w:p>
        </w:tc>
      </w:tr>
      <w:tr w14:paraId="335F9108">
        <w:tblPrEx>
          <w:tblCellMar>
            <w:top w:w="0" w:type="dxa"/>
            <w:left w:w="108" w:type="dxa"/>
            <w:bottom w:w="0" w:type="dxa"/>
            <w:right w:w="108" w:type="dxa"/>
          </w:tblCellMar>
        </w:tblPrEx>
        <w:trPr>
          <w:trHeight w:val="1754"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1B01884A">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w:t>
            </w:r>
          </w:p>
        </w:tc>
        <w:tc>
          <w:tcPr>
            <w:tcW w:w="1950" w:type="dxa"/>
            <w:tcBorders>
              <w:top w:val="single" w:color="000000" w:sz="4" w:space="0"/>
              <w:left w:val="single" w:color="000000" w:sz="4" w:space="0"/>
              <w:bottom w:val="single" w:color="000000" w:sz="4" w:space="0"/>
              <w:right w:val="single" w:color="000000" w:sz="4" w:space="0"/>
            </w:tcBorders>
            <w:vAlign w:val="center"/>
          </w:tcPr>
          <w:p w14:paraId="24D63E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隔离接地开关</w:t>
            </w:r>
          </w:p>
        </w:tc>
        <w:tc>
          <w:tcPr>
            <w:tcW w:w="2591" w:type="dxa"/>
            <w:tcBorders>
              <w:top w:val="single" w:color="000000" w:sz="4" w:space="0"/>
              <w:left w:val="single" w:color="000000" w:sz="4" w:space="0"/>
              <w:bottom w:val="single" w:color="000000" w:sz="4" w:space="0"/>
              <w:right w:val="single" w:color="000000" w:sz="4" w:space="0"/>
            </w:tcBorders>
            <w:vAlign w:val="center"/>
          </w:tcPr>
          <w:p w14:paraId="4A2B500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GN19-12D/630A，三工位（分/合/接地），机械寿命≥3000次</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防护等级IP4X</w:t>
            </w:r>
          </w:p>
        </w:tc>
        <w:tc>
          <w:tcPr>
            <w:tcW w:w="1144" w:type="dxa"/>
            <w:tcBorders>
              <w:top w:val="single" w:color="000000" w:sz="4" w:space="0"/>
              <w:left w:val="single" w:color="000000" w:sz="4" w:space="0"/>
              <w:bottom w:val="single" w:color="000000" w:sz="4" w:space="0"/>
              <w:right w:val="single" w:color="000000" w:sz="4" w:space="0"/>
            </w:tcBorders>
            <w:vAlign w:val="center"/>
          </w:tcPr>
          <w:p w14:paraId="7AA96F4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1台</w:t>
            </w:r>
          </w:p>
        </w:tc>
        <w:tc>
          <w:tcPr>
            <w:tcW w:w="2415" w:type="dxa"/>
            <w:tcBorders>
              <w:top w:val="single" w:color="000000" w:sz="4" w:space="0"/>
              <w:left w:val="single" w:color="000000" w:sz="4" w:space="0"/>
              <w:bottom w:val="single" w:color="000000" w:sz="4" w:space="0"/>
              <w:right w:val="single" w:color="000000" w:sz="4" w:space="0"/>
            </w:tcBorders>
            <w:vAlign w:val="center"/>
          </w:tcPr>
          <w:p w14:paraId="511F2872">
            <w:pPr>
              <w:pStyle w:val="5"/>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国产优质</w:t>
            </w:r>
          </w:p>
        </w:tc>
      </w:tr>
      <w:tr w14:paraId="73C350A8">
        <w:tblPrEx>
          <w:tblCellMar>
            <w:top w:w="0" w:type="dxa"/>
            <w:left w:w="108" w:type="dxa"/>
            <w:bottom w:w="0" w:type="dxa"/>
            <w:right w:w="108" w:type="dxa"/>
          </w:tblCellMar>
        </w:tblPrEx>
        <w:trPr>
          <w:trHeight w:val="1752"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744B9DC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2</w:t>
            </w:r>
          </w:p>
        </w:tc>
        <w:tc>
          <w:tcPr>
            <w:tcW w:w="1950" w:type="dxa"/>
            <w:tcBorders>
              <w:top w:val="single" w:color="000000" w:sz="4" w:space="0"/>
              <w:left w:val="single" w:color="000000" w:sz="4" w:space="0"/>
              <w:bottom w:val="single" w:color="000000" w:sz="4" w:space="0"/>
              <w:right w:val="single" w:color="000000" w:sz="4" w:space="0"/>
            </w:tcBorders>
            <w:vAlign w:val="center"/>
          </w:tcPr>
          <w:p w14:paraId="13F1764D">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并联电容器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31541DB3">
            <w:pPr>
              <w:pStyle w:val="5"/>
              <w:rPr>
                <w:rFonts w:hint="eastAsia" w:ascii="宋体" w:hAnsi="宋体" w:eastAsia="宋体" w:cs="宋体"/>
                <w:sz w:val="21"/>
                <w:szCs w:val="21"/>
              </w:rPr>
            </w:pPr>
            <w:r>
              <w:rPr>
                <w:rFonts w:hint="eastAsia" w:ascii="宋体" w:hAnsi="宋体" w:eastAsia="宋体" w:cs="宋体"/>
                <w:b w:val="0"/>
                <w:bCs w:val="0"/>
                <w:sz w:val="21"/>
                <w:szCs w:val="21"/>
              </w:rPr>
              <w:t>BAM12/√3-200-1W或BAM12/√3-300-1W或BAM12/√3-334-1W(或按实际装置配置)</w:t>
            </w:r>
          </w:p>
        </w:tc>
        <w:tc>
          <w:tcPr>
            <w:tcW w:w="1144" w:type="dxa"/>
            <w:tcBorders>
              <w:top w:val="single" w:color="000000" w:sz="4" w:space="0"/>
              <w:left w:val="single" w:color="000000" w:sz="4" w:space="0"/>
              <w:bottom w:val="single" w:color="000000" w:sz="4" w:space="0"/>
              <w:right w:val="single" w:color="000000" w:sz="4" w:space="0"/>
            </w:tcBorders>
            <w:vAlign w:val="center"/>
          </w:tcPr>
          <w:p w14:paraId="030418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按需</w:t>
            </w:r>
          </w:p>
        </w:tc>
        <w:tc>
          <w:tcPr>
            <w:tcW w:w="2415" w:type="dxa"/>
            <w:tcBorders>
              <w:top w:val="single" w:color="000000" w:sz="4" w:space="0"/>
              <w:left w:val="single" w:color="000000" w:sz="4" w:space="0"/>
              <w:bottom w:val="single" w:color="000000" w:sz="4" w:space="0"/>
              <w:right w:val="single" w:color="000000" w:sz="4" w:space="0"/>
            </w:tcBorders>
            <w:vAlign w:val="center"/>
          </w:tcPr>
          <w:p w14:paraId="68FE02EE">
            <w:pPr>
              <w:pStyle w:val="5"/>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诺企、伊顿、柯贝尔、阿珂法、督凯提</w:t>
            </w:r>
          </w:p>
        </w:tc>
      </w:tr>
      <w:tr w14:paraId="3314CDCA">
        <w:tblPrEx>
          <w:tblCellMar>
            <w:top w:w="0" w:type="dxa"/>
            <w:left w:w="108" w:type="dxa"/>
            <w:bottom w:w="0" w:type="dxa"/>
            <w:right w:w="108" w:type="dxa"/>
          </w:tblCellMar>
        </w:tblPrEx>
        <w:trPr>
          <w:trHeight w:val="1337"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26FA21F6">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3</w:t>
            </w:r>
          </w:p>
        </w:tc>
        <w:tc>
          <w:tcPr>
            <w:tcW w:w="1950" w:type="dxa"/>
            <w:tcBorders>
              <w:top w:val="single" w:color="000000" w:sz="4" w:space="0"/>
              <w:left w:val="single" w:color="000000" w:sz="4" w:space="0"/>
              <w:bottom w:val="single" w:color="000000" w:sz="4" w:space="0"/>
              <w:right w:val="single" w:color="000000" w:sz="4" w:space="0"/>
            </w:tcBorders>
            <w:vAlign w:val="center"/>
          </w:tcPr>
          <w:p w14:paraId="64F5A79E">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抗谐型串联电抗器</w:t>
            </w:r>
          </w:p>
        </w:tc>
        <w:tc>
          <w:tcPr>
            <w:tcW w:w="25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2C3CA7">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干式铁芯/空心，电抗率5%~7%（根据谐波选型）</w:t>
            </w:r>
          </w:p>
          <w:p w14:paraId="1F1FADD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耐热等级</w:t>
            </w:r>
            <w:r>
              <w:rPr>
                <w:rFonts w:hint="eastAsia" w:ascii="宋体" w:hAnsi="宋体" w:eastAsia="宋体" w:cs="宋体"/>
                <w:b w:val="0"/>
                <w:bCs w:val="0"/>
                <w:color w:val="00B050"/>
                <w:sz w:val="21"/>
                <w:szCs w:val="21"/>
                <w:lang w:val="en-US" w:eastAsia="zh-CN"/>
              </w:rPr>
              <w:t>F</w:t>
            </w:r>
            <w:r>
              <w:rPr>
                <w:rFonts w:hint="eastAsia" w:ascii="宋体" w:hAnsi="宋体" w:eastAsia="宋体" w:cs="宋体"/>
                <w:b w:val="0"/>
                <w:bCs w:val="0"/>
                <w:sz w:val="21"/>
                <w:szCs w:val="21"/>
              </w:rPr>
              <w:t>级</w:t>
            </w:r>
          </w:p>
        </w:tc>
        <w:tc>
          <w:tcPr>
            <w:tcW w:w="114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5D8693">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1台</w:t>
            </w:r>
          </w:p>
        </w:tc>
        <w:tc>
          <w:tcPr>
            <w:tcW w:w="2415" w:type="dxa"/>
            <w:tcBorders>
              <w:top w:val="single" w:color="000000" w:sz="4" w:space="0"/>
              <w:left w:val="single" w:color="000000" w:sz="4" w:space="0"/>
              <w:bottom w:val="single" w:color="000000" w:sz="4" w:space="0"/>
              <w:right w:val="single" w:color="000000" w:sz="4" w:space="0"/>
            </w:tcBorders>
            <w:vAlign w:val="center"/>
          </w:tcPr>
          <w:p w14:paraId="28006AFA">
            <w:pPr>
              <w:pStyle w:val="5"/>
              <w:rPr>
                <w:rFonts w:hint="eastAsia" w:ascii="宋体" w:hAnsi="宋体" w:eastAsia="宋体" w:cs="宋体"/>
                <w:b w:val="0"/>
                <w:bCs w:val="0"/>
                <w:sz w:val="21"/>
                <w:szCs w:val="21"/>
              </w:rPr>
            </w:pPr>
            <w:r>
              <w:rPr>
                <w:rFonts w:hint="eastAsia" w:ascii="宋体" w:hAnsi="宋体" w:eastAsia="宋体" w:cs="宋体"/>
                <w:b w:val="0"/>
                <w:bCs w:val="0"/>
                <w:color w:val="000000" w:themeColor="text1"/>
                <w:sz w:val="21"/>
                <w:szCs w:val="21"/>
                <w:lang w:val="en-US" w:eastAsia="zh-CN"/>
                <w14:textFill>
                  <w14:solidFill>
                    <w14:schemeClr w14:val="tx1"/>
                  </w14:solidFill>
                </w14:textFill>
              </w:rPr>
              <w:t>诺企、伊顿、柯贝尔、阿珂法、督凯提</w:t>
            </w:r>
          </w:p>
        </w:tc>
      </w:tr>
      <w:tr w14:paraId="718D20B5">
        <w:tblPrEx>
          <w:tblCellMar>
            <w:top w:w="0" w:type="dxa"/>
            <w:left w:w="108" w:type="dxa"/>
            <w:bottom w:w="0" w:type="dxa"/>
            <w:right w:w="108" w:type="dxa"/>
          </w:tblCellMar>
        </w:tblPrEx>
        <w:trPr>
          <w:trHeight w:val="919"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40279779">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4</w:t>
            </w:r>
          </w:p>
        </w:tc>
        <w:tc>
          <w:tcPr>
            <w:tcW w:w="1950" w:type="dxa"/>
            <w:tcBorders>
              <w:top w:val="single" w:color="000000" w:sz="4" w:space="0"/>
              <w:left w:val="single" w:color="000000" w:sz="4" w:space="0"/>
              <w:bottom w:val="single" w:color="000000" w:sz="4" w:space="0"/>
              <w:right w:val="single" w:color="000000" w:sz="4" w:space="0"/>
            </w:tcBorders>
            <w:vAlign w:val="center"/>
          </w:tcPr>
          <w:p w14:paraId="49EAD5A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放电线圈</w:t>
            </w:r>
          </w:p>
        </w:tc>
        <w:tc>
          <w:tcPr>
            <w:tcW w:w="2591" w:type="dxa"/>
            <w:tcBorders>
              <w:top w:val="single" w:color="000000" w:sz="4" w:space="0"/>
              <w:left w:val="single" w:color="000000" w:sz="4" w:space="0"/>
              <w:bottom w:val="single" w:color="000000" w:sz="4" w:space="0"/>
              <w:right w:val="single" w:color="000000" w:sz="4" w:space="0"/>
            </w:tcBorders>
            <w:vAlign w:val="center"/>
          </w:tcPr>
          <w:p w14:paraId="511403B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环氧浇注式，剩余电压≤50V/5S</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精度0.5级</w:t>
            </w:r>
          </w:p>
        </w:tc>
        <w:tc>
          <w:tcPr>
            <w:tcW w:w="1144" w:type="dxa"/>
            <w:tcBorders>
              <w:top w:val="single" w:color="000000" w:sz="4" w:space="0"/>
              <w:left w:val="single" w:color="000000" w:sz="4" w:space="0"/>
              <w:bottom w:val="single" w:color="000000" w:sz="4" w:space="0"/>
              <w:right w:val="single" w:color="000000" w:sz="4" w:space="0"/>
            </w:tcBorders>
            <w:vAlign w:val="center"/>
          </w:tcPr>
          <w:p w14:paraId="07DF9AB1">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3只</w:t>
            </w:r>
          </w:p>
        </w:tc>
        <w:tc>
          <w:tcPr>
            <w:tcW w:w="2415" w:type="dxa"/>
            <w:tcBorders>
              <w:top w:val="single" w:color="000000" w:sz="4" w:space="0"/>
              <w:left w:val="single" w:color="000000" w:sz="4" w:space="0"/>
              <w:bottom w:val="single" w:color="000000" w:sz="4" w:space="0"/>
              <w:right w:val="single" w:color="000000" w:sz="4" w:space="0"/>
            </w:tcBorders>
            <w:vAlign w:val="center"/>
          </w:tcPr>
          <w:p w14:paraId="283E1A8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2F97A8C9">
        <w:tblPrEx>
          <w:tblCellMar>
            <w:top w:w="0" w:type="dxa"/>
            <w:left w:w="108" w:type="dxa"/>
            <w:bottom w:w="0" w:type="dxa"/>
            <w:right w:w="108" w:type="dxa"/>
          </w:tblCellMar>
        </w:tblPrEx>
        <w:trPr>
          <w:trHeight w:val="413"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4E2CB44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5</w:t>
            </w:r>
          </w:p>
        </w:tc>
        <w:tc>
          <w:tcPr>
            <w:tcW w:w="1950" w:type="dxa"/>
            <w:tcBorders>
              <w:top w:val="single" w:color="000000" w:sz="4" w:space="0"/>
              <w:left w:val="single" w:color="000000" w:sz="4" w:space="0"/>
              <w:bottom w:val="single" w:color="000000" w:sz="4" w:space="0"/>
              <w:right w:val="single" w:color="000000" w:sz="4" w:space="0"/>
            </w:tcBorders>
            <w:vAlign w:val="center"/>
          </w:tcPr>
          <w:p w14:paraId="240C7FED">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氧化锌避雷器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0E947E2B">
            <w:pPr>
              <w:pStyle w:val="5"/>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t>HY5WR-1</w:t>
            </w:r>
            <w:r>
              <w:rPr>
                <w:rFonts w:hint="eastAsia" w:ascii="宋体" w:hAnsi="宋体" w:eastAsia="宋体" w:cs="宋体"/>
                <w:b w:val="0"/>
                <w:bCs w:val="0"/>
                <w:color w:val="auto"/>
                <w:sz w:val="21"/>
                <w:szCs w:val="21"/>
                <w:lang w:val="en-US" w:eastAsia="zh-CN"/>
              </w:rPr>
              <w:t>7</w:t>
            </w:r>
            <w:r>
              <w:rPr>
                <w:rFonts w:hint="eastAsia" w:ascii="宋体" w:hAnsi="宋体" w:eastAsia="宋体" w:cs="宋体"/>
                <w:b w:val="0"/>
                <w:bCs w:val="0"/>
                <w:color w:val="auto"/>
                <w:sz w:val="21"/>
                <w:szCs w:val="21"/>
              </w:rPr>
              <w:t>/</w:t>
            </w:r>
            <w:r>
              <w:rPr>
                <w:rFonts w:hint="eastAsia" w:ascii="宋体" w:hAnsi="宋体" w:eastAsia="宋体" w:cs="宋体"/>
                <w:b w:val="0"/>
                <w:bCs w:val="0"/>
                <w:color w:val="auto"/>
                <w:sz w:val="21"/>
                <w:szCs w:val="21"/>
                <w:lang w:val="en-US" w:eastAsia="zh-CN"/>
              </w:rPr>
              <w:t>45</w:t>
            </w:r>
          </w:p>
        </w:tc>
        <w:tc>
          <w:tcPr>
            <w:tcW w:w="1144" w:type="dxa"/>
            <w:tcBorders>
              <w:top w:val="single" w:color="000000" w:sz="4" w:space="0"/>
              <w:left w:val="single" w:color="000000" w:sz="4" w:space="0"/>
              <w:bottom w:val="single" w:color="000000" w:sz="4" w:space="0"/>
              <w:right w:val="single" w:color="000000" w:sz="4" w:space="0"/>
            </w:tcBorders>
            <w:vAlign w:val="center"/>
          </w:tcPr>
          <w:p w14:paraId="71B8EDA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3只</w:t>
            </w:r>
          </w:p>
        </w:tc>
        <w:tc>
          <w:tcPr>
            <w:tcW w:w="2415" w:type="dxa"/>
            <w:tcBorders>
              <w:top w:val="single" w:color="000000" w:sz="4" w:space="0"/>
              <w:left w:val="single" w:color="000000" w:sz="4" w:space="0"/>
              <w:bottom w:val="single" w:color="000000" w:sz="4" w:space="0"/>
              <w:right w:val="single" w:color="000000" w:sz="4" w:space="0"/>
            </w:tcBorders>
            <w:vAlign w:val="center"/>
          </w:tcPr>
          <w:p w14:paraId="5E81AB5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4209DFCA">
        <w:tblPrEx>
          <w:tblCellMar>
            <w:top w:w="0" w:type="dxa"/>
            <w:left w:w="108" w:type="dxa"/>
            <w:bottom w:w="0" w:type="dxa"/>
            <w:right w:w="108" w:type="dxa"/>
          </w:tblCellMar>
        </w:tblPrEx>
        <w:trPr>
          <w:trHeight w:val="1874"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683301F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6</w:t>
            </w:r>
          </w:p>
        </w:tc>
        <w:tc>
          <w:tcPr>
            <w:tcW w:w="1950" w:type="dxa"/>
            <w:tcBorders>
              <w:top w:val="single" w:color="000000" w:sz="4" w:space="0"/>
              <w:left w:val="single" w:color="000000" w:sz="4" w:space="0"/>
              <w:bottom w:val="single" w:color="000000" w:sz="4" w:space="0"/>
              <w:right w:val="single" w:color="000000" w:sz="4" w:space="0"/>
            </w:tcBorders>
            <w:vAlign w:val="center"/>
          </w:tcPr>
          <w:p w14:paraId="07DFE7A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散热风扇及温控器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6EA4D2F0">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适配中高压系统，获得CE、ISO认证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防护等级：≥IP55，温控启停：内置温度传感器（阈值可调）</w:t>
            </w:r>
          </w:p>
        </w:tc>
        <w:tc>
          <w:tcPr>
            <w:tcW w:w="1144" w:type="dxa"/>
            <w:tcBorders>
              <w:top w:val="single" w:color="000000" w:sz="4" w:space="0"/>
              <w:left w:val="single" w:color="000000" w:sz="4" w:space="0"/>
              <w:bottom w:val="single" w:color="000000" w:sz="4" w:space="0"/>
              <w:right w:val="single" w:color="000000" w:sz="4" w:space="0"/>
            </w:tcBorders>
            <w:vAlign w:val="center"/>
          </w:tcPr>
          <w:p w14:paraId="443D24D8">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按需</w:t>
            </w:r>
            <w:bookmarkStart w:id="5" w:name="_GoBack"/>
            <w:bookmarkEnd w:id="5"/>
          </w:p>
        </w:tc>
        <w:tc>
          <w:tcPr>
            <w:tcW w:w="2415" w:type="dxa"/>
            <w:tcBorders>
              <w:top w:val="single" w:color="000000" w:sz="4" w:space="0"/>
              <w:left w:val="single" w:color="000000" w:sz="4" w:space="0"/>
              <w:bottom w:val="single" w:color="000000" w:sz="4" w:space="0"/>
              <w:right w:val="single" w:color="000000" w:sz="4" w:space="0"/>
            </w:tcBorders>
            <w:vAlign w:val="center"/>
          </w:tcPr>
          <w:p w14:paraId="78BB3C6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442B2300">
        <w:tblPrEx>
          <w:tblCellMar>
            <w:top w:w="0" w:type="dxa"/>
            <w:left w:w="108" w:type="dxa"/>
            <w:bottom w:w="0" w:type="dxa"/>
            <w:right w:w="108" w:type="dxa"/>
          </w:tblCellMar>
        </w:tblPrEx>
        <w:trPr>
          <w:trHeight w:val="412"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0FDB193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7</w:t>
            </w:r>
          </w:p>
        </w:tc>
        <w:tc>
          <w:tcPr>
            <w:tcW w:w="1950" w:type="dxa"/>
            <w:tcBorders>
              <w:top w:val="single" w:color="000000" w:sz="4" w:space="0"/>
              <w:left w:val="single" w:color="000000" w:sz="4" w:space="0"/>
              <w:bottom w:val="single" w:color="000000" w:sz="4" w:space="0"/>
              <w:right w:val="single" w:color="000000" w:sz="4" w:space="0"/>
            </w:tcBorders>
            <w:vAlign w:val="center"/>
          </w:tcPr>
          <w:p w14:paraId="6363C5E5">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电磁锁</w:t>
            </w:r>
          </w:p>
        </w:tc>
        <w:tc>
          <w:tcPr>
            <w:tcW w:w="2591" w:type="dxa"/>
            <w:tcBorders>
              <w:top w:val="single" w:color="000000" w:sz="4" w:space="0"/>
              <w:left w:val="single" w:color="000000" w:sz="4" w:space="0"/>
              <w:bottom w:val="single" w:color="000000" w:sz="4" w:space="0"/>
              <w:right w:val="single" w:color="000000" w:sz="4" w:space="0"/>
            </w:tcBorders>
            <w:vAlign w:val="center"/>
          </w:tcPr>
          <w:p w14:paraId="05ABDDC1">
            <w:pPr>
              <w:pStyle w:val="5"/>
              <w:rPr>
                <w:rFonts w:hint="eastAsia" w:ascii="宋体" w:hAnsi="宋体" w:eastAsia="宋体" w:cs="宋体"/>
                <w:b w:val="0"/>
                <w:bCs w:val="0"/>
                <w:strike/>
                <w:color w:val="FF0000"/>
                <w:sz w:val="21"/>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2D66D662">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按需</w:t>
            </w:r>
          </w:p>
        </w:tc>
        <w:tc>
          <w:tcPr>
            <w:tcW w:w="2415" w:type="dxa"/>
            <w:tcBorders>
              <w:top w:val="single" w:color="000000" w:sz="4" w:space="0"/>
              <w:left w:val="single" w:color="000000" w:sz="4" w:space="0"/>
              <w:bottom w:val="single" w:color="000000" w:sz="4" w:space="0"/>
              <w:right w:val="single" w:color="000000" w:sz="4" w:space="0"/>
            </w:tcBorders>
            <w:vAlign w:val="center"/>
          </w:tcPr>
          <w:p w14:paraId="5D3B39F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795F0669">
        <w:tblPrEx>
          <w:tblCellMar>
            <w:top w:w="0" w:type="dxa"/>
            <w:left w:w="108" w:type="dxa"/>
            <w:bottom w:w="0" w:type="dxa"/>
            <w:right w:w="108" w:type="dxa"/>
          </w:tblCellMar>
        </w:tblPrEx>
        <w:trPr>
          <w:trHeight w:val="471"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258D42EB">
            <w:pPr>
              <w:pStyle w:val="5"/>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000000" w:themeColor="text1"/>
                <w:sz w:val="21"/>
                <w:szCs w:val="21"/>
                <w14:textFill>
                  <w14:solidFill>
                    <w14:schemeClr w14:val="tx1"/>
                  </w14:solidFill>
                </w14:textFill>
              </w:rPr>
              <w:t>8</w:t>
            </w:r>
          </w:p>
        </w:tc>
        <w:tc>
          <w:tcPr>
            <w:tcW w:w="1950" w:type="dxa"/>
            <w:tcBorders>
              <w:top w:val="single" w:color="000000" w:sz="4" w:space="0"/>
              <w:left w:val="single" w:color="000000" w:sz="4" w:space="0"/>
              <w:bottom w:val="single" w:color="000000" w:sz="4" w:space="0"/>
              <w:right w:val="single" w:color="000000" w:sz="4" w:space="0"/>
            </w:tcBorders>
            <w:vAlign w:val="center"/>
          </w:tcPr>
          <w:p w14:paraId="374CFD20">
            <w:pPr>
              <w:pStyle w:val="5"/>
              <w:ind w:firstLine="0" w:firstLineChars="0"/>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auto"/>
                <w:sz w:val="21"/>
                <w:szCs w:val="21"/>
              </w:rPr>
              <w:t>弧光保护装置</w:t>
            </w:r>
          </w:p>
        </w:tc>
        <w:tc>
          <w:tcPr>
            <w:tcW w:w="2591" w:type="dxa"/>
            <w:tcBorders>
              <w:top w:val="single" w:color="000000" w:sz="4" w:space="0"/>
              <w:left w:val="single" w:color="000000" w:sz="4" w:space="0"/>
              <w:bottom w:val="single" w:color="000000" w:sz="4" w:space="0"/>
              <w:right w:val="single" w:color="000000" w:sz="4" w:space="0"/>
            </w:tcBorders>
            <w:vAlign w:val="center"/>
          </w:tcPr>
          <w:p w14:paraId="1F97809B">
            <w:pPr>
              <w:pStyle w:val="5"/>
              <w:ind w:firstLine="0" w:firstLineChars="0"/>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auto"/>
                <w:sz w:val="21"/>
                <w:szCs w:val="21"/>
              </w:rPr>
              <w:t>含烟感探头、弧光探头</w:t>
            </w:r>
          </w:p>
        </w:tc>
        <w:tc>
          <w:tcPr>
            <w:tcW w:w="1144" w:type="dxa"/>
            <w:tcBorders>
              <w:top w:val="single" w:color="000000" w:sz="4" w:space="0"/>
              <w:left w:val="single" w:color="000000" w:sz="4" w:space="0"/>
              <w:bottom w:val="single" w:color="000000" w:sz="4" w:space="0"/>
              <w:right w:val="single" w:color="000000" w:sz="4" w:space="0"/>
            </w:tcBorders>
            <w:vAlign w:val="center"/>
          </w:tcPr>
          <w:p w14:paraId="122D74D5">
            <w:pPr>
              <w:pStyle w:val="5"/>
              <w:ind w:firstLine="0" w:firstLineChars="0"/>
              <w:rPr>
                <w:rFonts w:hint="eastAsia" w:ascii="宋体" w:hAnsi="宋体" w:eastAsia="宋体" w:cs="宋体"/>
                <w:b w:val="0"/>
                <w:bCs w:val="0"/>
                <w:color w:val="000000" w:themeColor="text1"/>
                <w:sz w:val="21"/>
                <w:szCs w:val="21"/>
                <w14:textFill>
                  <w14:solidFill>
                    <w14:schemeClr w14:val="tx1"/>
                  </w14:solidFill>
                </w14:textFill>
              </w:rPr>
            </w:pPr>
            <w:r>
              <w:rPr>
                <w:rFonts w:hint="eastAsia" w:ascii="宋体" w:hAnsi="宋体" w:eastAsia="宋体" w:cs="宋体"/>
                <w:b w:val="0"/>
                <w:bCs w:val="0"/>
                <w:color w:val="auto"/>
                <w:sz w:val="21"/>
                <w:szCs w:val="21"/>
              </w:rPr>
              <w:t>1套</w:t>
            </w:r>
          </w:p>
        </w:tc>
        <w:tc>
          <w:tcPr>
            <w:tcW w:w="2415" w:type="dxa"/>
            <w:tcBorders>
              <w:top w:val="single" w:color="000000" w:sz="4" w:space="0"/>
              <w:left w:val="single" w:color="000000" w:sz="4" w:space="0"/>
              <w:bottom w:val="single" w:color="000000" w:sz="4" w:space="0"/>
              <w:right w:val="single" w:color="000000" w:sz="4" w:space="0"/>
            </w:tcBorders>
            <w:vAlign w:val="center"/>
          </w:tcPr>
          <w:p w14:paraId="74E7BD88">
            <w:pPr>
              <w:pStyle w:val="5"/>
              <w:ind w:firstLine="0" w:firstLineChars="0"/>
              <w:rPr>
                <w:rFonts w:hint="default" w:ascii="宋体" w:hAnsi="宋体" w:eastAsia="宋体" w:cs="宋体"/>
                <w:b w:val="0"/>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val="0"/>
                <w:color w:val="auto"/>
                <w:sz w:val="21"/>
                <w:szCs w:val="21"/>
                <w:lang w:val="en-US" w:eastAsia="zh-CN"/>
              </w:rPr>
              <w:t>原厂配套</w:t>
            </w:r>
          </w:p>
        </w:tc>
      </w:tr>
      <w:tr w14:paraId="55535284">
        <w:tblPrEx>
          <w:tblCellMar>
            <w:top w:w="0" w:type="dxa"/>
            <w:left w:w="108" w:type="dxa"/>
            <w:bottom w:w="0" w:type="dxa"/>
            <w:right w:w="108" w:type="dxa"/>
          </w:tblCellMar>
        </w:tblPrEx>
        <w:trPr>
          <w:trHeight w:val="47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45EA9D47">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9</w:t>
            </w:r>
          </w:p>
        </w:tc>
        <w:tc>
          <w:tcPr>
            <w:tcW w:w="1950" w:type="dxa"/>
            <w:tcBorders>
              <w:top w:val="single" w:color="000000" w:sz="4" w:space="0"/>
              <w:left w:val="single" w:color="000000" w:sz="4" w:space="0"/>
              <w:bottom w:val="single" w:color="000000" w:sz="4" w:space="0"/>
              <w:right w:val="single" w:color="000000" w:sz="4" w:space="0"/>
            </w:tcBorders>
            <w:vAlign w:val="center"/>
          </w:tcPr>
          <w:p w14:paraId="54A0844F">
            <w:pPr>
              <w:pStyle w:val="5"/>
              <w:ind w:firstLine="0" w:firstLineChars="0"/>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t>传感器</w:t>
            </w:r>
          </w:p>
        </w:tc>
        <w:tc>
          <w:tcPr>
            <w:tcW w:w="2591" w:type="dxa"/>
            <w:tcBorders>
              <w:top w:val="single" w:color="000000" w:sz="4" w:space="0"/>
              <w:left w:val="single" w:color="000000" w:sz="4" w:space="0"/>
              <w:bottom w:val="single" w:color="000000" w:sz="4" w:space="0"/>
              <w:right w:val="single" w:color="000000" w:sz="4" w:space="0"/>
            </w:tcBorders>
            <w:vAlign w:val="center"/>
          </w:tcPr>
          <w:p w14:paraId="2D00AA89">
            <w:pPr>
              <w:pStyle w:val="5"/>
              <w:ind w:firstLine="0" w:firstLineChars="0"/>
              <w:rPr>
                <w:rFonts w:hint="eastAsia" w:ascii="宋体" w:hAnsi="宋体" w:eastAsia="宋体" w:cs="宋体"/>
                <w:b w:val="0"/>
                <w:bCs w:val="0"/>
                <w:strike/>
                <w:sz w:val="21"/>
                <w:szCs w:val="21"/>
              </w:rPr>
            </w:pPr>
          </w:p>
        </w:tc>
        <w:tc>
          <w:tcPr>
            <w:tcW w:w="1144" w:type="dxa"/>
            <w:tcBorders>
              <w:top w:val="single" w:color="000000" w:sz="4" w:space="0"/>
              <w:left w:val="single" w:color="000000" w:sz="4" w:space="0"/>
              <w:bottom w:val="single" w:color="000000" w:sz="4" w:space="0"/>
              <w:right w:val="single" w:color="000000" w:sz="4" w:space="0"/>
            </w:tcBorders>
            <w:vAlign w:val="center"/>
          </w:tcPr>
          <w:p w14:paraId="0D9B0976">
            <w:pPr>
              <w:pStyle w:val="5"/>
              <w:ind w:firstLine="0" w:firstLineChars="0"/>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t>1套</w:t>
            </w:r>
          </w:p>
        </w:tc>
        <w:tc>
          <w:tcPr>
            <w:tcW w:w="2415" w:type="dxa"/>
            <w:tcBorders>
              <w:top w:val="single" w:color="000000" w:sz="4" w:space="0"/>
              <w:left w:val="single" w:color="000000" w:sz="4" w:space="0"/>
              <w:bottom w:val="single" w:color="000000" w:sz="4" w:space="0"/>
              <w:right w:val="single" w:color="000000" w:sz="4" w:space="0"/>
            </w:tcBorders>
            <w:vAlign w:val="center"/>
          </w:tcPr>
          <w:p w14:paraId="0FC6B67B">
            <w:pPr>
              <w:pStyle w:val="5"/>
              <w:ind w:firstLine="0" w:firstLineChars="0"/>
              <w:rPr>
                <w:rFonts w:hint="eastAsia" w:ascii="宋体" w:hAnsi="宋体" w:eastAsia="宋体" w:cs="宋体"/>
                <w:b w:val="0"/>
                <w:bCs w:val="0"/>
                <w:sz w:val="21"/>
                <w:szCs w:val="21"/>
              </w:rPr>
            </w:pPr>
            <w:r>
              <w:rPr>
                <w:rFonts w:hint="eastAsia" w:ascii="宋体" w:hAnsi="宋体" w:eastAsia="宋体" w:cs="宋体"/>
                <w:b w:val="0"/>
                <w:bCs w:val="0"/>
                <w:color w:val="auto"/>
                <w:sz w:val="21"/>
                <w:szCs w:val="21"/>
              </w:rPr>
              <w:t>国产优质</w:t>
            </w:r>
          </w:p>
        </w:tc>
      </w:tr>
      <w:tr w14:paraId="661D97E3">
        <w:tblPrEx>
          <w:tblCellMar>
            <w:top w:w="0" w:type="dxa"/>
            <w:left w:w="108" w:type="dxa"/>
            <w:bottom w:w="0" w:type="dxa"/>
            <w:right w:w="108" w:type="dxa"/>
          </w:tblCellMar>
        </w:tblPrEx>
        <w:trPr>
          <w:trHeight w:val="935"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789176E1">
            <w:pPr>
              <w:pStyle w:val="5"/>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rPr>
              <w:t>1</w:t>
            </w:r>
            <w:r>
              <w:rPr>
                <w:rFonts w:hint="eastAsia" w:ascii="宋体" w:hAnsi="宋体" w:eastAsia="宋体" w:cs="宋体"/>
                <w:b w:val="0"/>
                <w:bCs w:val="0"/>
                <w:sz w:val="21"/>
                <w:szCs w:val="21"/>
                <w:lang w:val="en-US" w:eastAsia="zh-CN"/>
              </w:rPr>
              <w:t>0</w:t>
            </w:r>
          </w:p>
        </w:tc>
        <w:tc>
          <w:tcPr>
            <w:tcW w:w="1950" w:type="dxa"/>
            <w:tcBorders>
              <w:top w:val="single" w:color="000000" w:sz="4" w:space="0"/>
              <w:left w:val="single" w:color="000000" w:sz="4" w:space="0"/>
              <w:bottom w:val="single" w:color="000000" w:sz="4" w:space="0"/>
              <w:right w:val="single" w:color="000000" w:sz="4" w:space="0"/>
            </w:tcBorders>
            <w:vAlign w:val="center"/>
          </w:tcPr>
          <w:p w14:paraId="7F8A8946">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柜体</w:t>
            </w:r>
          </w:p>
        </w:tc>
        <w:tc>
          <w:tcPr>
            <w:tcW w:w="2591" w:type="dxa"/>
            <w:tcBorders>
              <w:top w:val="single" w:color="000000" w:sz="4" w:space="0"/>
              <w:left w:val="single" w:color="000000" w:sz="4" w:space="0"/>
              <w:bottom w:val="single" w:color="000000" w:sz="4" w:space="0"/>
              <w:right w:val="single" w:color="000000" w:sz="4" w:space="0"/>
            </w:tcBorders>
            <w:vAlign w:val="center"/>
          </w:tcPr>
          <w:p w14:paraId="00C1463C">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防护等级IP3X，采用冷轧镀锌钢板+RAL7035喷涂。</w:t>
            </w:r>
          </w:p>
        </w:tc>
        <w:tc>
          <w:tcPr>
            <w:tcW w:w="1144" w:type="dxa"/>
            <w:tcBorders>
              <w:top w:val="single" w:color="000000" w:sz="4" w:space="0"/>
              <w:left w:val="single" w:color="000000" w:sz="4" w:space="0"/>
              <w:bottom w:val="single" w:color="000000" w:sz="4" w:space="0"/>
              <w:right w:val="single" w:color="000000" w:sz="4" w:space="0"/>
            </w:tcBorders>
            <w:vAlign w:val="center"/>
          </w:tcPr>
          <w:p w14:paraId="11B00C65">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按现场尺寸制作</w:t>
            </w:r>
          </w:p>
        </w:tc>
        <w:tc>
          <w:tcPr>
            <w:tcW w:w="2415" w:type="dxa"/>
            <w:tcBorders>
              <w:top w:val="single" w:color="000000" w:sz="4" w:space="0"/>
              <w:left w:val="single" w:color="000000" w:sz="4" w:space="0"/>
              <w:bottom w:val="single" w:color="000000" w:sz="4" w:space="0"/>
              <w:right w:val="single" w:color="000000" w:sz="4" w:space="0"/>
            </w:tcBorders>
            <w:vAlign w:val="center"/>
          </w:tcPr>
          <w:p w14:paraId="29D832B2">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r w14:paraId="4FB6166B">
        <w:tblPrEx>
          <w:tblCellMar>
            <w:top w:w="0" w:type="dxa"/>
            <w:left w:w="108" w:type="dxa"/>
            <w:bottom w:w="0" w:type="dxa"/>
            <w:right w:w="108" w:type="dxa"/>
          </w:tblCellMar>
        </w:tblPrEx>
        <w:trPr>
          <w:trHeight w:val="866" w:hRule="exact"/>
          <w:jc w:val="center"/>
        </w:trPr>
        <w:tc>
          <w:tcPr>
            <w:tcW w:w="841" w:type="dxa"/>
            <w:tcBorders>
              <w:top w:val="single" w:color="000000" w:sz="4" w:space="0"/>
              <w:left w:val="single" w:color="000000" w:sz="4" w:space="0"/>
              <w:bottom w:val="single" w:color="000000" w:sz="4" w:space="0"/>
              <w:right w:val="single" w:color="000000" w:sz="4" w:space="0"/>
            </w:tcBorders>
            <w:vAlign w:val="center"/>
          </w:tcPr>
          <w:p w14:paraId="1858D105">
            <w:pPr>
              <w:pStyle w:val="5"/>
              <w:rPr>
                <w:rFonts w:hint="default" w:ascii="宋体" w:hAnsi="宋体" w:eastAsia="宋体" w:cs="宋体"/>
                <w:b w:val="0"/>
                <w:bCs w:val="0"/>
                <w:sz w:val="21"/>
                <w:szCs w:val="21"/>
                <w:lang w:val="en-US" w:eastAsia="zh-CN"/>
              </w:rPr>
            </w:pPr>
            <w:r>
              <w:rPr>
                <w:rFonts w:hint="eastAsia" w:ascii="宋体" w:hAnsi="宋体" w:eastAsia="宋体" w:cs="宋体"/>
                <w:b w:val="0"/>
                <w:bCs w:val="0"/>
                <w:sz w:val="21"/>
                <w:szCs w:val="21"/>
                <w:lang w:val="en-US" w:eastAsia="zh-CN"/>
              </w:rPr>
              <w:t>11</w:t>
            </w:r>
          </w:p>
        </w:tc>
        <w:tc>
          <w:tcPr>
            <w:tcW w:w="1950" w:type="dxa"/>
            <w:tcBorders>
              <w:top w:val="single" w:color="000000" w:sz="4" w:space="0"/>
              <w:left w:val="single" w:color="000000" w:sz="4" w:space="0"/>
              <w:bottom w:val="single" w:color="000000" w:sz="4" w:space="0"/>
              <w:right w:val="single" w:color="000000" w:sz="4" w:space="0"/>
            </w:tcBorders>
            <w:vAlign w:val="center"/>
          </w:tcPr>
          <w:p w14:paraId="22577E0A">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附件</w:t>
            </w:r>
          </w:p>
        </w:tc>
        <w:tc>
          <w:tcPr>
            <w:tcW w:w="2591" w:type="dxa"/>
            <w:tcBorders>
              <w:top w:val="single" w:color="000000" w:sz="4" w:space="0"/>
              <w:left w:val="single" w:color="000000" w:sz="4" w:space="0"/>
              <w:bottom w:val="single" w:color="000000" w:sz="4" w:space="0"/>
              <w:right w:val="single" w:color="000000" w:sz="4" w:space="0"/>
            </w:tcBorders>
            <w:vAlign w:val="center"/>
          </w:tcPr>
          <w:p w14:paraId="118B1B94">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绝缘子，铜母排，控制电缆等辅料</w:t>
            </w:r>
          </w:p>
        </w:tc>
        <w:tc>
          <w:tcPr>
            <w:tcW w:w="1144" w:type="dxa"/>
            <w:tcBorders>
              <w:top w:val="single" w:color="000000" w:sz="4" w:space="0"/>
              <w:left w:val="single" w:color="000000" w:sz="4" w:space="0"/>
              <w:bottom w:val="single" w:color="000000" w:sz="4" w:space="0"/>
              <w:right w:val="single" w:color="000000" w:sz="4" w:space="0"/>
            </w:tcBorders>
            <w:vAlign w:val="center"/>
          </w:tcPr>
          <w:p w14:paraId="20ADBD5B">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1批</w:t>
            </w:r>
          </w:p>
        </w:tc>
        <w:tc>
          <w:tcPr>
            <w:tcW w:w="2415" w:type="dxa"/>
            <w:tcBorders>
              <w:top w:val="single" w:color="000000" w:sz="4" w:space="0"/>
              <w:left w:val="single" w:color="000000" w:sz="4" w:space="0"/>
              <w:bottom w:val="single" w:color="000000" w:sz="4" w:space="0"/>
              <w:right w:val="single" w:color="000000" w:sz="4" w:space="0"/>
            </w:tcBorders>
            <w:vAlign w:val="center"/>
          </w:tcPr>
          <w:p w14:paraId="44461590">
            <w:pPr>
              <w:pStyle w:val="5"/>
              <w:rPr>
                <w:rFonts w:hint="eastAsia" w:ascii="宋体" w:hAnsi="宋体" w:eastAsia="宋体" w:cs="宋体"/>
                <w:b w:val="0"/>
                <w:bCs w:val="0"/>
                <w:sz w:val="21"/>
                <w:szCs w:val="21"/>
              </w:rPr>
            </w:pPr>
            <w:r>
              <w:rPr>
                <w:rFonts w:hint="eastAsia" w:ascii="宋体" w:hAnsi="宋体" w:eastAsia="宋体" w:cs="宋体"/>
                <w:b w:val="0"/>
                <w:bCs w:val="0"/>
                <w:sz w:val="21"/>
                <w:szCs w:val="21"/>
              </w:rPr>
              <w:t>国产优质</w:t>
            </w:r>
          </w:p>
        </w:tc>
      </w:tr>
    </w:tbl>
    <w:p w14:paraId="1786F04C">
      <w:pPr>
        <w:pStyle w:val="5"/>
        <w:ind w:firstLine="562" w:firstLineChars="200"/>
        <w:rPr>
          <w:rFonts w:hint="eastAsia" w:ascii="宋体" w:hAnsi="宋体" w:eastAsia="宋体" w:cs="宋体"/>
          <w:sz w:val="28"/>
          <w:szCs w:val="28"/>
        </w:rPr>
      </w:pPr>
      <w:r>
        <w:rPr>
          <w:rFonts w:hint="eastAsia" w:ascii="宋体" w:hAnsi="宋体" w:eastAsia="宋体" w:cs="宋体"/>
          <w:sz w:val="28"/>
          <w:szCs w:val="28"/>
        </w:rPr>
        <w:t>以上只是部分主要元器件，卖方必须提供保障成套装置正常操作、运行的所有元器件及必须的工具。</w:t>
      </w:r>
    </w:p>
    <w:p w14:paraId="2EBD5CE4">
      <w:pPr>
        <w:pStyle w:val="5"/>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 xml:space="preserve">. 质量保证与试验 </w:t>
      </w:r>
    </w:p>
    <w:p w14:paraId="31A16308">
      <w:pPr>
        <w:pStyle w:val="6"/>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 xml:space="preserve">.1 质量要求  </w:t>
      </w:r>
    </w:p>
    <w:p w14:paraId="1760F955">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卖方需提供ISO 9001/14001/45001体系认证，关键部件品牌及试验报告。  </w:t>
      </w:r>
    </w:p>
    <w:p w14:paraId="7E49FA08">
      <w:pPr>
        <w:pStyle w:val="6"/>
        <w:rPr>
          <w:rFonts w:hint="eastAsia" w:ascii="宋体" w:hAnsi="宋体" w:eastAsia="宋体" w:cs="宋体"/>
          <w:sz w:val="28"/>
          <w:szCs w:val="28"/>
        </w:rPr>
      </w:pPr>
      <w:r>
        <w:rPr>
          <w:rFonts w:hint="eastAsia" w:ascii="宋体" w:hAnsi="宋体" w:eastAsia="宋体" w:cs="宋体"/>
          <w:sz w:val="28"/>
          <w:szCs w:val="28"/>
          <w:lang w:val="en-US" w:eastAsia="zh-CN"/>
        </w:rPr>
        <w:t>7</w:t>
      </w:r>
      <w:r>
        <w:rPr>
          <w:rFonts w:hint="eastAsia" w:ascii="宋体" w:hAnsi="宋体" w:eastAsia="宋体" w:cs="宋体"/>
          <w:sz w:val="28"/>
          <w:szCs w:val="28"/>
        </w:rPr>
        <w:t xml:space="preserve">.2 试验要求 </w:t>
      </w:r>
    </w:p>
    <w:p w14:paraId="770A0209">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出厂试验：组装后全项目测试，提供数据报告。  </w:t>
      </w:r>
    </w:p>
    <w:p w14:paraId="55FCFA4C">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现场试验：按DL/T 604执行，验收合格后交付。</w:t>
      </w:r>
    </w:p>
    <w:p w14:paraId="651B0628">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外观检查；</w:t>
      </w:r>
    </w:p>
    <w:p w14:paraId="58C8107C">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电器检验；</w:t>
      </w:r>
    </w:p>
    <w:p w14:paraId="0E2D4ABA">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电容测量；</w:t>
      </w:r>
    </w:p>
    <w:p w14:paraId="7A9887B3">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电感测量；</w:t>
      </w:r>
    </w:p>
    <w:p w14:paraId="489ADED4">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工频耐压试验；</w:t>
      </w:r>
    </w:p>
    <w:p w14:paraId="78634E25">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投切试验；</w:t>
      </w:r>
    </w:p>
    <w:p w14:paraId="14B9C732">
      <w:pPr>
        <w:pStyle w:val="3"/>
        <w:numPr>
          <w:ilvl w:val="0"/>
          <w:numId w:val="5"/>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保护装置试验；</w:t>
      </w:r>
    </w:p>
    <w:p w14:paraId="361B966B">
      <w:pPr>
        <w:pStyle w:val="5"/>
        <w:rPr>
          <w:rFonts w:hint="eastAsia" w:ascii="宋体" w:hAnsi="宋体" w:eastAsia="宋体" w:cs="宋体"/>
          <w:sz w:val="28"/>
          <w:szCs w:val="28"/>
        </w:rPr>
      </w:pPr>
      <w:r>
        <w:rPr>
          <w:rFonts w:hint="eastAsia" w:ascii="宋体" w:hAnsi="宋体" w:eastAsia="宋体" w:cs="宋体"/>
          <w:sz w:val="28"/>
          <w:szCs w:val="28"/>
          <w:lang w:val="en-US" w:eastAsia="zh-CN"/>
        </w:rPr>
        <w:t>8</w:t>
      </w:r>
      <w:r>
        <w:rPr>
          <w:rFonts w:hint="eastAsia" w:ascii="宋体" w:hAnsi="宋体" w:eastAsia="宋体" w:cs="宋体"/>
          <w:sz w:val="28"/>
          <w:szCs w:val="28"/>
        </w:rPr>
        <w:t>. 技术服务</w:t>
      </w:r>
    </w:p>
    <w:p w14:paraId="5B6644C3">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提供设计图纸（电气原理图、接线图等）及技术交底。  </w:t>
      </w:r>
    </w:p>
    <w:p w14:paraId="7D68C806">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 xml:space="preserve">免费指导安装调试，配合联调及试运行。  </w:t>
      </w:r>
    </w:p>
    <w:p w14:paraId="37CE908E">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保修期3年，终身技术支持。</w:t>
      </w:r>
    </w:p>
    <w:p w14:paraId="0A8C7387">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本次更新</w:t>
      </w:r>
      <w:r>
        <w:rPr>
          <w:rFonts w:hint="eastAsia"/>
          <w:sz w:val="28"/>
          <w:szCs w:val="28"/>
          <w:lang w:val="zh-CN"/>
        </w:rPr>
        <w:t>项目</w:t>
      </w:r>
      <w:r>
        <w:rPr>
          <w:rFonts w:hint="eastAsia"/>
          <w:sz w:val="28"/>
          <w:szCs w:val="28"/>
        </w:rPr>
        <w:t>采购10kV户内柜式</w:t>
      </w:r>
      <w:r>
        <w:rPr>
          <w:rFonts w:hint="eastAsia"/>
          <w:sz w:val="28"/>
          <w:szCs w:val="28"/>
          <w:lang w:val="zh-CN"/>
        </w:rPr>
        <w:t>无功补偿成套装置，</w:t>
      </w:r>
      <w:r>
        <w:rPr>
          <w:rFonts w:hint="eastAsia"/>
          <w:sz w:val="28"/>
          <w:szCs w:val="28"/>
        </w:rPr>
        <w:t>供货包含设计，调试，直至供电24小时无异常。</w:t>
      </w:r>
    </w:p>
    <w:p w14:paraId="4938B0A6">
      <w:pPr>
        <w:pStyle w:val="3"/>
        <w:numPr>
          <w:ilvl w:val="0"/>
          <w:numId w:val="6"/>
        </w:numPr>
        <w:pBdr>
          <w:top w:val="none" w:color="auto" w:sz="0" w:space="1"/>
          <w:left w:val="none" w:color="auto" w:sz="0" w:space="4"/>
          <w:bottom w:val="none" w:color="auto" w:sz="0" w:space="1"/>
          <w:right w:val="none" w:color="auto" w:sz="0" w:space="4"/>
        </w:pBdr>
        <w:ind w:firstLineChars="0"/>
        <w:rPr>
          <w:rFonts w:hint="eastAsia"/>
          <w:sz w:val="28"/>
          <w:szCs w:val="28"/>
        </w:rPr>
      </w:pPr>
      <w:r>
        <w:rPr>
          <w:rFonts w:hint="eastAsia"/>
          <w:sz w:val="28"/>
          <w:szCs w:val="28"/>
        </w:rPr>
        <w:t>报价厂商于报价时,必须提供下列各项数据给业主审核:</w:t>
      </w:r>
    </w:p>
    <w:p w14:paraId="1EDDA966">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补偿柜内材料清单明细及品牌。</w:t>
      </w:r>
    </w:p>
    <w:p w14:paraId="38B86068">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补偿柜外形尺寸图及认证报告。</w:t>
      </w:r>
    </w:p>
    <w:p w14:paraId="14575205">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主器件电容电抗控制器规格说明。</w:t>
      </w:r>
    </w:p>
    <w:p w14:paraId="74F2544B">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订购后提供图纸与数据进行交底确认后方可制作。</w:t>
      </w:r>
    </w:p>
    <w:p w14:paraId="0F98B038">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其它本公司认为需要的数据。  </w:t>
      </w:r>
    </w:p>
    <w:p w14:paraId="6FAD0844">
      <w:pPr>
        <w:pStyle w:val="5"/>
        <w:numPr>
          <w:numId w:val="0"/>
        </w:numPr>
        <w:rPr>
          <w:rFonts w:hint="eastAsia" w:ascii="宋体" w:hAnsi="宋体" w:eastAsia="宋体" w:cs="宋体"/>
          <w:sz w:val="28"/>
          <w:szCs w:val="28"/>
        </w:rPr>
      </w:pPr>
      <w:r>
        <w:rPr>
          <w:rFonts w:hint="eastAsia" w:ascii="宋体" w:hAnsi="宋体" w:eastAsia="宋体" w:cs="宋体"/>
          <w:sz w:val="28"/>
          <w:szCs w:val="28"/>
          <w:lang w:val="en-US" w:eastAsia="zh-CN"/>
        </w:rPr>
        <w:t>9.</w:t>
      </w:r>
      <w:r>
        <w:rPr>
          <w:rFonts w:hint="eastAsia" w:ascii="宋体" w:hAnsi="宋体" w:eastAsia="宋体" w:cs="宋体"/>
          <w:sz w:val="28"/>
          <w:szCs w:val="28"/>
        </w:rPr>
        <w:t>文件交付</w:t>
      </w:r>
    </w:p>
    <w:p w14:paraId="5C23142F">
      <w:pPr>
        <w:pStyle w:val="3"/>
        <w:pBdr>
          <w:top w:val="none" w:color="auto" w:sz="0" w:space="1"/>
          <w:left w:val="none" w:color="auto" w:sz="0" w:space="4"/>
          <w:bottom w:val="none" w:color="auto" w:sz="0" w:space="1"/>
          <w:right w:val="none" w:color="auto" w:sz="0" w:space="4"/>
        </w:pBdr>
        <w:ind w:firstLine="0" w:firstLineChars="0"/>
        <w:rPr>
          <w:rFonts w:hint="eastAsia"/>
          <w:sz w:val="28"/>
          <w:szCs w:val="28"/>
        </w:rPr>
      </w:pPr>
      <w:r>
        <w:rPr>
          <w:rFonts w:hint="eastAsia"/>
          <w:sz w:val="28"/>
          <w:szCs w:val="28"/>
        </w:rPr>
        <w:t xml:space="preserve">供货清单、认证报告、图纸、元器件品牌、合格证及出厂试验报告（纸质3份+电子版）。  </w:t>
      </w:r>
    </w:p>
    <w:p w14:paraId="48CA361A">
      <w:pPr>
        <w:pStyle w:val="5"/>
        <w:rPr>
          <w:rFonts w:hint="eastAsia" w:ascii="宋体" w:hAnsi="宋体" w:eastAsia="宋体" w:cs="宋体"/>
          <w:b w:val="0"/>
          <w:bCs w:val="0"/>
          <w:sz w:val="28"/>
          <w:szCs w:val="28"/>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800" w:header="851" w:footer="992" w:gutter="0"/>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5BF834">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65B9D">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CA964">
    <w:pPr>
      <w:pStyle w:val="10"/>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1305F">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01E8E5">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4DA114">
    <w:pPr>
      <w:pStyle w:val="1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B2A136"/>
    <w:multiLevelType w:val="singleLevel"/>
    <w:tmpl w:val="9BB2A136"/>
    <w:lvl w:ilvl="0" w:tentative="0">
      <w:start w:val="1"/>
      <w:numFmt w:val="decimal"/>
      <w:lvlText w:val="%1)"/>
      <w:lvlJc w:val="left"/>
      <w:pPr>
        <w:ind w:left="425" w:hanging="425"/>
      </w:pPr>
      <w:rPr>
        <w:rFonts w:hint="default"/>
      </w:rPr>
    </w:lvl>
  </w:abstractNum>
  <w:abstractNum w:abstractNumId="1">
    <w:nsid w:val="DF0B62FF"/>
    <w:multiLevelType w:val="singleLevel"/>
    <w:tmpl w:val="DF0B62FF"/>
    <w:lvl w:ilvl="0" w:tentative="0">
      <w:start w:val="1"/>
      <w:numFmt w:val="decimal"/>
      <w:lvlText w:val="%1)"/>
      <w:lvlJc w:val="left"/>
      <w:pPr>
        <w:ind w:left="425" w:hanging="425"/>
      </w:pPr>
      <w:rPr>
        <w:rFonts w:hint="default"/>
      </w:rPr>
    </w:lvl>
  </w:abstractNum>
  <w:abstractNum w:abstractNumId="2">
    <w:nsid w:val="F7B17B2E"/>
    <w:multiLevelType w:val="singleLevel"/>
    <w:tmpl w:val="F7B17B2E"/>
    <w:lvl w:ilvl="0" w:tentative="0">
      <w:start w:val="1"/>
      <w:numFmt w:val="decimal"/>
      <w:lvlText w:val="%1)"/>
      <w:lvlJc w:val="left"/>
      <w:pPr>
        <w:ind w:left="425" w:hanging="425"/>
      </w:pPr>
      <w:rPr>
        <w:rFonts w:hint="default"/>
      </w:rPr>
    </w:lvl>
  </w:abstractNum>
  <w:abstractNum w:abstractNumId="3">
    <w:nsid w:val="1B4318B7"/>
    <w:multiLevelType w:val="singleLevel"/>
    <w:tmpl w:val="1B4318B7"/>
    <w:lvl w:ilvl="0" w:tentative="0">
      <w:start w:val="1"/>
      <w:numFmt w:val="decimal"/>
      <w:lvlText w:val="%1)"/>
      <w:lvlJc w:val="left"/>
      <w:pPr>
        <w:ind w:left="425" w:hanging="425"/>
      </w:pPr>
      <w:rPr>
        <w:rFonts w:hint="default"/>
      </w:rPr>
    </w:lvl>
  </w:abstractNum>
  <w:abstractNum w:abstractNumId="4">
    <w:nsid w:val="5B580002"/>
    <w:multiLevelType w:val="multilevel"/>
    <w:tmpl w:val="5B580002"/>
    <w:lvl w:ilvl="0" w:tentative="0">
      <w:start w:val="1"/>
      <w:numFmt w:val="lowerLetter"/>
      <w:lvlText w:val="%1)"/>
      <w:lvlJc w:val="left"/>
      <w:pPr>
        <w:ind w:left="440" w:hanging="440"/>
      </w:pPr>
      <w:rPr>
        <w:rFonts w:hint="default"/>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3069DC7"/>
    <w:multiLevelType w:val="singleLevel"/>
    <w:tmpl w:val="63069DC7"/>
    <w:lvl w:ilvl="0" w:tentative="0">
      <w:start w:val="3"/>
      <w:numFmt w:val="decimal"/>
      <w:lvlText w:val="%1."/>
      <w:lvlJc w:val="left"/>
      <w:pPr>
        <w:tabs>
          <w:tab w:val="left" w:pos="312"/>
        </w:tabs>
      </w:p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U4NmVmMTU2MDM2OGI2YzM5YWY5ODJlYTlmNjY1YTcifQ=="/>
  </w:docVars>
  <w:rsids>
    <w:rsidRoot w:val="00172A27"/>
    <w:rsid w:val="00044BF3"/>
    <w:rsid w:val="00056A7D"/>
    <w:rsid w:val="00072895"/>
    <w:rsid w:val="00080126"/>
    <w:rsid w:val="00094ED8"/>
    <w:rsid w:val="000A0AD8"/>
    <w:rsid w:val="000A1446"/>
    <w:rsid w:val="000F18E1"/>
    <w:rsid w:val="001007F4"/>
    <w:rsid w:val="001013AB"/>
    <w:rsid w:val="001255F1"/>
    <w:rsid w:val="00134777"/>
    <w:rsid w:val="00160644"/>
    <w:rsid w:val="00166AF8"/>
    <w:rsid w:val="00172A27"/>
    <w:rsid w:val="00185995"/>
    <w:rsid w:val="001A4612"/>
    <w:rsid w:val="001F52B2"/>
    <w:rsid w:val="001F7EA1"/>
    <w:rsid w:val="00236983"/>
    <w:rsid w:val="002D1078"/>
    <w:rsid w:val="002D7C76"/>
    <w:rsid w:val="002E37D9"/>
    <w:rsid w:val="002F61B6"/>
    <w:rsid w:val="00303B37"/>
    <w:rsid w:val="00331393"/>
    <w:rsid w:val="00384364"/>
    <w:rsid w:val="003B3C75"/>
    <w:rsid w:val="003F7568"/>
    <w:rsid w:val="00413188"/>
    <w:rsid w:val="00514B4C"/>
    <w:rsid w:val="00542664"/>
    <w:rsid w:val="00543ADB"/>
    <w:rsid w:val="00547F44"/>
    <w:rsid w:val="00556A6F"/>
    <w:rsid w:val="00565AD4"/>
    <w:rsid w:val="005A316F"/>
    <w:rsid w:val="0060756D"/>
    <w:rsid w:val="006171B6"/>
    <w:rsid w:val="00644FEA"/>
    <w:rsid w:val="00653555"/>
    <w:rsid w:val="00671074"/>
    <w:rsid w:val="006719B8"/>
    <w:rsid w:val="006A56BA"/>
    <w:rsid w:val="006B5174"/>
    <w:rsid w:val="006C0D4E"/>
    <w:rsid w:val="006E18FB"/>
    <w:rsid w:val="006F283C"/>
    <w:rsid w:val="006F684A"/>
    <w:rsid w:val="00732928"/>
    <w:rsid w:val="007867C4"/>
    <w:rsid w:val="007B167C"/>
    <w:rsid w:val="008133FA"/>
    <w:rsid w:val="00833330"/>
    <w:rsid w:val="00862198"/>
    <w:rsid w:val="0087108B"/>
    <w:rsid w:val="00876DD8"/>
    <w:rsid w:val="00897375"/>
    <w:rsid w:val="008A2904"/>
    <w:rsid w:val="008A2A1C"/>
    <w:rsid w:val="008F4C1C"/>
    <w:rsid w:val="008F4E78"/>
    <w:rsid w:val="00970C7F"/>
    <w:rsid w:val="00972365"/>
    <w:rsid w:val="009939CE"/>
    <w:rsid w:val="009C512B"/>
    <w:rsid w:val="009E50F8"/>
    <w:rsid w:val="00A13B93"/>
    <w:rsid w:val="00A25CDC"/>
    <w:rsid w:val="00A63D76"/>
    <w:rsid w:val="00A8446B"/>
    <w:rsid w:val="00AD2A44"/>
    <w:rsid w:val="00AE61E4"/>
    <w:rsid w:val="00B171D9"/>
    <w:rsid w:val="00B17F9E"/>
    <w:rsid w:val="00B35C48"/>
    <w:rsid w:val="00B37441"/>
    <w:rsid w:val="00B45428"/>
    <w:rsid w:val="00B946C4"/>
    <w:rsid w:val="00BC70BE"/>
    <w:rsid w:val="00BE6BF4"/>
    <w:rsid w:val="00C74AC6"/>
    <w:rsid w:val="00C840C3"/>
    <w:rsid w:val="00CD59E3"/>
    <w:rsid w:val="00CE32C5"/>
    <w:rsid w:val="00CF0ED4"/>
    <w:rsid w:val="00CF4F6F"/>
    <w:rsid w:val="00D242D7"/>
    <w:rsid w:val="00D52490"/>
    <w:rsid w:val="00D7720C"/>
    <w:rsid w:val="00DD5242"/>
    <w:rsid w:val="00E4687A"/>
    <w:rsid w:val="00E56CA2"/>
    <w:rsid w:val="00E66153"/>
    <w:rsid w:val="00E70AEE"/>
    <w:rsid w:val="00E9680C"/>
    <w:rsid w:val="00EA2A15"/>
    <w:rsid w:val="00ED669D"/>
    <w:rsid w:val="00EE2B24"/>
    <w:rsid w:val="00EE3EB3"/>
    <w:rsid w:val="00F45DC5"/>
    <w:rsid w:val="00F8517F"/>
    <w:rsid w:val="00FE01FF"/>
    <w:rsid w:val="00FE6740"/>
    <w:rsid w:val="00FF04EB"/>
    <w:rsid w:val="00FF5345"/>
    <w:rsid w:val="00FF6BA8"/>
    <w:rsid w:val="01B425A8"/>
    <w:rsid w:val="025739FF"/>
    <w:rsid w:val="02F44431"/>
    <w:rsid w:val="03E20205"/>
    <w:rsid w:val="03E71A6B"/>
    <w:rsid w:val="03F74095"/>
    <w:rsid w:val="03FA6D38"/>
    <w:rsid w:val="041B280B"/>
    <w:rsid w:val="043D3031"/>
    <w:rsid w:val="04C16CC0"/>
    <w:rsid w:val="055A5B47"/>
    <w:rsid w:val="0580326D"/>
    <w:rsid w:val="05DC7E75"/>
    <w:rsid w:val="0678628B"/>
    <w:rsid w:val="075A3B1D"/>
    <w:rsid w:val="078A47D4"/>
    <w:rsid w:val="0795441A"/>
    <w:rsid w:val="07A019A5"/>
    <w:rsid w:val="07DB1465"/>
    <w:rsid w:val="07DE3CE0"/>
    <w:rsid w:val="088F1321"/>
    <w:rsid w:val="08C571E9"/>
    <w:rsid w:val="08D87A33"/>
    <w:rsid w:val="0943507A"/>
    <w:rsid w:val="09683F3C"/>
    <w:rsid w:val="09AB6691"/>
    <w:rsid w:val="09C35E1E"/>
    <w:rsid w:val="09EA6F07"/>
    <w:rsid w:val="0A165F4E"/>
    <w:rsid w:val="0AE92D69"/>
    <w:rsid w:val="0B1A3488"/>
    <w:rsid w:val="0BEB22A3"/>
    <w:rsid w:val="0C395F24"/>
    <w:rsid w:val="0CE8202A"/>
    <w:rsid w:val="0D323FE6"/>
    <w:rsid w:val="0D3537E5"/>
    <w:rsid w:val="0D366374"/>
    <w:rsid w:val="0D4026D6"/>
    <w:rsid w:val="0D4E59FF"/>
    <w:rsid w:val="0D584ACF"/>
    <w:rsid w:val="0DCB3EAD"/>
    <w:rsid w:val="0E213113"/>
    <w:rsid w:val="0E782D35"/>
    <w:rsid w:val="0E947D89"/>
    <w:rsid w:val="0EBA67D5"/>
    <w:rsid w:val="0F381328"/>
    <w:rsid w:val="0F5868DC"/>
    <w:rsid w:val="0F6316C6"/>
    <w:rsid w:val="0FCC70AF"/>
    <w:rsid w:val="107053C2"/>
    <w:rsid w:val="10A047C3"/>
    <w:rsid w:val="10F36003"/>
    <w:rsid w:val="11267647"/>
    <w:rsid w:val="114C11B5"/>
    <w:rsid w:val="116700C5"/>
    <w:rsid w:val="117B706D"/>
    <w:rsid w:val="120D2C1C"/>
    <w:rsid w:val="127001C5"/>
    <w:rsid w:val="13816F5C"/>
    <w:rsid w:val="13904712"/>
    <w:rsid w:val="13B67184"/>
    <w:rsid w:val="14AF76CB"/>
    <w:rsid w:val="14CD628D"/>
    <w:rsid w:val="14D34FBE"/>
    <w:rsid w:val="150A1B37"/>
    <w:rsid w:val="15235A1A"/>
    <w:rsid w:val="15A02F9E"/>
    <w:rsid w:val="15CE1DD3"/>
    <w:rsid w:val="160F76C1"/>
    <w:rsid w:val="166A5C57"/>
    <w:rsid w:val="168C1346"/>
    <w:rsid w:val="175C35E3"/>
    <w:rsid w:val="17810A58"/>
    <w:rsid w:val="1816180F"/>
    <w:rsid w:val="185C36C6"/>
    <w:rsid w:val="18624D91"/>
    <w:rsid w:val="193E0A58"/>
    <w:rsid w:val="1A1A55E6"/>
    <w:rsid w:val="1A4C59BC"/>
    <w:rsid w:val="1A543519"/>
    <w:rsid w:val="1ADC6D40"/>
    <w:rsid w:val="1B5C6C7B"/>
    <w:rsid w:val="1BE56633"/>
    <w:rsid w:val="1BFD51C0"/>
    <w:rsid w:val="1C1E0A92"/>
    <w:rsid w:val="1C5F19D6"/>
    <w:rsid w:val="1C646FD1"/>
    <w:rsid w:val="1C7D4CB5"/>
    <w:rsid w:val="1C9843A4"/>
    <w:rsid w:val="1D385D84"/>
    <w:rsid w:val="1D8B67FB"/>
    <w:rsid w:val="1D9D32B5"/>
    <w:rsid w:val="1DC51D0D"/>
    <w:rsid w:val="1E20095E"/>
    <w:rsid w:val="1E4A0464"/>
    <w:rsid w:val="1F737547"/>
    <w:rsid w:val="1F8A4FBC"/>
    <w:rsid w:val="1FFF7E73"/>
    <w:rsid w:val="213A7115"/>
    <w:rsid w:val="2168379B"/>
    <w:rsid w:val="217D1928"/>
    <w:rsid w:val="21F030D1"/>
    <w:rsid w:val="221B5630"/>
    <w:rsid w:val="22CC46BD"/>
    <w:rsid w:val="233B324B"/>
    <w:rsid w:val="238910E7"/>
    <w:rsid w:val="245728BE"/>
    <w:rsid w:val="2480073C"/>
    <w:rsid w:val="24C35FFD"/>
    <w:rsid w:val="2526135A"/>
    <w:rsid w:val="25CE54D7"/>
    <w:rsid w:val="2601765A"/>
    <w:rsid w:val="26150669"/>
    <w:rsid w:val="274F6F8D"/>
    <w:rsid w:val="27643320"/>
    <w:rsid w:val="27AC37F8"/>
    <w:rsid w:val="27D6113A"/>
    <w:rsid w:val="27FF420E"/>
    <w:rsid w:val="281012B4"/>
    <w:rsid w:val="28620159"/>
    <w:rsid w:val="28CD18BF"/>
    <w:rsid w:val="29F31BD4"/>
    <w:rsid w:val="29F9184E"/>
    <w:rsid w:val="2A0A0AD8"/>
    <w:rsid w:val="2A581813"/>
    <w:rsid w:val="2A65147A"/>
    <w:rsid w:val="2A707D9B"/>
    <w:rsid w:val="2ACB6B5A"/>
    <w:rsid w:val="2B2622D9"/>
    <w:rsid w:val="2B3212BA"/>
    <w:rsid w:val="2B4909D8"/>
    <w:rsid w:val="2B512E32"/>
    <w:rsid w:val="2BC9047E"/>
    <w:rsid w:val="2C3F1A67"/>
    <w:rsid w:val="2D6C3F53"/>
    <w:rsid w:val="2D8A4E29"/>
    <w:rsid w:val="2E625356"/>
    <w:rsid w:val="2F0F7C84"/>
    <w:rsid w:val="2F2B5748"/>
    <w:rsid w:val="2F712339"/>
    <w:rsid w:val="2F7D2448"/>
    <w:rsid w:val="2F831F39"/>
    <w:rsid w:val="2FBF26AF"/>
    <w:rsid w:val="2FF03C0C"/>
    <w:rsid w:val="30110DE2"/>
    <w:rsid w:val="301F05F4"/>
    <w:rsid w:val="30C73654"/>
    <w:rsid w:val="312A2B0E"/>
    <w:rsid w:val="31E51046"/>
    <w:rsid w:val="32394EFC"/>
    <w:rsid w:val="323A4620"/>
    <w:rsid w:val="32844837"/>
    <w:rsid w:val="32DE7BE5"/>
    <w:rsid w:val="32E60304"/>
    <w:rsid w:val="334119DE"/>
    <w:rsid w:val="339C4016"/>
    <w:rsid w:val="33EA5BD2"/>
    <w:rsid w:val="34256C0A"/>
    <w:rsid w:val="34681252"/>
    <w:rsid w:val="34C1018B"/>
    <w:rsid w:val="34C13C57"/>
    <w:rsid w:val="34CC52D7"/>
    <w:rsid w:val="35311149"/>
    <w:rsid w:val="35B4060B"/>
    <w:rsid w:val="35DB4EEA"/>
    <w:rsid w:val="361466D6"/>
    <w:rsid w:val="367A4EEE"/>
    <w:rsid w:val="36A02BD9"/>
    <w:rsid w:val="36A2123A"/>
    <w:rsid w:val="36D44917"/>
    <w:rsid w:val="36F9612C"/>
    <w:rsid w:val="37144D14"/>
    <w:rsid w:val="37857109"/>
    <w:rsid w:val="38AC5B4C"/>
    <w:rsid w:val="38AE6B51"/>
    <w:rsid w:val="38B67CF6"/>
    <w:rsid w:val="39585955"/>
    <w:rsid w:val="3A641913"/>
    <w:rsid w:val="3ABC4760"/>
    <w:rsid w:val="3B716BD9"/>
    <w:rsid w:val="3B88518F"/>
    <w:rsid w:val="3B9C1EA7"/>
    <w:rsid w:val="3BAE3989"/>
    <w:rsid w:val="3BD103C7"/>
    <w:rsid w:val="3BE455FD"/>
    <w:rsid w:val="3C401A19"/>
    <w:rsid w:val="3C4D7CDE"/>
    <w:rsid w:val="3C6B187A"/>
    <w:rsid w:val="3C9C660E"/>
    <w:rsid w:val="3D1F4D9A"/>
    <w:rsid w:val="3D7E4889"/>
    <w:rsid w:val="3D8D385E"/>
    <w:rsid w:val="3E1C3B9C"/>
    <w:rsid w:val="3E3F4EAD"/>
    <w:rsid w:val="3EF1250A"/>
    <w:rsid w:val="3F46089C"/>
    <w:rsid w:val="3F700AAC"/>
    <w:rsid w:val="3FC46458"/>
    <w:rsid w:val="40722D26"/>
    <w:rsid w:val="40A27DB1"/>
    <w:rsid w:val="416F454A"/>
    <w:rsid w:val="41717932"/>
    <w:rsid w:val="41EB3EB2"/>
    <w:rsid w:val="421E1429"/>
    <w:rsid w:val="43024559"/>
    <w:rsid w:val="430923BE"/>
    <w:rsid w:val="431B27FC"/>
    <w:rsid w:val="434A352C"/>
    <w:rsid w:val="435A3E61"/>
    <w:rsid w:val="43BC4578"/>
    <w:rsid w:val="43BD6E5F"/>
    <w:rsid w:val="43CC2BFE"/>
    <w:rsid w:val="44262F1D"/>
    <w:rsid w:val="4452653C"/>
    <w:rsid w:val="44BB2BAC"/>
    <w:rsid w:val="44D16900"/>
    <w:rsid w:val="44E85691"/>
    <w:rsid w:val="45A81449"/>
    <w:rsid w:val="4618037D"/>
    <w:rsid w:val="4692531C"/>
    <w:rsid w:val="46B04A59"/>
    <w:rsid w:val="46C027C2"/>
    <w:rsid w:val="46C36414"/>
    <w:rsid w:val="4A3B5E07"/>
    <w:rsid w:val="4A4811FE"/>
    <w:rsid w:val="4AD37F1F"/>
    <w:rsid w:val="4B5D01B1"/>
    <w:rsid w:val="4BA01B2C"/>
    <w:rsid w:val="4BF929FE"/>
    <w:rsid w:val="4CC748AA"/>
    <w:rsid w:val="4D6457C9"/>
    <w:rsid w:val="4DA62712"/>
    <w:rsid w:val="4E6879C7"/>
    <w:rsid w:val="4F055DFC"/>
    <w:rsid w:val="4F146596"/>
    <w:rsid w:val="4F9B0496"/>
    <w:rsid w:val="4FD175AA"/>
    <w:rsid w:val="4FD83492"/>
    <w:rsid w:val="4FE5027F"/>
    <w:rsid w:val="5025122C"/>
    <w:rsid w:val="50506965"/>
    <w:rsid w:val="50AB003F"/>
    <w:rsid w:val="517048E6"/>
    <w:rsid w:val="51E83315"/>
    <w:rsid w:val="51F068ED"/>
    <w:rsid w:val="522E2CD6"/>
    <w:rsid w:val="524E1308"/>
    <w:rsid w:val="52670B2D"/>
    <w:rsid w:val="52F40FEE"/>
    <w:rsid w:val="53C5766A"/>
    <w:rsid w:val="53F05124"/>
    <w:rsid w:val="53FA6C88"/>
    <w:rsid w:val="54330A77"/>
    <w:rsid w:val="548A2EB1"/>
    <w:rsid w:val="54E3249D"/>
    <w:rsid w:val="55283751"/>
    <w:rsid w:val="55A11190"/>
    <w:rsid w:val="56076A84"/>
    <w:rsid w:val="569E6890"/>
    <w:rsid w:val="56E81F28"/>
    <w:rsid w:val="571C1C97"/>
    <w:rsid w:val="572C012C"/>
    <w:rsid w:val="57A12C10"/>
    <w:rsid w:val="57B86F18"/>
    <w:rsid w:val="583A0626"/>
    <w:rsid w:val="58564D34"/>
    <w:rsid w:val="58886596"/>
    <w:rsid w:val="58DB7E59"/>
    <w:rsid w:val="58E72826"/>
    <w:rsid w:val="590C766F"/>
    <w:rsid w:val="59746D48"/>
    <w:rsid w:val="5A292701"/>
    <w:rsid w:val="5A4D3599"/>
    <w:rsid w:val="5A7F2C23"/>
    <w:rsid w:val="5A9B7009"/>
    <w:rsid w:val="5B6854AA"/>
    <w:rsid w:val="5B9B0EEB"/>
    <w:rsid w:val="5BBA47A8"/>
    <w:rsid w:val="5C197B65"/>
    <w:rsid w:val="5CAB2AE8"/>
    <w:rsid w:val="5D3A09B8"/>
    <w:rsid w:val="5D852344"/>
    <w:rsid w:val="5D8D2FA6"/>
    <w:rsid w:val="5DA64068"/>
    <w:rsid w:val="5DE57F1E"/>
    <w:rsid w:val="5DF50900"/>
    <w:rsid w:val="5E336236"/>
    <w:rsid w:val="5E5E301F"/>
    <w:rsid w:val="5EE91F37"/>
    <w:rsid w:val="5F245B8C"/>
    <w:rsid w:val="5F2869CE"/>
    <w:rsid w:val="5F8C5268"/>
    <w:rsid w:val="5F9A7BFD"/>
    <w:rsid w:val="5F9F6911"/>
    <w:rsid w:val="5FD17AC2"/>
    <w:rsid w:val="60EE4DAE"/>
    <w:rsid w:val="61453DB1"/>
    <w:rsid w:val="61556AFE"/>
    <w:rsid w:val="6162474A"/>
    <w:rsid w:val="61C55BB9"/>
    <w:rsid w:val="61D66C7C"/>
    <w:rsid w:val="62247B9C"/>
    <w:rsid w:val="62B9619E"/>
    <w:rsid w:val="62CF7BBD"/>
    <w:rsid w:val="62D13935"/>
    <w:rsid w:val="62F11A86"/>
    <w:rsid w:val="62FD0BCE"/>
    <w:rsid w:val="63583359"/>
    <w:rsid w:val="63A40808"/>
    <w:rsid w:val="641343F9"/>
    <w:rsid w:val="642F3009"/>
    <w:rsid w:val="64775C1B"/>
    <w:rsid w:val="648400D6"/>
    <w:rsid w:val="64947B20"/>
    <w:rsid w:val="658204B0"/>
    <w:rsid w:val="65A00A18"/>
    <w:rsid w:val="65AC56DE"/>
    <w:rsid w:val="665C0711"/>
    <w:rsid w:val="66BC1252"/>
    <w:rsid w:val="672A7AB8"/>
    <w:rsid w:val="672C7CD4"/>
    <w:rsid w:val="6730331C"/>
    <w:rsid w:val="674439BE"/>
    <w:rsid w:val="674C151B"/>
    <w:rsid w:val="674D7EF9"/>
    <w:rsid w:val="677D5E3A"/>
    <w:rsid w:val="67B33F51"/>
    <w:rsid w:val="67DA5E8B"/>
    <w:rsid w:val="6803419B"/>
    <w:rsid w:val="686A6F29"/>
    <w:rsid w:val="688F0F62"/>
    <w:rsid w:val="68B23016"/>
    <w:rsid w:val="69774B9C"/>
    <w:rsid w:val="69DC2AAF"/>
    <w:rsid w:val="69E80A4F"/>
    <w:rsid w:val="69E8442A"/>
    <w:rsid w:val="69F655F8"/>
    <w:rsid w:val="6A04733E"/>
    <w:rsid w:val="6A1963F2"/>
    <w:rsid w:val="6A3557D1"/>
    <w:rsid w:val="6AB8438B"/>
    <w:rsid w:val="6B5415A7"/>
    <w:rsid w:val="6BA51E03"/>
    <w:rsid w:val="6BD74D9C"/>
    <w:rsid w:val="6C07661A"/>
    <w:rsid w:val="6C1F1BB5"/>
    <w:rsid w:val="6C382C77"/>
    <w:rsid w:val="6C40260C"/>
    <w:rsid w:val="6C4F6DB8"/>
    <w:rsid w:val="6C54552C"/>
    <w:rsid w:val="6C755C79"/>
    <w:rsid w:val="6CDE2590"/>
    <w:rsid w:val="6CF546C4"/>
    <w:rsid w:val="6D88378A"/>
    <w:rsid w:val="6EAA2389"/>
    <w:rsid w:val="6EC06CF4"/>
    <w:rsid w:val="6F241291"/>
    <w:rsid w:val="70B86BEC"/>
    <w:rsid w:val="710B2708"/>
    <w:rsid w:val="714B51FB"/>
    <w:rsid w:val="715E6CDC"/>
    <w:rsid w:val="71B8286E"/>
    <w:rsid w:val="722F2426"/>
    <w:rsid w:val="72325893"/>
    <w:rsid w:val="724244F7"/>
    <w:rsid w:val="72441829"/>
    <w:rsid w:val="72842772"/>
    <w:rsid w:val="72A315F1"/>
    <w:rsid w:val="7338355D"/>
    <w:rsid w:val="73800895"/>
    <w:rsid w:val="738B702F"/>
    <w:rsid w:val="7405617B"/>
    <w:rsid w:val="74876C06"/>
    <w:rsid w:val="74B21509"/>
    <w:rsid w:val="74DF5EF0"/>
    <w:rsid w:val="754E7067"/>
    <w:rsid w:val="7561323F"/>
    <w:rsid w:val="757F15FE"/>
    <w:rsid w:val="75BA149F"/>
    <w:rsid w:val="75DF4163"/>
    <w:rsid w:val="765230AB"/>
    <w:rsid w:val="76BC2040"/>
    <w:rsid w:val="770F3724"/>
    <w:rsid w:val="771271E9"/>
    <w:rsid w:val="786D11B9"/>
    <w:rsid w:val="79852A55"/>
    <w:rsid w:val="7A3F1A48"/>
    <w:rsid w:val="7B566C76"/>
    <w:rsid w:val="7B6273C9"/>
    <w:rsid w:val="7B6E0463"/>
    <w:rsid w:val="7BD4664E"/>
    <w:rsid w:val="7BF47E39"/>
    <w:rsid w:val="7C224DAA"/>
    <w:rsid w:val="7C2414A1"/>
    <w:rsid w:val="7C5A2796"/>
    <w:rsid w:val="7C7A6994"/>
    <w:rsid w:val="7CB2612E"/>
    <w:rsid w:val="7CD7269C"/>
    <w:rsid w:val="7D3514A3"/>
    <w:rsid w:val="7D7F34D6"/>
    <w:rsid w:val="7DBE7E83"/>
    <w:rsid w:val="7DF34FB2"/>
    <w:rsid w:val="7E860D71"/>
    <w:rsid w:val="7E981710"/>
    <w:rsid w:val="7F307353"/>
    <w:rsid w:val="7F9F2ECD"/>
    <w:rsid w:val="7FCF0A6D"/>
    <w:rsid w:val="7FDB10AE"/>
    <w:rsid w:val="7FF42A37"/>
    <w:rsid w:val="7FFF78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heme="minorHAnsi" w:hAnsiTheme="minorHAnsi" w:eastAsiaTheme="minorEastAsia" w:cstheme="minorBidi"/>
      <w:kern w:val="2"/>
      <w:sz w:val="24"/>
      <w:szCs w:val="22"/>
      <w:lang w:val="en-US" w:eastAsia="zh-CN" w:bidi="ar-SA"/>
    </w:rPr>
  </w:style>
  <w:style w:type="paragraph" w:styleId="4">
    <w:name w:val="heading 1"/>
    <w:basedOn w:val="1"/>
    <w:next w:val="1"/>
    <w:qFormat/>
    <w:uiPriority w:val="9"/>
    <w:pPr>
      <w:keepNext/>
      <w:keepLines/>
      <w:ind w:firstLine="0" w:firstLineChars="0"/>
      <w:jc w:val="center"/>
      <w:outlineLvl w:val="0"/>
    </w:pPr>
    <w:rPr>
      <w:b/>
      <w:bCs/>
      <w:kern w:val="44"/>
      <w:sz w:val="44"/>
      <w:szCs w:val="44"/>
    </w:rPr>
  </w:style>
  <w:style w:type="paragraph" w:styleId="5">
    <w:name w:val="heading 2"/>
    <w:basedOn w:val="1"/>
    <w:next w:val="1"/>
    <w:unhideWhenUsed/>
    <w:qFormat/>
    <w:uiPriority w:val="9"/>
    <w:pPr>
      <w:keepNext/>
      <w:keepLines/>
      <w:ind w:firstLine="0" w:firstLineChars="0"/>
      <w:jc w:val="left"/>
      <w:outlineLvl w:val="1"/>
    </w:pPr>
    <w:rPr>
      <w:rFonts w:asciiTheme="majorHAnsi" w:hAnsiTheme="majorHAnsi" w:eastAsiaTheme="majorEastAsia" w:cstheme="majorBidi"/>
      <w:b/>
      <w:bCs/>
      <w:sz w:val="32"/>
      <w:szCs w:val="32"/>
    </w:rPr>
  </w:style>
  <w:style w:type="paragraph" w:styleId="6">
    <w:name w:val="heading 3"/>
    <w:basedOn w:val="1"/>
    <w:next w:val="1"/>
    <w:link w:val="19"/>
    <w:unhideWhenUsed/>
    <w:qFormat/>
    <w:uiPriority w:val="9"/>
    <w:pPr>
      <w:keepNext/>
      <w:keepLines/>
      <w:ind w:firstLine="0" w:firstLineChars="0"/>
      <w:jc w:val="left"/>
      <w:outlineLvl w:val="2"/>
    </w:pPr>
    <w:rPr>
      <w:b/>
      <w:bCs/>
      <w:sz w:val="30"/>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unhideWhenUsed/>
    <w:qFormat/>
    <w:uiPriority w:val="99"/>
    <w:pPr>
      <w:ind w:firstLine="420"/>
    </w:pPr>
  </w:style>
  <w:style w:type="paragraph" w:customStyle="1" w:styleId="3">
    <w:name w:val="Char Char Char Char Char Char Char Char Char Char Char Char Char Char"/>
    <w:basedOn w:val="1"/>
    <w:qFormat/>
    <w:uiPriority w:val="0"/>
    <w:rPr>
      <w:rFonts w:ascii="宋体" w:hAnsi="宋体" w:eastAsia="宋体" w:cs="宋体"/>
      <w:szCs w:val="24"/>
    </w:rPr>
  </w:style>
  <w:style w:type="paragraph" w:styleId="7">
    <w:name w:val="Body Text Indent"/>
    <w:basedOn w:val="1"/>
    <w:qFormat/>
    <w:uiPriority w:val="0"/>
    <w:pPr>
      <w:adjustRightInd w:val="0"/>
      <w:ind w:firstLine="480"/>
      <w:jc w:val="left"/>
      <w:textAlignment w:val="baseline"/>
    </w:pPr>
    <w:rPr>
      <w:kern w:val="0"/>
      <w:szCs w:val="20"/>
    </w:rPr>
  </w:style>
  <w:style w:type="paragraph" w:styleId="8">
    <w:name w:val="Plain Text"/>
    <w:basedOn w:val="1"/>
    <w:qFormat/>
    <w:uiPriority w:val="0"/>
    <w:pPr>
      <w:spacing w:line="240" w:lineRule="auto"/>
      <w:ind w:firstLine="0" w:firstLineChars="0"/>
    </w:pPr>
    <w:rPr>
      <w:rFonts w:ascii="宋体" w:hAnsi="Courier New" w:eastAsia="宋体" w:cs="Times New Roman"/>
      <w:sz w:val="21"/>
      <w:szCs w:val="24"/>
    </w:rPr>
  </w:style>
  <w:style w:type="paragraph" w:styleId="9">
    <w:name w:val="Body Text Indent 2"/>
    <w:basedOn w:val="1"/>
    <w:qFormat/>
    <w:uiPriority w:val="0"/>
    <w:pPr>
      <w:snapToGrid w:val="0"/>
      <w:ind w:firstLine="543"/>
    </w:pPr>
    <w:rPr>
      <w:rFonts w:ascii="Times New Roman" w:hAnsi="Times New Roman" w:eastAsia="宋体" w:cs="Times New Roman"/>
      <w:sz w:val="28"/>
      <w:szCs w:val="21"/>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link w:val="25"/>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Cs w:val="24"/>
    </w:rPr>
  </w:style>
  <w:style w:type="character" w:styleId="15">
    <w:name w:val="Strong"/>
    <w:basedOn w:val="14"/>
    <w:qFormat/>
    <w:uiPriority w:val="0"/>
    <w:rPr>
      <w:b/>
    </w:rPr>
  </w:style>
  <w:style w:type="character" w:styleId="16">
    <w:name w:val="page number"/>
    <w:basedOn w:val="14"/>
    <w:qFormat/>
    <w:uiPriority w:val="0"/>
  </w:style>
  <w:style w:type="paragraph" w:customStyle="1" w:styleId="17">
    <w:name w:val="Default"/>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8">
    <w:name w:val="正文1"/>
    <w:basedOn w:val="7"/>
    <w:qFormat/>
    <w:uiPriority w:val="0"/>
    <w:pPr>
      <w:tabs>
        <w:tab w:val="left" w:pos="2160"/>
      </w:tabs>
      <w:spacing w:line="490" w:lineRule="exact"/>
      <w:jc w:val="center"/>
    </w:pPr>
    <w:rPr>
      <w:rFonts w:ascii="仿宋_GB2312" w:eastAsia="仿宋_GB2312"/>
      <w:sz w:val="34"/>
    </w:rPr>
  </w:style>
  <w:style w:type="character" w:customStyle="1" w:styleId="19">
    <w:name w:val="标题 3 字符"/>
    <w:basedOn w:val="14"/>
    <w:link w:val="6"/>
    <w:qFormat/>
    <w:uiPriority w:val="9"/>
    <w:rPr>
      <w:b/>
      <w:bCs/>
      <w:sz w:val="30"/>
      <w:szCs w:val="32"/>
    </w:rPr>
  </w:style>
  <w:style w:type="character" w:customStyle="1" w:styleId="20">
    <w:name w:val="font41"/>
    <w:basedOn w:val="14"/>
    <w:qFormat/>
    <w:uiPriority w:val="0"/>
    <w:rPr>
      <w:rFonts w:hint="default" w:ascii="Times New Roman" w:hAnsi="Times New Roman" w:cs="Times New Roman"/>
      <w:b/>
      <w:bCs/>
      <w:color w:val="000000"/>
      <w:sz w:val="28"/>
      <w:szCs w:val="28"/>
      <w:u w:val="none"/>
    </w:rPr>
  </w:style>
  <w:style w:type="character" w:customStyle="1" w:styleId="21">
    <w:name w:val="font01"/>
    <w:basedOn w:val="14"/>
    <w:qFormat/>
    <w:uiPriority w:val="0"/>
    <w:rPr>
      <w:rFonts w:hint="eastAsia" w:ascii="宋体" w:hAnsi="宋体" w:eastAsia="宋体" w:cs="宋体"/>
      <w:color w:val="000000"/>
      <w:sz w:val="24"/>
      <w:szCs w:val="24"/>
      <w:u w:val="none"/>
    </w:rPr>
  </w:style>
  <w:style w:type="character" w:customStyle="1" w:styleId="22">
    <w:name w:val="font31"/>
    <w:basedOn w:val="14"/>
    <w:qFormat/>
    <w:uiPriority w:val="0"/>
    <w:rPr>
      <w:rFonts w:hint="default" w:ascii="Times New Roman" w:hAnsi="Times New Roman" w:cs="Times New Roman"/>
      <w:color w:val="000000"/>
      <w:sz w:val="24"/>
      <w:szCs w:val="24"/>
      <w:u w:val="none"/>
    </w:rPr>
  </w:style>
  <w:style w:type="character" w:customStyle="1" w:styleId="23">
    <w:name w:val="font51"/>
    <w:basedOn w:val="14"/>
    <w:qFormat/>
    <w:uiPriority w:val="0"/>
    <w:rPr>
      <w:rFonts w:hint="eastAsia" w:ascii="宋体" w:hAnsi="宋体" w:eastAsia="宋体" w:cs="宋体"/>
      <w:color w:val="000000"/>
      <w:sz w:val="24"/>
      <w:szCs w:val="24"/>
      <w:u w:val="none"/>
    </w:rPr>
  </w:style>
  <w:style w:type="paragraph" w:customStyle="1" w:styleId="24">
    <w:name w:val="表格文字"/>
    <w:basedOn w:val="1"/>
    <w:qFormat/>
    <w:uiPriority w:val="0"/>
    <w:pPr>
      <w:adjustRightInd w:val="0"/>
      <w:spacing w:line="420" w:lineRule="atLeast"/>
      <w:textAlignment w:val="baseline"/>
    </w:pPr>
  </w:style>
  <w:style w:type="character" w:customStyle="1" w:styleId="25">
    <w:name w:val="页眉 字符"/>
    <w:basedOn w:val="14"/>
    <w:link w:val="11"/>
    <w:qFormat/>
    <w:uiPriority w:val="0"/>
    <w:rPr>
      <w:rFonts w:asciiTheme="minorHAnsi" w:hAnsiTheme="minorHAnsi" w:eastAsiaTheme="minorEastAsia" w:cstheme="minorBidi"/>
      <w:kern w:val="2"/>
      <w:sz w:val="18"/>
      <w:szCs w:val="18"/>
    </w:rPr>
  </w:style>
  <w:style w:type="paragraph" w:styleId="26">
    <w:name w:val="List Paragraph"/>
    <w:basedOn w:val="1"/>
    <w:unhideWhenUsed/>
    <w:qFormat/>
    <w:uiPriority w:val="99"/>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CB3BC-27FC-42D1-B2D8-84725264239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6409</Words>
  <Characters>7592</Characters>
  <Lines>282</Lines>
  <Paragraphs>308</Paragraphs>
  <TotalTime>3</TotalTime>
  <ScaleCrop>false</ScaleCrop>
  <LinksUpToDate>false</LinksUpToDate>
  <CharactersWithSpaces>7914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2026-06-09T13:17:00Z</dcterms:created>
  <dc:creator>〆颩灬</dc:creator>
  <cp:lastModifiedBy>WPS_1667447014</cp:lastModifiedBy>
  <dcterms:modified xsi:type="dcterms:W3CDTF">2026-07-16T11:10:45Z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002AC5D8136A4A3396B300F724A21ECE_13</vt:lpwstr>
  </property>
  <property fmtid="{D5CDD505-2E9C-101B-9397-08002B2CF9AE}" pid="4" name="KSOTemplateDocerSaveRecord">
    <vt:lpwstr>eyJoZGlkIjoiOGEyMzk1MWE4ZjQ0OWZlZmUyNjYwNTE0NmJmM2U2NGYiLCJ1c2VySWQiOiIxNDM2NDA3ODUxIn0=</vt:lpwstr>
  </property>
</Properties>
</file>