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  <w:rPr>
          <w:color w:val="auto"/>
        </w:rPr>
      </w:pPr>
      <w:r>
        <w:rPr>
          <w:color w:val="auto"/>
        </w:rP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一、项目概况</w:t>
      </w:r>
    </w:p>
    <w:p w14:paraId="54B610D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eastAsia"/>
          <w:color w:val="auto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1.</w:t>
      </w:r>
      <w:r>
        <w:rPr>
          <w:b/>
          <w:color w:val="auto"/>
        </w:rPr>
        <w:t>项目名称</w:t>
      </w:r>
      <w:r>
        <w:rPr>
          <w:color w:val="auto"/>
        </w:rPr>
        <w:t>：</w:t>
      </w:r>
      <w:r>
        <w:rPr>
          <w:rFonts w:hint="eastAsia"/>
          <w:color w:val="auto"/>
          <w:lang w:eastAsia="zh-CN"/>
        </w:rPr>
        <w:t>江苏索普股份重大危险源安全评估报告</w:t>
      </w:r>
    </w:p>
    <w:p w14:paraId="2B555F9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rFonts w:hint="eastAsia" w:eastAsia="宋体"/>
          <w:color w:val="auto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2.</w:t>
      </w:r>
      <w:r>
        <w:rPr>
          <w:b/>
          <w:color w:val="auto"/>
        </w:rPr>
        <w:t>采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购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：江苏索普化工股份有限公司</w:t>
      </w:r>
    </w:p>
    <w:p w14:paraId="24EBA3D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3.</w:t>
      </w:r>
      <w:r>
        <w:rPr>
          <w:rFonts w:hint="eastAsia"/>
          <w:b/>
          <w:bCs/>
          <w:color w:val="auto"/>
          <w:lang w:val="en-US" w:eastAsia="zh-CN"/>
        </w:rPr>
        <w:t>报价截止与评审时间</w:t>
      </w:r>
      <w:r>
        <w:rPr>
          <w:rFonts w:hint="eastAsia"/>
          <w:color w:val="auto"/>
          <w:lang w:val="en-US" w:eastAsia="zh-CN"/>
        </w:rPr>
        <w:t>：2026年7月30日14:00（北京时间）</w:t>
      </w:r>
    </w:p>
    <w:p w14:paraId="696D82A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4.</w:t>
      </w:r>
      <w:r>
        <w:rPr>
          <w:rFonts w:hint="eastAsia"/>
          <w:b/>
          <w:bCs/>
          <w:color w:val="auto"/>
          <w:lang w:val="en-US" w:eastAsia="zh-CN"/>
        </w:rPr>
        <w:t>评审地点</w:t>
      </w:r>
      <w:r>
        <w:rPr>
          <w:rFonts w:hint="eastAsia"/>
          <w:color w:val="auto"/>
          <w:lang w:val="en-US" w:eastAsia="zh-CN"/>
        </w:rPr>
        <w:t>：江苏索普（集团）有限公司评审中心</w:t>
      </w:r>
    </w:p>
    <w:p w14:paraId="57A490E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leftChars="0" w:hanging="360" w:firstLineChars="0"/>
        <w:textAlignment w:val="auto"/>
        <w:rPr>
          <w:color w:val="auto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 w:bidi="ar-SA"/>
        </w:rPr>
        <w:t>5.</w:t>
      </w:r>
      <w:r>
        <w:rPr>
          <w:rFonts w:hint="eastAsia"/>
          <w:b/>
          <w:color w:val="auto"/>
          <w:lang w:val="en-US" w:eastAsia="zh-CN"/>
        </w:rPr>
        <w:t>公示</w:t>
      </w:r>
      <w:r>
        <w:rPr>
          <w:b/>
          <w:color w:val="auto"/>
        </w:rPr>
        <w:t>查询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ww</w:t>
      </w:r>
      <w:r>
        <w:rPr>
          <w:color w:val="auto"/>
        </w:rPr>
        <w:t>w.sopo.com.cn</w:t>
      </w:r>
    </w:p>
    <w:p w14:paraId="76821092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二、采购</w:t>
      </w:r>
      <w:r>
        <w:rPr>
          <w:rFonts w:hint="eastAsia"/>
          <w:color w:val="auto"/>
          <w:lang w:val="en-US" w:eastAsia="zh-CN"/>
        </w:rPr>
        <w:t>服务</w:t>
      </w:r>
      <w:r>
        <w:rPr>
          <w:color w:val="auto"/>
        </w:rPr>
        <w:t>内容及要求</w:t>
      </w:r>
    </w:p>
    <w:p w14:paraId="15B938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（一）采购项目内容及范围    </w:t>
      </w:r>
    </w:p>
    <w:p w14:paraId="32125746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1.评估背景：江苏索普化工股份有限公司将4万Nm3/h空分整套装置其中包括重大危险源液氧、液氮和液氩储存系统已整体资产转让，装置权属、运营管理责任全部转移至受让单位，我公司已不再管控、使用该装置相关设施，需注销本单位名下已备案的重大危险源液氧、液氮和液氩储存系统。</w:t>
      </w:r>
    </w:p>
    <w:p w14:paraId="3B344268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2.</w:t>
      </w:r>
      <w:r>
        <w:rPr>
          <w:rFonts w:hint="eastAsia" w:ascii="Times New Roman" w:hAnsi="Times New Roman" w:cs="Times New Roman"/>
          <w:color w:val="auto"/>
          <w:lang w:val="zh-CN" w:eastAsia="zh-CN"/>
        </w:rPr>
        <w:t>本项目以《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危险化学品重大危险源监督管理暂行规定》（国家安监总局第40号令）、《危险化学品重大危险源辨识标准》（GB18218-2018）、GB 50160-2008（2018年版）《石油化工企业设计防火标准》、GB 50016-2014（2018年版）《建筑设计防火规范》</w:t>
      </w:r>
      <w:r>
        <w:rPr>
          <w:rFonts w:hint="eastAsia" w:ascii="Times New Roman" w:hAnsi="Times New Roman" w:cs="Times New Roman"/>
          <w:color w:val="auto"/>
          <w:lang w:val="zh-CN" w:eastAsia="zh-CN"/>
        </w:rPr>
        <w:t>等国家标准规范为指引，增加结合资产调整、周边变化，对股份公司现有的重大危险源进行辨识评估，重新备案，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公司目前重大危险源有甲醇联合装置、醋酸一期装置等15个重大危险源，其中7个重大危险源为三级，8个重大危险源为四级，评估范围索普化工股份有限公司。</w:t>
      </w:r>
    </w:p>
    <w:p w14:paraId="25C8B58C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3.请各单位在评审前来我公司统一到现场勘察，未到现场勘察交流的报价无效</w:t>
      </w:r>
      <w:r>
        <w:rPr>
          <w:rFonts w:hint="eastAsia" w:cs="Times New Roman"/>
          <w:color w:val="auto"/>
          <w:lang w:val="en-US" w:eastAsia="zh-CN"/>
        </w:rPr>
        <w:t>，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勘察时间：2026年7月27日9:00</w:t>
      </w:r>
      <w:r>
        <w:rPr>
          <w:rFonts w:hint="eastAsia" w:ascii="Times New Roman" w:hAnsi="Times New Roman" w:cs="Times New Roman"/>
          <w:color w:val="auto"/>
          <w:lang w:val="zh-CN" w:eastAsia="zh-CN"/>
        </w:rPr>
        <w:t>（北京时间），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联系人：韩娅晴，联系电话：18806107397，完成时间：2026年8月30日前完成重大危险源安全评估报告并组织专家评审、备案</w:t>
      </w:r>
      <w:r>
        <w:rPr>
          <w:rFonts w:hint="eastAsia" w:ascii="Times New Roman" w:hAnsi="Times New Roman" w:cs="Times New Roman"/>
          <w:color w:val="auto"/>
          <w:lang w:val="zh-CN" w:eastAsia="zh-CN"/>
        </w:rPr>
        <w:t>。</w:t>
      </w:r>
    </w:p>
    <w:p w14:paraId="3C06393A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 w:eastAsia="宋体"/>
          <w:color w:val="auto"/>
          <w:lang w:val="en-US" w:eastAsia="zh-CN"/>
        </w:rPr>
        <w:t>三、报价</w:t>
      </w:r>
      <w:r>
        <w:rPr>
          <w:color w:val="auto"/>
        </w:rPr>
        <w:t>资质</w:t>
      </w:r>
      <w:r>
        <w:rPr>
          <w:rFonts w:hint="eastAsia" w:eastAsia="宋体"/>
          <w:color w:val="auto"/>
          <w:lang w:val="en-US" w:eastAsia="zh-CN"/>
        </w:rPr>
        <w:t>要求</w:t>
      </w:r>
    </w:p>
    <w:p w14:paraId="3142FC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1.报价人必须具备</w:t>
      </w:r>
      <w:bookmarkStart w:id="0" w:name="OLE_LINK10"/>
      <w:bookmarkStart w:id="1" w:name="OLE_LINK9"/>
      <w:r>
        <w:rPr>
          <w:rFonts w:hint="eastAsia"/>
          <w:color w:val="auto"/>
          <w:lang w:val="en-US" w:eastAsia="zh-CN"/>
        </w:rPr>
        <w:t>中华人民共和国境内独立法人企业，持有有效营业执照，可独立承担民事、安全评价法律责任，不接受联合体报价、转包项目。</w:t>
      </w:r>
    </w:p>
    <w:p w14:paraId="3BAEAB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</w:t>
      </w:r>
      <w:bookmarkEnd w:id="0"/>
      <w:bookmarkEnd w:id="1"/>
      <w:r>
        <w:rPr>
          <w:rFonts w:hint="eastAsia"/>
          <w:color w:val="auto"/>
          <w:lang w:val="en-US" w:eastAsia="zh-CN"/>
        </w:rPr>
        <w:t>报价人具备应急管理部门核发的安全评价机构资质证书，资质业务范围必须包含化学原料和化学制品制造业（化工类），资质在有效期内。</w:t>
      </w:r>
    </w:p>
    <w:p w14:paraId="43716D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3.项目负责人须持有注册安全工程师（化工专业）执业证，且为本单位在册人员；项目组至少配备2名化工安全评价师。</w:t>
      </w:r>
    </w:p>
    <w:p w14:paraId="3621D70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4.未被列入“信用中国”失信被执行人、重大税收违法失信主体；未在应急管理部门安全评价机构黑名单内；近三年无安全评价弄虚作假行政处罚记录。</w:t>
      </w:r>
    </w:p>
    <w:p w14:paraId="0A63C9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5.报价人须具有2023-2025年度三个以上相关业绩，并提供类似业绩证明，若2023-2025年在我公司有服务业绩的可不提供。</w:t>
      </w:r>
    </w:p>
    <w:p w14:paraId="0F14DD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cs="Times New Roman"/>
          <w:color w:val="auto"/>
          <w:lang w:val="en-US" w:eastAsia="zh-CN"/>
        </w:rPr>
        <w:t>6.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报价文件需包含：营业执照、税务登记证、组织机构代码证、一般纳税人证明材料、生产经营资质、业绩及详细方案等</w:t>
      </w:r>
      <w:r>
        <w:rPr>
          <w:rFonts w:hint="eastAsia" w:cs="Times New Roman"/>
          <w:color w:val="auto"/>
          <w:lang w:val="en-US" w:eastAsia="zh-CN"/>
        </w:rPr>
        <w:t>。</w:t>
      </w:r>
    </w:p>
    <w:p w14:paraId="7E91D10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 w:ascii="Times New Roman" w:hAnsi="Times New Roman" w:eastAsia="‹ÎSå" w:cs="Times New Roman"/>
          <w:b/>
          <w:color w:val="auto"/>
          <w:sz w:val="32"/>
          <w:szCs w:val="32"/>
          <w:lang w:val="en-US" w:eastAsia="zh-CN" w:bidi="ar-SA"/>
        </w:rPr>
        <w:t>四、</w:t>
      </w:r>
      <w:r>
        <w:rPr>
          <w:color w:val="auto"/>
        </w:rPr>
        <w:t>报价要求</w:t>
      </w:r>
    </w:p>
    <w:p w14:paraId="74662129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（一）报价方式</w:t>
      </w:r>
    </w:p>
    <w:p w14:paraId="72D64690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eastAsia="宋体" w:cs="Times New Roman"/>
          <w:b/>
          <w:bCs/>
          <w:color w:val="4874CB" w:themeColor="accent1"/>
          <w:sz w:val="21"/>
          <w:szCs w:val="24"/>
          <w:lang w:val="en-US" w:eastAsia="zh-CN" w:bidi="ar-SA"/>
          <w14:textFill>
            <w14:solidFill>
              <w14:schemeClr w14:val="accent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1.报价为含增值税价。如国家税率调整，按合同含税价格/（1+合同约定税率）*（1+国家规定的新税率）调整合同价格开具发票；</w:t>
      </w:r>
    </w:p>
    <w:p w14:paraId="6E64C763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（二）付款方式</w:t>
      </w:r>
    </w:p>
    <w:p w14:paraId="5E0D4CCA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1.成交单位完成该项目所有服务内容及要求，并且所有报告通过主管部门审查，开具增值税专用发票，票到60天内付款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。</w:t>
      </w:r>
    </w:p>
    <w:p w14:paraId="20C16832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2.成交总价10万元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及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以上付承兑；成交总价10万元以下付现汇。</w:t>
      </w:r>
    </w:p>
    <w:p w14:paraId="25BBE6EE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3.如报价人不接受询价人提出的付款方式，可在线下报价书中明确能够接受的付款方式及付款时间，评审时作为参考。报价为含税价，如有不同请注明。如付款方式</w:t>
      </w:r>
      <w:r>
        <w:rPr>
          <w:rFonts w:hint="eastAsia" w:eastAsia="宋体" w:cs="Times New Roman"/>
          <w:b w:val="0"/>
          <w:color w:val="auto"/>
          <w:sz w:val="21"/>
          <w:szCs w:val="24"/>
          <w:lang w:val="en-US" w:eastAsia="zh-CN" w:bidi="ar-SA"/>
        </w:rPr>
        <w:t>涉及到预付</w:t>
      </w:r>
      <w:r>
        <w:rPr>
          <w:rFonts w:hint="eastAsia" w:ascii="Times New Roman" w:hAnsi="Times New Roman" w:eastAsia="宋体" w:cs="Times New Roman"/>
          <w:b w:val="0"/>
          <w:color w:val="auto"/>
          <w:sz w:val="21"/>
          <w:szCs w:val="24"/>
          <w:lang w:val="en-US" w:eastAsia="zh-CN" w:bidi="ar-SA"/>
        </w:rPr>
        <w:t>款，报价人必须在报价书中提供评审前3个月内中国人民银行征信中心出具的企业信用报告并加盖企业公章。</w:t>
      </w:r>
    </w:p>
    <w:p w14:paraId="0CBFDEEF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（三）报价提交方式</w:t>
      </w:r>
    </w:p>
    <w:p w14:paraId="12F2DE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firstLine="422" w:firstLineChars="200"/>
        <w:textAlignment w:val="auto"/>
        <w:rPr>
          <w:color w:val="auto"/>
        </w:rPr>
      </w:pPr>
      <w:r>
        <w:rPr>
          <w:b/>
          <w:color w:val="auto"/>
        </w:rPr>
        <w:t>线下报价</w:t>
      </w:r>
      <w:r>
        <w:rPr>
          <w:color w:val="auto"/>
        </w:rPr>
        <w:t>：密封送达</w:t>
      </w:r>
      <w:r>
        <w:rPr>
          <w:rFonts w:hint="eastAsia"/>
          <w:color w:val="auto"/>
          <w:lang w:val="en-US" w:eastAsia="zh-CN"/>
        </w:rPr>
        <w:t>或邮寄送达</w:t>
      </w:r>
      <w:r>
        <w:rPr>
          <w:color w:val="auto"/>
        </w:rPr>
        <w:t>（封条需加盖公章、法人章并注明密封日期；封面注明项目名称、供应商信息、联系方式），</w:t>
      </w:r>
      <w:r>
        <w:rPr>
          <w:rFonts w:hint="eastAsia"/>
          <w:color w:val="auto"/>
          <w:lang w:val="en-US" w:eastAsia="zh-CN"/>
        </w:rPr>
        <w:t>邮寄送达需电联报价联系人告知快递单号，逾期无效</w:t>
      </w:r>
      <w:r>
        <w:rPr>
          <w:color w:val="auto"/>
        </w:rPr>
        <w:t>。</w:t>
      </w:r>
    </w:p>
    <w:p w14:paraId="7C743C17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（四）送达地址及联系方式</w:t>
      </w:r>
    </w:p>
    <w:p w14:paraId="218DD9A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收件单位</w:t>
      </w:r>
      <w:r>
        <w:rPr>
          <w:color w:val="auto"/>
        </w:rPr>
        <w:t>：江苏索普化工股份有限公司</w:t>
      </w:r>
    </w:p>
    <w:p w14:paraId="09A9996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地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址</w:t>
      </w:r>
      <w:r>
        <w:rPr>
          <w:color w:val="auto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default"/>
          <w:color w:val="auto"/>
          <w:lang w:val="en-US"/>
        </w:rPr>
      </w:pPr>
      <w:r>
        <w:rPr>
          <w:b/>
          <w:color w:val="auto"/>
        </w:rPr>
        <w:t>联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系</w:t>
      </w:r>
      <w:r>
        <w:rPr>
          <w:rFonts w:hint="eastAsia"/>
          <w:b/>
          <w:color w:val="auto"/>
          <w:lang w:val="en-US" w:eastAsia="zh-CN"/>
        </w:rPr>
        <w:t xml:space="preserve"> </w:t>
      </w:r>
      <w:r>
        <w:rPr>
          <w:b/>
          <w:color w:val="auto"/>
        </w:rPr>
        <w:t>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韩娅晴</w:t>
      </w:r>
      <w:r>
        <w:rPr>
          <w:color w:val="auto"/>
        </w:rPr>
        <w:t>，电话：</w:t>
      </w:r>
      <w:r>
        <w:rPr>
          <w:rFonts w:hint="eastAsia"/>
          <w:color w:val="auto"/>
          <w:lang w:val="en-US" w:eastAsia="zh-CN"/>
        </w:rPr>
        <w:t>18806107397</w:t>
      </w:r>
    </w:p>
    <w:p w14:paraId="46E1F8B6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color w:val="auto"/>
        </w:rPr>
        <w:t>（五）疑问咨询</w:t>
      </w:r>
    </w:p>
    <w:p w14:paraId="0EE47D3F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default"/>
          <w:color w:val="auto"/>
          <w:lang w:val="en-US"/>
        </w:rPr>
      </w:pPr>
      <w:r>
        <w:rPr>
          <w:rFonts w:hint="eastAsia"/>
          <w:b/>
          <w:color w:val="auto"/>
          <w:lang w:val="en-US" w:eastAsia="zh-CN"/>
        </w:rPr>
        <w:t>报价</w:t>
      </w:r>
      <w:r>
        <w:rPr>
          <w:b/>
          <w:color w:val="auto"/>
        </w:rPr>
        <w:t>联系人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韩娅晴    18806107397</w:t>
      </w:r>
    </w:p>
    <w:p w14:paraId="520B8A05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/>
          <w:b/>
          <w:color w:val="auto"/>
          <w:lang w:val="en-US" w:eastAsia="zh-CN"/>
        </w:rPr>
        <w:t>部门负责人</w:t>
      </w:r>
      <w:r>
        <w:rPr>
          <w:color w:val="auto"/>
        </w:rPr>
        <w:t>：</w:t>
      </w:r>
      <w:r>
        <w:rPr>
          <w:rFonts w:hint="eastAsia"/>
          <w:color w:val="auto"/>
          <w:lang w:val="en-US" w:eastAsia="zh-CN"/>
        </w:rPr>
        <w:t>鲍中元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   15052946881</w:t>
      </w:r>
    </w:p>
    <w:p w14:paraId="14247EF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、</w:t>
      </w:r>
      <w:r>
        <w:rPr>
          <w:color w:val="auto"/>
        </w:rPr>
        <w:t>评审流程</w:t>
      </w:r>
    </w:p>
    <w:p w14:paraId="03930617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rFonts w:hint="eastAsia"/>
          <w:color w:val="auto"/>
        </w:rPr>
      </w:pPr>
      <w:r>
        <w:rPr>
          <w:b/>
          <w:color w:val="auto"/>
        </w:rPr>
        <w:t>评</w:t>
      </w:r>
      <w:r>
        <w:rPr>
          <w:rFonts w:hint="eastAsia"/>
          <w:b/>
          <w:color w:val="auto"/>
          <w:lang w:val="en-US" w:eastAsia="zh-CN"/>
        </w:rPr>
        <w:t xml:space="preserve">    </w:t>
      </w:r>
      <w:r>
        <w:rPr>
          <w:b/>
          <w:color w:val="auto"/>
        </w:rPr>
        <w:t>审</w:t>
      </w:r>
      <w:r>
        <w:rPr>
          <w:color w:val="auto"/>
        </w:rPr>
        <w:t>：采购人组织评审小组，</w:t>
      </w:r>
      <w:r>
        <w:rPr>
          <w:rFonts w:hint="eastAsia"/>
          <w:color w:val="auto"/>
          <w:lang w:val="en-US" w:eastAsia="zh-CN"/>
        </w:rPr>
        <w:t>评审</w:t>
      </w:r>
      <w:r>
        <w:rPr>
          <w:color w:val="auto"/>
        </w:rPr>
        <w:t>供应商报价，供应商需保持通讯畅通。</w:t>
      </w:r>
    </w:p>
    <w:p w14:paraId="02D20F0F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评定标准</w:t>
      </w:r>
      <w:r>
        <w:rPr>
          <w:color w:val="auto"/>
        </w:rPr>
        <w:t>：</w:t>
      </w:r>
      <w:r>
        <w:rPr>
          <w:rFonts w:hint="eastAsia"/>
          <w:color w:val="auto"/>
        </w:rPr>
        <w:t>在能够满足</w:t>
      </w:r>
      <w:r>
        <w:rPr>
          <w:rFonts w:hint="eastAsia"/>
          <w:color w:val="auto"/>
          <w:lang w:val="en-US" w:eastAsia="zh-CN"/>
        </w:rPr>
        <w:t>采购方</w:t>
      </w:r>
      <w:r>
        <w:rPr>
          <w:rFonts w:hint="eastAsia"/>
          <w:color w:val="auto"/>
        </w:rPr>
        <w:t>技术要求及供货期要求的</w:t>
      </w:r>
      <w:r>
        <w:rPr>
          <w:rFonts w:hint="eastAsia"/>
          <w:color w:val="auto"/>
          <w:lang w:val="en-US" w:eastAsia="zh-CN"/>
        </w:rPr>
        <w:t>报价供应商</w:t>
      </w:r>
      <w:r>
        <w:rPr>
          <w:rFonts w:hint="eastAsia"/>
          <w:color w:val="auto"/>
        </w:rPr>
        <w:t>中选择</w:t>
      </w:r>
      <w:r>
        <w:rPr>
          <w:rFonts w:hint="eastAsia"/>
          <w:color w:val="auto"/>
          <w:lang w:val="en-US" w:eastAsia="zh-CN"/>
        </w:rPr>
        <w:t>总价</w:t>
      </w:r>
      <w:r>
        <w:rPr>
          <w:rFonts w:hint="eastAsia"/>
          <w:color w:val="auto"/>
        </w:rPr>
        <w:t>最低的一家作为</w:t>
      </w:r>
      <w:r>
        <w:rPr>
          <w:rFonts w:hint="eastAsia"/>
          <w:color w:val="auto"/>
          <w:lang w:val="en-US" w:eastAsia="zh-CN"/>
        </w:rPr>
        <w:t>成交</w:t>
      </w:r>
      <w:r>
        <w:rPr>
          <w:rFonts w:hint="eastAsia"/>
          <w:color w:val="auto"/>
        </w:rPr>
        <w:t>候选人</w:t>
      </w:r>
      <w:r>
        <w:rPr>
          <w:rFonts w:hint="eastAsia"/>
          <w:color w:val="auto"/>
          <w:lang w:val="en-US" w:eastAsia="zh-CN"/>
        </w:rPr>
        <w:t>。</w:t>
      </w:r>
      <w:bookmarkStart w:id="2" w:name="_GoBack"/>
      <w:bookmarkEnd w:id="2"/>
    </w:p>
    <w:p w14:paraId="3F9E105C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询价废止</w:t>
      </w:r>
      <w:r>
        <w:rPr>
          <w:color w:val="auto"/>
        </w:rPr>
        <w:t>：存在串通报价等违规行为的，作废并列入供应商负面清单。</w:t>
      </w:r>
    </w:p>
    <w:p w14:paraId="7C9B8AF9"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exact"/>
        <w:ind w:left="720" w:hanging="360"/>
        <w:textAlignment w:val="auto"/>
        <w:rPr>
          <w:color w:val="auto"/>
        </w:rPr>
      </w:pPr>
      <w:r>
        <w:rPr>
          <w:b/>
          <w:color w:val="auto"/>
        </w:rPr>
        <w:t>无效报价</w:t>
      </w:r>
      <w:r>
        <w:rPr>
          <w:color w:val="auto"/>
        </w:rPr>
        <w:t>：资质不全、报价空项、不符合技术要求、</w:t>
      </w:r>
      <w:r>
        <w:rPr>
          <w:rFonts w:hint="eastAsia"/>
          <w:color w:val="auto"/>
          <w:lang w:val="en-US" w:eastAsia="zh-CN"/>
        </w:rPr>
        <w:t>不满足服务要求、</w:t>
      </w:r>
      <w:r>
        <w:rPr>
          <w:color w:val="auto"/>
        </w:rPr>
        <w:t>价格明显偏离市场的，作无效处理。</w:t>
      </w:r>
    </w:p>
    <w:p w14:paraId="797A2A8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/>
          <w:color w:val="auto"/>
          <w:lang w:val="en-US" w:eastAsia="zh-CN"/>
        </w:rPr>
        <w:t>六</w:t>
      </w:r>
      <w:r>
        <w:rPr>
          <w:color w:val="auto"/>
        </w:rPr>
        <w:t>、违约责任</w:t>
      </w:r>
    </w:p>
    <w:p w14:paraId="7673E5BC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4"/>
          <w:lang w:val="en-US" w:eastAsia="zh-CN" w:bidi="ar-SA"/>
        </w:rPr>
        <w:t>1.违约责任：如成交人没有按照规定的时间提供服务，成交人将支付违约金，违约金逾期每日应按合同总金额的1%计收。但未提供服务超过5日，采购人有权解除合同,并按合同总额20%追究成交人违约责任。</w:t>
      </w:r>
    </w:p>
    <w:p w14:paraId="1CACA1D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4"/>
          <w:lang w:val="en-US" w:eastAsia="zh-CN" w:bidi="ar-SA"/>
        </w:rPr>
        <w:t>2.成交人应严格按照采购询价书约定与采购人签订供需合同，并按合同约定做好服务工作。对成交人所有违背报价书及合同约定的行为，采购人均可持续保留与成交人中止合作的一切权利。　</w:t>
      </w:r>
    </w:p>
    <w:p w14:paraId="1A94C3D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color w:val="auto"/>
        </w:rPr>
      </w:pPr>
      <w:r>
        <w:rPr>
          <w:rFonts w:hint="eastAsia"/>
          <w:color w:val="auto"/>
          <w:lang w:val="en-US" w:eastAsia="zh-CN"/>
        </w:rPr>
        <w:t>七</w:t>
      </w:r>
      <w:r>
        <w:rPr>
          <w:color w:val="auto"/>
        </w:rPr>
        <w:t>、其他事项</w:t>
      </w:r>
    </w:p>
    <w:p w14:paraId="32900D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26" w:leftChars="0" w:hanging="363" w:firstLineChars="0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  <w:t>1.成交人须按询价书签订合同，违约将面临中止合作风险。</w:t>
      </w:r>
    </w:p>
    <w:p w14:paraId="1E0C3D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26" w:leftChars="0" w:hanging="363" w:firstLineChars="0"/>
        <w:textAlignment w:val="auto"/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color w:val="auto"/>
          <w:sz w:val="21"/>
          <w:szCs w:val="24"/>
          <w:lang w:val="en-US" w:eastAsia="zh-CN" w:bidi="ar-SA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  <w:t>.违规供应商将列入负面清单，解释权归江苏索普化工股份有限公司</w:t>
      </w:r>
      <w:r>
        <w:rPr>
          <w:rFonts w:hint="eastAsia"/>
          <w:color w:val="auto"/>
          <w:lang w:val="en-US" w:eastAsia="zh-CN"/>
        </w:rPr>
        <w:t>战略发展部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4"/>
          <w:lang w:val="en-US" w:eastAsia="zh-CN" w:bidi="ar-SA"/>
        </w:rPr>
        <w:t>。</w:t>
      </w:r>
    </w:p>
    <w:p w14:paraId="1D48D955">
      <w:pPr>
        <w:jc w:val="right"/>
        <w:rPr>
          <w:color w:val="auto"/>
        </w:rPr>
      </w:pPr>
    </w:p>
    <w:p w14:paraId="54B4BCC4">
      <w:pPr>
        <w:jc w:val="right"/>
        <w:rPr>
          <w:color w:val="auto"/>
        </w:rPr>
      </w:pPr>
    </w:p>
    <w:p w14:paraId="163920FB">
      <w:pPr>
        <w:jc w:val="right"/>
        <w:rPr>
          <w:color w:val="auto"/>
        </w:rPr>
      </w:pPr>
    </w:p>
    <w:p w14:paraId="747C7C96">
      <w:pPr>
        <w:jc w:val="right"/>
        <w:rPr>
          <w:color w:val="auto"/>
        </w:rPr>
      </w:pPr>
    </w:p>
    <w:p w14:paraId="5FA01940">
      <w:pPr>
        <w:jc w:val="right"/>
        <w:rPr>
          <w:color w:val="auto"/>
        </w:rPr>
      </w:pPr>
    </w:p>
    <w:p w14:paraId="754D2544">
      <w:pPr>
        <w:jc w:val="right"/>
        <w:rPr>
          <w:rFonts w:hint="eastAsia"/>
          <w:color w:val="auto"/>
          <w:lang w:val="en-US" w:eastAsia="zh-CN"/>
        </w:rPr>
      </w:pPr>
    </w:p>
    <w:p w14:paraId="04BE7FD1">
      <w:pPr>
        <w:jc w:val="right"/>
        <w:rPr>
          <w:rFonts w:hint="eastAsia"/>
          <w:color w:val="auto"/>
          <w:lang w:val="en-US" w:eastAsia="zh-CN"/>
        </w:rPr>
      </w:pPr>
      <w:r>
        <w:rPr>
          <w:color w:val="auto"/>
        </w:rPr>
        <w:t>江苏索普化工股份有限公司</w:t>
      </w:r>
      <w:r>
        <w:rPr>
          <w:rFonts w:hint="eastAsia"/>
          <w:color w:val="auto"/>
          <w:lang w:val="en-US" w:eastAsia="zh-CN"/>
        </w:rPr>
        <w:t>安全环境部</w:t>
      </w:r>
    </w:p>
    <w:p w14:paraId="26E9FD79">
      <w:pPr>
        <w:jc w:val="center"/>
        <w:rPr>
          <w:color w:val="auto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2026</w:t>
      </w:r>
      <w:r>
        <w:rPr>
          <w:color w:val="auto"/>
        </w:rPr>
        <w:t>年</w:t>
      </w:r>
      <w:r>
        <w:rPr>
          <w:rFonts w:hint="eastAsia"/>
          <w:color w:val="auto"/>
          <w:lang w:val="en-US" w:eastAsia="zh-CN"/>
        </w:rPr>
        <w:t>7</w:t>
      </w:r>
      <w:r>
        <w:rPr>
          <w:color w:val="auto"/>
        </w:rPr>
        <w:t>月</w:t>
      </w:r>
      <w:r>
        <w:rPr>
          <w:rFonts w:hint="eastAsia"/>
          <w:color w:val="auto"/>
          <w:lang w:val="en-US" w:eastAsia="zh-CN"/>
        </w:rPr>
        <w:t>17</w:t>
      </w:r>
      <w:r>
        <w:rPr>
          <w:color w:val="auto"/>
        </w:rPr>
        <w:t>日</w:t>
      </w:r>
    </w:p>
    <w:p w14:paraId="3A4F3A57">
      <w:pPr>
        <w:jc w:val="right"/>
        <w:rPr>
          <w:color w:val="auto"/>
        </w:rPr>
      </w:pPr>
      <w:r>
        <w:rPr>
          <w:color w:val="auto"/>
        </w:rPr>
        <w:br w:type="page"/>
      </w:r>
    </w:p>
    <w:p w14:paraId="2E629C24">
      <w:pPr>
        <w:pStyle w:val="3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附件1</w:t>
      </w:r>
    </w:p>
    <w:p w14:paraId="756083B5">
      <w:pPr>
        <w:pStyle w:val="3"/>
        <w:jc w:val="center"/>
        <w:rPr>
          <w:color w:val="auto"/>
        </w:rPr>
      </w:pPr>
      <w:r>
        <w:rPr>
          <w:color w:val="auto"/>
        </w:rPr>
        <w:t>报价函</w:t>
      </w:r>
    </w:p>
    <w:p w14:paraId="58D07B85">
      <w:pPr>
        <w:rPr>
          <w:color w:val="auto"/>
        </w:rPr>
      </w:pPr>
      <w:r>
        <w:rPr>
          <w:b/>
          <w:color w:val="auto"/>
        </w:rPr>
        <w:t>江苏索普化工股份有限公司：</w:t>
      </w:r>
    </w:p>
    <w:p w14:paraId="03DF583E">
      <w:pPr>
        <w:rPr>
          <w:color w:val="auto"/>
        </w:rPr>
      </w:pPr>
      <w:r>
        <w:rPr>
          <w:color w:val="auto"/>
        </w:rPr>
        <w:t>（报价单位全称）授权（全权代表姓名、职务）为全权代表，参加贵方公开询比价活动，报价如下：</w:t>
      </w:r>
    </w:p>
    <w:p w14:paraId="1777B28E">
      <w:pPr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1.</w:t>
      </w:r>
      <w:r>
        <w:rPr>
          <w:rFonts w:hint="eastAsia"/>
          <w:color w:val="auto"/>
          <w:lang w:eastAsia="zh-CN"/>
        </w:rPr>
        <w:t>江苏索普股份重大危险源核销安全评估报告，</w:t>
      </w:r>
      <w:r>
        <w:rPr>
          <w:rFonts w:hint="eastAsia"/>
          <w:color w:val="auto"/>
        </w:rPr>
        <w:t>项目总价（含税）为</w:t>
      </w:r>
      <w:r>
        <w:rPr>
          <w:color w:val="auto"/>
          <w:u w:val="single"/>
        </w:rPr>
        <w:softHyphen/>
      </w:r>
      <w:r>
        <w:rPr>
          <w:rFonts w:hint="eastAsia"/>
          <w:color w:val="auto"/>
          <w:u w:val="single"/>
        </w:rPr>
        <w:t xml:space="preserve">            </w:t>
      </w:r>
      <w:r>
        <w:rPr>
          <w:rFonts w:hint="eastAsia"/>
          <w:color w:val="auto"/>
        </w:rPr>
        <w:t>(大写)：</w:t>
      </w:r>
      <w:r>
        <w:rPr>
          <w:rFonts w:hint="eastAsia"/>
          <w:color w:val="auto"/>
          <w:u w:val="single"/>
        </w:rPr>
        <w:t xml:space="preserve">             </w:t>
      </w:r>
      <w:r>
        <w:rPr>
          <w:rFonts w:hint="eastAsia"/>
          <w:color w:val="auto"/>
        </w:rPr>
        <w:t>元人民币；税率</w:t>
      </w:r>
      <w:r>
        <w:rPr>
          <w:rFonts w:hint="eastAsia"/>
          <w:color w:val="auto"/>
          <w:u w:val="single"/>
        </w:rPr>
        <w:t xml:space="preserve">       </w:t>
      </w:r>
      <w:r>
        <w:rPr>
          <w:rFonts w:hint="eastAsia"/>
          <w:color w:val="auto"/>
        </w:rPr>
        <w:t>%。</w:t>
      </w:r>
    </w:p>
    <w:p w14:paraId="60ACD324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2.我单位选派的项目负责人：</w:t>
      </w:r>
    </w:p>
    <w:p w14:paraId="5D49D853">
      <w:pPr>
        <w:pStyle w:val="7"/>
        <w:spacing w:line="600" w:lineRule="exact"/>
        <w:ind w:firstLine="420" w:firstLineChars="200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姓名：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身份证号：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 xml:space="preserve"> </w:t>
      </w:r>
    </w:p>
    <w:p w14:paraId="1BD2A51E">
      <w:pPr>
        <w:pStyle w:val="7"/>
        <w:spacing w:line="600" w:lineRule="exact"/>
        <w:ind w:firstLine="420" w:firstLineChars="200"/>
        <w:rPr>
          <w:rFonts w:hint="eastAsia" w:ascii="宋体" w:hAnsi="宋体" w:eastAsia="宋体" w:cs="宋体"/>
          <w:color w:val="auto"/>
          <w:kern w:val="1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联系方式：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E6B970D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3.</w:t>
      </w:r>
      <w:r>
        <w:rPr>
          <w:color w:val="auto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color w:val="auto"/>
        </w:rPr>
      </w:pPr>
      <w:r>
        <w:rPr>
          <w:rFonts w:hint="eastAsia"/>
          <w:color w:val="auto"/>
          <w:lang w:val="en-US" w:eastAsia="zh-CN"/>
        </w:rPr>
        <w:t>4.</w:t>
      </w:r>
      <w:r>
        <w:rPr>
          <w:color w:val="auto"/>
        </w:rPr>
        <w:t>愿意提供与报价相关的所有数据、资料，理解贵方无义务接受最低价或任何报价。</w:t>
      </w:r>
    </w:p>
    <w:p w14:paraId="6B11732D">
      <w:pPr>
        <w:numPr>
          <w:ilvl w:val="0"/>
          <w:numId w:val="0"/>
        </w:numPr>
        <w:spacing w:before="0" w:beforeAutospacing="1" w:after="0" w:afterAutospacing="1"/>
        <w:ind w:firstLine="422" w:firstLineChars="200"/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5.</w:t>
      </w:r>
      <w:r>
        <w:rPr>
          <w:b/>
          <w:color w:val="auto"/>
        </w:rPr>
        <w:t>不接受项</w:t>
      </w:r>
      <w:r>
        <w:rPr>
          <w:color w:val="auto"/>
        </w:rPr>
        <w:t>：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                                   </w:t>
      </w:r>
      <w:r>
        <w:rPr>
          <w:color w:val="auto"/>
        </w:rPr>
        <w:t>。</w:t>
      </w:r>
    </w:p>
    <w:p w14:paraId="1D8C735C">
      <w:pPr>
        <w:rPr>
          <w:color w:val="auto"/>
        </w:rPr>
      </w:pPr>
      <w:r>
        <w:rPr>
          <w:b/>
          <w:color w:val="auto"/>
        </w:rPr>
        <w:t>承诺</w:t>
      </w:r>
      <w:r>
        <w:rPr>
          <w:color w:val="auto"/>
        </w:rPr>
        <w:t>：遵守询价书规定，及时签订合同并履行责任；</w:t>
      </w:r>
      <w:r>
        <w:rPr>
          <w:rFonts w:hint="eastAsia"/>
          <w:color w:val="auto"/>
          <w:lang w:val="en-US" w:eastAsia="zh-CN"/>
        </w:rPr>
        <w:t>不串通报价</w:t>
      </w:r>
      <w:r>
        <w:rPr>
          <w:color w:val="auto"/>
        </w:rPr>
        <w:t>，信息真实有效；接受贵方核查与审计。如违反，承担法律责任及相关处理。</w:t>
      </w:r>
    </w:p>
    <w:p w14:paraId="0F58C863">
      <w:pPr>
        <w:rPr>
          <w:color w:val="auto"/>
        </w:rPr>
      </w:pPr>
    </w:p>
    <w:p w14:paraId="151D0406">
      <w:pPr>
        <w:rPr>
          <w:color w:val="auto"/>
        </w:rPr>
      </w:pPr>
    </w:p>
    <w:p w14:paraId="0F5911FA">
      <w:pPr>
        <w:rPr>
          <w:rFonts w:hint="default" w:eastAsia="宋体"/>
          <w:color w:val="auto"/>
          <w:lang w:val="en-US" w:eastAsia="zh-CN"/>
        </w:rPr>
      </w:pPr>
      <w:r>
        <w:rPr>
          <w:color w:val="auto"/>
        </w:rPr>
        <w:t>全权代表（签字）：________ 联系电话：</w:t>
      </w:r>
      <w:r>
        <w:rPr>
          <w:rFonts w:hint="eastAsia"/>
          <w:color w:val="auto"/>
          <w:u w:val="single"/>
          <w:lang w:val="en-US" w:eastAsia="zh-CN"/>
        </w:rPr>
        <w:t xml:space="preserve">               </w:t>
      </w:r>
    </w:p>
    <w:p w14:paraId="3AFB065B">
      <w:pPr>
        <w:rPr>
          <w:color w:val="auto"/>
        </w:rPr>
      </w:pPr>
    </w:p>
    <w:p w14:paraId="3F8B5B67">
      <w:pPr>
        <w:rPr>
          <w:color w:val="auto"/>
        </w:rPr>
      </w:pPr>
    </w:p>
    <w:p w14:paraId="00829DAD">
      <w:pPr>
        <w:rPr>
          <w:color w:val="auto"/>
        </w:rPr>
      </w:pPr>
      <w:r>
        <w:rPr>
          <w:color w:val="auto"/>
        </w:rPr>
        <w:t>报价单位（盖章）：________ 日期：</w:t>
      </w:r>
      <w:r>
        <w:rPr>
          <w:color w:val="auto"/>
          <w:u w:val="single"/>
        </w:rPr>
        <w:t>_</w:t>
      </w:r>
      <w:r>
        <w:rPr>
          <w:rFonts w:hint="eastAsia"/>
          <w:color w:val="auto"/>
          <w:u w:val="single"/>
          <w:lang w:val="en-US" w:eastAsia="zh-CN"/>
        </w:rPr>
        <w:t xml:space="preserve">  </w:t>
      </w:r>
      <w:r>
        <w:rPr>
          <w:color w:val="auto"/>
          <w:u w:val="single"/>
        </w:rPr>
        <w:t>___</w:t>
      </w:r>
      <w:r>
        <w:rPr>
          <w:color w:val="auto"/>
        </w:rPr>
        <w:t>年</w:t>
      </w:r>
      <w:r>
        <w:rPr>
          <w:color w:val="auto"/>
          <w:u w:val="single"/>
        </w:rPr>
        <w:t>_</w:t>
      </w:r>
      <w:r>
        <w:rPr>
          <w:rFonts w:hint="eastAsia"/>
          <w:color w:val="auto"/>
          <w:u w:val="single"/>
          <w:lang w:val="en-US" w:eastAsia="zh-CN"/>
        </w:rPr>
        <w:t xml:space="preserve">  </w:t>
      </w:r>
      <w:r>
        <w:rPr>
          <w:color w:val="auto"/>
          <w:u w:val="single"/>
        </w:rPr>
        <w:t>_</w:t>
      </w:r>
      <w:r>
        <w:rPr>
          <w:color w:val="auto"/>
        </w:rPr>
        <w:t>月</w:t>
      </w:r>
      <w:r>
        <w:rPr>
          <w:color w:val="auto"/>
          <w:u w:val="single"/>
        </w:rPr>
        <w:t>_</w:t>
      </w:r>
      <w:r>
        <w:rPr>
          <w:rFonts w:hint="eastAsia"/>
          <w:color w:val="auto"/>
          <w:u w:val="single"/>
          <w:lang w:val="en-US" w:eastAsia="zh-CN"/>
        </w:rPr>
        <w:t xml:space="preserve">  </w:t>
      </w:r>
      <w:r>
        <w:rPr>
          <w:color w:val="auto"/>
          <w:u w:val="single"/>
        </w:rPr>
        <w:t>_</w:t>
      </w:r>
      <w:r>
        <w:rPr>
          <w:color w:val="auto"/>
        </w:rPr>
        <w:t>日</w:t>
      </w:r>
    </w:p>
    <w:p w14:paraId="57580ADE">
      <w:pPr>
        <w:pStyle w:val="15"/>
        <w:rPr>
          <w:color w:val="auto"/>
        </w:rPr>
      </w:pPr>
    </w:p>
    <w:p w14:paraId="7CC6AC9C">
      <w:pPr>
        <w:rPr>
          <w:rFonts w:hint="eastAsia"/>
          <w:color w:val="auto"/>
          <w:lang w:val="en-US" w:eastAsia="zh-CN"/>
        </w:rPr>
      </w:pPr>
    </w:p>
    <w:p w14:paraId="67E33312">
      <w:pPr>
        <w:rPr>
          <w:rFonts w:hint="eastAsia"/>
          <w:color w:val="auto"/>
          <w:lang w:val="en-US" w:eastAsia="zh-CN"/>
        </w:rPr>
      </w:pPr>
    </w:p>
    <w:p w14:paraId="7A367C6B">
      <w:pPr>
        <w:rPr>
          <w:rFonts w:hint="eastAsia"/>
          <w:color w:val="auto"/>
          <w:lang w:val="en-US" w:eastAsia="zh-CN"/>
        </w:rPr>
      </w:pPr>
    </w:p>
    <w:p w14:paraId="22128113">
      <w:pPr>
        <w:rPr>
          <w:rFonts w:hint="eastAsia"/>
          <w:color w:val="auto"/>
          <w:lang w:val="en-US" w:eastAsia="zh-CN"/>
        </w:rPr>
      </w:pPr>
    </w:p>
    <w:p w14:paraId="06FCC20B">
      <w:pPr>
        <w:rPr>
          <w:rFonts w:hint="eastAsia"/>
          <w:color w:val="auto"/>
          <w:lang w:val="en-US" w:eastAsia="zh-CN"/>
        </w:rPr>
      </w:pPr>
    </w:p>
    <w:p w14:paraId="3C89F158">
      <w:pPr>
        <w:rPr>
          <w:rFonts w:hint="eastAsia"/>
          <w:color w:val="auto"/>
          <w:lang w:val="en-US" w:eastAsia="zh-CN"/>
        </w:rPr>
      </w:pPr>
    </w:p>
    <w:p w14:paraId="45FAC64A">
      <w:pPr>
        <w:rPr>
          <w:rFonts w:hint="eastAsia"/>
          <w:color w:val="auto"/>
          <w:lang w:val="en-US" w:eastAsia="zh-CN"/>
        </w:rPr>
      </w:pPr>
    </w:p>
    <w:p w14:paraId="06C5173C">
      <w:pPr>
        <w:rPr>
          <w:rFonts w:hint="eastAsia"/>
          <w:color w:val="auto"/>
          <w:lang w:val="en-US" w:eastAsia="zh-CN"/>
        </w:rPr>
      </w:pPr>
    </w:p>
    <w:p w14:paraId="2522D142">
      <w:pPr>
        <w:rPr>
          <w:rFonts w:hint="eastAsia"/>
          <w:color w:val="auto"/>
          <w:lang w:val="en-US" w:eastAsia="zh-CN"/>
        </w:rPr>
      </w:pPr>
    </w:p>
    <w:p w14:paraId="4A6707BD">
      <w:pPr>
        <w:rPr>
          <w:rFonts w:hint="default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5085"/>
    <w:rsid w:val="006D6D64"/>
    <w:rsid w:val="00814795"/>
    <w:rsid w:val="00D40D69"/>
    <w:rsid w:val="01726D66"/>
    <w:rsid w:val="018D3590"/>
    <w:rsid w:val="019C2F1C"/>
    <w:rsid w:val="01C012ED"/>
    <w:rsid w:val="01C43C76"/>
    <w:rsid w:val="01E82BE0"/>
    <w:rsid w:val="02005B8D"/>
    <w:rsid w:val="0201300E"/>
    <w:rsid w:val="02043728"/>
    <w:rsid w:val="02186A33"/>
    <w:rsid w:val="02870FE9"/>
    <w:rsid w:val="02EB05EB"/>
    <w:rsid w:val="030F6088"/>
    <w:rsid w:val="03661A20"/>
    <w:rsid w:val="038D038B"/>
    <w:rsid w:val="039E740C"/>
    <w:rsid w:val="04350FF4"/>
    <w:rsid w:val="04425FE9"/>
    <w:rsid w:val="045F303F"/>
    <w:rsid w:val="047D34C5"/>
    <w:rsid w:val="04870970"/>
    <w:rsid w:val="051536FE"/>
    <w:rsid w:val="05C375FE"/>
    <w:rsid w:val="06110369"/>
    <w:rsid w:val="06775EF1"/>
    <w:rsid w:val="069A65B0"/>
    <w:rsid w:val="06C27A72"/>
    <w:rsid w:val="06D66EBD"/>
    <w:rsid w:val="06E009B8"/>
    <w:rsid w:val="075C73C2"/>
    <w:rsid w:val="07634BF4"/>
    <w:rsid w:val="077D779B"/>
    <w:rsid w:val="079E5C2C"/>
    <w:rsid w:val="07F47DB4"/>
    <w:rsid w:val="0818674D"/>
    <w:rsid w:val="08234384"/>
    <w:rsid w:val="0828199A"/>
    <w:rsid w:val="08626C5A"/>
    <w:rsid w:val="091D7025"/>
    <w:rsid w:val="09292DA4"/>
    <w:rsid w:val="096013B9"/>
    <w:rsid w:val="09B07E99"/>
    <w:rsid w:val="0A1B17B6"/>
    <w:rsid w:val="0A486323"/>
    <w:rsid w:val="0A634F0B"/>
    <w:rsid w:val="0AA96DC2"/>
    <w:rsid w:val="0B0B1B90"/>
    <w:rsid w:val="0B106E41"/>
    <w:rsid w:val="0B1408EB"/>
    <w:rsid w:val="0B332B30"/>
    <w:rsid w:val="0B5C7B8D"/>
    <w:rsid w:val="0BC47C2C"/>
    <w:rsid w:val="0C526FE5"/>
    <w:rsid w:val="0CB170AE"/>
    <w:rsid w:val="0CC91E41"/>
    <w:rsid w:val="0D0C188A"/>
    <w:rsid w:val="0E1C78AB"/>
    <w:rsid w:val="0E3A41D5"/>
    <w:rsid w:val="0E791F56"/>
    <w:rsid w:val="0E925DBF"/>
    <w:rsid w:val="0EEB5082"/>
    <w:rsid w:val="104B26C9"/>
    <w:rsid w:val="10AF0EAA"/>
    <w:rsid w:val="11AE3182"/>
    <w:rsid w:val="12922C84"/>
    <w:rsid w:val="12F40DF6"/>
    <w:rsid w:val="134678C7"/>
    <w:rsid w:val="142A108C"/>
    <w:rsid w:val="1457163D"/>
    <w:rsid w:val="147931F1"/>
    <w:rsid w:val="148F359A"/>
    <w:rsid w:val="14D05D11"/>
    <w:rsid w:val="14ED3D4F"/>
    <w:rsid w:val="152A4FA3"/>
    <w:rsid w:val="15386004"/>
    <w:rsid w:val="154E0FD9"/>
    <w:rsid w:val="15857A3E"/>
    <w:rsid w:val="15924BCE"/>
    <w:rsid w:val="15F1304B"/>
    <w:rsid w:val="16677B31"/>
    <w:rsid w:val="16BC4047"/>
    <w:rsid w:val="16D83A1E"/>
    <w:rsid w:val="17681DB3"/>
    <w:rsid w:val="17727694"/>
    <w:rsid w:val="17920BDE"/>
    <w:rsid w:val="181400AB"/>
    <w:rsid w:val="18226406"/>
    <w:rsid w:val="18277578"/>
    <w:rsid w:val="18B2778A"/>
    <w:rsid w:val="18D019BE"/>
    <w:rsid w:val="18DB52A6"/>
    <w:rsid w:val="196654A0"/>
    <w:rsid w:val="199926F8"/>
    <w:rsid w:val="19E219A9"/>
    <w:rsid w:val="1A361CF4"/>
    <w:rsid w:val="1A9A04D5"/>
    <w:rsid w:val="1AB96767"/>
    <w:rsid w:val="1AE259D8"/>
    <w:rsid w:val="1B154000"/>
    <w:rsid w:val="1B4F7841"/>
    <w:rsid w:val="1B6805D3"/>
    <w:rsid w:val="1B767159"/>
    <w:rsid w:val="1B9118D8"/>
    <w:rsid w:val="1C0D408C"/>
    <w:rsid w:val="1C1D13BE"/>
    <w:rsid w:val="1C844F99"/>
    <w:rsid w:val="1C8D2BE4"/>
    <w:rsid w:val="1D0600A4"/>
    <w:rsid w:val="1D0F08AC"/>
    <w:rsid w:val="1D512443"/>
    <w:rsid w:val="1D7C655F"/>
    <w:rsid w:val="1DD27F86"/>
    <w:rsid w:val="1E340C41"/>
    <w:rsid w:val="1E544E3F"/>
    <w:rsid w:val="1E8F7C25"/>
    <w:rsid w:val="1E937E31"/>
    <w:rsid w:val="1F4924CA"/>
    <w:rsid w:val="20196340"/>
    <w:rsid w:val="201B3E66"/>
    <w:rsid w:val="202C0E96"/>
    <w:rsid w:val="20DB35F6"/>
    <w:rsid w:val="21FB3F4F"/>
    <w:rsid w:val="224F6049"/>
    <w:rsid w:val="228D7161"/>
    <w:rsid w:val="22CF2CE6"/>
    <w:rsid w:val="234436D4"/>
    <w:rsid w:val="237C2E6E"/>
    <w:rsid w:val="23B95E70"/>
    <w:rsid w:val="24030E99"/>
    <w:rsid w:val="246B0C1A"/>
    <w:rsid w:val="247C629F"/>
    <w:rsid w:val="24960418"/>
    <w:rsid w:val="24E05525"/>
    <w:rsid w:val="25565941"/>
    <w:rsid w:val="255F2A47"/>
    <w:rsid w:val="256B4F5E"/>
    <w:rsid w:val="257465B4"/>
    <w:rsid w:val="2580651A"/>
    <w:rsid w:val="262477ED"/>
    <w:rsid w:val="26252083"/>
    <w:rsid w:val="2628108B"/>
    <w:rsid w:val="269229A8"/>
    <w:rsid w:val="276E2ACE"/>
    <w:rsid w:val="279D7857"/>
    <w:rsid w:val="27B45173"/>
    <w:rsid w:val="27CC0772"/>
    <w:rsid w:val="27D03788"/>
    <w:rsid w:val="27E2170E"/>
    <w:rsid w:val="287B25CD"/>
    <w:rsid w:val="287F0D0A"/>
    <w:rsid w:val="28A15125"/>
    <w:rsid w:val="28C50E13"/>
    <w:rsid w:val="28D8600F"/>
    <w:rsid w:val="29303A5B"/>
    <w:rsid w:val="293D4E4D"/>
    <w:rsid w:val="29B669AE"/>
    <w:rsid w:val="29EF3C6E"/>
    <w:rsid w:val="2A226935"/>
    <w:rsid w:val="2A3F4BF5"/>
    <w:rsid w:val="2B094D4A"/>
    <w:rsid w:val="2B095688"/>
    <w:rsid w:val="2B0C2F93"/>
    <w:rsid w:val="2B1E2A5D"/>
    <w:rsid w:val="2B21100C"/>
    <w:rsid w:val="2B6007A2"/>
    <w:rsid w:val="2B8C00D9"/>
    <w:rsid w:val="2C3658A5"/>
    <w:rsid w:val="2C5801F0"/>
    <w:rsid w:val="2C5865F5"/>
    <w:rsid w:val="2CA70830"/>
    <w:rsid w:val="2CF03F85"/>
    <w:rsid w:val="2CFE2B46"/>
    <w:rsid w:val="2D2500D2"/>
    <w:rsid w:val="2D4542D1"/>
    <w:rsid w:val="2D4F33A1"/>
    <w:rsid w:val="2D6D29C6"/>
    <w:rsid w:val="2D7D3E53"/>
    <w:rsid w:val="2DCC054E"/>
    <w:rsid w:val="2E187C37"/>
    <w:rsid w:val="2E3A7D7C"/>
    <w:rsid w:val="2E4722CA"/>
    <w:rsid w:val="2E67471B"/>
    <w:rsid w:val="2E730AF8"/>
    <w:rsid w:val="2E8250B1"/>
    <w:rsid w:val="2ED60E69"/>
    <w:rsid w:val="2EEE0779"/>
    <w:rsid w:val="2F544C9F"/>
    <w:rsid w:val="2F57478F"/>
    <w:rsid w:val="2FB67708"/>
    <w:rsid w:val="2FC242FE"/>
    <w:rsid w:val="30336FAA"/>
    <w:rsid w:val="303B19BB"/>
    <w:rsid w:val="30534F57"/>
    <w:rsid w:val="30DA11D4"/>
    <w:rsid w:val="315471D8"/>
    <w:rsid w:val="316136A3"/>
    <w:rsid w:val="3163741B"/>
    <w:rsid w:val="316B2774"/>
    <w:rsid w:val="3178194A"/>
    <w:rsid w:val="31992E3D"/>
    <w:rsid w:val="32597B75"/>
    <w:rsid w:val="325D20BC"/>
    <w:rsid w:val="330C763F"/>
    <w:rsid w:val="331309CD"/>
    <w:rsid w:val="33541711"/>
    <w:rsid w:val="33A81274"/>
    <w:rsid w:val="346C2A8B"/>
    <w:rsid w:val="34B955A4"/>
    <w:rsid w:val="34F62354"/>
    <w:rsid w:val="35362A5A"/>
    <w:rsid w:val="35843E04"/>
    <w:rsid w:val="358636D8"/>
    <w:rsid w:val="35B41300"/>
    <w:rsid w:val="365B4DB3"/>
    <w:rsid w:val="370276D6"/>
    <w:rsid w:val="372633C5"/>
    <w:rsid w:val="374675C3"/>
    <w:rsid w:val="37743447"/>
    <w:rsid w:val="37E312B6"/>
    <w:rsid w:val="389E4F4F"/>
    <w:rsid w:val="393A4F06"/>
    <w:rsid w:val="3986014B"/>
    <w:rsid w:val="39BA4298"/>
    <w:rsid w:val="39FA0695"/>
    <w:rsid w:val="3A1052D9"/>
    <w:rsid w:val="3A105C66"/>
    <w:rsid w:val="3A606BEE"/>
    <w:rsid w:val="3AAB143A"/>
    <w:rsid w:val="3B117EE8"/>
    <w:rsid w:val="3B421FAF"/>
    <w:rsid w:val="3BB645EB"/>
    <w:rsid w:val="3BCB453B"/>
    <w:rsid w:val="3BE5642F"/>
    <w:rsid w:val="3BF52B59"/>
    <w:rsid w:val="3BFF41E4"/>
    <w:rsid w:val="3C4E1893"/>
    <w:rsid w:val="3C6A3D54"/>
    <w:rsid w:val="3D8B21D4"/>
    <w:rsid w:val="3DB42DAD"/>
    <w:rsid w:val="3E0A2E40"/>
    <w:rsid w:val="3E391C30"/>
    <w:rsid w:val="3F95733A"/>
    <w:rsid w:val="3FCE45FA"/>
    <w:rsid w:val="40694322"/>
    <w:rsid w:val="418C651A"/>
    <w:rsid w:val="41A25E6D"/>
    <w:rsid w:val="42A7679F"/>
    <w:rsid w:val="42D81056"/>
    <w:rsid w:val="43326C4D"/>
    <w:rsid w:val="43476B9D"/>
    <w:rsid w:val="43B9736F"/>
    <w:rsid w:val="43F46B21"/>
    <w:rsid w:val="44240C8C"/>
    <w:rsid w:val="4436451B"/>
    <w:rsid w:val="443F7874"/>
    <w:rsid w:val="445C3E94"/>
    <w:rsid w:val="44953938"/>
    <w:rsid w:val="44FC5765"/>
    <w:rsid w:val="450364A8"/>
    <w:rsid w:val="462F3918"/>
    <w:rsid w:val="465D0485"/>
    <w:rsid w:val="46F56910"/>
    <w:rsid w:val="46FF778E"/>
    <w:rsid w:val="471825FE"/>
    <w:rsid w:val="47411B55"/>
    <w:rsid w:val="47CC3F0F"/>
    <w:rsid w:val="4842770F"/>
    <w:rsid w:val="485D651B"/>
    <w:rsid w:val="48B85AD9"/>
    <w:rsid w:val="49431BB4"/>
    <w:rsid w:val="499C12C5"/>
    <w:rsid w:val="49AB59AC"/>
    <w:rsid w:val="49BE56DF"/>
    <w:rsid w:val="4A1E3184"/>
    <w:rsid w:val="4A331C29"/>
    <w:rsid w:val="4AA30AF1"/>
    <w:rsid w:val="4AC251FD"/>
    <w:rsid w:val="4AE1260F"/>
    <w:rsid w:val="4B2C48CA"/>
    <w:rsid w:val="4BD96800"/>
    <w:rsid w:val="4BE0663F"/>
    <w:rsid w:val="4C3A6B73"/>
    <w:rsid w:val="4C5B5467"/>
    <w:rsid w:val="4D2E4F0D"/>
    <w:rsid w:val="4D3F440D"/>
    <w:rsid w:val="4D45144F"/>
    <w:rsid w:val="4DAE5A6A"/>
    <w:rsid w:val="4E2D2E33"/>
    <w:rsid w:val="4E355844"/>
    <w:rsid w:val="4EB42C0C"/>
    <w:rsid w:val="4F8A27C1"/>
    <w:rsid w:val="4FD03A76"/>
    <w:rsid w:val="4FE614EB"/>
    <w:rsid w:val="4FEB08B0"/>
    <w:rsid w:val="4FF754A7"/>
    <w:rsid w:val="506D39BB"/>
    <w:rsid w:val="50B21740"/>
    <w:rsid w:val="50D41344"/>
    <w:rsid w:val="511B3417"/>
    <w:rsid w:val="512A18AC"/>
    <w:rsid w:val="513A2283"/>
    <w:rsid w:val="515B4796"/>
    <w:rsid w:val="51B46EF1"/>
    <w:rsid w:val="52923265"/>
    <w:rsid w:val="52D10231"/>
    <w:rsid w:val="52E77A54"/>
    <w:rsid w:val="52F37FDC"/>
    <w:rsid w:val="531719BC"/>
    <w:rsid w:val="53760A56"/>
    <w:rsid w:val="53B447E3"/>
    <w:rsid w:val="543C5B7E"/>
    <w:rsid w:val="545253A1"/>
    <w:rsid w:val="54880DC3"/>
    <w:rsid w:val="54921C42"/>
    <w:rsid w:val="549459BA"/>
    <w:rsid w:val="54BE2A37"/>
    <w:rsid w:val="55D30457"/>
    <w:rsid w:val="564B19BA"/>
    <w:rsid w:val="56563E0E"/>
    <w:rsid w:val="56AB2B47"/>
    <w:rsid w:val="572D7A00"/>
    <w:rsid w:val="5730129E"/>
    <w:rsid w:val="57BD5228"/>
    <w:rsid w:val="5806097D"/>
    <w:rsid w:val="58113834"/>
    <w:rsid w:val="58505B73"/>
    <w:rsid w:val="591946E0"/>
    <w:rsid w:val="593B28A8"/>
    <w:rsid w:val="59FD3B96"/>
    <w:rsid w:val="5A0709DC"/>
    <w:rsid w:val="5A3B2434"/>
    <w:rsid w:val="5A5C220E"/>
    <w:rsid w:val="5A702373"/>
    <w:rsid w:val="5B9B1B71"/>
    <w:rsid w:val="5C881239"/>
    <w:rsid w:val="5D07484F"/>
    <w:rsid w:val="5D5006C5"/>
    <w:rsid w:val="5E3307F9"/>
    <w:rsid w:val="5EF26EAF"/>
    <w:rsid w:val="5FC62152"/>
    <w:rsid w:val="5FED582A"/>
    <w:rsid w:val="600D03CE"/>
    <w:rsid w:val="60681AA9"/>
    <w:rsid w:val="608A4F08"/>
    <w:rsid w:val="60956BA0"/>
    <w:rsid w:val="609D5BF6"/>
    <w:rsid w:val="62013F63"/>
    <w:rsid w:val="626F711E"/>
    <w:rsid w:val="62894684"/>
    <w:rsid w:val="62A56FE4"/>
    <w:rsid w:val="62DD677E"/>
    <w:rsid w:val="62E84689"/>
    <w:rsid w:val="62E95123"/>
    <w:rsid w:val="6326564D"/>
    <w:rsid w:val="63846BFA"/>
    <w:rsid w:val="63860E8D"/>
    <w:rsid w:val="63D27965"/>
    <w:rsid w:val="63F87D96"/>
    <w:rsid w:val="63FA3360"/>
    <w:rsid w:val="641206A9"/>
    <w:rsid w:val="6424218B"/>
    <w:rsid w:val="644665A5"/>
    <w:rsid w:val="64B90B25"/>
    <w:rsid w:val="64BE25DF"/>
    <w:rsid w:val="64D37E39"/>
    <w:rsid w:val="64EE14FB"/>
    <w:rsid w:val="650D466E"/>
    <w:rsid w:val="6517321B"/>
    <w:rsid w:val="655F347A"/>
    <w:rsid w:val="667271DD"/>
    <w:rsid w:val="669B6734"/>
    <w:rsid w:val="676A6106"/>
    <w:rsid w:val="6830241D"/>
    <w:rsid w:val="68A51AEC"/>
    <w:rsid w:val="68B13297"/>
    <w:rsid w:val="694037F5"/>
    <w:rsid w:val="696F5C56"/>
    <w:rsid w:val="69D87C9F"/>
    <w:rsid w:val="6AD3740D"/>
    <w:rsid w:val="6B090119"/>
    <w:rsid w:val="6B3B27F8"/>
    <w:rsid w:val="6B515669"/>
    <w:rsid w:val="6BB40298"/>
    <w:rsid w:val="6BC3466E"/>
    <w:rsid w:val="6BD26725"/>
    <w:rsid w:val="6C6972D4"/>
    <w:rsid w:val="6CD75FEC"/>
    <w:rsid w:val="6CDE737B"/>
    <w:rsid w:val="6D147240"/>
    <w:rsid w:val="6DD76B71"/>
    <w:rsid w:val="6DF332FA"/>
    <w:rsid w:val="6DFA6436"/>
    <w:rsid w:val="6E834576"/>
    <w:rsid w:val="6EC86534"/>
    <w:rsid w:val="6EE3511C"/>
    <w:rsid w:val="6F124001"/>
    <w:rsid w:val="6F5D1867"/>
    <w:rsid w:val="6F920B8C"/>
    <w:rsid w:val="703B221B"/>
    <w:rsid w:val="704F7FA8"/>
    <w:rsid w:val="708A48C4"/>
    <w:rsid w:val="71296F3C"/>
    <w:rsid w:val="72037883"/>
    <w:rsid w:val="7215431A"/>
    <w:rsid w:val="722A340F"/>
    <w:rsid w:val="723B701D"/>
    <w:rsid w:val="72424D2E"/>
    <w:rsid w:val="72B34E05"/>
    <w:rsid w:val="730731B7"/>
    <w:rsid w:val="739A7D73"/>
    <w:rsid w:val="748527D2"/>
    <w:rsid w:val="74CB5C46"/>
    <w:rsid w:val="7538695C"/>
    <w:rsid w:val="75956A44"/>
    <w:rsid w:val="766F1A66"/>
    <w:rsid w:val="76C07AF1"/>
    <w:rsid w:val="76D31F1A"/>
    <w:rsid w:val="771D4F43"/>
    <w:rsid w:val="78006D3F"/>
    <w:rsid w:val="785C7CED"/>
    <w:rsid w:val="78986F77"/>
    <w:rsid w:val="78C71F36"/>
    <w:rsid w:val="78E73A5B"/>
    <w:rsid w:val="78FA2DA2"/>
    <w:rsid w:val="79224A93"/>
    <w:rsid w:val="79A47B9E"/>
    <w:rsid w:val="79E96551"/>
    <w:rsid w:val="7A28257D"/>
    <w:rsid w:val="7A61631D"/>
    <w:rsid w:val="7A65732D"/>
    <w:rsid w:val="7A951295"/>
    <w:rsid w:val="7A995229"/>
    <w:rsid w:val="7AB61937"/>
    <w:rsid w:val="7AB638D0"/>
    <w:rsid w:val="7ACC2F08"/>
    <w:rsid w:val="7B0E1773"/>
    <w:rsid w:val="7B106F4E"/>
    <w:rsid w:val="7BCD518A"/>
    <w:rsid w:val="7C105AF1"/>
    <w:rsid w:val="7C261436"/>
    <w:rsid w:val="7CE73E14"/>
    <w:rsid w:val="7CFD1825"/>
    <w:rsid w:val="7D0C1CE2"/>
    <w:rsid w:val="7D230DDA"/>
    <w:rsid w:val="7D380D29"/>
    <w:rsid w:val="7D5176F5"/>
    <w:rsid w:val="7D8D4ED3"/>
    <w:rsid w:val="7D9D0B8C"/>
    <w:rsid w:val="7D9D293A"/>
    <w:rsid w:val="7DBE565E"/>
    <w:rsid w:val="7DC26844"/>
    <w:rsid w:val="7DDF2F52"/>
    <w:rsid w:val="7DE762AB"/>
    <w:rsid w:val="7E1352F2"/>
    <w:rsid w:val="7EEB3B79"/>
    <w:rsid w:val="7EFF2F10"/>
    <w:rsid w:val="7F2037D3"/>
    <w:rsid w:val="7F2903A8"/>
    <w:rsid w:val="7F8C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12" w:lineRule="atLeast"/>
      <w:ind w:firstLine="420"/>
      <w:textAlignment w:val="baseline"/>
    </w:pPr>
    <w:rPr>
      <w:color w:val="auto"/>
      <w:kern w:val="2"/>
    </w:rPr>
  </w:style>
  <w:style w:type="paragraph" w:styleId="6">
    <w:name w:val="annotation text"/>
    <w:basedOn w:val="1"/>
    <w:qFormat/>
    <w:uiPriority w:val="0"/>
    <w:pPr>
      <w:jc w:val="left"/>
    </w:pPr>
    <w:rPr>
      <w:color w:val="auto"/>
      <w:kern w:val="2"/>
    </w:r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styleId="8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9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Normal Indent1"/>
    <w:basedOn w:val="1"/>
    <w:qFormat/>
    <w:uiPriority w:val="0"/>
    <w:pPr>
      <w:ind w:firstLine="420"/>
    </w:pPr>
    <w:rPr>
      <w:rFonts w:eastAsia="FangSong_GB2312"/>
      <w:sz w:val="24"/>
    </w:rPr>
  </w:style>
  <w:style w:type="paragraph" w:customStyle="1" w:styleId="15">
    <w:name w:val="List Paragraph"/>
    <w:basedOn w:val="1"/>
    <w:qFormat/>
    <w:uiPriority w:val="99"/>
    <w:pPr>
      <w:ind w:left="495" w:firstLine="211"/>
    </w:pPr>
    <w:rPr>
      <w:rFonts w:ascii="宋体" w:hAnsi="宋体" w:cs="宋体"/>
      <w:lang w:val="zh-CN" w:bidi="zh-CN"/>
    </w:rPr>
  </w:style>
  <w:style w:type="character" w:customStyle="1" w:styleId="16">
    <w:name w:val="font9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7">
    <w:name w:val="font101"/>
    <w:basedOn w:val="1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8">
    <w:name w:val="font4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112"/>
    <w:basedOn w:val="13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20">
    <w:name w:val="font2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2">
    <w:name w:val="font1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3">
    <w:name w:val="font8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2260</Words>
  <Characters>2499</Characters>
  <Lines>0</Lines>
  <Paragraphs>0</Paragraphs>
  <TotalTime>0</TotalTime>
  <ScaleCrop>false</ScaleCrop>
  <LinksUpToDate>false</LinksUpToDate>
  <CharactersWithSpaces>2736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韩娅晴</cp:lastModifiedBy>
  <cp:lastPrinted>2026-01-13T08:37:00Z</cp:lastPrinted>
  <dcterms:modified xsi:type="dcterms:W3CDTF">2026-07-22T01:45:08Z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eyJoZGlkIjoiNGE4ODNkZWEzNzBhZTYyNjIyZjlkZGNlMjIxN2I3NTgiLCJ1c2VySWQiOiIxODAwMjc4ODcxIn0=</vt:lpwstr>
  </property>
  <property fmtid="{D5CDD505-2E9C-101B-9397-08002B2CF9AE}" pid="4" name="ICV">
    <vt:lpwstr>AC08B15DEC824E5996F0D7D741009FFB_12</vt:lpwstr>
  </property>
</Properties>
</file>