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E6239">
      <w:pPr>
        <w:pStyle w:val="2"/>
        <w:jc w:val="center"/>
        <w:rPr>
          <w:color w:val="auto"/>
        </w:rPr>
      </w:pPr>
      <w:r>
        <w:rPr>
          <w:color w:val="auto"/>
        </w:rPr>
        <w:t>采购询价书</w:t>
      </w:r>
    </w:p>
    <w:p w14:paraId="0DDD079B">
      <w:pPr>
        <w:numPr>
          <w:ilvl w:val="0"/>
          <w:numId w:val="0"/>
        </w:numPr>
        <w:spacing w:before="0" w:beforeAutospacing="1" w:after="0" w:afterAutospacing="1"/>
        <w:ind w:firstLine="420" w:firstLineChars="200"/>
        <w:rPr>
          <w:color w:val="auto"/>
        </w:rPr>
      </w:pPr>
      <w:r>
        <w:rPr>
          <w:rFonts w:hint="eastAsia"/>
          <w:color w:val="auto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 w14:paraId="4678741B">
      <w:pPr>
        <w:pStyle w:val="3"/>
        <w:rPr>
          <w:color w:val="auto"/>
        </w:rPr>
      </w:pPr>
      <w:r>
        <w:rPr>
          <w:color w:val="auto"/>
        </w:rPr>
        <w:t>一、项目概况</w:t>
      </w:r>
    </w:p>
    <w:p w14:paraId="4F7B6320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b/>
          <w:color w:val="auto"/>
        </w:rPr>
        <w:t>项目名称</w:t>
      </w:r>
      <w:r>
        <w:rPr>
          <w:color w:val="auto"/>
        </w:rPr>
        <w:t>：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索普股份硫酸装置智能化改造项目安全设施竣工验收报告</w:t>
      </w:r>
      <w:r>
        <w:rPr>
          <w:rFonts w:hint="eastAsia" w:cs="Times New Roman"/>
          <w:color w:val="auto"/>
          <w:lang w:val="en-US" w:eastAsia="zh-CN"/>
        </w:rPr>
        <w:t>、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职业病控效评价报告编制</w:t>
      </w:r>
    </w:p>
    <w:p w14:paraId="261CEC3C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b/>
          <w:color w:val="auto"/>
        </w:rPr>
        <w:t>采</w:t>
      </w:r>
      <w:r>
        <w:rPr>
          <w:rFonts w:hint="eastAsia"/>
          <w:b/>
          <w:color w:val="auto"/>
          <w:lang w:val="en-US" w:eastAsia="zh-CN"/>
        </w:rPr>
        <w:t xml:space="preserve"> </w:t>
      </w:r>
      <w:r>
        <w:rPr>
          <w:b/>
          <w:color w:val="auto"/>
        </w:rPr>
        <w:t>购</w:t>
      </w:r>
      <w:r>
        <w:rPr>
          <w:rFonts w:hint="eastAsia"/>
          <w:b/>
          <w:color w:val="auto"/>
          <w:lang w:val="en-US" w:eastAsia="zh-CN"/>
        </w:rPr>
        <w:t xml:space="preserve"> </w:t>
      </w:r>
      <w:r>
        <w:rPr>
          <w:b/>
          <w:color w:val="auto"/>
        </w:rPr>
        <w:t>人</w:t>
      </w:r>
      <w:r>
        <w:rPr>
          <w:color w:val="auto"/>
        </w:rPr>
        <w:t>：江苏索普化工股份有限公司</w:t>
      </w:r>
      <w:r>
        <w:rPr>
          <w:rFonts w:hint="eastAsia"/>
          <w:color w:val="auto"/>
          <w:lang w:val="en-US" w:eastAsia="zh-CN"/>
        </w:rPr>
        <w:t>安全环境部</w:t>
      </w:r>
    </w:p>
    <w:p w14:paraId="24EBA3D0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rFonts w:hint="eastAsia"/>
          <w:b/>
          <w:bCs/>
          <w:color w:val="auto"/>
          <w:lang w:val="en-US" w:eastAsia="zh-CN"/>
        </w:rPr>
        <w:t>报价截止与评审时间</w:t>
      </w:r>
      <w:r>
        <w:rPr>
          <w:rFonts w:hint="eastAsia"/>
          <w:color w:val="auto"/>
          <w:lang w:val="en-US" w:eastAsia="zh-CN"/>
        </w:rPr>
        <w:t>：2026年7月31日15：00（北京时间）</w:t>
      </w:r>
    </w:p>
    <w:p w14:paraId="696D82AA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rFonts w:hint="eastAsia"/>
          <w:b/>
          <w:bCs/>
          <w:color w:val="auto"/>
          <w:lang w:val="en-US" w:eastAsia="zh-CN"/>
        </w:rPr>
        <w:t>评审地点</w:t>
      </w:r>
      <w:r>
        <w:rPr>
          <w:rFonts w:hint="eastAsia"/>
          <w:color w:val="auto"/>
          <w:lang w:val="en-US" w:eastAsia="zh-CN"/>
        </w:rPr>
        <w:t>：江苏索普（集团）有限公司评审中心</w:t>
      </w:r>
    </w:p>
    <w:p w14:paraId="71DC08F0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b/>
          <w:bCs/>
          <w:color w:val="auto"/>
        </w:rPr>
      </w:pPr>
      <w:r>
        <w:rPr>
          <w:rFonts w:hint="eastAsia"/>
          <w:b/>
          <w:bCs/>
          <w:color w:val="auto"/>
          <w:lang w:val="en-US" w:eastAsia="zh-CN"/>
        </w:rPr>
        <w:t>交货时间：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2026年</w:t>
      </w:r>
      <w:r>
        <w:rPr>
          <w:rFonts w:hint="eastAsia" w:cs="Times New Roman"/>
          <w:color w:val="auto"/>
          <w:lang w:val="en-US" w:eastAsia="zh-CN"/>
        </w:rPr>
        <w:t>9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月</w:t>
      </w:r>
      <w:r>
        <w:rPr>
          <w:rFonts w:hint="eastAsia" w:cs="Times New Roman"/>
          <w:color w:val="auto"/>
          <w:lang w:val="en-US" w:eastAsia="zh-CN"/>
        </w:rPr>
        <w:t>30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日</w:t>
      </w:r>
      <w:r>
        <w:rPr>
          <w:rFonts w:hint="eastAsia" w:ascii="Times New Roman" w:hAnsi="Times New Roman" w:cs="Times New Roman"/>
          <w:color w:val="auto"/>
        </w:rPr>
        <w:t xml:space="preserve">  </w:t>
      </w:r>
    </w:p>
    <w:p w14:paraId="5CE043A4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rFonts w:hint="eastAsia"/>
          <w:b/>
          <w:bCs/>
          <w:color w:val="auto"/>
          <w:lang w:val="en-US" w:eastAsia="zh-CN"/>
        </w:rPr>
        <w:t>交货地址</w:t>
      </w:r>
      <w:r>
        <w:rPr>
          <w:rFonts w:hint="eastAsia"/>
          <w:color w:val="auto"/>
          <w:lang w:val="en-US" w:eastAsia="zh-CN"/>
        </w:rPr>
        <w:t>：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江苏索普化工股份有限公司</w:t>
      </w:r>
    </w:p>
    <w:p w14:paraId="57A490E9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rFonts w:hint="eastAsia"/>
          <w:b/>
          <w:color w:val="auto"/>
          <w:lang w:val="en-US" w:eastAsia="zh-CN"/>
        </w:rPr>
        <w:t>公示</w:t>
      </w:r>
      <w:r>
        <w:rPr>
          <w:b/>
          <w:color w:val="auto"/>
        </w:rPr>
        <w:t>查询</w:t>
      </w:r>
      <w:r>
        <w:rPr>
          <w:color w:val="auto"/>
        </w:rPr>
        <w:t>：</w:t>
      </w:r>
      <w:r>
        <w:rPr>
          <w:rFonts w:hint="eastAsia"/>
          <w:color w:val="auto"/>
          <w:lang w:val="en-US" w:eastAsia="zh-CN"/>
        </w:rPr>
        <w:t>ww</w:t>
      </w:r>
      <w:r>
        <w:rPr>
          <w:color w:val="auto"/>
        </w:rPr>
        <w:t>w.sopo.com.cn</w:t>
      </w:r>
    </w:p>
    <w:p w14:paraId="76821092">
      <w:pPr>
        <w:pStyle w:val="3"/>
        <w:rPr>
          <w:color w:val="auto"/>
        </w:rPr>
      </w:pPr>
      <w:r>
        <w:rPr>
          <w:color w:val="auto"/>
        </w:rPr>
        <w:t>二、采购内容及要求</w:t>
      </w:r>
    </w:p>
    <w:p w14:paraId="76D0435B">
      <w:pPr>
        <w:pStyle w:val="4"/>
        <w:rPr>
          <w:rFonts w:hint="eastAsia" w:eastAsia="宋体"/>
          <w:color w:val="auto"/>
          <w:lang w:eastAsia="zh-CN"/>
        </w:rPr>
      </w:pPr>
      <w:r>
        <w:rPr>
          <w:rFonts w:hint="eastAsia" w:ascii="Times New Roman" w:hAnsi="Times New Roman" w:cs="Times New Roman"/>
          <w:color w:val="auto"/>
          <w:lang w:eastAsia="zh-CN"/>
        </w:rPr>
        <w:t>（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一</w:t>
      </w:r>
      <w:r>
        <w:rPr>
          <w:rFonts w:hint="eastAsia" w:ascii="Times New Roman" w:hAnsi="Times New Roman" w:cs="Times New Roman"/>
          <w:color w:val="auto"/>
          <w:lang w:eastAsia="zh-CN"/>
        </w:rPr>
        <w:t>）</w:t>
      </w:r>
      <w:r>
        <w:rPr>
          <w:rFonts w:ascii="Times New Roman" w:hAnsi="Times New Roman" w:cs="Times New Roman"/>
          <w:color w:val="auto"/>
        </w:rPr>
        <w:t>采购</w:t>
      </w:r>
      <w:r>
        <w:rPr>
          <w:rFonts w:hint="eastAsia" w:ascii="Times New Roman" w:hAnsi="Times New Roman" w:eastAsia="宋体" w:cs="Times New Roman"/>
          <w:color w:val="auto"/>
          <w:lang w:val="en-US" w:eastAsia="zh-CN"/>
        </w:rPr>
        <w:t>内容</w:t>
      </w:r>
    </w:p>
    <w:p w14:paraId="28DC3E10">
      <w:pPr>
        <w:numPr>
          <w:ilvl w:val="0"/>
          <w:numId w:val="0"/>
        </w:numPr>
        <w:spacing w:before="0" w:beforeAutospacing="1" w:after="0" w:afterAutospacing="1"/>
        <w:ind w:firstLine="422" w:firstLineChars="200"/>
        <w:rPr>
          <w:rFonts w:hint="eastAsia" w:cs="Times New Roman"/>
          <w:color w:val="auto"/>
          <w:lang w:val="en-US" w:eastAsia="zh-CN"/>
        </w:rPr>
      </w:pPr>
      <w:bookmarkStart w:id="0" w:name="_GoBack"/>
      <w:r>
        <w:rPr>
          <w:rFonts w:hint="eastAsia" w:ascii="Times New Roman" w:hAnsi="Times New Roman" w:cs="Times New Roman"/>
          <w:b/>
          <w:bCs/>
          <w:color w:val="auto"/>
          <w:lang w:val="en-US" w:eastAsia="zh-CN"/>
        </w:rPr>
        <w:t>1.</w:t>
      </w:r>
      <w:r>
        <w:rPr>
          <w:rFonts w:hint="eastAsia" w:cs="Times New Roman"/>
          <w:b/>
          <w:bCs/>
          <w:color w:val="auto"/>
          <w:lang w:val="en-US" w:eastAsia="zh-CN"/>
        </w:rPr>
        <w:t>采购</w:t>
      </w:r>
      <w:r>
        <w:rPr>
          <w:rFonts w:hint="eastAsia" w:ascii="Times New Roman" w:hAnsi="Times New Roman" w:cs="Times New Roman"/>
          <w:b/>
          <w:bCs/>
          <w:color w:val="auto"/>
          <w:lang w:val="en-US" w:eastAsia="zh-CN"/>
        </w:rPr>
        <w:t>服务内容：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编制索普股份硫酸装置智能化改造项目安全设施竣工验收报告</w:t>
      </w:r>
      <w:r>
        <w:rPr>
          <w:rFonts w:hint="eastAsia" w:cs="Times New Roman"/>
          <w:color w:val="auto"/>
          <w:lang w:val="en-US" w:eastAsia="zh-CN"/>
        </w:rPr>
        <w:t>、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职业病控效评价报告</w:t>
      </w:r>
      <w:r>
        <w:rPr>
          <w:rFonts w:hint="eastAsia" w:cs="Times New Roman"/>
          <w:color w:val="auto"/>
          <w:lang w:val="en-US" w:eastAsia="zh-CN"/>
        </w:rPr>
        <w:t>，并经过专家评审。</w:t>
      </w:r>
    </w:p>
    <w:p w14:paraId="314CB12A">
      <w:pPr>
        <w:numPr>
          <w:ilvl w:val="0"/>
          <w:numId w:val="0"/>
        </w:numPr>
        <w:spacing w:before="0" w:beforeAutospacing="1" w:after="0" w:afterAutospacing="1"/>
        <w:ind w:firstLine="422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lang w:val="en-US" w:eastAsia="zh-CN"/>
        </w:rPr>
        <w:t>2.采购项目内容：</w:t>
      </w:r>
      <w:r>
        <w:rPr>
          <w:rFonts w:hint="eastAsia" w:ascii="Times New Roman" w:hAnsi="Times New Roman" w:eastAsia="宋体" w:cs="Times New Roman"/>
          <w:color w:val="auto"/>
          <w:lang w:val="en-US" w:eastAsia="zh-CN"/>
        </w:rPr>
        <w:t>硫酸装置智能化改造项目目前处于试运行阶段。本项目通过智改数转网联的手段，采用智能化控制技术和控制设计对30万吨/年硫酸装置现有DCS控制系统智能化改造。</w:t>
      </w:r>
      <w:r>
        <w:rPr>
          <w:rFonts w:hint="eastAsia" w:cs="Times New Roman"/>
          <w:color w:val="auto"/>
          <w:lang w:val="en-US" w:eastAsia="zh-CN"/>
        </w:rPr>
        <w:t>项目</w:t>
      </w:r>
      <w:r>
        <w:rPr>
          <w:rFonts w:hint="eastAsia" w:ascii="Times New Roman" w:hAnsi="Times New Roman" w:eastAsia="宋体" w:cs="Times New Roman"/>
          <w:color w:val="auto"/>
          <w:lang w:val="en-US" w:eastAsia="zh-CN"/>
        </w:rPr>
        <w:t>改造后，将采用中控技术工业时序大模型TPT及其Supervisor Agent、SPC Agent、APC Agent、PID Agent等核心模块，构建智能识别感知、评估分析、决策处置及执行控制体系，实现PID回路自控率100%、智能化控制器有效投用率≥99%、人为操作频次每日不超过3次的目标。</w:t>
      </w:r>
      <w:r>
        <w:rPr>
          <w:rFonts w:hint="eastAsia" w:cs="Times New Roman"/>
          <w:color w:val="auto"/>
          <w:lang w:val="en-US" w:eastAsia="zh-CN"/>
        </w:rPr>
        <w:t>（关于项目的</w:t>
      </w:r>
      <w:r>
        <w:rPr>
          <w:rFonts w:hint="eastAsia" w:ascii="Times New Roman" w:hAnsi="Times New Roman" w:eastAsia="宋体" w:cs="Times New Roman"/>
          <w:color w:val="auto"/>
          <w:lang w:val="en-US" w:eastAsia="zh-CN"/>
        </w:rPr>
        <w:t>具体内容</w:t>
      </w:r>
      <w:r>
        <w:rPr>
          <w:rFonts w:hint="eastAsia" w:cs="Times New Roman"/>
          <w:color w:val="auto"/>
          <w:lang w:val="en-US" w:eastAsia="zh-CN"/>
        </w:rPr>
        <w:t>，采购人将在</w:t>
      </w:r>
      <w:r>
        <w:rPr>
          <w:rFonts w:hint="eastAsia" w:ascii="Times New Roman" w:hAnsi="Times New Roman" w:eastAsia="宋体" w:cs="Times New Roman"/>
          <w:color w:val="auto"/>
          <w:lang w:val="en-US" w:eastAsia="zh-CN"/>
        </w:rPr>
        <w:t>现场勘察时提供</w:t>
      </w:r>
      <w:r>
        <w:rPr>
          <w:rFonts w:hint="eastAsia" w:cs="Times New Roman"/>
          <w:color w:val="auto"/>
          <w:lang w:val="en-US" w:eastAsia="zh-CN"/>
        </w:rPr>
        <w:t>《</w:t>
      </w:r>
      <w:r>
        <w:rPr>
          <w:rFonts w:hint="eastAsia" w:ascii="Times New Roman" w:hAnsi="Times New Roman" w:eastAsia="宋体" w:cs="Times New Roman"/>
          <w:color w:val="auto"/>
          <w:lang w:val="en-US" w:eastAsia="zh-CN"/>
        </w:rPr>
        <w:t>项目可行性</w:t>
      </w:r>
      <w:r>
        <w:rPr>
          <w:rFonts w:hint="eastAsia" w:cs="Times New Roman"/>
          <w:color w:val="auto"/>
          <w:lang w:val="en-US" w:eastAsia="zh-CN"/>
        </w:rPr>
        <w:t>研究</w:t>
      </w:r>
      <w:r>
        <w:rPr>
          <w:rFonts w:hint="eastAsia" w:ascii="Times New Roman" w:hAnsi="Times New Roman" w:eastAsia="宋体" w:cs="Times New Roman"/>
          <w:color w:val="auto"/>
          <w:lang w:val="en-US" w:eastAsia="zh-CN"/>
        </w:rPr>
        <w:t>报告</w:t>
      </w:r>
      <w:r>
        <w:rPr>
          <w:rFonts w:hint="eastAsia" w:cs="Times New Roman"/>
          <w:color w:val="auto"/>
          <w:lang w:val="en-US" w:eastAsia="zh-CN"/>
        </w:rPr>
        <w:t>》等基础资料</w:t>
      </w:r>
      <w:r>
        <w:rPr>
          <w:rFonts w:hint="eastAsia" w:ascii="Times New Roman" w:hAnsi="Times New Roman" w:eastAsia="宋体" w:cs="Times New Roman"/>
          <w:color w:val="auto"/>
          <w:lang w:val="en-US" w:eastAsia="zh-CN"/>
        </w:rPr>
        <w:t>。</w:t>
      </w:r>
      <w:r>
        <w:rPr>
          <w:rFonts w:hint="eastAsia" w:cs="Times New Roman"/>
          <w:color w:val="auto"/>
          <w:lang w:val="en-US" w:eastAsia="zh-CN"/>
        </w:rPr>
        <w:t>）</w:t>
      </w:r>
    </w:p>
    <w:bookmarkEnd w:id="0"/>
    <w:p w14:paraId="5C2496B2">
      <w:pPr>
        <w:pStyle w:val="4"/>
        <w:rPr>
          <w:rFonts w:hint="eastAsia" w:ascii="Times New Roman" w:hAnsi="Times New Roman" w:cs="Times New Roman"/>
          <w:color w:val="auto"/>
          <w:lang w:eastAsia="zh-CN"/>
        </w:rPr>
      </w:pPr>
      <w:r>
        <w:rPr>
          <w:rFonts w:hint="eastAsia" w:ascii="Times New Roman" w:hAnsi="Times New Roman" w:cs="Times New Roman"/>
          <w:color w:val="auto"/>
          <w:lang w:eastAsia="zh-CN"/>
        </w:rPr>
        <w:t>（二）技术及资质要求</w:t>
      </w:r>
    </w:p>
    <w:p w14:paraId="6975A0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/>
        <w:ind w:firstLine="420" w:firstLineChars="200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 w:ascii="Times New Roman" w:hAnsi="Times New Roman" w:cs="Times New Roman"/>
          <w:color w:val="auto"/>
          <w:lang w:val="en-US" w:eastAsia="zh-CN"/>
        </w:rPr>
        <w:t>1.</w:t>
      </w:r>
      <w:r>
        <w:rPr>
          <w:rFonts w:hint="eastAsia" w:ascii="Times New Roman" w:hAnsi="Times New Roman" w:cs="Times New Roman"/>
          <w:b/>
          <w:color w:val="auto"/>
          <w:lang w:val="en-US" w:eastAsia="zh-CN"/>
        </w:rPr>
        <w:t>技术要求：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编制索普股份硫酸装置智能化改造项目安全设施竣工验收报告</w:t>
      </w:r>
      <w:r>
        <w:rPr>
          <w:rFonts w:hint="eastAsia" w:cs="Times New Roman"/>
          <w:color w:val="auto"/>
          <w:lang w:val="en-US" w:eastAsia="zh-CN"/>
        </w:rPr>
        <w:t>、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职业病控效评价报告，内容符合国家法律法规要求。</w:t>
      </w:r>
    </w:p>
    <w:p w14:paraId="40BD09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/>
        <w:ind w:firstLine="422" w:firstLineChars="200"/>
        <w:textAlignment w:val="auto"/>
        <w:rPr>
          <w:rFonts w:hint="default"/>
          <w:color w:val="FF0000"/>
          <w:lang w:val="en-US"/>
        </w:rPr>
      </w:pPr>
      <w:r>
        <w:rPr>
          <w:rFonts w:hint="eastAsia" w:ascii="Times New Roman" w:hAnsi="Times New Roman" w:cs="Times New Roman"/>
          <w:b/>
          <w:bCs/>
          <w:color w:val="auto"/>
          <w:lang w:val="en-US" w:eastAsia="zh-CN"/>
        </w:rPr>
        <w:t>2.资质要求：</w:t>
      </w:r>
      <w:r>
        <w:rPr>
          <w:rFonts w:hint="eastAsia" w:ascii="Times New Roman" w:hAnsi="Times New Roman" w:cs="Times New Roman"/>
          <w:b/>
          <w:bCs/>
          <w:color w:val="auto"/>
          <w:u w:val="single"/>
          <w:lang w:val="en-US" w:eastAsia="zh-CN"/>
        </w:rPr>
        <w:t>报价人在报价前必须进行现场勘察，填写勘察表；未到硫酸装置智能化改造项目现场进行实地勘察的，报价无效；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报价人必须</w:t>
      </w:r>
      <w:r>
        <w:rPr>
          <w:rFonts w:hint="eastAsia" w:cs="Times New Roman"/>
          <w:color w:val="auto"/>
          <w:lang w:val="en-US" w:eastAsia="zh-CN"/>
        </w:rPr>
        <w:t>具有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安全</w:t>
      </w:r>
      <w:r>
        <w:rPr>
          <w:rFonts w:hint="eastAsia" w:cs="Times New Roman"/>
          <w:color w:val="auto"/>
          <w:lang w:val="en-US" w:eastAsia="zh-CN"/>
        </w:rPr>
        <w:t>评价机构资质证书（业务范围涵盖石油加工业、化学原料、化学品及医药制造业）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和职业卫生</w:t>
      </w:r>
      <w:r>
        <w:rPr>
          <w:rFonts w:hint="eastAsia" w:cs="Times New Roman"/>
          <w:color w:val="auto"/>
          <w:lang w:val="en-US" w:eastAsia="zh-CN"/>
        </w:rPr>
        <w:t>技术服务机构资质证书（业务范围涵盖化工、石化及医药）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；报价人须具有安全生产评价和职业卫生评价相关业绩，提供相关合同</w:t>
      </w:r>
      <w:r>
        <w:rPr>
          <w:rFonts w:hint="eastAsia" w:cs="Times New Roman"/>
          <w:color w:val="auto"/>
          <w:lang w:val="en-US" w:eastAsia="zh-CN"/>
        </w:rPr>
        <w:t>；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报价人须</w:t>
      </w:r>
      <w:r>
        <w:rPr>
          <w:rFonts w:hint="eastAsia" w:cs="Times New Roman"/>
          <w:color w:val="auto"/>
          <w:lang w:val="en-US" w:eastAsia="zh-CN"/>
        </w:rPr>
        <w:t xml:space="preserve">提供有效期内的营业执照，经营范围涵盖安全评价业务、职业卫生技术服务。                     </w:t>
      </w:r>
      <w:r>
        <w:rPr>
          <w:rFonts w:hint="eastAsia" w:cs="Times New Roman"/>
          <w:color w:val="FF0000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E91D100">
      <w:pPr>
        <w:pStyle w:val="3"/>
        <w:rPr>
          <w:color w:val="auto"/>
        </w:rPr>
      </w:pPr>
      <w:r>
        <w:rPr>
          <w:color w:val="auto"/>
        </w:rPr>
        <w:t>三、报价要求</w:t>
      </w:r>
    </w:p>
    <w:p w14:paraId="74662129">
      <w:pPr>
        <w:pStyle w:val="4"/>
        <w:rPr>
          <w:color w:val="auto"/>
        </w:rPr>
      </w:pPr>
      <w:r>
        <w:rPr>
          <w:color w:val="auto"/>
        </w:rPr>
        <w:t>（一）报价方式</w:t>
      </w:r>
    </w:p>
    <w:p w14:paraId="783DFFDB">
      <w:pPr>
        <w:numPr>
          <w:ilvl w:val="0"/>
          <w:numId w:val="2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color w:val="auto"/>
        </w:rPr>
        <w:t>含税送到价（含增值税）。税率调整时，按公式“合同含税价格/(1+合同约定税率)×(1+新税率)”调整</w:t>
      </w:r>
      <w:r>
        <w:rPr>
          <w:rFonts w:hint="eastAsia"/>
          <w:color w:val="auto"/>
          <w:lang w:eastAsia="zh-CN"/>
        </w:rPr>
        <w:t>，</w:t>
      </w:r>
      <w:r>
        <w:rPr>
          <w:rFonts w:hint="eastAsia"/>
          <w:color w:val="auto"/>
          <w:lang w:val="en-US" w:eastAsia="zh-CN"/>
        </w:rPr>
        <w:t>报价函格式见附件1</w:t>
      </w:r>
      <w:r>
        <w:rPr>
          <w:color w:val="auto"/>
        </w:rPr>
        <w:t>。</w:t>
      </w:r>
    </w:p>
    <w:p w14:paraId="6E64C763">
      <w:pPr>
        <w:pStyle w:val="4"/>
        <w:rPr>
          <w:color w:val="auto"/>
        </w:rPr>
      </w:pPr>
      <w:r>
        <w:rPr>
          <w:color w:val="auto"/>
        </w:rPr>
        <w:t>（二）付款方式</w:t>
      </w:r>
    </w:p>
    <w:p w14:paraId="02E75EC1">
      <w:pPr>
        <w:numPr>
          <w:ilvl w:val="0"/>
          <w:numId w:val="3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rFonts w:hint="eastAsia"/>
          <w:color w:val="auto"/>
        </w:rPr>
        <w:t>货到增值税专用发票到90日内付款。</w:t>
      </w:r>
      <w:r>
        <w:rPr>
          <w:color w:val="auto"/>
        </w:rPr>
        <w:t>含税报价≥10万元以银行承兑支付，&lt;10万元以现汇支付。</w:t>
      </w:r>
    </w:p>
    <w:p w14:paraId="747C0F30">
      <w:pPr>
        <w:numPr>
          <w:ilvl w:val="0"/>
          <w:numId w:val="3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color w:val="auto"/>
        </w:rPr>
        <w:t>不接受默认付款方式的供应商，须在报价中明确可接受的付款方式及时间（涉及预付款的需提供评审前3个月内企业信用报告并加盖公章）。</w:t>
      </w:r>
    </w:p>
    <w:p w14:paraId="0CBFDEEF">
      <w:pPr>
        <w:pStyle w:val="4"/>
        <w:rPr>
          <w:color w:val="auto"/>
        </w:rPr>
      </w:pPr>
      <w:r>
        <w:rPr>
          <w:color w:val="auto"/>
        </w:rPr>
        <w:t>（三）报价提交方式</w:t>
      </w:r>
    </w:p>
    <w:p w14:paraId="12F2DE97">
      <w:pPr>
        <w:numPr>
          <w:ilvl w:val="0"/>
          <w:numId w:val="0"/>
        </w:numPr>
        <w:spacing w:before="0" w:beforeAutospacing="1" w:after="0" w:afterAutospacing="1"/>
        <w:ind w:firstLine="422" w:firstLineChars="200"/>
        <w:rPr>
          <w:color w:val="auto"/>
        </w:rPr>
      </w:pPr>
      <w:r>
        <w:rPr>
          <w:b/>
          <w:color w:val="auto"/>
        </w:rPr>
        <w:t>线下报价</w:t>
      </w:r>
      <w:r>
        <w:rPr>
          <w:color w:val="auto"/>
        </w:rPr>
        <w:t>：密封送达</w:t>
      </w:r>
      <w:r>
        <w:rPr>
          <w:rFonts w:hint="eastAsia"/>
          <w:color w:val="auto"/>
          <w:lang w:val="en-US" w:eastAsia="zh-CN"/>
        </w:rPr>
        <w:t>或邮寄送达</w:t>
      </w:r>
      <w:r>
        <w:rPr>
          <w:color w:val="auto"/>
        </w:rPr>
        <w:t>（封条需加盖公章、法人章并注明密封日期；封面注明项目名称、供应商信息、联系方式），</w:t>
      </w:r>
      <w:r>
        <w:rPr>
          <w:rFonts w:hint="eastAsia"/>
          <w:color w:val="auto"/>
          <w:lang w:val="en-US" w:eastAsia="zh-CN"/>
        </w:rPr>
        <w:t>邮寄送达需电联报价联系人告知快递单号，逾期无效</w:t>
      </w:r>
      <w:r>
        <w:rPr>
          <w:color w:val="auto"/>
        </w:rPr>
        <w:t>。</w:t>
      </w:r>
    </w:p>
    <w:p w14:paraId="7C743C17">
      <w:pPr>
        <w:pStyle w:val="4"/>
        <w:rPr>
          <w:color w:val="auto"/>
        </w:rPr>
      </w:pPr>
      <w:r>
        <w:rPr>
          <w:color w:val="auto"/>
        </w:rPr>
        <w:t>（四）送达地址及联系方式</w:t>
      </w:r>
    </w:p>
    <w:p w14:paraId="4E99EB60">
      <w:pPr>
        <w:numPr>
          <w:ilvl w:val="0"/>
          <w:numId w:val="4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b/>
          <w:color w:val="auto"/>
        </w:rPr>
        <w:t>收件单位</w:t>
      </w:r>
      <w:r>
        <w:rPr>
          <w:color w:val="auto"/>
        </w:rPr>
        <w:t>：江苏索普化工股份有限公司</w:t>
      </w:r>
      <w:r>
        <w:rPr>
          <w:rFonts w:hint="eastAsia"/>
          <w:color w:val="auto"/>
          <w:lang w:val="en-US" w:eastAsia="zh-CN"/>
        </w:rPr>
        <w:t>安全环境部</w:t>
      </w:r>
    </w:p>
    <w:p w14:paraId="09A9996A">
      <w:pPr>
        <w:numPr>
          <w:ilvl w:val="0"/>
          <w:numId w:val="4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b/>
          <w:color w:val="auto"/>
        </w:rPr>
        <w:t>地</w:t>
      </w:r>
      <w:r>
        <w:rPr>
          <w:rFonts w:hint="eastAsia"/>
          <w:b/>
          <w:color w:val="auto"/>
          <w:lang w:val="en-US" w:eastAsia="zh-CN"/>
        </w:rPr>
        <w:t xml:space="preserve">    </w:t>
      </w:r>
      <w:r>
        <w:rPr>
          <w:b/>
          <w:color w:val="auto"/>
        </w:rPr>
        <w:t>址</w:t>
      </w:r>
      <w:r>
        <w:rPr>
          <w:color w:val="auto"/>
        </w:rPr>
        <w:t>：江苏省镇江市京口区求索路101号（邮编：212006）</w:t>
      </w:r>
    </w:p>
    <w:p w14:paraId="14CC59C7">
      <w:pPr>
        <w:numPr>
          <w:ilvl w:val="0"/>
          <w:numId w:val="4"/>
        </w:numPr>
        <w:spacing w:before="0" w:beforeAutospacing="1" w:after="0" w:afterAutospacing="1"/>
        <w:ind w:left="720" w:hanging="360"/>
        <w:rPr>
          <w:rFonts w:hint="default"/>
          <w:color w:val="auto"/>
          <w:lang w:val="en-US"/>
        </w:rPr>
      </w:pPr>
      <w:r>
        <w:rPr>
          <w:b/>
          <w:color w:val="auto"/>
        </w:rPr>
        <w:t>联</w:t>
      </w:r>
      <w:r>
        <w:rPr>
          <w:rFonts w:hint="eastAsia"/>
          <w:b/>
          <w:color w:val="auto"/>
          <w:lang w:val="en-US" w:eastAsia="zh-CN"/>
        </w:rPr>
        <w:t xml:space="preserve"> </w:t>
      </w:r>
      <w:r>
        <w:rPr>
          <w:b/>
          <w:color w:val="auto"/>
        </w:rPr>
        <w:t>系</w:t>
      </w:r>
      <w:r>
        <w:rPr>
          <w:rFonts w:hint="eastAsia"/>
          <w:b/>
          <w:color w:val="auto"/>
          <w:lang w:val="en-US" w:eastAsia="zh-CN"/>
        </w:rPr>
        <w:t xml:space="preserve"> </w:t>
      </w:r>
      <w:r>
        <w:rPr>
          <w:b/>
          <w:color w:val="auto"/>
        </w:rPr>
        <w:t>人</w:t>
      </w:r>
      <w:r>
        <w:rPr>
          <w:color w:val="auto"/>
        </w:rPr>
        <w:t>：</w:t>
      </w:r>
      <w:r>
        <w:rPr>
          <w:rFonts w:hint="eastAsia"/>
          <w:color w:val="auto"/>
          <w:lang w:val="en-US" w:eastAsia="zh-CN"/>
        </w:rPr>
        <w:t>凌玉辉</w:t>
      </w:r>
      <w:r>
        <w:rPr>
          <w:color w:val="auto"/>
        </w:rPr>
        <w:t>，电话：1</w:t>
      </w:r>
      <w:r>
        <w:rPr>
          <w:rFonts w:hint="eastAsia"/>
          <w:color w:val="auto"/>
          <w:lang w:val="en-US" w:eastAsia="zh-CN"/>
        </w:rPr>
        <w:t>5952892068</w:t>
      </w:r>
    </w:p>
    <w:p w14:paraId="46E1F8B6">
      <w:pPr>
        <w:pStyle w:val="4"/>
        <w:rPr>
          <w:color w:val="auto"/>
        </w:rPr>
      </w:pPr>
      <w:r>
        <w:rPr>
          <w:color w:val="auto"/>
        </w:rPr>
        <w:t>（五）疑问咨询</w:t>
      </w:r>
    </w:p>
    <w:p w14:paraId="20BA2C34">
      <w:pPr>
        <w:numPr>
          <w:ilvl w:val="0"/>
          <w:numId w:val="5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rFonts w:hint="eastAsia"/>
          <w:b/>
          <w:color w:val="auto"/>
          <w:lang w:val="en-US" w:eastAsia="zh-CN"/>
        </w:rPr>
        <w:t>报价</w:t>
      </w:r>
      <w:r>
        <w:rPr>
          <w:b/>
          <w:color w:val="auto"/>
        </w:rPr>
        <w:t>联系人</w:t>
      </w:r>
      <w:r>
        <w:rPr>
          <w:color w:val="auto"/>
        </w:rPr>
        <w:t>：</w:t>
      </w:r>
      <w:r>
        <w:rPr>
          <w:rFonts w:hint="eastAsia"/>
          <w:color w:val="auto"/>
          <w:lang w:val="en-US" w:eastAsia="zh-CN"/>
        </w:rPr>
        <w:t>凌玉辉</w:t>
      </w:r>
      <w:r>
        <w:rPr>
          <w:color w:val="auto"/>
        </w:rPr>
        <w:t>1</w:t>
      </w:r>
      <w:r>
        <w:rPr>
          <w:rFonts w:hint="eastAsia"/>
          <w:color w:val="auto"/>
          <w:lang w:val="en-US" w:eastAsia="zh-CN"/>
        </w:rPr>
        <w:t>5952892068</w:t>
      </w:r>
      <w:r>
        <w:rPr>
          <w:rFonts w:hint="eastAsia"/>
          <w:color w:val="auto"/>
          <w:lang w:eastAsia="zh-CN"/>
        </w:rPr>
        <w:t>（</w:t>
      </w:r>
      <w:r>
        <w:rPr>
          <w:rFonts w:hint="eastAsia"/>
          <w:color w:val="auto"/>
          <w:lang w:val="en-US" w:eastAsia="zh-CN"/>
        </w:rPr>
        <w:t>详情咨询</w:t>
      </w:r>
      <w:r>
        <w:rPr>
          <w:rFonts w:hint="eastAsia"/>
          <w:color w:val="auto"/>
          <w:lang w:eastAsia="zh-CN"/>
        </w:rPr>
        <w:t>）</w:t>
      </w:r>
    </w:p>
    <w:p w14:paraId="7A111C8A">
      <w:pPr>
        <w:numPr>
          <w:ilvl w:val="0"/>
          <w:numId w:val="5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rFonts w:hint="eastAsia"/>
          <w:b/>
          <w:color w:val="auto"/>
          <w:lang w:val="en-US" w:eastAsia="zh-CN"/>
        </w:rPr>
        <w:t>部门负责人</w:t>
      </w:r>
      <w:r>
        <w:rPr>
          <w:color w:val="auto"/>
        </w:rPr>
        <w:t>：</w:t>
      </w:r>
      <w:r>
        <w:rPr>
          <w:rFonts w:hint="eastAsia"/>
          <w:color w:val="auto"/>
          <w:lang w:val="en-US" w:eastAsia="zh-CN"/>
        </w:rPr>
        <w:t>鲍中元</w:t>
      </w:r>
      <w:r>
        <w:rPr>
          <w:color w:val="auto"/>
        </w:rPr>
        <w:t>1</w:t>
      </w:r>
      <w:r>
        <w:rPr>
          <w:rFonts w:hint="eastAsia"/>
          <w:color w:val="auto"/>
          <w:lang w:val="en-US" w:eastAsia="zh-CN"/>
        </w:rPr>
        <w:t>5052946881</w:t>
      </w:r>
    </w:p>
    <w:p w14:paraId="21BF4B68">
      <w:pPr>
        <w:pStyle w:val="3"/>
        <w:rPr>
          <w:color w:val="auto"/>
        </w:rPr>
      </w:pPr>
      <w:r>
        <w:rPr>
          <w:rFonts w:hint="eastAsia"/>
          <w:color w:val="auto"/>
          <w:lang w:val="en-US" w:eastAsia="zh-CN"/>
        </w:rPr>
        <w:t>四</w:t>
      </w:r>
      <w:r>
        <w:rPr>
          <w:color w:val="auto"/>
        </w:rPr>
        <w:t>、其他要求</w:t>
      </w:r>
    </w:p>
    <w:p w14:paraId="26F2A39A">
      <w:pPr>
        <w:numPr>
          <w:ilvl w:val="0"/>
          <w:numId w:val="6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b/>
          <w:color w:val="auto"/>
        </w:rPr>
        <w:t>供应商资格</w:t>
      </w:r>
      <w:r>
        <w:rPr>
          <w:color w:val="auto"/>
        </w:rPr>
        <w:t>：不接受失信被执行人、重大违法案件当事人。</w:t>
      </w:r>
    </w:p>
    <w:p w14:paraId="3F116F39">
      <w:pPr>
        <w:numPr>
          <w:ilvl w:val="0"/>
          <w:numId w:val="6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b/>
          <w:color w:val="auto"/>
        </w:rPr>
        <w:t>售后服务</w:t>
      </w:r>
      <w:r>
        <w:rPr>
          <w:color w:val="auto"/>
        </w:rPr>
        <w:t>：电话响应≤8小时，明确解决方案。</w:t>
      </w:r>
    </w:p>
    <w:p w14:paraId="0059EF89">
      <w:pPr>
        <w:numPr>
          <w:ilvl w:val="0"/>
          <w:numId w:val="6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b/>
          <w:color w:val="auto"/>
        </w:rPr>
        <w:t>知识产权</w:t>
      </w:r>
      <w:r>
        <w:rPr>
          <w:color w:val="auto"/>
        </w:rPr>
        <w:t>：供应商承担所有知识产权纠纷责任。</w:t>
      </w:r>
    </w:p>
    <w:p w14:paraId="14247EF0">
      <w:pPr>
        <w:pStyle w:val="3"/>
        <w:rPr>
          <w:color w:val="auto"/>
        </w:rPr>
      </w:pPr>
      <w:r>
        <w:rPr>
          <w:rFonts w:hint="eastAsia"/>
          <w:color w:val="auto"/>
          <w:lang w:val="en-US" w:eastAsia="zh-CN"/>
        </w:rPr>
        <w:t>五</w:t>
      </w:r>
      <w:r>
        <w:rPr>
          <w:color w:val="auto"/>
        </w:rPr>
        <w:t>、评审流程</w:t>
      </w:r>
    </w:p>
    <w:p w14:paraId="31F18230">
      <w:pPr>
        <w:numPr>
          <w:ilvl w:val="0"/>
          <w:numId w:val="7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b/>
          <w:color w:val="auto"/>
        </w:rPr>
        <w:t>评</w:t>
      </w:r>
      <w:r>
        <w:rPr>
          <w:rFonts w:hint="eastAsia"/>
          <w:b/>
          <w:color w:val="auto"/>
          <w:lang w:val="en-US" w:eastAsia="zh-CN"/>
        </w:rPr>
        <w:t xml:space="preserve">    </w:t>
      </w:r>
      <w:r>
        <w:rPr>
          <w:b/>
          <w:color w:val="auto"/>
        </w:rPr>
        <w:t>审</w:t>
      </w:r>
      <w:r>
        <w:rPr>
          <w:color w:val="auto"/>
        </w:rPr>
        <w:t>：采购人组织评审小组，</w:t>
      </w:r>
      <w:r>
        <w:rPr>
          <w:rFonts w:hint="eastAsia"/>
          <w:color w:val="auto"/>
          <w:lang w:val="en-US" w:eastAsia="zh-CN"/>
        </w:rPr>
        <w:t>评审</w:t>
      </w:r>
      <w:r>
        <w:rPr>
          <w:color w:val="auto"/>
        </w:rPr>
        <w:t>供应商报价，供应商需保持通讯畅通。</w:t>
      </w:r>
    </w:p>
    <w:p w14:paraId="0F994B82">
      <w:pPr>
        <w:numPr>
          <w:ilvl w:val="0"/>
          <w:numId w:val="7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b/>
          <w:color w:val="auto"/>
        </w:rPr>
        <w:t>评定标准</w:t>
      </w:r>
      <w:r>
        <w:rPr>
          <w:color w:val="auto"/>
        </w:rPr>
        <w:t>：满足技术及供货期要求的供应商中，总价最低者为成交候选人。</w:t>
      </w:r>
    </w:p>
    <w:p w14:paraId="3F9E105C">
      <w:pPr>
        <w:numPr>
          <w:ilvl w:val="0"/>
          <w:numId w:val="7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b/>
          <w:color w:val="auto"/>
        </w:rPr>
        <w:t>询价废止</w:t>
      </w:r>
      <w:r>
        <w:rPr>
          <w:color w:val="auto"/>
        </w:rPr>
        <w:t>：存在串通报价等违规行为的，作废并列入供应商负面清单。</w:t>
      </w:r>
    </w:p>
    <w:p w14:paraId="7C9B8AF9">
      <w:pPr>
        <w:numPr>
          <w:ilvl w:val="0"/>
          <w:numId w:val="7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b/>
          <w:color w:val="auto"/>
        </w:rPr>
        <w:t>无效报价</w:t>
      </w:r>
      <w:r>
        <w:rPr>
          <w:color w:val="auto"/>
        </w:rPr>
        <w:t>：资质不全、报价空项、不符合技术要求、价格明显偏离市场的，作无效处理。</w:t>
      </w:r>
    </w:p>
    <w:p w14:paraId="797A2A8A">
      <w:pPr>
        <w:pStyle w:val="3"/>
        <w:rPr>
          <w:color w:val="auto"/>
        </w:rPr>
      </w:pPr>
      <w:r>
        <w:rPr>
          <w:rFonts w:hint="eastAsia"/>
          <w:color w:val="auto"/>
          <w:lang w:val="en-US" w:eastAsia="zh-CN"/>
        </w:rPr>
        <w:t>六</w:t>
      </w:r>
      <w:r>
        <w:rPr>
          <w:color w:val="auto"/>
        </w:rPr>
        <w:t>、违约责任</w:t>
      </w:r>
    </w:p>
    <w:p w14:paraId="7CF2FB56">
      <w:pPr>
        <w:numPr>
          <w:ilvl w:val="0"/>
          <w:numId w:val="8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b/>
          <w:color w:val="auto"/>
        </w:rPr>
        <w:t>逾期交货</w:t>
      </w:r>
      <w:r>
        <w:rPr>
          <w:color w:val="auto"/>
        </w:rPr>
        <w:t>：每日按合同总额1%支付违约金；超20日，采购人有权解除合同，要求返还货款并按总额20%赔偿。</w:t>
      </w:r>
    </w:p>
    <w:p w14:paraId="7CD62B7E">
      <w:pPr>
        <w:numPr>
          <w:ilvl w:val="0"/>
          <w:numId w:val="8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b/>
          <w:color w:val="auto"/>
        </w:rPr>
        <w:t>质量不合格</w:t>
      </w:r>
      <w:r>
        <w:rPr>
          <w:color w:val="auto"/>
        </w:rPr>
        <w:t>：</w:t>
      </w:r>
    </w:p>
    <w:p w14:paraId="6C6D2CED">
      <w:pPr>
        <w:numPr>
          <w:ilvl w:val="1"/>
          <w:numId w:val="8"/>
        </w:numPr>
        <w:spacing w:before="0" w:beforeAutospacing="1" w:after="0" w:afterAutospacing="1"/>
        <w:ind w:left="1440" w:hanging="360"/>
        <w:rPr>
          <w:color w:val="auto"/>
        </w:rPr>
      </w:pPr>
      <w:r>
        <w:rPr>
          <w:color w:val="auto"/>
        </w:rPr>
        <w:t>换货：费用由供应商承担，30日内重新供货，逾期按逾期条款处理；两次不合格则解除合同，返还货款并赔偿20%违约金。</w:t>
      </w:r>
    </w:p>
    <w:p w14:paraId="35B2520F">
      <w:pPr>
        <w:numPr>
          <w:ilvl w:val="1"/>
          <w:numId w:val="8"/>
        </w:numPr>
        <w:spacing w:before="0" w:beforeAutospacing="1" w:after="0" w:afterAutospacing="1"/>
        <w:ind w:left="1440" w:hanging="360"/>
        <w:rPr>
          <w:color w:val="auto"/>
        </w:rPr>
      </w:pPr>
      <w:r>
        <w:rPr>
          <w:color w:val="auto"/>
        </w:rPr>
        <w:t>解除合同：退货费用由供应商承担，返还货款并赔偿20%违约金（质押货物期间仓储费由供应商承担）。</w:t>
      </w:r>
    </w:p>
    <w:p w14:paraId="52632EBA">
      <w:pPr>
        <w:numPr>
          <w:ilvl w:val="0"/>
          <w:numId w:val="8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b/>
          <w:color w:val="auto"/>
        </w:rPr>
        <w:t>损失赔偿</w:t>
      </w:r>
      <w:r>
        <w:rPr>
          <w:color w:val="auto"/>
        </w:rPr>
        <w:t>：因质量或逾期造成的直接/间接损失，违约金不超过合同总价20%。</w:t>
      </w:r>
    </w:p>
    <w:p w14:paraId="1A94C3D1">
      <w:pPr>
        <w:pStyle w:val="3"/>
        <w:rPr>
          <w:color w:val="auto"/>
        </w:rPr>
      </w:pPr>
      <w:r>
        <w:rPr>
          <w:rFonts w:hint="eastAsia"/>
          <w:color w:val="auto"/>
          <w:lang w:val="en-US" w:eastAsia="zh-CN"/>
        </w:rPr>
        <w:t>七</w:t>
      </w:r>
      <w:r>
        <w:rPr>
          <w:color w:val="auto"/>
        </w:rPr>
        <w:t>、其他事项</w:t>
      </w:r>
    </w:p>
    <w:p w14:paraId="3E4BA113">
      <w:pPr>
        <w:numPr>
          <w:ilvl w:val="0"/>
          <w:numId w:val="9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color w:val="auto"/>
        </w:rPr>
        <w:t>成交人须按询价书签订合同，违约将面临中止合作风险。</w:t>
      </w:r>
    </w:p>
    <w:p w14:paraId="228D9EB6">
      <w:pPr>
        <w:numPr>
          <w:ilvl w:val="0"/>
          <w:numId w:val="9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color w:val="auto"/>
        </w:rPr>
        <w:t>产品需经采购人检验合格，长期合约三次不合格者终止合同。</w:t>
      </w:r>
    </w:p>
    <w:p w14:paraId="1E0C3DA3">
      <w:pPr>
        <w:numPr>
          <w:ilvl w:val="0"/>
          <w:numId w:val="9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color w:val="auto"/>
        </w:rPr>
        <w:t>违规供应商将列入负面清单，解释权归江苏索普化工股份有限公司</w:t>
      </w:r>
      <w:r>
        <w:rPr>
          <w:rFonts w:hint="eastAsia"/>
          <w:color w:val="auto"/>
          <w:lang w:val="en-US" w:eastAsia="zh-CN"/>
        </w:rPr>
        <w:t>安全环境部</w:t>
      </w:r>
      <w:r>
        <w:rPr>
          <w:color w:val="auto"/>
        </w:rPr>
        <w:t>。</w:t>
      </w:r>
    </w:p>
    <w:p w14:paraId="1D48D955">
      <w:pPr>
        <w:jc w:val="right"/>
        <w:rPr>
          <w:color w:val="auto"/>
        </w:rPr>
      </w:pPr>
    </w:p>
    <w:p w14:paraId="61B8DBE6">
      <w:pPr>
        <w:jc w:val="right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</w:t>
      </w:r>
    </w:p>
    <w:p w14:paraId="37D75DC6">
      <w:pPr>
        <w:jc w:val="right"/>
        <w:rPr>
          <w:rFonts w:hint="eastAsia"/>
          <w:color w:val="auto"/>
          <w:lang w:val="en-US" w:eastAsia="zh-CN"/>
        </w:rPr>
      </w:pPr>
    </w:p>
    <w:p w14:paraId="4D3E071A">
      <w:pPr>
        <w:jc w:val="right"/>
        <w:rPr>
          <w:rFonts w:hint="eastAsia"/>
          <w:color w:val="auto"/>
          <w:lang w:val="en-US" w:eastAsia="zh-CN"/>
        </w:rPr>
      </w:pPr>
    </w:p>
    <w:p w14:paraId="7F5142DD">
      <w:pPr>
        <w:jc w:val="right"/>
        <w:rPr>
          <w:color w:val="auto"/>
        </w:rPr>
      </w:pPr>
      <w:r>
        <w:rPr>
          <w:color w:val="auto"/>
        </w:rPr>
        <w:t>江苏索普化工股份有限公司</w:t>
      </w:r>
      <w:r>
        <w:rPr>
          <w:rFonts w:hint="eastAsia"/>
          <w:color w:val="auto"/>
          <w:lang w:val="en-US" w:eastAsia="zh-CN"/>
        </w:rPr>
        <w:t>安全环境</w:t>
      </w:r>
      <w:r>
        <w:rPr>
          <w:color w:val="auto"/>
        </w:rPr>
        <w:t>部</w:t>
      </w:r>
    </w:p>
    <w:p w14:paraId="26E9FD79">
      <w:pPr>
        <w:jc w:val="right"/>
        <w:rPr>
          <w:color w:val="auto"/>
        </w:rPr>
      </w:pPr>
      <w:r>
        <w:rPr>
          <w:color w:val="auto"/>
        </w:rPr>
        <w:t>日期：</w:t>
      </w:r>
      <w:r>
        <w:rPr>
          <w:color w:val="auto"/>
          <w:u w:val="single"/>
        </w:rPr>
        <w:t>__</w:t>
      </w:r>
      <w:r>
        <w:rPr>
          <w:rFonts w:hint="eastAsia"/>
          <w:color w:val="auto"/>
          <w:u w:val="single"/>
          <w:lang w:val="en-US" w:eastAsia="zh-CN"/>
        </w:rPr>
        <w:t>2026</w:t>
      </w:r>
      <w:r>
        <w:rPr>
          <w:color w:val="auto"/>
          <w:u w:val="single"/>
        </w:rPr>
        <w:t>__</w:t>
      </w:r>
      <w:r>
        <w:rPr>
          <w:color w:val="auto"/>
        </w:rPr>
        <w:t>年</w:t>
      </w:r>
      <w:r>
        <w:rPr>
          <w:color w:val="auto"/>
          <w:u w:val="single"/>
        </w:rPr>
        <w:t>_</w:t>
      </w:r>
      <w:r>
        <w:rPr>
          <w:rFonts w:hint="eastAsia"/>
          <w:color w:val="auto"/>
          <w:u w:val="single"/>
          <w:lang w:val="en-US" w:eastAsia="zh-CN"/>
        </w:rPr>
        <w:t>7</w:t>
      </w:r>
      <w:r>
        <w:rPr>
          <w:color w:val="auto"/>
          <w:u w:val="single"/>
        </w:rPr>
        <w:t>_</w:t>
      </w:r>
      <w:r>
        <w:rPr>
          <w:color w:val="auto"/>
        </w:rPr>
        <w:t>月</w:t>
      </w:r>
      <w:r>
        <w:rPr>
          <w:color w:val="auto"/>
          <w:u w:val="single"/>
        </w:rPr>
        <w:t>_</w:t>
      </w:r>
      <w:r>
        <w:rPr>
          <w:rFonts w:hint="eastAsia"/>
          <w:color w:val="auto"/>
          <w:u w:val="single"/>
          <w:lang w:val="en-US" w:eastAsia="zh-CN"/>
        </w:rPr>
        <w:t>21</w:t>
      </w:r>
      <w:r>
        <w:rPr>
          <w:color w:val="auto"/>
          <w:u w:val="single"/>
        </w:rPr>
        <w:t>_</w:t>
      </w:r>
      <w:r>
        <w:rPr>
          <w:color w:val="auto"/>
        </w:rPr>
        <w:t>日</w:t>
      </w:r>
    </w:p>
    <w:p w14:paraId="3A4F3A57">
      <w:pPr>
        <w:jc w:val="right"/>
        <w:rPr>
          <w:color w:val="FF0000"/>
        </w:rPr>
      </w:pPr>
      <w:r>
        <w:rPr>
          <w:color w:val="FF0000"/>
        </w:rPr>
        <w:br w:type="page"/>
      </w:r>
    </w:p>
    <w:p w14:paraId="2E629C24">
      <w:pPr>
        <w:pStyle w:val="3"/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附件1</w:t>
      </w:r>
    </w:p>
    <w:p w14:paraId="756083B5">
      <w:pPr>
        <w:pStyle w:val="3"/>
        <w:jc w:val="center"/>
        <w:rPr>
          <w:color w:val="auto"/>
        </w:rPr>
      </w:pPr>
      <w:r>
        <w:rPr>
          <w:color w:val="auto"/>
        </w:rPr>
        <w:t>报价函</w:t>
      </w:r>
    </w:p>
    <w:p w14:paraId="58D07B85">
      <w:pPr>
        <w:rPr>
          <w:color w:val="auto"/>
        </w:rPr>
      </w:pPr>
      <w:r>
        <w:rPr>
          <w:b/>
          <w:color w:val="auto"/>
        </w:rPr>
        <w:t>江苏索普化工股份有限公司</w:t>
      </w:r>
      <w:r>
        <w:rPr>
          <w:color w:val="auto"/>
        </w:rPr>
        <w:t>：</w:t>
      </w:r>
    </w:p>
    <w:p w14:paraId="03DF583E">
      <w:pPr>
        <w:rPr>
          <w:color w:val="auto"/>
        </w:rPr>
      </w:pPr>
      <w:r>
        <w:rPr>
          <w:color w:val="auto"/>
        </w:rPr>
        <w:t>（报价单位全称）授权（全权代表姓名、职务）为全权代表，参加贵方公开询比价活动，报价如下：</w:t>
      </w:r>
    </w:p>
    <w:p w14:paraId="5C86A75D">
      <w:pPr>
        <w:pStyle w:val="10"/>
        <w:numPr>
          <w:ilvl w:val="0"/>
          <w:numId w:val="0"/>
        </w:numPr>
        <w:jc w:val="left"/>
        <w:rPr>
          <w:rFonts w:hint="default" w:eastAsia="宋体"/>
          <w:color w:val="auto"/>
          <w:vertAlign w:val="baseline"/>
          <w:lang w:val="en-US" w:eastAsia="zh-CN"/>
        </w:rPr>
      </w:pPr>
      <w:r>
        <w:rPr>
          <w:b/>
          <w:color w:val="auto"/>
        </w:rPr>
        <w:t>项目总价（含税）</w:t>
      </w:r>
      <w:r>
        <w:rPr>
          <w:color w:val="auto"/>
        </w:rPr>
        <w:t>：</w:t>
      </w:r>
      <w:r>
        <w:rPr>
          <w:rFonts w:ascii="仿宋_GB2312" w:hAnsi="仿宋_GB2312" w:eastAsia="仿宋_GB2312" w:cs="仿宋_GB2312"/>
          <w:color w:val="auto"/>
          <w:kern w:val="1"/>
          <w:sz w:val="30"/>
          <w:szCs w:val="30"/>
          <w:u w:val="single"/>
        </w:rPr>
        <w:softHyphen/>
      </w:r>
      <w:r>
        <w:rPr>
          <w:rFonts w:hint="eastAsia" w:ascii="仿宋_GB2312" w:hAnsi="仿宋_GB2312" w:eastAsia="仿宋_GB2312" w:cs="仿宋_GB2312"/>
          <w:color w:val="auto"/>
          <w:kern w:val="1"/>
          <w:sz w:val="30"/>
          <w:szCs w:val="30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kern w:val="1"/>
          <w:sz w:val="21"/>
          <w:szCs w:val="21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auto"/>
          <w:kern w:val="1"/>
          <w:sz w:val="21"/>
          <w:szCs w:val="21"/>
        </w:rPr>
        <w:t>(大写)：</w:t>
      </w:r>
      <w:r>
        <w:rPr>
          <w:rFonts w:hint="eastAsia" w:ascii="宋体" w:hAnsi="宋体" w:eastAsia="宋体" w:cs="宋体"/>
          <w:color w:val="auto"/>
          <w:kern w:val="1"/>
          <w:sz w:val="21"/>
          <w:szCs w:val="21"/>
          <w:u w:val="single"/>
        </w:rPr>
        <w:t xml:space="preserve">             </w:t>
      </w:r>
      <w:r>
        <w:rPr>
          <w:rFonts w:hint="eastAsia" w:ascii="宋体" w:hAnsi="宋体" w:eastAsia="宋体" w:cs="宋体"/>
          <w:color w:val="auto"/>
          <w:kern w:val="1"/>
          <w:sz w:val="21"/>
          <w:szCs w:val="21"/>
        </w:rPr>
        <w:t>元人民币；税率</w:t>
      </w:r>
      <w:r>
        <w:rPr>
          <w:rFonts w:hint="eastAsia" w:ascii="宋体" w:hAnsi="宋体" w:eastAsia="宋体" w:cs="宋体"/>
          <w:color w:val="auto"/>
          <w:kern w:val="1"/>
          <w:sz w:val="21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color w:val="auto"/>
          <w:kern w:val="1"/>
          <w:sz w:val="21"/>
          <w:szCs w:val="21"/>
        </w:rPr>
        <w:t>%，</w:t>
      </w:r>
      <w:r>
        <w:rPr>
          <w:rFonts w:hint="eastAsia" w:ascii="Times New Roman" w:hAnsi="Times New Roman" w:eastAsia="宋体" w:cs="Times New Roman"/>
          <w:bCs w:val="0"/>
          <w:color w:val="auto"/>
          <w:sz w:val="21"/>
          <w:szCs w:val="24"/>
          <w:lang w:val="en-US" w:eastAsia="zh-CN" w:bidi="ar-SA"/>
        </w:rPr>
        <w:t>项目包括：编制索普股份硫酸装置智能化改造项目安全设施竣工验收报告</w:t>
      </w:r>
      <w:r>
        <w:rPr>
          <w:rFonts w:hint="eastAsia" w:ascii="Times New Roman" w:hAnsi="Times New Roman" w:cs="Times New Roman"/>
          <w:bCs w:val="0"/>
          <w:color w:val="auto"/>
          <w:sz w:val="21"/>
          <w:szCs w:val="24"/>
          <w:lang w:val="en-US" w:eastAsia="zh-CN" w:bidi="ar-SA"/>
        </w:rPr>
        <w:t>、</w:t>
      </w:r>
      <w:r>
        <w:rPr>
          <w:rFonts w:hint="eastAsia" w:ascii="Times New Roman" w:hAnsi="Times New Roman" w:eastAsia="宋体" w:cs="Times New Roman"/>
          <w:bCs w:val="0"/>
          <w:color w:val="auto"/>
          <w:sz w:val="21"/>
          <w:szCs w:val="24"/>
          <w:lang w:val="en-US" w:eastAsia="zh-CN" w:bidi="ar-SA"/>
        </w:rPr>
        <w:t>职业病控效评价报告。</w:t>
      </w:r>
    </w:p>
    <w:p w14:paraId="5A4FFAD1">
      <w:pPr>
        <w:pStyle w:val="10"/>
        <w:ind w:left="0" w:leftChars="0" w:firstLine="0" w:firstLineChars="0"/>
        <w:rPr>
          <w:color w:val="auto"/>
        </w:rPr>
      </w:pPr>
    </w:p>
    <w:p w14:paraId="167DA178">
      <w:pPr>
        <w:numPr>
          <w:ilvl w:val="0"/>
          <w:numId w:val="10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b/>
          <w:color w:val="auto"/>
        </w:rPr>
        <w:t>交货时间</w:t>
      </w:r>
      <w:r>
        <w:rPr>
          <w:color w:val="auto"/>
        </w:rPr>
        <w:t>：________________________。</w:t>
      </w:r>
    </w:p>
    <w:p w14:paraId="7E6B970D">
      <w:pPr>
        <w:numPr>
          <w:ilvl w:val="0"/>
          <w:numId w:val="10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color w:val="auto"/>
        </w:rPr>
        <w:t>我方已审查全部询价书及补充文件，完全接受所有条款，放弃对条款不明或误解的权利；若条款冲突，同意按贵方解释处理。</w:t>
      </w:r>
    </w:p>
    <w:p w14:paraId="7CAEF8E2">
      <w:pPr>
        <w:numPr>
          <w:ilvl w:val="0"/>
          <w:numId w:val="10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color w:val="auto"/>
        </w:rPr>
        <w:t>愿意提供与报价相关的所有数据、资料，理解贵方无义务接受最低价或任何报价。</w:t>
      </w:r>
    </w:p>
    <w:p w14:paraId="6B11732D">
      <w:pPr>
        <w:numPr>
          <w:ilvl w:val="0"/>
          <w:numId w:val="10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b/>
          <w:color w:val="auto"/>
        </w:rPr>
        <w:t>不接受项</w:t>
      </w:r>
      <w:r>
        <w:rPr>
          <w:color w:val="auto"/>
        </w:rPr>
        <w:t>：________________________。</w:t>
      </w:r>
    </w:p>
    <w:p w14:paraId="1D8C735C">
      <w:pPr>
        <w:rPr>
          <w:color w:val="auto"/>
        </w:rPr>
      </w:pPr>
      <w:r>
        <w:rPr>
          <w:b/>
          <w:color w:val="auto"/>
        </w:rPr>
        <w:t>承诺</w:t>
      </w:r>
      <w:r>
        <w:rPr>
          <w:color w:val="auto"/>
        </w:rPr>
        <w:t>：遵守询价书规定，及时签订合同并履行责任；</w:t>
      </w:r>
      <w:r>
        <w:rPr>
          <w:rFonts w:hint="eastAsia"/>
          <w:color w:val="auto"/>
          <w:lang w:val="en-US" w:eastAsia="zh-CN"/>
        </w:rPr>
        <w:t>不串通报价</w:t>
      </w:r>
      <w:r>
        <w:rPr>
          <w:color w:val="auto"/>
        </w:rPr>
        <w:t>，信息真实有效；接受贵方核查与审计。如违反，承担法律责任及相关处理。</w:t>
      </w:r>
    </w:p>
    <w:p w14:paraId="0F5911FA">
      <w:pPr>
        <w:rPr>
          <w:color w:val="auto"/>
        </w:rPr>
      </w:pPr>
      <w:r>
        <w:rPr>
          <w:color w:val="auto"/>
        </w:rPr>
        <w:t>全权代表（签字）：________ 联系电话：________</w:t>
      </w:r>
    </w:p>
    <w:p w14:paraId="00829DAD">
      <w:pPr>
        <w:rPr>
          <w:color w:val="auto"/>
        </w:rPr>
      </w:pPr>
      <w:r>
        <w:rPr>
          <w:color w:val="auto"/>
        </w:rPr>
        <w:t>报价单位（盖章）：________ 日期：____年__月__日</w:t>
      </w:r>
    </w:p>
    <w:p w14:paraId="7CC6A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" w:lineRule="exact"/>
        <w:textAlignment w:val="auto"/>
        <w:rPr>
          <w:rFonts w:hint="eastAsia"/>
          <w:color w:val="FF000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‹ÎSå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9975C3"/>
    <w:multiLevelType w:val="singleLevel"/>
    <w:tmpl w:val="C89975C3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">
    <w:nsid w:val="F78C99A6"/>
    <w:multiLevelType w:val="multilevel"/>
    <w:tmpl w:val="F78C99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2">
    <w:nsid w:val="FDD9FBE2"/>
    <w:multiLevelType w:val="singleLevel"/>
    <w:tmpl w:val="FDD9FBE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3">
    <w:nsid w:val="06D3EDA6"/>
    <w:multiLevelType w:val="singleLevel"/>
    <w:tmpl w:val="06D3ED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4">
    <w:nsid w:val="2E3E146E"/>
    <w:multiLevelType w:val="multilevel"/>
    <w:tmpl w:val="2E3E146E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5">
    <w:nsid w:val="31670EE2"/>
    <w:multiLevelType w:val="singleLevel"/>
    <w:tmpl w:val="31670EE2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6">
    <w:nsid w:val="3BC6A26A"/>
    <w:multiLevelType w:val="singleLevel"/>
    <w:tmpl w:val="3BC6A26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7">
    <w:nsid w:val="56AB95D3"/>
    <w:multiLevelType w:val="singleLevel"/>
    <w:tmpl w:val="56AB95D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8">
    <w:nsid w:val="657F2422"/>
    <w:multiLevelType w:val="singleLevel"/>
    <w:tmpl w:val="657F242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9">
    <w:nsid w:val="75C12320"/>
    <w:multiLevelType w:val="singleLevel"/>
    <w:tmpl w:val="75C1232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8"/>
  </w:num>
  <w:num w:numId="5">
    <w:abstractNumId w:val="7"/>
  </w:num>
  <w:num w:numId="6">
    <w:abstractNumId w:val="4"/>
  </w:num>
  <w:num w:numId="7">
    <w:abstractNumId w:val="5"/>
  </w:num>
  <w:num w:numId="8">
    <w:abstractNumId w:val="1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2109A"/>
    <w:rsid w:val="03661A20"/>
    <w:rsid w:val="03C2759E"/>
    <w:rsid w:val="07FC3E74"/>
    <w:rsid w:val="0A201D86"/>
    <w:rsid w:val="0A590531"/>
    <w:rsid w:val="0B1408EB"/>
    <w:rsid w:val="0E6A2D0C"/>
    <w:rsid w:val="1144022D"/>
    <w:rsid w:val="12922C84"/>
    <w:rsid w:val="134678C7"/>
    <w:rsid w:val="147931F1"/>
    <w:rsid w:val="14D05D11"/>
    <w:rsid w:val="15386004"/>
    <w:rsid w:val="15D66ED9"/>
    <w:rsid w:val="15E038B4"/>
    <w:rsid w:val="15F1304B"/>
    <w:rsid w:val="16700655"/>
    <w:rsid w:val="16B03286"/>
    <w:rsid w:val="172F4AF3"/>
    <w:rsid w:val="17920BDE"/>
    <w:rsid w:val="184E2D57"/>
    <w:rsid w:val="18D45952"/>
    <w:rsid w:val="1A0A7151"/>
    <w:rsid w:val="1AFF47DC"/>
    <w:rsid w:val="1B3B1CB8"/>
    <w:rsid w:val="1C0D408C"/>
    <w:rsid w:val="1C4526C3"/>
    <w:rsid w:val="1D7C655F"/>
    <w:rsid w:val="1F8E612F"/>
    <w:rsid w:val="20E93F65"/>
    <w:rsid w:val="228D7161"/>
    <w:rsid w:val="247C629F"/>
    <w:rsid w:val="24960418"/>
    <w:rsid w:val="24E05525"/>
    <w:rsid w:val="25494FD2"/>
    <w:rsid w:val="262442A3"/>
    <w:rsid w:val="26E74AA2"/>
    <w:rsid w:val="27673E35"/>
    <w:rsid w:val="2B8C00D9"/>
    <w:rsid w:val="2D6D29C6"/>
    <w:rsid w:val="2D821373"/>
    <w:rsid w:val="2E730AF8"/>
    <w:rsid w:val="2EEE0779"/>
    <w:rsid w:val="30DA11D4"/>
    <w:rsid w:val="31B859B9"/>
    <w:rsid w:val="32E14A9C"/>
    <w:rsid w:val="362F6267"/>
    <w:rsid w:val="3D6A1B31"/>
    <w:rsid w:val="3E9E7CE5"/>
    <w:rsid w:val="403B7942"/>
    <w:rsid w:val="41AA2E44"/>
    <w:rsid w:val="41B84E1D"/>
    <w:rsid w:val="463B22BD"/>
    <w:rsid w:val="487D6BBD"/>
    <w:rsid w:val="4A563B69"/>
    <w:rsid w:val="4AC251FD"/>
    <w:rsid w:val="4AE1260F"/>
    <w:rsid w:val="4BD96800"/>
    <w:rsid w:val="513A2283"/>
    <w:rsid w:val="54776BB6"/>
    <w:rsid w:val="54C067AF"/>
    <w:rsid w:val="58113834"/>
    <w:rsid w:val="59C363FA"/>
    <w:rsid w:val="5A702373"/>
    <w:rsid w:val="5FED582A"/>
    <w:rsid w:val="60681AA9"/>
    <w:rsid w:val="61AB60F1"/>
    <w:rsid w:val="626F711E"/>
    <w:rsid w:val="6326564D"/>
    <w:rsid w:val="63F87D96"/>
    <w:rsid w:val="64872E45"/>
    <w:rsid w:val="64B90B25"/>
    <w:rsid w:val="64F47DAF"/>
    <w:rsid w:val="656839B7"/>
    <w:rsid w:val="694037F5"/>
    <w:rsid w:val="6DD76B71"/>
    <w:rsid w:val="6DFB0400"/>
    <w:rsid w:val="715916C6"/>
    <w:rsid w:val="74683D03"/>
    <w:rsid w:val="759F79A2"/>
    <w:rsid w:val="791E4FA3"/>
    <w:rsid w:val="7A995229"/>
    <w:rsid w:val="7AE053F6"/>
    <w:rsid w:val="7B106F4E"/>
    <w:rsid w:val="7F6C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eastAsia="‹ÎSå"/>
      <w:b/>
      <w:sz w:val="32"/>
      <w:szCs w:val="32"/>
      <w:lang w:val="zh-CN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ind w:firstLine="420" w:firstLineChars="200"/>
    </w:pPr>
    <w:rPr>
      <w:rFonts w:ascii="Times New Roman" w:hAnsi="Times New Roman"/>
      <w:kern w:val="0"/>
      <w:sz w:val="20"/>
      <w:szCs w:val="21"/>
    </w:rPr>
  </w:style>
  <w:style w:type="paragraph" w:styleId="6">
    <w:name w:val="Normal (Web)"/>
    <w:basedOn w:val="1"/>
    <w:unhideWhenUsed/>
    <w:qFormat/>
    <w:uiPriority w:val="99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样式 正文缩进正文（首行缩进两字） + 宋体 行距: 1.5 倍行距"/>
    <w:basedOn w:val="5"/>
    <w:qFormat/>
    <w:uiPriority w:val="0"/>
    <w:pPr>
      <w:adjustRightInd w:val="0"/>
      <w:spacing w:line="300" w:lineRule="auto"/>
      <w:ind w:firstLine="482"/>
      <w:jc w:val="left"/>
      <w:textAlignment w:val="baseline"/>
    </w:pPr>
    <w:rPr>
      <w:rFonts w:ascii="宋体" w:hAnsi="宋体"/>
      <w:bCs/>
      <w:sz w:val="24"/>
    </w:rPr>
  </w:style>
  <w:style w:type="character" w:customStyle="1" w:styleId="11">
    <w:name w:val="font91"/>
    <w:basedOn w:val="9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2">
    <w:name w:val="font101"/>
    <w:basedOn w:val="9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13">
    <w:name w:val="font4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4">
    <w:name w:val="font112"/>
    <w:basedOn w:val="9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15">
    <w:name w:val="font2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6">
    <w:name w:val="font31"/>
    <w:basedOn w:val="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7">
    <w:name w:val="font11"/>
    <w:basedOn w:val="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8">
    <w:name w:val="font8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9">
    <w:name w:val="font71"/>
    <w:basedOn w:val="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2038</Words>
  <Characters>2300</Characters>
  <Lines>0</Lines>
  <Paragraphs>0</Paragraphs>
  <TotalTime>1</TotalTime>
  <ScaleCrop>false</ScaleCrop>
  <LinksUpToDate>false</LinksUpToDate>
  <CharactersWithSpaces>3622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凌玉辉</cp:lastModifiedBy>
  <cp:lastPrinted>2026-01-13T08:37:00Z</cp:lastPrinted>
  <dcterms:modified xsi:type="dcterms:W3CDTF">2026-07-22T02:37:16Z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eyJoZGlkIjoiYzI0NjVjYjgzMDUyMTVkZDI0NTg0YTE0YjQxZjM4NDkiLCJ1c2VySWQiOiIzMzg5MDU5NjUifQ==</vt:lpwstr>
  </property>
  <property fmtid="{D5CDD505-2E9C-101B-9397-08002B2CF9AE}" pid="4" name="ICV">
    <vt:lpwstr>AC08B15DEC824E5996F0D7D741009FFB_12</vt:lpwstr>
  </property>
</Properties>
</file>