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D16FB">
      <w:pPr>
        <w:tabs>
          <w:tab w:val="left" w:pos="180"/>
        </w:tabs>
        <w:spacing w:line="360" w:lineRule="auto"/>
        <w:jc w:val="center"/>
        <w:rPr>
          <w:rFonts w:hint="eastAsia" w:ascii="方正小标宋简体" w:hAnsi="方正小标宋简体" w:eastAsia="方正小标宋简体" w:cs="方正小标宋简体"/>
          <w:b/>
          <w:kern w:val="1"/>
          <w:sz w:val="44"/>
          <w:szCs w:val="44"/>
          <w:lang w:val="en-US" w:eastAsia="zh-CN"/>
        </w:rPr>
      </w:pPr>
      <w:r>
        <w:rPr>
          <w:rFonts w:hint="eastAsia" w:ascii="方正小标宋简体" w:hAnsi="方正小标宋简体" w:eastAsia="方正小标宋简体" w:cs="方正小标宋简体"/>
          <w:b/>
          <w:kern w:val="1"/>
          <w:sz w:val="44"/>
          <w:szCs w:val="44"/>
          <w:lang w:val="en-US" w:eastAsia="zh-CN"/>
        </w:rPr>
        <w:t>醋酸乙烯及EVA一体化项目</w:t>
      </w:r>
    </w:p>
    <w:p w14:paraId="23E194F2">
      <w:pPr>
        <w:tabs>
          <w:tab w:val="left" w:pos="180"/>
        </w:tabs>
        <w:spacing w:line="360" w:lineRule="auto"/>
        <w:jc w:val="center"/>
        <w:rPr>
          <w:rFonts w:hint="default" w:ascii="黑体" w:hAnsi="黑体" w:eastAsia="黑体" w:cs="黑体"/>
          <w:b/>
          <w:kern w:val="1"/>
          <w:sz w:val="36"/>
          <w:szCs w:val="36"/>
          <w:lang w:val="en-US" w:eastAsia="zh-CN"/>
        </w:rPr>
      </w:pPr>
      <w:r>
        <w:rPr>
          <w:rFonts w:hint="eastAsia" w:ascii="方正小标宋简体" w:hAnsi="方正小标宋简体" w:eastAsia="方正小标宋简体" w:cs="方正小标宋简体"/>
          <w:b/>
          <w:kern w:val="1"/>
          <w:sz w:val="44"/>
          <w:szCs w:val="44"/>
          <w:lang w:val="en-US" w:eastAsia="zh-CN"/>
        </w:rPr>
        <w:t>单呼阀、阻火器公开采购文件</w:t>
      </w:r>
    </w:p>
    <w:p w14:paraId="1C9996B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宋体" w:eastAsia="仿宋_GB2312" w:cs="‹ÎSå"/>
          <w:color w:val="auto"/>
          <w:kern w:val="1"/>
          <w:sz w:val="24"/>
          <w:lang w:val="en-US" w:eastAsia="zh-CN"/>
        </w:rPr>
      </w:pPr>
    </w:p>
    <w:p w14:paraId="057E3634">
      <w:pPr>
        <w:spacing w:line="360" w:lineRule="auto"/>
        <w:ind w:firstLine="560" w:firstLineChars="200"/>
        <w:jc w:val="left"/>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 xml:space="preserve">我公司现需采购 </w:t>
      </w:r>
      <w:r>
        <w:rPr>
          <w:rFonts w:hint="eastAsia" w:ascii="仿宋_GB2312" w:hAnsi="仿宋_GB2312" w:eastAsia="仿宋_GB2312" w:cs="仿宋_GB2312"/>
          <w:color w:val="auto"/>
          <w:kern w:val="1"/>
          <w:sz w:val="28"/>
          <w:szCs w:val="28"/>
          <w:highlight w:val="none"/>
          <w:u w:val="single"/>
          <w:lang w:val="en-US" w:eastAsia="zh-CN"/>
        </w:rPr>
        <w:t>单呼阀、阻火器一批</w:t>
      </w:r>
      <w:r>
        <w:rPr>
          <w:rFonts w:hint="eastAsia" w:ascii="仿宋_GB2312" w:hAnsi="仿宋_GB2312" w:eastAsia="仿宋_GB2312" w:cs="仿宋_GB2312"/>
          <w:color w:val="auto"/>
          <w:kern w:val="1"/>
          <w:sz w:val="28"/>
          <w:szCs w:val="28"/>
          <w:lang w:val="en-US" w:eastAsia="zh-CN"/>
        </w:rPr>
        <w:t>，现在索普官网公开发布采购信息，实行满足要求的最低价中选。</w:t>
      </w:r>
    </w:p>
    <w:p w14:paraId="208B961A">
      <w:pPr>
        <w:spacing w:line="360" w:lineRule="auto"/>
        <w:ind w:firstLine="560" w:firstLineChars="200"/>
        <w:jc w:val="left"/>
        <w:rPr>
          <w:rFonts w:hint="eastAsia" w:ascii="仿宋_GB2312" w:hAnsi="仿宋_GB2312" w:eastAsia="仿宋_GB2312" w:cs="仿宋_GB2312"/>
          <w:color w:val="auto"/>
          <w:kern w:val="1"/>
          <w:sz w:val="28"/>
          <w:szCs w:val="28"/>
          <w:highlight w:val="none"/>
          <w:lang w:val="zh-CN"/>
        </w:rPr>
      </w:pPr>
      <w:r>
        <w:rPr>
          <w:rFonts w:hint="eastAsia" w:ascii="仿宋_GB2312" w:hAnsi="仿宋_GB2312" w:eastAsia="仿宋_GB2312" w:cs="仿宋_GB2312"/>
          <w:color w:val="auto"/>
          <w:kern w:val="1"/>
          <w:sz w:val="28"/>
          <w:szCs w:val="28"/>
        </w:rPr>
        <w:t>1.</w:t>
      </w:r>
      <w:r>
        <w:rPr>
          <w:rFonts w:hint="eastAsia" w:ascii="仿宋_GB2312" w:hAnsi="仿宋_GB2312" w:eastAsia="仿宋_GB2312" w:cs="仿宋_GB2312"/>
          <w:bCs/>
          <w:color w:val="auto"/>
          <w:kern w:val="1"/>
          <w:sz w:val="28"/>
          <w:szCs w:val="28"/>
        </w:rPr>
        <w:t xml:space="preserve"> </w:t>
      </w:r>
      <w:r>
        <w:rPr>
          <w:rFonts w:hint="eastAsia" w:ascii="仿宋_GB2312" w:hAnsi="仿宋_GB2312" w:eastAsia="仿宋_GB2312" w:cs="仿宋_GB2312"/>
          <w:color w:val="auto"/>
          <w:kern w:val="1"/>
          <w:sz w:val="28"/>
          <w:szCs w:val="28"/>
          <w:highlight w:val="none"/>
        </w:rPr>
        <w:t>报价须知</w:t>
      </w:r>
    </w:p>
    <w:p w14:paraId="2E59C918">
      <w:pPr>
        <w:spacing w:line="360" w:lineRule="auto"/>
        <w:ind w:firstLine="560" w:firstLineChars="200"/>
        <w:jc w:val="left"/>
        <w:rPr>
          <w:rFonts w:hint="eastAsia" w:ascii="仿宋_GB2312" w:hAnsi="仿宋_GB2312" w:eastAsia="仿宋_GB2312" w:cs="仿宋_GB2312"/>
          <w:color w:val="auto"/>
          <w:kern w:val="1"/>
          <w:sz w:val="28"/>
          <w:szCs w:val="28"/>
          <w:highlight w:val="none"/>
          <w:lang w:val="en-US" w:eastAsia="zh-CN"/>
        </w:rPr>
      </w:pPr>
      <w:r>
        <w:rPr>
          <w:rFonts w:hint="eastAsia" w:ascii="仿宋_GB2312" w:hAnsi="仿宋_GB2312" w:eastAsia="仿宋_GB2312" w:cs="仿宋_GB2312"/>
          <w:color w:val="auto"/>
          <w:kern w:val="1"/>
          <w:sz w:val="28"/>
          <w:szCs w:val="28"/>
          <w:highlight w:val="none"/>
        </w:rPr>
        <w:t xml:space="preserve">1.1 </w:t>
      </w:r>
      <w:r>
        <w:rPr>
          <w:rFonts w:hint="eastAsia" w:ascii="仿宋_GB2312" w:hAnsi="仿宋_GB2312" w:eastAsia="仿宋_GB2312" w:cs="仿宋_GB2312"/>
          <w:color w:val="auto"/>
          <w:kern w:val="1"/>
          <w:sz w:val="28"/>
          <w:szCs w:val="28"/>
          <w:highlight w:val="none"/>
          <w:lang w:eastAsia="zh-CN"/>
        </w:rPr>
        <w:t>采购</w:t>
      </w:r>
      <w:r>
        <w:rPr>
          <w:rFonts w:hint="eastAsia" w:ascii="仿宋_GB2312" w:hAnsi="仿宋_GB2312" w:eastAsia="仿宋_GB2312" w:cs="仿宋_GB2312"/>
          <w:color w:val="auto"/>
          <w:kern w:val="1"/>
          <w:sz w:val="28"/>
          <w:szCs w:val="28"/>
          <w:highlight w:val="none"/>
        </w:rPr>
        <w:t>货物名称</w:t>
      </w:r>
      <w:r>
        <w:rPr>
          <w:rFonts w:hint="eastAsia" w:ascii="仿宋_GB2312" w:hAnsi="仿宋_GB2312" w:eastAsia="仿宋_GB2312" w:cs="仿宋_GB2312"/>
          <w:color w:val="auto"/>
          <w:kern w:val="1"/>
          <w:sz w:val="28"/>
          <w:szCs w:val="28"/>
          <w:highlight w:val="none"/>
          <w:lang w:eastAsia="zh-CN"/>
        </w:rPr>
        <w:t>：</w:t>
      </w:r>
      <w:r>
        <w:rPr>
          <w:rFonts w:hint="eastAsia" w:ascii="仿宋_GB2312" w:hAnsi="仿宋_GB2312" w:eastAsia="仿宋_GB2312" w:cs="仿宋_GB2312"/>
          <w:color w:val="auto"/>
          <w:kern w:val="1"/>
          <w:sz w:val="28"/>
          <w:szCs w:val="28"/>
          <w:highlight w:val="none"/>
          <w:u w:val="single"/>
          <w:lang w:val="en-US" w:eastAsia="zh-CN"/>
        </w:rPr>
        <w:t>单呼阀、阻火器等储罐安全附件一批</w:t>
      </w:r>
      <w:r>
        <w:rPr>
          <w:rFonts w:hint="eastAsia" w:ascii="仿宋_GB2312" w:hAnsi="仿宋_GB2312" w:eastAsia="仿宋_GB2312" w:cs="仿宋_GB2312"/>
          <w:color w:val="auto"/>
          <w:kern w:val="1"/>
          <w:sz w:val="28"/>
          <w:szCs w:val="28"/>
          <w:highlight w:val="none"/>
          <w:lang w:val="en-US" w:eastAsia="zh-CN"/>
        </w:rPr>
        <w:t>（详见3.</w:t>
      </w:r>
      <w:r>
        <w:rPr>
          <w:rFonts w:hint="eastAsia" w:ascii="仿宋_GB2312" w:hAnsi="仿宋_GB2312" w:eastAsia="仿宋_GB2312" w:cs="仿宋_GB2312"/>
          <w:bCs/>
          <w:sz w:val="28"/>
          <w:szCs w:val="28"/>
        </w:rPr>
        <w:t>报价货物清单及技术要求</w:t>
      </w:r>
      <w:r>
        <w:rPr>
          <w:rFonts w:hint="eastAsia" w:ascii="仿宋_GB2312" w:hAnsi="仿宋_GB2312" w:eastAsia="仿宋_GB2312" w:cs="仿宋_GB2312"/>
          <w:color w:val="auto"/>
          <w:kern w:val="1"/>
          <w:sz w:val="28"/>
          <w:szCs w:val="28"/>
          <w:highlight w:val="none"/>
          <w:lang w:val="en-US" w:eastAsia="zh-CN"/>
        </w:rPr>
        <w:t>）。</w:t>
      </w:r>
    </w:p>
    <w:p w14:paraId="766183DA">
      <w:pPr>
        <w:spacing w:line="360" w:lineRule="auto"/>
        <w:ind w:firstLine="560" w:firstLineChars="200"/>
        <w:jc w:val="left"/>
        <w:rPr>
          <w:rFonts w:hint="eastAsia" w:ascii="仿宋_GB2312" w:hAnsi="仿宋_GB2312" w:eastAsia="仿宋_GB2312" w:cs="仿宋_GB2312"/>
          <w:sz w:val="28"/>
          <w:szCs w:val="28"/>
          <w:u w:val="none"/>
        </w:rPr>
      </w:pPr>
      <w:r>
        <w:rPr>
          <w:rFonts w:hint="eastAsia" w:ascii="仿宋_GB2312" w:hAnsi="仿宋_GB2312" w:eastAsia="仿宋_GB2312" w:cs="仿宋_GB2312"/>
          <w:color w:val="auto"/>
          <w:kern w:val="1"/>
          <w:sz w:val="28"/>
          <w:szCs w:val="28"/>
          <w:highlight w:val="none"/>
        </w:rPr>
        <w:t>1.2 交货地点：</w:t>
      </w:r>
      <w:r>
        <w:rPr>
          <w:rFonts w:hint="eastAsia" w:ascii="仿宋_GB2312" w:hAnsi="仿宋_GB2312" w:eastAsia="仿宋_GB2312" w:cs="仿宋_GB2312"/>
          <w:b/>
          <w:bCs/>
          <w:color w:val="auto"/>
          <w:kern w:val="1"/>
          <w:sz w:val="28"/>
          <w:szCs w:val="28"/>
          <w:u w:val="single"/>
        </w:rPr>
        <w:t>江苏索普</w:t>
      </w:r>
      <w:r>
        <w:rPr>
          <w:rFonts w:hint="eastAsia" w:ascii="仿宋_GB2312" w:hAnsi="仿宋_GB2312" w:eastAsia="仿宋_GB2312" w:cs="仿宋_GB2312"/>
          <w:b/>
          <w:bCs/>
          <w:color w:val="auto"/>
          <w:kern w:val="1"/>
          <w:sz w:val="28"/>
          <w:szCs w:val="28"/>
          <w:u w:val="single"/>
          <w:lang w:val="en-US" w:eastAsia="zh-CN"/>
        </w:rPr>
        <w:t>新材料科技有限公司指定现场</w:t>
      </w:r>
      <w:r>
        <w:rPr>
          <w:rFonts w:hint="eastAsia" w:ascii="仿宋_GB2312" w:hAnsi="仿宋_GB2312" w:eastAsia="仿宋_GB2312" w:cs="仿宋_GB2312"/>
          <w:b/>
          <w:bCs/>
          <w:color w:val="auto"/>
          <w:kern w:val="1"/>
          <w:sz w:val="28"/>
          <w:szCs w:val="28"/>
          <w:u w:val="none"/>
          <w:lang w:val="en-US" w:eastAsia="zh-CN"/>
        </w:rPr>
        <w:t>。</w:t>
      </w:r>
    </w:p>
    <w:p w14:paraId="09EC5A5D">
      <w:pPr>
        <w:keepNext w:val="0"/>
        <w:keepLines w:val="0"/>
        <w:pageBreakBefore w:val="0"/>
        <w:widowControl w:val="0"/>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1.3 交货期：合同签订后</w:t>
      </w:r>
      <w:r>
        <w:rPr>
          <w:rFonts w:hint="eastAsia" w:ascii="仿宋_GB2312" w:hAnsi="仿宋_GB2312" w:eastAsia="仿宋_GB2312" w:cs="仿宋_GB2312"/>
          <w:b/>
          <w:bCs/>
          <w:color w:val="auto"/>
          <w:kern w:val="1"/>
          <w:sz w:val="28"/>
          <w:szCs w:val="28"/>
          <w:u w:val="single"/>
          <w:lang w:val="en-US" w:eastAsia="zh-CN"/>
        </w:rPr>
        <w:t>45天</w:t>
      </w:r>
      <w:r>
        <w:rPr>
          <w:rFonts w:hint="eastAsia" w:ascii="仿宋_GB2312" w:hAnsi="仿宋_GB2312" w:eastAsia="仿宋_GB2312" w:cs="仿宋_GB2312"/>
          <w:color w:val="auto"/>
          <w:kern w:val="1"/>
          <w:sz w:val="28"/>
          <w:szCs w:val="28"/>
          <w:lang w:val="en-US" w:eastAsia="zh-CN"/>
        </w:rPr>
        <w:t>到货</w:t>
      </w:r>
      <w:r>
        <w:rPr>
          <w:rFonts w:hint="eastAsia" w:ascii="仿宋_GB2312" w:hAnsi="仿宋_GB2312" w:eastAsia="仿宋_GB2312" w:cs="仿宋_GB2312"/>
          <w:color w:val="auto"/>
          <w:kern w:val="1"/>
          <w:sz w:val="28"/>
          <w:szCs w:val="28"/>
        </w:rPr>
        <w:t>（如无法满足请在报价时注明）。</w:t>
      </w:r>
    </w:p>
    <w:p w14:paraId="5470BEED">
      <w:pPr>
        <w:keepNext w:val="0"/>
        <w:keepLines w:val="0"/>
        <w:pageBreakBefore w:val="0"/>
        <w:widowControl w:val="0"/>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 xml:space="preserve">1.4 </w:t>
      </w:r>
      <w:r>
        <w:rPr>
          <w:rFonts w:hint="eastAsia" w:ascii="仿宋_GB2312" w:hAnsi="仿宋_GB2312" w:eastAsia="仿宋_GB2312" w:cs="仿宋_GB2312"/>
          <w:color w:val="auto"/>
          <w:kern w:val="1"/>
          <w:sz w:val="28"/>
          <w:szCs w:val="28"/>
          <w:lang w:val="en-US" w:eastAsia="zh-CN"/>
        </w:rPr>
        <w:t>付款方式：货到增值税专用发票到2个月内银行现汇付款90%，余款10%为质保金，质保期为材料到货后18个月。如</w:t>
      </w:r>
      <w:r>
        <w:rPr>
          <w:rFonts w:hint="eastAsia" w:ascii="仿宋_GB2312" w:hAnsi="仿宋_GB2312" w:eastAsia="仿宋_GB2312" w:cs="仿宋_GB2312"/>
          <w:color w:val="auto"/>
          <w:kern w:val="1"/>
          <w:sz w:val="28"/>
          <w:szCs w:val="28"/>
          <w:lang w:eastAsia="zh-CN"/>
        </w:rPr>
        <w:t>报价</w:t>
      </w:r>
      <w:r>
        <w:rPr>
          <w:rFonts w:hint="eastAsia" w:ascii="仿宋_GB2312" w:hAnsi="仿宋_GB2312" w:eastAsia="仿宋_GB2312" w:cs="仿宋_GB2312"/>
          <w:color w:val="auto"/>
          <w:kern w:val="1"/>
          <w:sz w:val="28"/>
          <w:szCs w:val="28"/>
        </w:rPr>
        <w:t>人不接受</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人提出的付款方式，明确能够接受的付款方式及付款时间，</w:t>
      </w:r>
      <w:r>
        <w:rPr>
          <w:rFonts w:hint="eastAsia" w:ascii="仿宋_GB2312" w:hAnsi="仿宋_GB2312" w:eastAsia="仿宋_GB2312" w:cs="仿宋_GB2312"/>
          <w:color w:val="auto"/>
          <w:kern w:val="1"/>
          <w:sz w:val="28"/>
          <w:szCs w:val="28"/>
          <w:lang w:eastAsia="zh-CN"/>
        </w:rPr>
        <w:t>评审</w:t>
      </w:r>
      <w:r>
        <w:rPr>
          <w:rFonts w:hint="eastAsia" w:ascii="仿宋_GB2312" w:hAnsi="仿宋_GB2312" w:eastAsia="仿宋_GB2312" w:cs="仿宋_GB2312"/>
          <w:color w:val="auto"/>
          <w:kern w:val="1"/>
          <w:sz w:val="28"/>
          <w:szCs w:val="28"/>
        </w:rPr>
        <w:t>时作为参考。</w:t>
      </w:r>
    </w:p>
    <w:p w14:paraId="6F2F7879">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560" w:firstLineChars="200"/>
        <w:jc w:val="left"/>
        <w:textAlignment w:val="auto"/>
        <w:outlineLvl w:val="9"/>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 报价方式：</w:t>
      </w:r>
      <w:r>
        <w:rPr>
          <w:rFonts w:hint="eastAsia" w:ascii="仿宋_GB2312" w:hAnsi="仿宋_GB2312" w:eastAsia="仿宋_GB2312" w:cs="仿宋_GB2312"/>
          <w:b/>
          <w:bCs/>
          <w:color w:val="auto"/>
          <w:kern w:val="1"/>
          <w:sz w:val="28"/>
          <w:szCs w:val="28"/>
          <w:u w:val="single"/>
          <w:lang w:val="en-US" w:eastAsia="zh-CN"/>
        </w:rPr>
        <w:t>线下</w:t>
      </w:r>
      <w:r>
        <w:rPr>
          <w:rFonts w:hint="eastAsia" w:ascii="仿宋_GB2312" w:hAnsi="仿宋_GB2312" w:eastAsia="仿宋_GB2312" w:cs="仿宋_GB2312"/>
          <w:color w:val="auto"/>
          <w:kern w:val="1"/>
          <w:sz w:val="28"/>
          <w:szCs w:val="28"/>
          <w:lang w:val="en-US" w:eastAsia="zh-CN"/>
        </w:rPr>
        <w:t>。报价书及相关资料以报价袋形式送达。</w:t>
      </w:r>
    </w:p>
    <w:p w14:paraId="07230D1B">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560" w:firstLineChars="200"/>
        <w:jc w:val="left"/>
        <w:textAlignment w:val="auto"/>
        <w:outlineLvl w:val="9"/>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1.5.1 报价袋外包装必须用</w:t>
      </w:r>
      <w:r>
        <w:rPr>
          <w:rFonts w:hint="eastAsia" w:ascii="仿宋_GB2312" w:hAnsi="仿宋_GB2312" w:eastAsia="仿宋_GB2312" w:cs="仿宋_GB2312"/>
          <w:b/>
          <w:bCs/>
          <w:color w:val="auto"/>
          <w:kern w:val="1"/>
          <w:sz w:val="28"/>
          <w:szCs w:val="28"/>
          <w:u w:val="single"/>
          <w:lang w:val="en-US" w:eastAsia="zh-CN"/>
        </w:rPr>
        <w:t>“封条”</w:t>
      </w:r>
      <w:r>
        <w:rPr>
          <w:rFonts w:hint="eastAsia" w:ascii="仿宋_GB2312" w:hAnsi="仿宋_GB2312" w:eastAsia="仿宋_GB2312" w:cs="仿宋_GB2312"/>
          <w:color w:val="auto"/>
          <w:kern w:val="1"/>
          <w:sz w:val="28"/>
          <w:szCs w:val="28"/>
          <w:lang w:val="en-US" w:eastAsia="zh-CN"/>
        </w:rPr>
        <w:t>密封，封条格式自定，另需加盖公章、法人章，填写密封日期。</w:t>
      </w:r>
    </w:p>
    <w:p w14:paraId="6FF5CB6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560" w:firstLineChars="200"/>
        <w:jc w:val="left"/>
        <w:textAlignment w:val="auto"/>
        <w:outlineLvl w:val="9"/>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1.5.2 报价袋封面上需注明“采购项目名称，报价方名称、地址、联系人、联系电话”等信息。</w:t>
      </w:r>
    </w:p>
    <w:p w14:paraId="770BBB4C">
      <w:pPr>
        <w:keepNext w:val="0"/>
        <w:keepLines w:val="0"/>
        <w:pageBreakBefore w:val="0"/>
        <w:widowControl w:val="0"/>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1.5.3 报价文件1份，并要求在报价截止日之前送达，逾期将作为作无效报价处理。</w:t>
      </w:r>
    </w:p>
    <w:p w14:paraId="2F611742">
      <w:pPr>
        <w:spacing w:line="36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kern w:val="1"/>
          <w:sz w:val="28"/>
          <w:szCs w:val="28"/>
          <w:lang w:val="en-US" w:eastAsia="zh-CN"/>
        </w:rPr>
        <w:t>1.6 报价</w:t>
      </w:r>
      <w:r>
        <w:rPr>
          <w:rFonts w:hint="eastAsia" w:ascii="仿宋_GB2312" w:hAnsi="仿宋_GB2312" w:eastAsia="仿宋_GB2312" w:cs="仿宋_GB2312"/>
          <w:color w:val="auto"/>
          <w:kern w:val="1"/>
          <w:sz w:val="28"/>
          <w:szCs w:val="28"/>
        </w:rPr>
        <w:t>截止时间</w:t>
      </w:r>
      <w:r>
        <w:rPr>
          <w:rFonts w:hint="eastAsia" w:ascii="仿宋_GB2312" w:hAnsi="仿宋_GB2312" w:eastAsia="仿宋_GB2312" w:cs="仿宋_GB2312"/>
          <w:color w:val="auto"/>
          <w:kern w:val="1"/>
          <w:sz w:val="28"/>
          <w:szCs w:val="28"/>
          <w:lang w:eastAsia="zh-CN"/>
        </w:rPr>
        <w:t>：</w:t>
      </w:r>
      <w:r>
        <w:rPr>
          <w:rFonts w:hint="eastAsia" w:ascii="仿宋_GB2312" w:hAnsi="仿宋_GB2312" w:eastAsia="仿宋_GB2312" w:cs="仿宋_GB2312"/>
          <w:b/>
          <w:bCs/>
          <w:color w:val="auto"/>
          <w:kern w:val="1"/>
          <w:sz w:val="28"/>
          <w:szCs w:val="28"/>
          <w:highlight w:val="none"/>
        </w:rPr>
        <w:t>202</w:t>
      </w:r>
      <w:r>
        <w:rPr>
          <w:rFonts w:hint="eastAsia" w:ascii="仿宋_GB2312" w:hAnsi="仿宋_GB2312" w:eastAsia="仿宋_GB2312" w:cs="仿宋_GB2312"/>
          <w:b/>
          <w:bCs/>
          <w:color w:val="auto"/>
          <w:kern w:val="1"/>
          <w:sz w:val="28"/>
          <w:szCs w:val="28"/>
          <w:highlight w:val="none"/>
          <w:lang w:val="en-US" w:eastAsia="zh-CN"/>
        </w:rPr>
        <w:t>6</w:t>
      </w:r>
      <w:r>
        <w:rPr>
          <w:rFonts w:hint="eastAsia" w:ascii="仿宋_GB2312" w:hAnsi="仿宋_GB2312" w:eastAsia="仿宋_GB2312" w:cs="仿宋_GB2312"/>
          <w:b/>
          <w:bCs/>
          <w:color w:val="auto"/>
          <w:kern w:val="1"/>
          <w:sz w:val="28"/>
          <w:szCs w:val="28"/>
          <w:highlight w:val="none"/>
        </w:rPr>
        <w:t>年</w:t>
      </w:r>
      <w:r>
        <w:rPr>
          <w:rFonts w:hint="eastAsia" w:ascii="仿宋_GB2312" w:hAnsi="仿宋_GB2312" w:eastAsia="仿宋_GB2312" w:cs="仿宋_GB2312"/>
          <w:b/>
          <w:bCs/>
          <w:color w:val="auto"/>
          <w:kern w:val="1"/>
          <w:sz w:val="28"/>
          <w:szCs w:val="28"/>
          <w:highlight w:val="none"/>
          <w:lang w:val="en-US" w:eastAsia="zh-CN"/>
        </w:rPr>
        <w:t>8</w:t>
      </w:r>
      <w:r>
        <w:rPr>
          <w:rFonts w:hint="eastAsia" w:ascii="仿宋_GB2312" w:hAnsi="仿宋_GB2312" w:eastAsia="仿宋_GB2312" w:cs="仿宋_GB2312"/>
          <w:b/>
          <w:bCs/>
          <w:color w:val="auto"/>
          <w:kern w:val="1"/>
          <w:sz w:val="28"/>
          <w:szCs w:val="28"/>
          <w:highlight w:val="none"/>
        </w:rPr>
        <w:t>月</w:t>
      </w:r>
      <w:r>
        <w:rPr>
          <w:rFonts w:hint="eastAsia" w:ascii="仿宋_GB2312" w:hAnsi="仿宋_GB2312" w:eastAsia="仿宋_GB2312" w:cs="仿宋_GB2312"/>
          <w:b/>
          <w:bCs/>
          <w:color w:val="auto"/>
          <w:kern w:val="1"/>
          <w:sz w:val="28"/>
          <w:szCs w:val="28"/>
          <w:highlight w:val="none"/>
          <w:lang w:val="en-US" w:eastAsia="zh-CN"/>
        </w:rPr>
        <w:t>10</w:t>
      </w:r>
      <w:r>
        <w:rPr>
          <w:rFonts w:hint="eastAsia" w:ascii="仿宋_GB2312" w:hAnsi="仿宋_GB2312" w:eastAsia="仿宋_GB2312" w:cs="仿宋_GB2312"/>
          <w:b/>
          <w:bCs/>
          <w:color w:val="auto"/>
          <w:kern w:val="1"/>
          <w:sz w:val="28"/>
          <w:szCs w:val="28"/>
          <w:highlight w:val="none"/>
        </w:rPr>
        <w:t>日</w:t>
      </w:r>
      <w:r>
        <w:rPr>
          <w:rFonts w:hint="eastAsia" w:ascii="仿宋_GB2312" w:hAnsi="仿宋_GB2312" w:eastAsia="仿宋_GB2312" w:cs="仿宋_GB2312"/>
          <w:color w:val="auto"/>
          <w:kern w:val="1"/>
          <w:sz w:val="28"/>
          <w:szCs w:val="28"/>
          <w:highlight w:val="none"/>
          <w:lang w:val="en-US" w:eastAsia="zh-CN"/>
        </w:rPr>
        <w:t>下午</w:t>
      </w:r>
      <w:r>
        <w:rPr>
          <w:rFonts w:hint="eastAsia" w:ascii="仿宋_GB2312" w:hAnsi="仿宋_GB2312" w:eastAsia="仿宋_GB2312" w:cs="仿宋_GB2312"/>
          <w:color w:val="auto"/>
          <w:kern w:val="1"/>
          <w:sz w:val="28"/>
          <w:szCs w:val="28"/>
          <w:lang w:val="en-US" w:eastAsia="zh-CN"/>
        </w:rPr>
        <w:t>14：00</w:t>
      </w:r>
      <w:r>
        <w:rPr>
          <w:rFonts w:hint="eastAsia" w:ascii="仿宋_GB2312" w:hAnsi="仿宋_GB2312" w:eastAsia="仿宋_GB2312" w:cs="仿宋_GB2312"/>
          <w:color w:val="auto"/>
          <w:kern w:val="1"/>
          <w:sz w:val="28"/>
          <w:szCs w:val="28"/>
        </w:rPr>
        <w:t>时（北京时间）</w:t>
      </w:r>
      <w:r>
        <w:rPr>
          <w:rFonts w:hint="eastAsia" w:ascii="仿宋_GB2312" w:hAnsi="仿宋_GB2312" w:eastAsia="仿宋_GB2312" w:cs="仿宋_GB2312"/>
          <w:color w:val="auto"/>
          <w:kern w:val="1"/>
          <w:sz w:val="28"/>
          <w:szCs w:val="28"/>
          <w:lang w:eastAsia="zh-CN"/>
        </w:rPr>
        <w:t>。</w:t>
      </w:r>
    </w:p>
    <w:p w14:paraId="3E1BFF0B">
      <w:pPr>
        <w:spacing w:line="360" w:lineRule="auto"/>
        <w:ind w:firstLine="560" w:firstLineChars="200"/>
        <w:jc w:val="left"/>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1.</w:t>
      </w:r>
      <w:r>
        <w:rPr>
          <w:rFonts w:hint="eastAsia" w:ascii="仿宋_GB2312" w:hAnsi="仿宋_GB2312" w:eastAsia="仿宋_GB2312" w:cs="仿宋_GB2312"/>
          <w:color w:val="auto"/>
          <w:kern w:val="1"/>
          <w:sz w:val="28"/>
          <w:szCs w:val="28"/>
          <w:lang w:val="en-US" w:eastAsia="zh-CN"/>
        </w:rPr>
        <w:t>7</w:t>
      </w:r>
      <w:r>
        <w:rPr>
          <w:rFonts w:hint="eastAsia" w:ascii="仿宋_GB2312" w:hAnsi="仿宋_GB2312" w:eastAsia="仿宋_GB2312" w:cs="仿宋_GB2312"/>
          <w:color w:val="auto"/>
          <w:kern w:val="1"/>
          <w:sz w:val="28"/>
          <w:szCs w:val="28"/>
        </w:rPr>
        <w:t xml:space="preserve"> </w:t>
      </w: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highlight w:val="none"/>
          <w:lang w:eastAsia="zh-CN"/>
        </w:rPr>
        <w:t>评审</w:t>
      </w:r>
      <w:r>
        <w:rPr>
          <w:rFonts w:hint="eastAsia" w:ascii="仿宋_GB2312" w:hAnsi="仿宋_GB2312" w:eastAsia="仿宋_GB2312" w:cs="仿宋_GB2312"/>
          <w:color w:val="auto"/>
          <w:kern w:val="1"/>
          <w:sz w:val="28"/>
          <w:szCs w:val="28"/>
          <w:highlight w:val="none"/>
        </w:rPr>
        <w:t>时间：</w:t>
      </w:r>
      <w:r>
        <w:rPr>
          <w:rFonts w:hint="eastAsia" w:ascii="仿宋_GB2312" w:hAnsi="仿宋_GB2312" w:eastAsia="仿宋_GB2312" w:cs="仿宋_GB2312"/>
          <w:b/>
          <w:bCs/>
          <w:color w:val="auto"/>
          <w:kern w:val="1"/>
          <w:sz w:val="28"/>
          <w:szCs w:val="28"/>
          <w:highlight w:val="none"/>
        </w:rPr>
        <w:t>202</w:t>
      </w:r>
      <w:r>
        <w:rPr>
          <w:rFonts w:hint="eastAsia" w:ascii="仿宋_GB2312" w:hAnsi="仿宋_GB2312" w:eastAsia="仿宋_GB2312" w:cs="仿宋_GB2312"/>
          <w:b/>
          <w:bCs/>
          <w:color w:val="auto"/>
          <w:kern w:val="1"/>
          <w:sz w:val="28"/>
          <w:szCs w:val="28"/>
          <w:highlight w:val="none"/>
          <w:lang w:val="en-US" w:eastAsia="zh-CN"/>
        </w:rPr>
        <w:t>6</w:t>
      </w:r>
      <w:r>
        <w:rPr>
          <w:rFonts w:hint="eastAsia" w:ascii="仿宋_GB2312" w:hAnsi="仿宋_GB2312" w:eastAsia="仿宋_GB2312" w:cs="仿宋_GB2312"/>
          <w:b/>
          <w:bCs/>
          <w:color w:val="auto"/>
          <w:kern w:val="1"/>
          <w:sz w:val="28"/>
          <w:szCs w:val="28"/>
          <w:highlight w:val="none"/>
        </w:rPr>
        <w:t>年</w:t>
      </w:r>
      <w:r>
        <w:rPr>
          <w:rFonts w:hint="eastAsia" w:ascii="仿宋_GB2312" w:hAnsi="仿宋_GB2312" w:eastAsia="仿宋_GB2312" w:cs="仿宋_GB2312"/>
          <w:b/>
          <w:bCs/>
          <w:color w:val="auto"/>
          <w:kern w:val="1"/>
          <w:sz w:val="28"/>
          <w:szCs w:val="28"/>
          <w:highlight w:val="none"/>
          <w:lang w:val="en-US" w:eastAsia="zh-CN"/>
        </w:rPr>
        <w:t>8</w:t>
      </w:r>
      <w:r>
        <w:rPr>
          <w:rFonts w:hint="eastAsia" w:ascii="仿宋_GB2312" w:hAnsi="仿宋_GB2312" w:eastAsia="仿宋_GB2312" w:cs="仿宋_GB2312"/>
          <w:b/>
          <w:bCs/>
          <w:color w:val="auto"/>
          <w:kern w:val="1"/>
          <w:sz w:val="28"/>
          <w:szCs w:val="28"/>
          <w:highlight w:val="none"/>
        </w:rPr>
        <w:t>月</w:t>
      </w:r>
      <w:r>
        <w:rPr>
          <w:rFonts w:hint="eastAsia" w:ascii="仿宋_GB2312" w:hAnsi="仿宋_GB2312" w:eastAsia="仿宋_GB2312" w:cs="仿宋_GB2312"/>
          <w:b/>
          <w:bCs/>
          <w:color w:val="auto"/>
          <w:kern w:val="1"/>
          <w:sz w:val="28"/>
          <w:szCs w:val="28"/>
          <w:highlight w:val="none"/>
          <w:lang w:val="en-US" w:eastAsia="zh-CN"/>
        </w:rPr>
        <w:t>10</w:t>
      </w:r>
      <w:r>
        <w:rPr>
          <w:rFonts w:hint="eastAsia" w:ascii="仿宋_GB2312" w:hAnsi="仿宋_GB2312" w:eastAsia="仿宋_GB2312" w:cs="仿宋_GB2312"/>
          <w:b/>
          <w:bCs/>
          <w:color w:val="auto"/>
          <w:kern w:val="1"/>
          <w:sz w:val="28"/>
          <w:szCs w:val="28"/>
          <w:highlight w:val="none"/>
        </w:rPr>
        <w:t>日</w:t>
      </w:r>
      <w:r>
        <w:rPr>
          <w:rFonts w:hint="eastAsia" w:ascii="仿宋_GB2312" w:hAnsi="仿宋_GB2312" w:eastAsia="仿宋_GB2312" w:cs="仿宋_GB2312"/>
          <w:color w:val="auto"/>
          <w:kern w:val="1"/>
          <w:sz w:val="28"/>
          <w:szCs w:val="28"/>
          <w:highlight w:val="none"/>
          <w:lang w:val="en-US" w:eastAsia="zh-CN"/>
        </w:rPr>
        <w:t>下午</w:t>
      </w:r>
      <w:r>
        <w:rPr>
          <w:rFonts w:hint="eastAsia" w:ascii="仿宋_GB2312" w:hAnsi="仿宋_GB2312" w:eastAsia="仿宋_GB2312" w:cs="仿宋_GB2312"/>
          <w:color w:val="auto"/>
          <w:kern w:val="1"/>
          <w:sz w:val="28"/>
          <w:szCs w:val="28"/>
          <w:lang w:val="en-US" w:eastAsia="zh-CN"/>
        </w:rPr>
        <w:t>14：00</w:t>
      </w:r>
      <w:r>
        <w:rPr>
          <w:rFonts w:hint="eastAsia" w:ascii="仿宋_GB2312" w:hAnsi="仿宋_GB2312" w:eastAsia="仿宋_GB2312" w:cs="仿宋_GB2312"/>
          <w:color w:val="auto"/>
          <w:kern w:val="1"/>
          <w:sz w:val="28"/>
          <w:szCs w:val="28"/>
        </w:rPr>
        <w:t>时</w:t>
      </w:r>
      <w:r>
        <w:rPr>
          <w:rFonts w:hint="eastAsia" w:ascii="仿宋_GB2312" w:hAnsi="仿宋_GB2312" w:eastAsia="仿宋_GB2312" w:cs="仿宋_GB2312"/>
          <w:color w:val="auto"/>
          <w:kern w:val="1"/>
          <w:sz w:val="28"/>
          <w:szCs w:val="28"/>
          <w:highlight w:val="none"/>
        </w:rPr>
        <w:t>（北京时间）。</w:t>
      </w:r>
    </w:p>
    <w:p w14:paraId="576355F7">
      <w:pPr>
        <w:spacing w:line="360" w:lineRule="auto"/>
        <w:ind w:firstLine="560" w:firstLineChars="200"/>
        <w:jc w:val="left"/>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1.</w:t>
      </w:r>
      <w:r>
        <w:rPr>
          <w:rFonts w:hint="eastAsia" w:ascii="仿宋_GB2312" w:hAnsi="仿宋_GB2312" w:eastAsia="仿宋_GB2312" w:cs="仿宋_GB2312"/>
          <w:color w:val="auto"/>
          <w:kern w:val="1"/>
          <w:sz w:val="28"/>
          <w:szCs w:val="28"/>
          <w:lang w:val="en-US" w:eastAsia="zh-CN"/>
        </w:rPr>
        <w:t>8</w:t>
      </w:r>
      <w:r>
        <w:rPr>
          <w:rFonts w:hint="eastAsia" w:ascii="仿宋_GB2312" w:hAnsi="仿宋_GB2312" w:eastAsia="仿宋_GB2312" w:cs="仿宋_GB2312"/>
          <w:color w:val="auto"/>
          <w:kern w:val="1"/>
          <w:sz w:val="28"/>
          <w:szCs w:val="28"/>
        </w:rPr>
        <w:t xml:space="preserve"> </w:t>
      </w: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lang w:eastAsia="zh-CN"/>
        </w:rPr>
        <w:t>评审</w:t>
      </w:r>
      <w:r>
        <w:rPr>
          <w:rFonts w:hint="eastAsia" w:ascii="仿宋_GB2312" w:hAnsi="仿宋_GB2312" w:eastAsia="仿宋_GB2312" w:cs="仿宋_GB2312"/>
          <w:color w:val="auto"/>
          <w:kern w:val="1"/>
          <w:sz w:val="28"/>
          <w:szCs w:val="28"/>
        </w:rPr>
        <w:t>地点：江苏索普(集团)有限公司</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中心。</w:t>
      </w:r>
    </w:p>
    <w:p w14:paraId="1C46B09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kern w:val="1"/>
          <w:sz w:val="28"/>
          <w:szCs w:val="28"/>
          <w:lang w:eastAsia="zh-CN"/>
        </w:rPr>
      </w:pPr>
      <w:r>
        <w:rPr>
          <w:rFonts w:hint="eastAsia" w:ascii="仿宋_GB2312" w:hAnsi="仿宋_GB2312" w:eastAsia="仿宋_GB2312" w:cs="仿宋_GB2312"/>
          <w:color w:val="auto"/>
          <w:kern w:val="1"/>
          <w:sz w:val="28"/>
          <w:szCs w:val="28"/>
          <w:highlight w:val="none"/>
        </w:rPr>
        <w:t>1.</w:t>
      </w:r>
      <w:r>
        <w:rPr>
          <w:rFonts w:hint="eastAsia" w:ascii="仿宋_GB2312" w:hAnsi="仿宋_GB2312" w:eastAsia="仿宋_GB2312" w:cs="仿宋_GB2312"/>
          <w:color w:val="auto"/>
          <w:kern w:val="1"/>
          <w:sz w:val="28"/>
          <w:szCs w:val="28"/>
          <w:highlight w:val="none"/>
          <w:lang w:val="en-US" w:eastAsia="zh-CN"/>
        </w:rPr>
        <w:t>9</w:t>
      </w:r>
      <w:r>
        <w:rPr>
          <w:rFonts w:hint="eastAsia" w:ascii="仿宋_GB2312" w:hAnsi="仿宋_GB2312" w:eastAsia="仿宋_GB2312" w:cs="仿宋_GB2312"/>
          <w:color w:val="auto"/>
          <w:kern w:val="1"/>
          <w:sz w:val="28"/>
          <w:szCs w:val="28"/>
          <w:highlight w:val="none"/>
        </w:rPr>
        <w:t xml:space="preserve"> 报价须知：</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highlight w:val="none"/>
          <w:lang w:eastAsia="zh-CN"/>
        </w:rPr>
        <w:t>含</w:t>
      </w:r>
      <w:r>
        <w:rPr>
          <w:rFonts w:hint="eastAsia" w:ascii="仿宋_GB2312" w:hAnsi="仿宋_GB2312" w:eastAsia="仿宋_GB2312" w:cs="仿宋_GB2312"/>
          <w:b/>
          <w:bCs/>
          <w:sz w:val="28"/>
          <w:szCs w:val="28"/>
          <w:highlight w:val="none"/>
          <w:u w:val="single"/>
        </w:rPr>
        <w:t>13%</w:t>
      </w:r>
      <w:r>
        <w:rPr>
          <w:rFonts w:hint="eastAsia" w:ascii="仿宋_GB2312" w:hAnsi="仿宋_GB2312" w:eastAsia="仿宋_GB2312" w:cs="仿宋_GB2312"/>
          <w:b/>
          <w:bCs/>
          <w:sz w:val="28"/>
          <w:szCs w:val="28"/>
          <w:highlight w:val="none"/>
          <w:u w:val="single"/>
          <w:lang w:val="en-US" w:eastAsia="zh-CN"/>
        </w:rPr>
        <w:t xml:space="preserve"> </w:t>
      </w:r>
      <w:r>
        <w:rPr>
          <w:rFonts w:hint="eastAsia" w:ascii="仿宋_GB2312" w:hAnsi="仿宋_GB2312" w:eastAsia="仿宋_GB2312" w:cs="仿宋_GB2312"/>
          <w:kern w:val="1"/>
          <w:sz w:val="28"/>
          <w:szCs w:val="28"/>
          <w:highlight w:val="none"/>
          <w:lang w:eastAsia="zh-CN"/>
        </w:rPr>
        <w:t>增值税</w:t>
      </w:r>
      <w:r>
        <w:rPr>
          <w:rFonts w:hint="eastAsia" w:ascii="仿宋_GB2312" w:hAnsi="仿宋_GB2312" w:eastAsia="仿宋_GB2312" w:cs="仿宋_GB2312"/>
          <w:kern w:val="1"/>
          <w:sz w:val="28"/>
          <w:szCs w:val="28"/>
          <w:highlight w:val="none"/>
          <w:lang w:val="en-US" w:eastAsia="zh-CN"/>
        </w:rPr>
        <w:t>、</w:t>
      </w:r>
      <w:r>
        <w:rPr>
          <w:rFonts w:hint="eastAsia" w:ascii="仿宋_GB2312" w:hAnsi="仿宋_GB2312" w:eastAsia="仿宋_GB2312" w:cs="仿宋_GB2312"/>
          <w:kern w:val="1"/>
          <w:sz w:val="28"/>
          <w:szCs w:val="28"/>
          <w:lang w:eastAsia="zh-CN"/>
        </w:rPr>
        <w:t>运费等。</w:t>
      </w:r>
    </w:p>
    <w:p w14:paraId="5DD05A1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kern w:val="1"/>
          <w:sz w:val="28"/>
          <w:szCs w:val="28"/>
          <w:lang w:val="en-US" w:eastAsia="zh-CN"/>
        </w:rPr>
      </w:pPr>
      <w:r>
        <w:rPr>
          <w:rFonts w:hint="eastAsia" w:ascii="仿宋_GB2312" w:hAnsi="仿宋_GB2312" w:eastAsia="仿宋_GB2312" w:cs="仿宋_GB2312"/>
          <w:kern w:val="1"/>
          <w:sz w:val="28"/>
          <w:szCs w:val="28"/>
          <w:lang w:val="en-US" w:eastAsia="zh-CN"/>
        </w:rPr>
        <w:t>1.10本次报价各项产品随货资料【</w:t>
      </w:r>
      <w:r>
        <w:rPr>
          <w:rFonts w:hint="eastAsia" w:ascii="仿宋_GB2312" w:hAnsi="仿宋_GB2312" w:eastAsia="仿宋_GB2312" w:cs="仿宋_GB2312"/>
          <w:color w:val="auto"/>
          <w:kern w:val="1"/>
          <w:sz w:val="28"/>
          <w:szCs w:val="28"/>
          <w:lang w:val="en-US" w:eastAsia="zh-CN"/>
        </w:rPr>
        <w:t>说明书、</w:t>
      </w:r>
      <w:r>
        <w:rPr>
          <w:rFonts w:hint="eastAsia" w:ascii="仿宋_GB2312" w:hAnsi="仿宋_GB2312" w:eastAsia="仿宋_GB2312" w:cs="仿宋_GB2312"/>
          <w:color w:val="000000"/>
          <w:kern w:val="1"/>
          <w:sz w:val="28"/>
          <w:szCs w:val="28"/>
          <w:lang w:val="en-US" w:eastAsia="zh-CN" w:bidi="ar-SA"/>
        </w:rPr>
        <w:t>质量保证书（或质量保修卡、检验报告）</w:t>
      </w:r>
      <w:r>
        <w:rPr>
          <w:rFonts w:hint="eastAsia" w:ascii="仿宋_GB2312" w:hAnsi="仿宋_GB2312" w:eastAsia="仿宋_GB2312" w:cs="仿宋_GB2312"/>
          <w:color w:val="auto"/>
          <w:kern w:val="1"/>
          <w:sz w:val="28"/>
          <w:szCs w:val="28"/>
          <w:lang w:val="en-US" w:eastAsia="zh-CN"/>
        </w:rPr>
        <w:t>、合格证等】，</w:t>
      </w:r>
      <w:r>
        <w:rPr>
          <w:rFonts w:hint="eastAsia" w:ascii="仿宋_GB2312" w:hAnsi="仿宋_GB2312" w:eastAsia="仿宋_GB2312" w:cs="仿宋_GB2312"/>
          <w:kern w:val="1"/>
          <w:sz w:val="28"/>
          <w:szCs w:val="28"/>
          <w:lang w:val="en-US" w:eastAsia="zh-CN"/>
        </w:rPr>
        <w:t>采用数字化交付模式，电子版资料需上传至公司数字化交付平台。所有报价单位提供的资料均需满足附件：《材料数字化交付要求》。</w:t>
      </w:r>
    </w:p>
    <w:p w14:paraId="15ABD55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lang w:val="en-US" w:eastAsia="zh-CN"/>
        </w:rPr>
        <w:t>1.11</w:t>
      </w:r>
      <w:r>
        <w:rPr>
          <w:rFonts w:hint="eastAsia" w:ascii="仿宋_GB2312" w:hAnsi="仿宋_GB2312" w:eastAsia="仿宋_GB2312" w:cs="仿宋_GB2312"/>
          <w:sz w:val="28"/>
          <w:szCs w:val="28"/>
          <w:highlight w:val="none"/>
        </w:rPr>
        <w:t>如国</w:t>
      </w:r>
      <w:r>
        <w:rPr>
          <w:rFonts w:hint="eastAsia" w:ascii="仿宋_GB2312" w:hAnsi="仿宋_GB2312" w:eastAsia="仿宋_GB2312" w:cs="仿宋_GB2312"/>
          <w:sz w:val="28"/>
          <w:szCs w:val="28"/>
        </w:rPr>
        <w:t>家税率调整，按合同含税价格/（1+合同约定税率）*（1+国家规定的新税率）调整合同价格开具发票。</w:t>
      </w:r>
    </w:p>
    <w:p w14:paraId="1BD02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bCs/>
          <w:kern w:val="1"/>
          <w:sz w:val="28"/>
          <w:szCs w:val="28"/>
          <w:highlight w:val="none"/>
          <w:lang w:eastAsia="zh-CN"/>
        </w:rPr>
      </w:pPr>
      <w:r>
        <w:rPr>
          <w:rFonts w:hint="eastAsia" w:ascii="仿宋_GB2312" w:hAnsi="仿宋_GB2312" w:eastAsia="仿宋_GB2312" w:cs="仿宋_GB2312"/>
          <w:kern w:val="1"/>
          <w:sz w:val="28"/>
          <w:szCs w:val="28"/>
          <w:highlight w:val="none"/>
        </w:rPr>
        <w:t>2.</w:t>
      </w:r>
      <w:r>
        <w:rPr>
          <w:rFonts w:hint="eastAsia" w:ascii="仿宋_GB2312" w:hAnsi="仿宋_GB2312" w:eastAsia="仿宋_GB2312" w:cs="仿宋_GB2312"/>
          <w:bCs/>
          <w:kern w:val="1"/>
          <w:sz w:val="28"/>
          <w:szCs w:val="28"/>
          <w:highlight w:val="none"/>
        </w:rPr>
        <w:t xml:space="preserve"> </w:t>
      </w:r>
      <w:r>
        <w:rPr>
          <w:rFonts w:hint="eastAsia" w:ascii="仿宋_GB2312" w:hAnsi="仿宋_GB2312" w:eastAsia="仿宋_GB2312" w:cs="仿宋_GB2312"/>
          <w:bCs/>
          <w:kern w:val="1"/>
          <w:sz w:val="28"/>
          <w:szCs w:val="28"/>
          <w:highlight w:val="none"/>
          <w:lang w:eastAsia="zh-CN"/>
        </w:rPr>
        <w:t>报价</w:t>
      </w:r>
      <w:r>
        <w:rPr>
          <w:rFonts w:hint="eastAsia" w:ascii="仿宋_GB2312" w:hAnsi="仿宋_GB2312" w:eastAsia="仿宋_GB2312" w:cs="仿宋_GB2312"/>
          <w:bCs/>
          <w:kern w:val="1"/>
          <w:sz w:val="28"/>
          <w:szCs w:val="28"/>
          <w:highlight w:val="none"/>
        </w:rPr>
        <w:t>人资质</w:t>
      </w:r>
      <w:r>
        <w:rPr>
          <w:rFonts w:hint="eastAsia" w:ascii="仿宋_GB2312" w:hAnsi="仿宋_GB2312" w:eastAsia="仿宋_GB2312" w:cs="仿宋_GB2312"/>
          <w:bCs/>
          <w:kern w:val="1"/>
          <w:sz w:val="28"/>
          <w:szCs w:val="28"/>
          <w:highlight w:val="none"/>
          <w:lang w:eastAsia="zh-CN"/>
        </w:rPr>
        <w:t>：</w:t>
      </w:r>
    </w:p>
    <w:p w14:paraId="76A7F7A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1"/>
          <w:sz w:val="28"/>
          <w:szCs w:val="28"/>
        </w:rPr>
        <w:t xml:space="preserve">2.1 </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人必须具有合法生产经营资质。</w:t>
      </w:r>
      <w:r>
        <w:rPr>
          <w:rFonts w:hint="eastAsia" w:ascii="仿宋_GB2312" w:hAnsi="仿宋_GB2312" w:eastAsia="仿宋_GB2312" w:cs="仿宋_GB2312"/>
          <w:sz w:val="28"/>
          <w:szCs w:val="28"/>
        </w:rPr>
        <w:t>确定中</w:t>
      </w:r>
      <w:r>
        <w:rPr>
          <w:rFonts w:hint="eastAsia" w:ascii="仿宋_GB2312" w:hAnsi="仿宋_GB2312" w:eastAsia="仿宋_GB2312" w:cs="仿宋_GB2312"/>
          <w:sz w:val="28"/>
          <w:szCs w:val="28"/>
          <w:lang w:val="en-US" w:eastAsia="zh-CN"/>
        </w:rPr>
        <w:t>选</w:t>
      </w:r>
      <w:r>
        <w:rPr>
          <w:rFonts w:hint="eastAsia" w:ascii="仿宋_GB2312" w:hAnsi="仿宋_GB2312" w:eastAsia="仿宋_GB2312" w:cs="仿宋_GB2312"/>
          <w:sz w:val="28"/>
          <w:szCs w:val="28"/>
        </w:rPr>
        <w:t>后，在签订合同前，</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w:t>
      </w:r>
      <w:r>
        <w:rPr>
          <w:rFonts w:hint="eastAsia" w:ascii="仿宋_GB2312" w:hAnsi="仿宋_GB2312" w:eastAsia="仿宋_GB2312" w:cs="仿宋_GB2312"/>
          <w:sz w:val="28"/>
          <w:szCs w:val="28"/>
        </w:rPr>
        <w:t>需提供如下有效资质文件：《营业执照》、《税务登记证》、《组织机构代码证》（或三证合一）、一般纳税人证明材料等。</w:t>
      </w:r>
    </w:p>
    <w:p w14:paraId="2E695622">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2.</w:t>
      </w:r>
      <w:r>
        <w:rPr>
          <w:rFonts w:hint="eastAsia" w:ascii="仿宋_GB2312" w:hAnsi="仿宋_GB2312" w:eastAsia="仿宋_GB2312" w:cs="仿宋_GB2312"/>
          <w:kern w:val="1"/>
          <w:sz w:val="28"/>
          <w:szCs w:val="28"/>
          <w:lang w:val="en-US" w:eastAsia="zh-CN"/>
        </w:rPr>
        <w:t>2</w:t>
      </w:r>
      <w:r>
        <w:rPr>
          <w:rFonts w:hint="eastAsia" w:ascii="仿宋_GB2312" w:hAnsi="仿宋_GB2312" w:eastAsia="仿宋_GB2312" w:cs="仿宋_GB2312"/>
          <w:kern w:val="1"/>
          <w:sz w:val="28"/>
          <w:szCs w:val="28"/>
        </w:rPr>
        <w:t xml:space="preserve"> </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人为经销商，必须具有合法经销资质。</w:t>
      </w:r>
    </w:p>
    <w:p w14:paraId="69ACA5FE">
      <w:pPr>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kern w:val="1"/>
          <w:sz w:val="28"/>
          <w:szCs w:val="28"/>
        </w:rPr>
        <w:t>2.</w:t>
      </w:r>
      <w:r>
        <w:rPr>
          <w:rFonts w:hint="eastAsia" w:ascii="仿宋_GB2312" w:hAnsi="仿宋_GB2312" w:eastAsia="仿宋_GB2312" w:cs="仿宋_GB2312"/>
          <w:kern w:val="1"/>
          <w:sz w:val="28"/>
          <w:szCs w:val="28"/>
          <w:lang w:val="en-US" w:eastAsia="zh-CN"/>
        </w:rPr>
        <w:t>3</w:t>
      </w:r>
      <w:r>
        <w:rPr>
          <w:rFonts w:hint="eastAsia" w:ascii="仿宋_GB2312" w:hAnsi="仿宋_GB2312" w:eastAsia="仿宋_GB2312" w:cs="仿宋_GB2312"/>
          <w:kern w:val="1"/>
          <w:sz w:val="28"/>
          <w:szCs w:val="28"/>
        </w:rPr>
        <w:t xml:space="preserve"> </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人必须</w:t>
      </w:r>
      <w:r>
        <w:rPr>
          <w:rFonts w:hint="eastAsia" w:ascii="仿宋_GB2312" w:hAnsi="仿宋_GB2312" w:eastAsia="仿宋_GB2312" w:cs="仿宋_GB2312"/>
          <w:sz w:val="28"/>
          <w:szCs w:val="28"/>
        </w:rPr>
        <w:t>具备良好的售后服务能力，要求电话联系后</w:t>
      </w:r>
      <w:r>
        <w:rPr>
          <w:rFonts w:hint="eastAsia" w:ascii="仿宋_GB2312" w:hAnsi="仿宋_GB2312" w:eastAsia="仿宋_GB2312" w:cs="仿宋_GB2312"/>
          <w:b/>
          <w:bCs/>
          <w:sz w:val="28"/>
          <w:szCs w:val="28"/>
          <w:u w:val="single"/>
        </w:rPr>
        <w:t>8小时</w:t>
      </w:r>
      <w:r>
        <w:rPr>
          <w:rFonts w:hint="eastAsia" w:ascii="仿宋_GB2312" w:hAnsi="仿宋_GB2312" w:eastAsia="仿宋_GB2312" w:cs="仿宋_GB2312"/>
          <w:sz w:val="28"/>
          <w:szCs w:val="28"/>
        </w:rPr>
        <w:t>内必须给予回复，明确解决方案。</w:t>
      </w:r>
    </w:p>
    <w:p w14:paraId="64D12A5D">
      <w:pPr>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报价</w:t>
      </w:r>
      <w:r>
        <w:rPr>
          <w:rFonts w:hint="eastAsia" w:ascii="仿宋_GB2312" w:hAnsi="仿宋_GB2312" w:eastAsia="仿宋_GB2312" w:cs="仿宋_GB2312"/>
          <w:sz w:val="28"/>
          <w:szCs w:val="28"/>
        </w:rPr>
        <w:t>人所供产品引起的知识产权方面的纠纷，由</w:t>
      </w:r>
      <w:r>
        <w:rPr>
          <w:rFonts w:hint="eastAsia" w:ascii="仿宋_GB2312" w:hAnsi="仿宋_GB2312" w:eastAsia="仿宋_GB2312" w:cs="仿宋_GB2312"/>
          <w:sz w:val="28"/>
          <w:szCs w:val="28"/>
          <w:lang w:eastAsia="zh-CN"/>
        </w:rPr>
        <w:t>报价</w:t>
      </w:r>
      <w:r>
        <w:rPr>
          <w:rFonts w:hint="eastAsia" w:ascii="仿宋_GB2312" w:hAnsi="仿宋_GB2312" w:eastAsia="仿宋_GB2312" w:cs="仿宋_GB2312"/>
          <w:sz w:val="28"/>
          <w:szCs w:val="28"/>
        </w:rPr>
        <w:t>人承担一切后果，</w:t>
      </w:r>
      <w:r>
        <w:rPr>
          <w:rFonts w:hint="eastAsia" w:ascii="仿宋_GB2312" w:hAnsi="仿宋_GB2312" w:eastAsia="仿宋_GB2312" w:cs="仿宋_GB2312"/>
          <w:sz w:val="28"/>
          <w:szCs w:val="28"/>
          <w:lang w:eastAsia="zh-CN"/>
        </w:rPr>
        <w:t>采购</w:t>
      </w:r>
      <w:r>
        <w:rPr>
          <w:rFonts w:hint="eastAsia" w:ascii="仿宋_GB2312" w:hAnsi="仿宋_GB2312" w:eastAsia="仿宋_GB2312" w:cs="仿宋_GB2312"/>
          <w:sz w:val="28"/>
          <w:szCs w:val="28"/>
        </w:rPr>
        <w:t>人不承担任何责任。</w:t>
      </w:r>
    </w:p>
    <w:p w14:paraId="05E12521">
      <w:pPr>
        <w:pStyle w:val="6"/>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sz w:val="28"/>
          <w:szCs w:val="28"/>
          <w:lang w:val="en-US" w:eastAsia="zh-CN"/>
        </w:rPr>
        <w:t xml:space="preserve">2.5 </w:t>
      </w:r>
      <w:r>
        <w:rPr>
          <w:rFonts w:hint="eastAsia" w:ascii="仿宋_GB2312" w:hAnsi="仿宋_GB2312" w:eastAsia="仿宋_GB2312" w:cs="仿宋_GB2312"/>
          <w:color w:val="000000"/>
          <w:kern w:val="1"/>
          <w:sz w:val="28"/>
          <w:szCs w:val="28"/>
          <w:lang w:val="en-US" w:eastAsia="zh-CN" w:bidi="ar-SA"/>
        </w:rPr>
        <w:t>不接受被列入索普集团供应商负面清单中的单位报价。</w:t>
      </w:r>
    </w:p>
    <w:p w14:paraId="63FB2D75">
      <w:pPr>
        <w:pStyle w:val="6"/>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2.6不接受被列入失信被执行人、重大违法案件当事人报价。</w:t>
      </w:r>
    </w:p>
    <w:p w14:paraId="54406C4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sz w:val="28"/>
          <w:szCs w:val="28"/>
        </w:rPr>
        <w:t xml:space="preserve">3. </w:t>
      </w:r>
      <w:r>
        <w:rPr>
          <w:rFonts w:hint="eastAsia" w:ascii="仿宋_GB2312" w:hAnsi="仿宋_GB2312" w:eastAsia="仿宋_GB2312" w:cs="仿宋_GB2312"/>
          <w:bCs/>
          <w:sz w:val="28"/>
          <w:szCs w:val="28"/>
        </w:rPr>
        <w:t>报价货物清单及技术要求</w:t>
      </w:r>
      <w:r>
        <w:rPr>
          <w:rFonts w:hint="eastAsia" w:ascii="仿宋_GB2312" w:hAnsi="仿宋_GB2312" w:eastAsia="仿宋_GB2312" w:cs="仿宋_GB2312"/>
          <w:bCs/>
          <w:sz w:val="28"/>
          <w:szCs w:val="28"/>
          <w:lang w:eastAsia="zh-CN"/>
        </w:rPr>
        <w:t>：</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7"/>
        <w:gridCol w:w="1638"/>
        <w:gridCol w:w="2112"/>
        <w:gridCol w:w="2024"/>
        <w:gridCol w:w="1301"/>
        <w:gridCol w:w="698"/>
        <w:gridCol w:w="663"/>
        <w:gridCol w:w="663"/>
      </w:tblGrid>
      <w:tr w14:paraId="00265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90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8E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物料名称</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2C0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位号</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B3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55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标准号</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AE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材质</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42E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C2E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6C765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625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86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29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71-FL-0001AB</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29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DN150 150lb  WN/RF ⅡA</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4DB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B8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06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F7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1A733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26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39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9D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71-FL-0002AB</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9B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 ⅡA</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50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7A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87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44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23B18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86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06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1F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71-FL-0003</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A7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 ⅡA</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3A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F9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FA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F8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14:paraId="088D2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E7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EE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A9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71-FL-0004AB</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F7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DN100 150lb  WN/RF ⅡA</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49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2F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S31603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39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FE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23F2A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D1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5F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A3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71-FL-0005AB</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25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 ⅡA</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08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2B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S31603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72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96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15893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D8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32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C9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71-FL-0006</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E8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DN50 150lb  WN/RF ⅡA</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F4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39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S31603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84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20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14:paraId="7A97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13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7</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5C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12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71-BV-0003AB（单呼阀）</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E7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9C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CE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35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DB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2AB0B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C7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8</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6B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6E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71-BV-0006AB（单呼阀）</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FF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E7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D7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F0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A4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6DFD8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E7D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9</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F0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C9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71-BV-0008（单呼阀）</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C7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F1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1B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48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11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14:paraId="0F80D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35EA">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10</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57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4B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71-BV-0011AB（单呼阀）</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AA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87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77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316L</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36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DB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58D37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6CA5">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11</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53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15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71-BV-0014AB（单呼阀）</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C5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2C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67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316L</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EA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05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4C4AC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EE5F">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12</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20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8C3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71-BV-0016（单呼阀）</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94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8D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FE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316L</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56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BF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bl>
    <w:p w14:paraId="2EE23CCE">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outlineLvl w:val="9"/>
        <w:rPr>
          <w:rFonts w:hint="eastAsia" w:ascii="仿宋_GB2312" w:hAnsi="仿宋_GB2312" w:eastAsia="仿宋_GB2312" w:cs="仿宋_GB2312"/>
          <w:i w:val="0"/>
          <w:iCs w:val="0"/>
          <w:color w:val="000000"/>
          <w:kern w:val="0"/>
          <w:sz w:val="24"/>
          <w:szCs w:val="24"/>
          <w:lang w:val="en-US" w:eastAsia="zh-CN" w:bidi="ar"/>
        </w:rPr>
      </w:pPr>
    </w:p>
    <w:p w14:paraId="45FF6A3F">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kern w:val="0"/>
          <w:sz w:val="24"/>
          <w:szCs w:val="24"/>
          <w:lang w:val="en-US" w:eastAsia="zh-CN" w:bidi="ar"/>
        </w:rPr>
        <w:t>注：</w:t>
      </w:r>
      <w:r>
        <w:rPr>
          <w:rFonts w:hint="eastAsia" w:ascii="仿宋_GB2312" w:hAnsi="仿宋_GB2312" w:eastAsia="仿宋_GB2312" w:cs="仿宋_GB2312"/>
          <w:sz w:val="24"/>
          <w:szCs w:val="24"/>
          <w:lang w:val="en-US" w:eastAsia="zh-CN"/>
        </w:rPr>
        <w:t>每台单呼阀需配1套随机备件（法兰垫片及密封膜片），报价人根据自身产品型式配套（无密封膜片只需提供法兰垫片即可）。</w:t>
      </w:r>
    </w:p>
    <w:p w14:paraId="5D349A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 xml:space="preserve">   3.1 阻火器需满足下述两类认证要求其中任意一项： </w:t>
      </w:r>
    </w:p>
    <w:p w14:paraId="326FC9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 xml:space="preserve">（1）国内特种设备型式认证要求 </w:t>
      </w:r>
    </w:p>
    <w:p w14:paraId="35BD59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阻火器安全性能符合 TSG D7002 法规规定，投标方须提交沈阳特种设备检测研究院核发的特种设备型式试验证书；证书列明规格需完整覆盖本次招标全部阻火器规格，证书明确标注对应测试压力、介质爆炸等级；证书真伪及信息可通过国家市场监督管理总局全国特种设备公示信息查询平台（网址：</w:t>
      </w:r>
      <w:r>
        <w:rPr>
          <w:rFonts w:hint="eastAsia" w:ascii="仿宋_GB2312" w:hAnsi="仿宋_GB2312" w:eastAsia="仿宋_GB2312" w:cs="仿宋_GB2312"/>
          <w:color w:val="000000"/>
          <w:kern w:val="1"/>
          <w:sz w:val="28"/>
          <w:szCs w:val="28"/>
          <w:lang w:val="en-US" w:eastAsia="zh-CN" w:bidi="ar-SA"/>
        </w:rPr>
        <w:fldChar w:fldCharType="begin"/>
      </w:r>
      <w:r>
        <w:rPr>
          <w:rFonts w:hint="eastAsia" w:ascii="仿宋_GB2312" w:hAnsi="仿宋_GB2312" w:eastAsia="仿宋_GB2312" w:cs="仿宋_GB2312"/>
          <w:color w:val="000000"/>
          <w:kern w:val="1"/>
          <w:sz w:val="28"/>
          <w:szCs w:val="28"/>
          <w:lang w:val="en-US" w:eastAsia="zh-CN" w:bidi="ar-SA"/>
        </w:rPr>
        <w:instrText xml:space="preserve"> HYPERLINK "https://link.wtturl.cn/?target=http://cnse.samr.gov.cn&amp;scene=im&amp;aid=497858&amp;lang=zh" \o "autolink" \t "_blank" </w:instrText>
      </w:r>
      <w:r>
        <w:rPr>
          <w:rFonts w:hint="eastAsia" w:ascii="仿宋_GB2312" w:hAnsi="仿宋_GB2312" w:eastAsia="仿宋_GB2312" w:cs="仿宋_GB2312"/>
          <w:color w:val="000000"/>
          <w:kern w:val="1"/>
          <w:sz w:val="28"/>
          <w:szCs w:val="28"/>
          <w:lang w:val="en-US" w:eastAsia="zh-CN" w:bidi="ar-SA"/>
        </w:rPr>
        <w:fldChar w:fldCharType="separate"/>
      </w:r>
      <w:r>
        <w:rPr>
          <w:rFonts w:hint="eastAsia" w:ascii="仿宋_GB2312" w:hAnsi="仿宋_GB2312" w:eastAsia="仿宋_GB2312" w:cs="仿宋_GB2312"/>
          <w:color w:val="000000"/>
          <w:kern w:val="1"/>
          <w:sz w:val="28"/>
          <w:szCs w:val="28"/>
          <w:lang w:val="en-US" w:eastAsia="zh-CN" w:bidi="ar-SA"/>
        </w:rPr>
        <w:t>http://cnse.samr.gov.cn</w:t>
      </w:r>
      <w:r>
        <w:rPr>
          <w:rFonts w:hint="eastAsia" w:ascii="仿宋_GB2312" w:hAnsi="仿宋_GB2312" w:eastAsia="仿宋_GB2312" w:cs="仿宋_GB2312"/>
          <w:color w:val="000000"/>
          <w:kern w:val="1"/>
          <w:sz w:val="28"/>
          <w:szCs w:val="28"/>
          <w:lang w:val="en-US" w:eastAsia="zh-CN" w:bidi="ar-SA"/>
        </w:rPr>
        <w:fldChar w:fldCharType="end"/>
      </w:r>
      <w:r>
        <w:rPr>
          <w:rFonts w:hint="eastAsia" w:ascii="仿宋_GB2312" w:hAnsi="仿宋_GB2312" w:eastAsia="仿宋_GB2312" w:cs="仿宋_GB2312"/>
          <w:color w:val="000000"/>
          <w:kern w:val="1"/>
          <w:sz w:val="28"/>
          <w:szCs w:val="28"/>
          <w:lang w:val="en-US" w:eastAsia="zh-CN" w:bidi="ar-SA"/>
        </w:rPr>
        <w:t>）在线查询核验。</w:t>
      </w:r>
    </w:p>
    <w:p w14:paraId="003D493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560" w:firstLineChars="200"/>
        <w:jc w:val="left"/>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 xml:space="preserve">（2）欧盟 ATEX 防爆认证要求 </w:t>
      </w:r>
    </w:p>
    <w:p w14:paraId="5B47C04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100" w:right="0" w:rightChars="0" w:firstLine="560" w:firstLineChars="200"/>
        <w:jc w:val="left"/>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阻火器按照 ISO16852 标准开展检测，投标方须提交 ATEX 型式试验认证证书；证书发证机构仅限德国国家物理研究所（PTB）、德国防爆研究院（IBExU）两类具备法定检测资质机构；证书需包含阻火性能测试、短时耐烧测试相关检测内容，证书覆盖本次招标全部阻火器规格，同时同步提供该产品对应的 ATEX 生产过程质量体系证书。</w:t>
      </w:r>
    </w:p>
    <w:p w14:paraId="5754EAA1">
      <w:pPr>
        <w:pStyle w:val="29"/>
        <w:keepNext w:val="0"/>
        <w:keepLines w:val="0"/>
        <w:pageBreakBefore w:val="0"/>
        <w:numPr>
          <w:ilvl w:val="0"/>
          <w:numId w:val="0"/>
        </w:numPr>
        <w:kinsoku/>
        <w:wordWrap/>
        <w:overflowPunct/>
        <w:topLinePunct w:val="0"/>
        <w:autoSpaceDE w:val="0"/>
        <w:autoSpaceDN w:val="0"/>
        <w:bidi w:val="0"/>
        <w:adjustRightInd w:val="0"/>
        <w:snapToGrid w:val="0"/>
        <w:spacing w:line="360" w:lineRule="auto"/>
        <w:ind w:firstLine="560" w:firstLineChars="200"/>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3.2阻火器应具备双向阻火功能，阻火器的压降应满足数据表的要求，并具有经过独立第三方权威认证的实测流量压差图，压降图应包含阻火器</w:t>
      </w:r>
      <w:r>
        <w:rPr>
          <w:rFonts w:hint="eastAsia" w:ascii="仿宋_GB2312" w:hAnsi="仿宋_GB2312" w:eastAsia="仿宋_GB2312" w:cs="仿宋_GB2312"/>
          <w:color w:val="000000"/>
          <w:kern w:val="1"/>
          <w:sz w:val="28"/>
          <w:szCs w:val="28"/>
          <w:lang w:val="en-US" w:eastAsia="zh-CN" w:bidi="ar-SA"/>
        </w:rPr>
        <w:t>尺寸、爆炸组级别，管道阻火器在设计工况下的压降不应大于0.3KPa。</w:t>
      </w:r>
    </w:p>
    <w:p w14:paraId="0DD75E54">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3.3阻火盘须为金属波纹钢带板式，不得采用丝网、压环等结构。</w:t>
      </w:r>
    </w:p>
    <w:p w14:paraId="2A7679EB">
      <w:pPr>
        <w:pStyle w:val="6"/>
        <w:spacing w:line="360" w:lineRule="auto"/>
        <w:ind w:firstLine="480"/>
        <w:outlineLvl w:val="9"/>
        <w:rPr>
          <w:rFonts w:hint="default"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3.4阻火盘边缘和壳体之间的间隙不能大于阻火盘的。</w:t>
      </w:r>
    </w:p>
    <w:p w14:paraId="5318D653">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3.5单呼阀须满足数据表泄漏量要求，并出具第三方资质检测机构的检测报告。</w:t>
      </w:r>
    </w:p>
    <w:p w14:paraId="66F80190">
      <w:pPr>
        <w:pStyle w:val="6"/>
        <w:spacing w:line="360" w:lineRule="auto"/>
        <w:ind w:firstLine="480"/>
        <w:outlineLvl w:val="9"/>
        <w:rPr>
          <w:rFonts w:hint="default" w:ascii="仿宋_GB2312" w:hAnsi="仿宋_GB2312" w:eastAsia="仿宋_GB2312" w:cs="仿宋_GB2312"/>
          <w:color w:val="auto"/>
          <w:kern w:val="1"/>
          <w:sz w:val="28"/>
          <w:szCs w:val="28"/>
          <w:lang w:val="en-US" w:eastAsia="zh-CN" w:bidi="ar-SA"/>
        </w:rPr>
      </w:pPr>
      <w:r>
        <w:rPr>
          <w:rFonts w:hint="eastAsia" w:ascii="仿宋_GB2312" w:hAnsi="仿宋_GB2312" w:eastAsia="仿宋_GB2312" w:cs="仿宋_GB2312"/>
          <w:color w:val="auto"/>
          <w:kern w:val="1"/>
          <w:sz w:val="28"/>
          <w:szCs w:val="28"/>
          <w:lang w:val="en-US" w:eastAsia="zh-CN" w:bidi="ar-SA"/>
        </w:rPr>
        <w:t>3.6详见附件：阻火器、单呼阀数据表。</w:t>
      </w:r>
    </w:p>
    <w:p w14:paraId="20752E21">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4.评审流程：</w:t>
      </w:r>
    </w:p>
    <w:p w14:paraId="58D398FF">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4.1在能够满足公开采购人技术要求及供货期要求的报价人中选择总报价最低的一家报价方作为中选候选人。</w:t>
      </w:r>
    </w:p>
    <w:p w14:paraId="7BC51D42">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4.2请各报价方保持通讯畅通，便于评审小组在评审现场电话联系。</w:t>
      </w:r>
    </w:p>
    <w:p w14:paraId="475E77E5">
      <w:pPr>
        <w:pStyle w:val="6"/>
        <w:spacing w:line="360" w:lineRule="auto"/>
        <w:ind w:firstLine="480"/>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color w:val="000000"/>
          <w:kern w:val="1"/>
          <w:sz w:val="28"/>
          <w:szCs w:val="28"/>
          <w:lang w:val="en-US" w:eastAsia="zh-CN" w:bidi="ar-SA"/>
        </w:rPr>
        <w:t>4.3评审小组不得泄露各</w:t>
      </w:r>
      <w:r>
        <w:rPr>
          <w:rFonts w:hint="eastAsia" w:ascii="仿宋_GB2312" w:hAnsi="仿宋_GB2312" w:eastAsia="仿宋_GB2312" w:cs="仿宋_GB2312"/>
          <w:sz w:val="28"/>
          <w:szCs w:val="28"/>
          <w:highlight w:val="none"/>
          <w:lang w:val="en-US" w:eastAsia="zh-CN"/>
        </w:rPr>
        <w:t>报价方的报价。</w:t>
      </w:r>
    </w:p>
    <w:p w14:paraId="47313324">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5.其他注意事项：</w:t>
      </w:r>
    </w:p>
    <w:p w14:paraId="0106380B">
      <w:pPr>
        <w:spacing w:line="360" w:lineRule="auto"/>
        <w:ind w:firstLine="560" w:firstLineChars="200"/>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sz w:val="28"/>
          <w:szCs w:val="28"/>
          <w:highlight w:val="none"/>
          <w:lang w:val="en-US" w:eastAsia="zh-CN"/>
        </w:rPr>
        <w:t>5.1 中选人</w:t>
      </w:r>
      <w:r>
        <w:rPr>
          <w:rFonts w:hint="eastAsia" w:ascii="仿宋_GB2312" w:hAnsi="仿宋_GB2312" w:eastAsia="仿宋_GB2312" w:cs="仿宋_GB2312"/>
          <w:color w:val="auto"/>
          <w:kern w:val="1"/>
          <w:sz w:val="28"/>
          <w:szCs w:val="28"/>
        </w:rPr>
        <w:t>应保证产品各项指标符合国标</w:t>
      </w:r>
      <w:r>
        <w:rPr>
          <w:rFonts w:hint="eastAsia" w:ascii="仿宋_GB2312" w:hAnsi="仿宋_GB2312" w:eastAsia="仿宋_GB2312" w:cs="仿宋_GB2312"/>
          <w:color w:val="auto"/>
          <w:kern w:val="1"/>
          <w:sz w:val="28"/>
          <w:szCs w:val="28"/>
          <w:lang w:eastAsia="zh-CN"/>
        </w:rPr>
        <w:t>，</w:t>
      </w:r>
      <w:r>
        <w:rPr>
          <w:rFonts w:hint="eastAsia" w:ascii="仿宋_GB2312" w:hAnsi="仿宋_GB2312" w:eastAsia="仿宋_GB2312" w:cs="仿宋_GB2312"/>
          <w:color w:val="auto"/>
          <w:kern w:val="1"/>
          <w:sz w:val="28"/>
          <w:szCs w:val="28"/>
        </w:rPr>
        <w:t>无国标强制要求的应符合</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w:t>
      </w:r>
      <w:r>
        <w:rPr>
          <w:rFonts w:hint="eastAsia" w:ascii="仿宋_GB2312" w:hAnsi="仿宋_GB2312" w:eastAsia="仿宋_GB2312" w:cs="仿宋_GB2312"/>
          <w:b/>
          <w:bCs/>
          <w:color w:val="auto"/>
          <w:kern w:val="1"/>
          <w:sz w:val="28"/>
          <w:szCs w:val="28"/>
          <w:u w:val="single"/>
        </w:rPr>
        <w:t>3.</w:t>
      </w:r>
      <w:r>
        <w:rPr>
          <w:rFonts w:hint="eastAsia" w:ascii="仿宋_GB2312" w:hAnsi="仿宋_GB2312" w:eastAsia="仿宋_GB2312" w:cs="仿宋_GB2312"/>
          <w:b/>
          <w:bCs/>
          <w:sz w:val="28"/>
          <w:szCs w:val="28"/>
          <w:u w:val="single"/>
        </w:rPr>
        <w:t>报价货物清单及</w:t>
      </w:r>
      <w:r>
        <w:rPr>
          <w:rFonts w:hint="eastAsia" w:ascii="仿宋_GB2312" w:hAnsi="仿宋_GB2312" w:eastAsia="仿宋_GB2312" w:cs="仿宋_GB2312"/>
          <w:b/>
          <w:bCs/>
          <w:color w:val="auto"/>
          <w:kern w:val="1"/>
          <w:sz w:val="28"/>
          <w:szCs w:val="28"/>
          <w:u w:val="single"/>
        </w:rPr>
        <w:t>技术要求</w:t>
      </w:r>
      <w:r>
        <w:rPr>
          <w:rFonts w:hint="eastAsia" w:ascii="仿宋_GB2312" w:hAnsi="仿宋_GB2312" w:eastAsia="仿宋_GB2312" w:cs="仿宋_GB2312"/>
          <w:color w:val="auto"/>
          <w:kern w:val="1"/>
          <w:sz w:val="28"/>
          <w:szCs w:val="28"/>
        </w:rPr>
        <w:t>条款，否则应及时调换或退货处理。</w:t>
      </w:r>
    </w:p>
    <w:p w14:paraId="14E651FE">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5.1.1</w:t>
      </w:r>
      <w:r>
        <w:rPr>
          <w:rFonts w:hint="eastAsia" w:ascii="仿宋_GB2312" w:hAnsi="仿宋_GB2312" w:eastAsia="仿宋_GB2312" w:cs="仿宋_GB2312"/>
          <w:color w:val="auto"/>
          <w:kern w:val="1"/>
          <w:sz w:val="28"/>
          <w:szCs w:val="28"/>
          <w:lang w:val="en-US" w:eastAsia="zh-CN"/>
        </w:rPr>
        <w:t>中选</w:t>
      </w:r>
      <w:r>
        <w:rPr>
          <w:rFonts w:hint="eastAsia" w:ascii="仿宋_GB2312" w:hAnsi="仿宋_GB2312" w:eastAsia="仿宋_GB2312" w:cs="仿宋_GB2312"/>
          <w:color w:val="auto"/>
          <w:kern w:val="1"/>
          <w:sz w:val="28"/>
          <w:szCs w:val="28"/>
        </w:rPr>
        <w:t>物中需检验的品种，经</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人检验部门检验合格后方能收货，否则做退、换货处理</w:t>
      </w:r>
      <w:r>
        <w:rPr>
          <w:rFonts w:hint="eastAsia" w:ascii="仿宋_GB2312" w:hAnsi="仿宋_GB2312" w:eastAsia="仿宋_GB2312" w:cs="仿宋_GB2312"/>
          <w:color w:val="auto"/>
          <w:kern w:val="1"/>
          <w:sz w:val="28"/>
          <w:szCs w:val="28"/>
          <w:lang w:eastAsia="zh-CN"/>
        </w:rPr>
        <w:t>。</w:t>
      </w:r>
      <w:r>
        <w:rPr>
          <w:rFonts w:hint="eastAsia" w:ascii="仿宋_GB2312" w:hAnsi="仿宋_GB2312" w:eastAsia="仿宋_GB2312" w:cs="仿宋_GB2312"/>
          <w:color w:val="auto"/>
          <w:kern w:val="1"/>
          <w:sz w:val="28"/>
          <w:szCs w:val="28"/>
        </w:rPr>
        <w:t>长期合约的</w:t>
      </w:r>
      <w:r>
        <w:rPr>
          <w:rFonts w:hint="eastAsia" w:ascii="仿宋_GB2312" w:hAnsi="仿宋_GB2312" w:eastAsia="仿宋_GB2312" w:cs="仿宋_GB2312"/>
          <w:color w:val="auto"/>
          <w:kern w:val="1"/>
          <w:sz w:val="28"/>
          <w:szCs w:val="28"/>
          <w:lang w:eastAsia="zh-CN"/>
        </w:rPr>
        <w:t>中选</w:t>
      </w:r>
      <w:r>
        <w:rPr>
          <w:rFonts w:hint="eastAsia" w:ascii="仿宋_GB2312" w:hAnsi="仿宋_GB2312" w:eastAsia="仿宋_GB2312" w:cs="仿宋_GB2312"/>
          <w:color w:val="auto"/>
          <w:kern w:val="1"/>
          <w:sz w:val="28"/>
          <w:szCs w:val="28"/>
        </w:rPr>
        <w:t>人如出现</w:t>
      </w:r>
      <w:r>
        <w:rPr>
          <w:rFonts w:hint="eastAsia" w:ascii="仿宋_GB2312" w:hAnsi="仿宋_GB2312" w:eastAsia="仿宋_GB2312" w:cs="仿宋_GB2312"/>
          <w:color w:val="auto"/>
          <w:kern w:val="1"/>
          <w:sz w:val="28"/>
          <w:szCs w:val="28"/>
          <w:lang w:val="en-US" w:eastAsia="zh-CN"/>
        </w:rPr>
        <w:t>3</w:t>
      </w:r>
      <w:r>
        <w:rPr>
          <w:rFonts w:hint="eastAsia" w:ascii="仿宋_GB2312" w:hAnsi="仿宋_GB2312" w:eastAsia="仿宋_GB2312" w:cs="仿宋_GB2312"/>
          <w:color w:val="auto"/>
          <w:kern w:val="1"/>
          <w:sz w:val="28"/>
          <w:szCs w:val="28"/>
        </w:rPr>
        <w:t>次产品质量不合格的情况，视为</w:t>
      </w:r>
      <w:r>
        <w:rPr>
          <w:rFonts w:hint="eastAsia" w:ascii="仿宋_GB2312" w:hAnsi="仿宋_GB2312" w:eastAsia="仿宋_GB2312" w:cs="仿宋_GB2312"/>
          <w:color w:val="auto"/>
          <w:kern w:val="1"/>
          <w:sz w:val="28"/>
          <w:szCs w:val="28"/>
          <w:lang w:eastAsia="zh-CN"/>
        </w:rPr>
        <w:t>中选</w:t>
      </w:r>
      <w:r>
        <w:rPr>
          <w:rFonts w:hint="eastAsia" w:ascii="仿宋_GB2312" w:hAnsi="仿宋_GB2312" w:eastAsia="仿宋_GB2312" w:cs="仿宋_GB2312"/>
          <w:color w:val="auto"/>
          <w:kern w:val="1"/>
          <w:sz w:val="28"/>
          <w:szCs w:val="28"/>
        </w:rPr>
        <w:t>人无能力保障产品质量，</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人有权终止此次</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合同的执行。</w:t>
      </w:r>
    </w:p>
    <w:p w14:paraId="45601A3B">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5.1.2 不合格货品</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人会及时通知</w:t>
      </w:r>
      <w:r>
        <w:rPr>
          <w:rFonts w:hint="eastAsia" w:ascii="仿宋_GB2312" w:hAnsi="仿宋_GB2312" w:eastAsia="仿宋_GB2312" w:cs="仿宋_GB2312"/>
          <w:kern w:val="1"/>
          <w:sz w:val="28"/>
          <w:szCs w:val="28"/>
          <w:lang w:eastAsia="zh-CN"/>
        </w:rPr>
        <w:t>中选</w:t>
      </w:r>
      <w:r>
        <w:rPr>
          <w:rFonts w:hint="eastAsia" w:ascii="仿宋_GB2312" w:hAnsi="仿宋_GB2312" w:eastAsia="仿宋_GB2312" w:cs="仿宋_GB2312"/>
          <w:kern w:val="1"/>
          <w:sz w:val="28"/>
          <w:szCs w:val="28"/>
        </w:rPr>
        <w:t>人，如有异议双方协商解决。如需仲裁，应在</w:t>
      </w:r>
      <w:r>
        <w:rPr>
          <w:rFonts w:hint="eastAsia" w:ascii="仿宋_GB2312" w:hAnsi="仿宋_GB2312" w:eastAsia="仿宋_GB2312" w:cs="仿宋_GB2312"/>
          <w:kern w:val="1"/>
          <w:sz w:val="28"/>
          <w:szCs w:val="28"/>
          <w:lang w:val="en-US" w:eastAsia="zh-CN"/>
        </w:rPr>
        <w:t>7</w:t>
      </w:r>
      <w:r>
        <w:rPr>
          <w:rFonts w:hint="eastAsia" w:ascii="仿宋_GB2312" w:hAnsi="仿宋_GB2312" w:eastAsia="仿宋_GB2312" w:cs="仿宋_GB2312"/>
          <w:kern w:val="1"/>
          <w:sz w:val="28"/>
          <w:szCs w:val="28"/>
        </w:rPr>
        <w:t>个工作日内按《产品质量仲裁检验和产品质量鉴定管理办法》执行。仲裁期间</w:t>
      </w:r>
      <w:r>
        <w:rPr>
          <w:rFonts w:hint="eastAsia" w:ascii="仿宋_GB2312" w:hAnsi="仿宋_GB2312" w:eastAsia="仿宋_GB2312" w:cs="仿宋_GB2312"/>
          <w:kern w:val="1"/>
          <w:sz w:val="28"/>
          <w:szCs w:val="28"/>
          <w:lang w:eastAsia="zh-CN"/>
        </w:rPr>
        <w:t>中选</w:t>
      </w:r>
      <w:r>
        <w:rPr>
          <w:rFonts w:hint="eastAsia" w:ascii="仿宋_GB2312" w:hAnsi="仿宋_GB2312" w:eastAsia="仿宋_GB2312" w:cs="仿宋_GB2312"/>
          <w:kern w:val="1"/>
          <w:sz w:val="28"/>
          <w:szCs w:val="28"/>
        </w:rPr>
        <w:t>人应保证</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人供应，不影响</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人正常生产运行。</w:t>
      </w:r>
    </w:p>
    <w:p w14:paraId="3C3F192E">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5.</w:t>
      </w:r>
      <w:r>
        <w:rPr>
          <w:rFonts w:hint="eastAsia" w:ascii="仿宋_GB2312" w:hAnsi="仿宋_GB2312" w:eastAsia="仿宋_GB2312" w:cs="仿宋_GB2312"/>
          <w:kern w:val="1"/>
          <w:sz w:val="28"/>
          <w:szCs w:val="28"/>
          <w:lang w:val="en-US" w:eastAsia="zh-CN"/>
        </w:rPr>
        <w:t>2</w:t>
      </w:r>
      <w:r>
        <w:rPr>
          <w:rFonts w:hint="eastAsia" w:ascii="仿宋_GB2312" w:hAnsi="仿宋_GB2312" w:eastAsia="仿宋_GB2312" w:cs="仿宋_GB2312"/>
          <w:kern w:val="1"/>
          <w:sz w:val="28"/>
          <w:szCs w:val="28"/>
        </w:rPr>
        <w:t xml:space="preserve"> 凡对</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文件条款有疑义的，请在</w:t>
      </w:r>
      <w:r>
        <w:rPr>
          <w:rFonts w:hint="eastAsia" w:ascii="仿宋_GB2312" w:hAnsi="仿宋_GB2312" w:eastAsia="仿宋_GB2312" w:cs="仿宋_GB2312"/>
          <w:kern w:val="1"/>
          <w:sz w:val="28"/>
          <w:szCs w:val="28"/>
          <w:lang w:eastAsia="zh-CN"/>
        </w:rPr>
        <w:t>评审</w:t>
      </w:r>
      <w:r>
        <w:rPr>
          <w:rFonts w:hint="eastAsia" w:ascii="仿宋_GB2312" w:hAnsi="仿宋_GB2312" w:eastAsia="仿宋_GB2312" w:cs="仿宋_GB2312"/>
          <w:kern w:val="1"/>
          <w:sz w:val="28"/>
          <w:szCs w:val="28"/>
        </w:rPr>
        <w:t>前按以下方式联系：</w:t>
      </w:r>
    </w:p>
    <w:p w14:paraId="25CBB9EB">
      <w:pPr>
        <w:spacing w:line="360" w:lineRule="auto"/>
        <w:ind w:firstLine="1113" w:firstLineChars="396"/>
        <w:jc w:val="left"/>
        <w:rPr>
          <w:rFonts w:hint="eastAsia" w:ascii="仿宋_GB2312" w:hAnsi="仿宋_GB2312" w:eastAsia="仿宋_GB2312" w:cs="仿宋_GB2312"/>
          <w:b/>
          <w:color w:val="auto"/>
          <w:kern w:val="1"/>
          <w:sz w:val="28"/>
          <w:szCs w:val="28"/>
        </w:rPr>
      </w:pPr>
      <w:r>
        <w:rPr>
          <w:rFonts w:hint="eastAsia" w:ascii="仿宋_GB2312" w:hAnsi="仿宋_GB2312" w:eastAsia="仿宋_GB2312" w:cs="仿宋_GB2312"/>
          <w:b/>
          <w:color w:val="auto"/>
          <w:kern w:val="1"/>
          <w:sz w:val="28"/>
          <w:szCs w:val="28"/>
        </w:rPr>
        <w:t>地址：江苏省镇江市京口区</w:t>
      </w:r>
      <w:r>
        <w:rPr>
          <w:rFonts w:hint="eastAsia" w:ascii="仿宋_GB2312" w:hAnsi="仿宋_GB2312" w:eastAsia="仿宋_GB2312" w:cs="仿宋_GB2312"/>
          <w:b/>
          <w:color w:val="auto"/>
          <w:kern w:val="1"/>
          <w:sz w:val="28"/>
          <w:szCs w:val="28"/>
          <w:lang w:val="en-US" w:eastAsia="zh-CN"/>
        </w:rPr>
        <w:t>求索路101号</w:t>
      </w:r>
      <w:r>
        <w:rPr>
          <w:rFonts w:hint="eastAsia" w:ascii="仿宋_GB2312" w:hAnsi="仿宋_GB2312" w:eastAsia="仿宋_GB2312" w:cs="仿宋_GB2312"/>
          <w:b/>
          <w:color w:val="auto"/>
          <w:kern w:val="1"/>
          <w:sz w:val="28"/>
          <w:szCs w:val="28"/>
        </w:rPr>
        <w:t>，邮编：212006</w:t>
      </w:r>
    </w:p>
    <w:p w14:paraId="7A92F86B">
      <w:pPr>
        <w:spacing w:line="360" w:lineRule="auto"/>
        <w:ind w:firstLine="1113" w:firstLineChars="396"/>
        <w:jc w:val="left"/>
        <w:rPr>
          <w:rFonts w:hint="eastAsia" w:ascii="仿宋_GB2312" w:hAnsi="仿宋_GB2312" w:eastAsia="仿宋_GB2312" w:cs="仿宋_GB2312"/>
          <w:b/>
          <w:color w:val="auto"/>
          <w:kern w:val="1"/>
          <w:sz w:val="28"/>
          <w:szCs w:val="28"/>
          <w:lang w:val="en-US" w:eastAsia="zh-CN"/>
        </w:rPr>
      </w:pPr>
      <w:r>
        <w:rPr>
          <w:rFonts w:hint="eastAsia" w:ascii="仿宋_GB2312" w:hAnsi="仿宋_GB2312" w:eastAsia="仿宋_GB2312" w:cs="仿宋_GB2312"/>
          <w:b/>
          <w:color w:val="auto"/>
          <w:kern w:val="1"/>
          <w:sz w:val="28"/>
          <w:szCs w:val="28"/>
        </w:rPr>
        <w:t>联系人：</w:t>
      </w:r>
      <w:r>
        <w:rPr>
          <w:rFonts w:hint="eastAsia" w:ascii="仿宋_GB2312" w:hAnsi="仿宋_GB2312" w:eastAsia="仿宋_GB2312" w:cs="仿宋_GB2312"/>
          <w:b/>
          <w:color w:val="auto"/>
          <w:kern w:val="1"/>
          <w:sz w:val="28"/>
          <w:szCs w:val="28"/>
          <w:lang w:val="en-US" w:eastAsia="zh-CN"/>
        </w:rPr>
        <w:t>胡彪</w:t>
      </w:r>
      <w:r>
        <w:rPr>
          <w:rFonts w:hint="eastAsia" w:ascii="仿宋_GB2312" w:hAnsi="仿宋_GB2312" w:eastAsia="仿宋_GB2312" w:cs="仿宋_GB2312"/>
          <w:b/>
          <w:color w:val="auto"/>
          <w:kern w:val="1"/>
          <w:sz w:val="28"/>
          <w:szCs w:val="28"/>
        </w:rPr>
        <w:t>，手机：</w:t>
      </w:r>
      <w:r>
        <w:rPr>
          <w:rFonts w:hint="eastAsia" w:ascii="仿宋_GB2312" w:hAnsi="仿宋_GB2312" w:eastAsia="仿宋_GB2312" w:cs="仿宋_GB2312"/>
          <w:b/>
          <w:color w:val="auto"/>
          <w:kern w:val="1"/>
          <w:sz w:val="28"/>
          <w:szCs w:val="28"/>
          <w:lang w:val="en-US" w:eastAsia="zh-CN"/>
        </w:rPr>
        <w:t>13511699695</w:t>
      </w:r>
    </w:p>
    <w:p w14:paraId="2BF663F3">
      <w:pPr>
        <w:numPr>
          <w:ilvl w:val="0"/>
          <w:numId w:val="0"/>
        </w:num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color w:val="auto"/>
          <w:kern w:val="1"/>
          <w:sz w:val="28"/>
          <w:szCs w:val="28"/>
          <w:lang w:val="en-US" w:eastAsia="zh-CN"/>
        </w:rPr>
        <w:t>6.</w:t>
      </w:r>
      <w:r>
        <w:rPr>
          <w:rFonts w:hint="eastAsia" w:ascii="仿宋_GB2312" w:hAnsi="仿宋_GB2312" w:eastAsia="仿宋_GB2312" w:cs="仿宋_GB2312"/>
          <w:color w:val="auto"/>
          <w:kern w:val="1"/>
          <w:sz w:val="28"/>
          <w:szCs w:val="28"/>
        </w:rPr>
        <w:t>请详细阅读本</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书，参与报价</w:t>
      </w:r>
      <w:r>
        <w:rPr>
          <w:rFonts w:hint="eastAsia" w:ascii="仿宋_GB2312" w:hAnsi="仿宋_GB2312" w:eastAsia="仿宋_GB2312" w:cs="仿宋_GB2312"/>
          <w:color w:val="auto"/>
          <w:kern w:val="1"/>
          <w:sz w:val="28"/>
          <w:szCs w:val="28"/>
          <w:lang w:eastAsia="zh-CN"/>
        </w:rPr>
        <w:t>报价</w:t>
      </w:r>
      <w:r>
        <w:rPr>
          <w:rFonts w:hint="eastAsia" w:ascii="仿宋_GB2312" w:hAnsi="仿宋_GB2312" w:eastAsia="仿宋_GB2312" w:cs="仿宋_GB2312"/>
          <w:color w:val="auto"/>
          <w:kern w:val="1"/>
          <w:sz w:val="28"/>
          <w:szCs w:val="28"/>
        </w:rPr>
        <w:t>视为对本</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书所列之条款均</w:t>
      </w:r>
      <w:r>
        <w:rPr>
          <w:rFonts w:hint="eastAsia" w:ascii="仿宋_GB2312" w:hAnsi="仿宋_GB2312" w:eastAsia="仿宋_GB2312" w:cs="仿宋_GB2312"/>
          <w:kern w:val="1"/>
          <w:sz w:val="28"/>
          <w:szCs w:val="28"/>
        </w:rPr>
        <w:t>表示接受认可。本次</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解释权归江苏索普（集团）有限公司项目部所有。</w:t>
      </w:r>
    </w:p>
    <w:p w14:paraId="747DF3D5">
      <w:pPr>
        <w:pStyle w:val="2"/>
        <w:pageBreakBefore/>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报价函</w:t>
      </w:r>
    </w:p>
    <w:p w14:paraId="2BCC34C6">
      <w:pPr>
        <w:keepNext w:val="0"/>
        <w:keepLines w:val="0"/>
        <w:pageBreakBefore w:val="0"/>
        <w:widowControl w:val="0"/>
        <w:tabs>
          <w:tab w:val="left" w:pos="180"/>
        </w:tabs>
        <w:kinsoku/>
        <w:overflowPunct/>
        <w:topLinePunct w:val="0"/>
        <w:autoSpaceDE/>
        <w:autoSpaceDN/>
        <w:bidi w:val="0"/>
        <w:adjustRightInd w:val="0"/>
        <w:snapToGrid w:val="0"/>
        <w:spacing w:line="360" w:lineRule="auto"/>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江苏索普</w:t>
      </w:r>
      <w:r>
        <w:rPr>
          <w:rFonts w:hint="eastAsia" w:ascii="仿宋_GB2312" w:hAnsi="仿宋_GB2312" w:eastAsia="仿宋_GB2312" w:cs="仿宋_GB2312"/>
          <w:kern w:val="1"/>
          <w:sz w:val="28"/>
          <w:szCs w:val="28"/>
          <w:lang w:val="en-US" w:eastAsia="zh-CN"/>
        </w:rPr>
        <w:t>新材料</w:t>
      </w:r>
      <w:r>
        <w:rPr>
          <w:rFonts w:hint="eastAsia" w:ascii="仿宋_GB2312" w:hAnsi="仿宋_GB2312" w:eastAsia="仿宋_GB2312" w:cs="仿宋_GB2312"/>
          <w:kern w:val="1"/>
          <w:sz w:val="28"/>
          <w:szCs w:val="28"/>
        </w:rPr>
        <w:t>科技有限公司：</w:t>
      </w:r>
    </w:p>
    <w:p w14:paraId="1193D833">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u w:val="single"/>
        </w:rPr>
        <w:t>(</w:t>
      </w:r>
      <w:r>
        <w:rPr>
          <w:rFonts w:hint="eastAsia" w:ascii="仿宋_GB2312" w:hAnsi="仿宋_GB2312" w:eastAsia="仿宋_GB2312" w:cs="仿宋_GB2312"/>
          <w:color w:val="auto"/>
          <w:kern w:val="1"/>
          <w:sz w:val="28"/>
          <w:szCs w:val="28"/>
          <w:u w:val="single"/>
          <w:lang w:val="en-US" w:eastAsia="zh-CN"/>
        </w:rPr>
        <w:t>报价</w:t>
      </w:r>
      <w:r>
        <w:rPr>
          <w:rFonts w:hint="eastAsia" w:ascii="仿宋_GB2312" w:hAnsi="仿宋_GB2312" w:eastAsia="仿宋_GB2312" w:cs="仿宋_GB2312"/>
          <w:color w:val="auto"/>
          <w:kern w:val="1"/>
          <w:sz w:val="28"/>
          <w:szCs w:val="28"/>
          <w:u w:val="single"/>
        </w:rPr>
        <w:t>单位全称)</w:t>
      </w:r>
      <w:r>
        <w:rPr>
          <w:rFonts w:hint="eastAsia" w:ascii="仿宋_GB2312" w:hAnsi="仿宋_GB2312" w:eastAsia="仿宋_GB2312" w:cs="仿宋_GB2312"/>
          <w:color w:val="auto"/>
          <w:kern w:val="1"/>
          <w:sz w:val="28"/>
          <w:szCs w:val="28"/>
        </w:rPr>
        <w:t>授权</w:t>
      </w:r>
      <w:r>
        <w:rPr>
          <w:rFonts w:hint="eastAsia" w:ascii="仿宋_GB2312" w:hAnsi="仿宋_GB2312" w:eastAsia="仿宋_GB2312" w:cs="仿宋_GB2312"/>
          <w:color w:val="auto"/>
          <w:kern w:val="1"/>
          <w:sz w:val="28"/>
          <w:szCs w:val="28"/>
          <w:u w:val="single"/>
        </w:rPr>
        <w:t>(全权代表姓名)(职务、职称)</w:t>
      </w:r>
      <w:r>
        <w:rPr>
          <w:rFonts w:hint="eastAsia" w:ascii="仿宋_GB2312" w:hAnsi="仿宋_GB2312" w:eastAsia="仿宋_GB2312" w:cs="仿宋_GB2312"/>
          <w:color w:val="auto"/>
          <w:kern w:val="1"/>
          <w:sz w:val="28"/>
          <w:szCs w:val="28"/>
        </w:rPr>
        <w:t>为全权代表，参加贵方组织的</w:t>
      </w:r>
      <w:r>
        <w:rPr>
          <w:rFonts w:hint="eastAsia" w:ascii="仿宋_GB2312" w:hAnsi="仿宋_GB2312" w:eastAsia="仿宋_GB2312" w:cs="仿宋_GB2312"/>
          <w:color w:val="auto"/>
          <w:kern w:val="1"/>
          <w:sz w:val="28"/>
          <w:szCs w:val="28"/>
          <w:lang w:eastAsia="zh-CN"/>
        </w:rPr>
        <w:t>公开采购</w:t>
      </w:r>
      <w:r>
        <w:rPr>
          <w:rFonts w:hint="eastAsia" w:ascii="仿宋_GB2312" w:hAnsi="仿宋_GB2312" w:eastAsia="仿宋_GB2312" w:cs="仿宋_GB2312"/>
          <w:color w:val="auto"/>
          <w:kern w:val="1"/>
          <w:sz w:val="28"/>
          <w:szCs w:val="28"/>
        </w:rPr>
        <w:t>有关活动，并对该项目进行</w:t>
      </w: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rPr>
        <w:t>。</w:t>
      </w:r>
    </w:p>
    <w:p w14:paraId="09260335">
      <w:pPr>
        <w:keepNext w:val="0"/>
        <w:keepLines w:val="0"/>
        <w:pageBreakBefore w:val="0"/>
        <w:widowControl w:val="0"/>
        <w:numPr>
          <w:ilvl w:val="0"/>
          <w:numId w:val="2"/>
        </w:numPr>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rPr>
        <w:t>项目的总</w:t>
      </w:r>
      <w:r>
        <w:rPr>
          <w:rFonts w:hint="eastAsia" w:ascii="仿宋_GB2312" w:hAnsi="仿宋_GB2312" w:eastAsia="仿宋_GB2312" w:cs="仿宋_GB2312"/>
          <w:color w:val="auto"/>
          <w:kern w:val="1"/>
          <w:sz w:val="28"/>
          <w:szCs w:val="28"/>
          <w:lang w:val="en-US" w:eastAsia="zh-CN"/>
        </w:rPr>
        <w:t>报</w:t>
      </w:r>
      <w:r>
        <w:rPr>
          <w:rFonts w:hint="eastAsia" w:ascii="仿宋_GB2312" w:hAnsi="仿宋_GB2312" w:eastAsia="仿宋_GB2312" w:cs="仿宋_GB2312"/>
          <w:color w:val="auto"/>
          <w:kern w:val="1"/>
          <w:sz w:val="28"/>
          <w:szCs w:val="28"/>
        </w:rPr>
        <w:t>价（含税）为</w:t>
      </w:r>
      <w:r>
        <w:rPr>
          <w:rFonts w:hint="eastAsia" w:ascii="仿宋_GB2312" w:hAnsi="仿宋_GB2312" w:eastAsia="仿宋_GB2312" w:cs="仿宋_GB2312"/>
          <w:color w:val="auto"/>
          <w:kern w:val="1"/>
          <w:sz w:val="28"/>
          <w:szCs w:val="28"/>
          <w:u w:val="single"/>
        </w:rPr>
        <w:softHyphen/>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rPr>
        <w:t>(大写)：</w:t>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u w:val="single"/>
          <w:lang w:val="en-US" w:eastAsia="zh-CN"/>
        </w:rPr>
        <w:t xml:space="preserve"> </w:t>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rPr>
        <w:t>元人民币；税率</w:t>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rPr>
        <w:t>%。</w:t>
      </w:r>
    </w:p>
    <w:p w14:paraId="6DC4E599">
      <w:pPr>
        <w:pStyle w:val="5"/>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仿宋_GB2312" w:hAnsi="仿宋_GB2312" w:eastAsia="仿宋_GB2312" w:cs="仿宋_GB2312"/>
          <w:sz w:val="28"/>
          <w:szCs w:val="28"/>
        </w:rPr>
      </w:pP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359"/>
        <w:gridCol w:w="1263"/>
        <w:gridCol w:w="1412"/>
        <w:gridCol w:w="1250"/>
        <w:gridCol w:w="838"/>
        <w:gridCol w:w="462"/>
        <w:gridCol w:w="563"/>
        <w:gridCol w:w="825"/>
        <w:gridCol w:w="866"/>
      </w:tblGrid>
      <w:tr w14:paraId="592F8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264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25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物料名称</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692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位号</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1CA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E62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标准号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40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材质</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F0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12D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6F76">
            <w:pPr>
              <w:keepNext w:val="0"/>
              <w:keepLines w:val="0"/>
              <w:widowControl/>
              <w:suppressLineNumbers w:val="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单价</w:t>
            </w:r>
          </w:p>
          <w:p w14:paraId="58DDD4E1">
            <w:pPr>
              <w:keepNext w:val="0"/>
              <w:keepLines w:val="0"/>
              <w:widowControl/>
              <w:suppressLineNumbers w:val="0"/>
              <w:jc w:val="center"/>
              <w:textAlignment w:val="center"/>
              <w:rPr>
                <w:rFonts w:hint="default"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（元）</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6194">
            <w:pPr>
              <w:keepNext w:val="0"/>
              <w:keepLines w:val="0"/>
              <w:widowControl/>
              <w:suppressLineNumbers w:val="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总价</w:t>
            </w:r>
          </w:p>
          <w:p w14:paraId="533C9087">
            <w:pPr>
              <w:keepNext w:val="0"/>
              <w:keepLines w:val="0"/>
              <w:widowControl/>
              <w:suppressLineNumbers w:val="0"/>
              <w:jc w:val="center"/>
              <w:textAlignment w:val="center"/>
              <w:rPr>
                <w:rFonts w:hint="default"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（元）</w:t>
            </w:r>
          </w:p>
        </w:tc>
      </w:tr>
      <w:tr w14:paraId="165F2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DD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C3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C1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71-FL-0001AB</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62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DN150 150lb  WN/RF ⅡA</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99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AF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EF7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09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D65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B2F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1FFC8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34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62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66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71-FL-0002AB</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11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 ⅡA</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BC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C9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4D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49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BD4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BB2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5AF3A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AC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F4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A5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71-FL-0003</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B8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 ⅡA</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92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DF7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24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77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ED4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7EF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668D5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C2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F4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49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71-FL-0004AB</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D8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DN100 150lb  WN/RF ⅡA</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44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43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S31603</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A0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B1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5A1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749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10D34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23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F9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51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71-FL-0005AB</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20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 ⅡA</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25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EC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S31603</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13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57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125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F7B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770C4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A4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F2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阻火器</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77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71-FL-0006</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60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DN50 150lb  WN/RF ⅡA</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31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GB5908-2024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E6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S31603</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99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E5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4C9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532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5CD3D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A8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7</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0C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51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71-BV-0003AB（单呼阀）</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74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55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67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304</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D6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685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5E2D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5E4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0098E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2C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8</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D5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6D0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71-BV-0006AB（单呼阀）</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B20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3B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E9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304</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5A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1A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BE25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A5E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6D12D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AF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9</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DC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B6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71-BV-0008（单呼阀）</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AB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09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BC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304</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B0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F5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29D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999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15A35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F7F8">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10</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41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4A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71-BV-0011AB（单呼阀）</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D2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0C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96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316L</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52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8C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EA1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883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3B1FF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FC4F">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11</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55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7F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71-BV-0014AB（单呼阀）</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76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87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2A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316L</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1D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A7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53D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EB6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1B2C0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7CFC">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12</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96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带呼出接管单呼阀</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C9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71-BV-0016（单呼阀）</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20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98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3D6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316L</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1C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E9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949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8DF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14:paraId="020923A8">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i w:val="0"/>
          <w:iCs w:val="0"/>
          <w:color w:val="000000"/>
          <w:kern w:val="0"/>
          <w:sz w:val="28"/>
          <w:szCs w:val="28"/>
          <w:u w:val="none"/>
          <w:lang w:val="en-US" w:eastAsia="zh-CN" w:bidi="ar"/>
        </w:rPr>
      </w:pPr>
    </w:p>
    <w:p w14:paraId="137AADAE">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注：1）报价单位应按照分项报价单、数据表及技术要求规格、型号、技术参数报价，满足采购方的所有要求，报价不得缺项。</w:t>
      </w:r>
    </w:p>
    <w:p w14:paraId="56F909B8">
      <w:pPr>
        <w:ind w:firstLine="960" w:firstLineChars="4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2）报价单位应保证产品质量符合国家标准或行业标准，所适用标准应为最新生效施行标准。</w:t>
      </w:r>
    </w:p>
    <w:p w14:paraId="65A9D8CC">
      <w:pPr>
        <w:ind w:firstLine="960" w:firstLineChars="4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3）所有产品为全新物品，所有产品实行3包服务。</w:t>
      </w:r>
    </w:p>
    <w:p w14:paraId="78101D62">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400"/>
        <w:textAlignment w:val="auto"/>
        <w:outlineLvl w:val="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4）每台单呼阀需配1套随机备件（法兰垫片及密封膜片），报价人根据自身产品型式配套（无密封膜片只需提供法兰垫片即可）。</w:t>
      </w:r>
    </w:p>
    <w:p w14:paraId="7FC7BC2E">
      <w:pPr>
        <w:keepNext w:val="0"/>
        <w:keepLines w:val="0"/>
        <w:pageBreakBefore w:val="0"/>
        <w:widowControl w:val="0"/>
        <w:kinsoku/>
        <w:wordWrap w:val="0"/>
        <w:overflowPunct/>
        <w:topLinePunct w:val="0"/>
        <w:autoSpaceDE/>
        <w:autoSpaceDN/>
        <w:bidi w:val="0"/>
        <w:adjustRightInd w:val="0"/>
        <w:snapToGrid w:val="0"/>
        <w:spacing w:line="120" w:lineRule="exact"/>
        <w:jc w:val="left"/>
        <w:textAlignment w:val="auto"/>
        <w:rPr>
          <w:rFonts w:hint="eastAsia" w:ascii="仿宋_GB2312" w:hAnsi="仿宋_GB2312" w:eastAsia="仿宋_GB2312" w:cs="仿宋_GB2312"/>
          <w:color w:val="auto"/>
          <w:kern w:val="1"/>
          <w:sz w:val="28"/>
          <w:szCs w:val="28"/>
        </w:rPr>
      </w:pPr>
      <w:bookmarkStart w:id="0" w:name="_GoBack"/>
      <w:bookmarkEnd w:id="0"/>
    </w:p>
    <w:p w14:paraId="2DFB2BA2">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2、我方保证遵守</w:t>
      </w:r>
      <w:r>
        <w:rPr>
          <w:rFonts w:hint="eastAsia" w:ascii="仿宋_GB2312" w:hAnsi="仿宋_GB2312" w:eastAsia="仿宋_GB2312" w:cs="仿宋_GB2312"/>
          <w:color w:val="auto"/>
          <w:kern w:val="1"/>
          <w:sz w:val="28"/>
          <w:szCs w:val="28"/>
          <w:lang w:eastAsia="zh-CN"/>
        </w:rPr>
        <w:t>公开采购文件</w:t>
      </w:r>
      <w:r>
        <w:rPr>
          <w:rFonts w:hint="eastAsia" w:ascii="仿宋_GB2312" w:hAnsi="仿宋_GB2312" w:eastAsia="仿宋_GB2312" w:cs="仿宋_GB2312"/>
          <w:color w:val="auto"/>
          <w:kern w:val="1"/>
          <w:sz w:val="28"/>
          <w:szCs w:val="28"/>
        </w:rPr>
        <w:t>中的全部规定；</w:t>
      </w:r>
    </w:p>
    <w:p w14:paraId="2624FC3A">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bCs/>
          <w:color w:val="auto"/>
          <w:kern w:val="1"/>
          <w:sz w:val="28"/>
          <w:szCs w:val="28"/>
        </w:rPr>
      </w:pPr>
      <w:r>
        <w:rPr>
          <w:rFonts w:hint="eastAsia" w:ascii="仿宋_GB2312" w:hAnsi="仿宋_GB2312" w:eastAsia="仿宋_GB2312" w:cs="仿宋_GB2312"/>
          <w:bCs/>
          <w:color w:val="auto"/>
          <w:kern w:val="1"/>
          <w:sz w:val="28"/>
          <w:szCs w:val="28"/>
        </w:rPr>
        <w:t>3、我方保证忠实地执行双方签订的合同,并承担合同规定的责任义务；</w:t>
      </w:r>
    </w:p>
    <w:p w14:paraId="1228AB9A">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bCs/>
          <w:color w:val="auto"/>
          <w:kern w:val="1"/>
          <w:sz w:val="28"/>
          <w:szCs w:val="28"/>
        </w:rPr>
      </w:pPr>
      <w:r>
        <w:rPr>
          <w:rFonts w:hint="eastAsia" w:ascii="仿宋_GB2312" w:hAnsi="仿宋_GB2312" w:eastAsia="仿宋_GB2312" w:cs="仿宋_GB2312"/>
          <w:color w:val="auto"/>
          <w:sz w:val="28"/>
          <w:szCs w:val="28"/>
          <w:shd w:val="clear" w:color="auto" w:fill="FFFFFF"/>
        </w:rPr>
        <w:t>4、我方已详细审查全部</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，包括</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所有条款。如果</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有相互矛盾之处，我方同意按</w:t>
      </w:r>
      <w:r>
        <w:rPr>
          <w:rFonts w:hint="eastAsia" w:ascii="仿宋_GB2312" w:hAnsi="仿宋_GB2312" w:eastAsia="仿宋_GB2312" w:cs="仿宋_GB2312"/>
          <w:color w:val="auto"/>
          <w:sz w:val="28"/>
          <w:szCs w:val="28"/>
          <w:shd w:val="clear" w:color="auto" w:fill="FFFFFF"/>
          <w:lang w:eastAsia="zh-CN"/>
        </w:rPr>
        <w:t>公开采购</w:t>
      </w:r>
      <w:r>
        <w:rPr>
          <w:rFonts w:hint="eastAsia" w:ascii="仿宋_GB2312" w:hAnsi="仿宋_GB2312" w:eastAsia="仿宋_GB2312" w:cs="仿宋_GB2312"/>
          <w:color w:val="auto"/>
          <w:sz w:val="28"/>
          <w:szCs w:val="28"/>
          <w:shd w:val="clear" w:color="auto" w:fill="FFFFFF"/>
        </w:rPr>
        <w:t>方的解释处理；</w:t>
      </w:r>
    </w:p>
    <w:p w14:paraId="70165E31">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bCs/>
          <w:color w:val="auto"/>
          <w:kern w:val="1"/>
          <w:sz w:val="28"/>
          <w:szCs w:val="28"/>
        </w:rPr>
        <w:t>5、愿意向贵方提供任何与该项</w:t>
      </w:r>
      <w:r>
        <w:rPr>
          <w:rFonts w:hint="eastAsia" w:ascii="仿宋_GB2312" w:hAnsi="仿宋_GB2312" w:eastAsia="仿宋_GB2312" w:cs="仿宋_GB2312"/>
          <w:bCs/>
          <w:color w:val="auto"/>
          <w:kern w:val="1"/>
          <w:sz w:val="28"/>
          <w:szCs w:val="28"/>
          <w:lang w:eastAsia="zh-CN"/>
        </w:rPr>
        <w:t>报价</w:t>
      </w:r>
      <w:r>
        <w:rPr>
          <w:rFonts w:hint="eastAsia" w:ascii="仿宋_GB2312" w:hAnsi="仿宋_GB2312" w:eastAsia="仿宋_GB2312" w:cs="仿宋_GB2312"/>
          <w:bCs/>
          <w:color w:val="auto"/>
          <w:kern w:val="1"/>
          <w:sz w:val="28"/>
          <w:szCs w:val="28"/>
        </w:rPr>
        <w:t>有关的数据、情况和技术资料，</w:t>
      </w:r>
      <w:r>
        <w:rPr>
          <w:rFonts w:hint="eastAsia" w:ascii="仿宋_GB2312" w:hAnsi="仿宋_GB2312" w:eastAsia="仿宋_GB2312" w:cs="仿宋_GB2312"/>
          <w:color w:val="auto"/>
          <w:sz w:val="28"/>
          <w:szCs w:val="28"/>
          <w:shd w:val="clear" w:color="auto" w:fill="FFFFFF"/>
        </w:rPr>
        <w:t>完全理解贵方不一定接受最低价的报价或收到的任何报价。</w:t>
      </w:r>
    </w:p>
    <w:p w14:paraId="57286046">
      <w:pPr>
        <w:pStyle w:val="5"/>
        <w:keepNext w:val="0"/>
        <w:keepLines w:val="0"/>
        <w:pageBreakBefore w:val="0"/>
        <w:widowControl w:val="0"/>
        <w:kinsoku/>
        <w:overflowPunct/>
        <w:topLinePunct w:val="0"/>
        <w:autoSpaceDE/>
        <w:autoSpaceDN/>
        <w:bidi w:val="0"/>
        <w:adjustRightInd w:val="0"/>
        <w:snapToGrid w:val="0"/>
        <w:spacing w:after="0" w:line="360" w:lineRule="auto"/>
        <w:ind w:firstLine="560" w:firstLineChars="200"/>
        <w:textAlignment w:val="auto"/>
        <w:rPr>
          <w:rFonts w:hint="eastAsia" w:ascii="仿宋_GB2312" w:hAnsi="仿宋_GB2312" w:eastAsia="仿宋_GB2312" w:cs="仿宋_GB2312"/>
          <w:color w:val="auto"/>
          <w:kern w:val="1"/>
          <w:sz w:val="28"/>
          <w:szCs w:val="28"/>
          <w:u w:val="single"/>
        </w:rPr>
      </w:pPr>
      <w:r>
        <w:rPr>
          <w:rFonts w:hint="eastAsia" w:ascii="仿宋_GB2312" w:hAnsi="仿宋_GB2312" w:eastAsia="仿宋_GB2312" w:cs="仿宋_GB2312"/>
          <w:color w:val="auto"/>
          <w:sz w:val="28"/>
          <w:szCs w:val="28"/>
          <w:shd w:val="clear" w:color="auto" w:fill="FFFFFF"/>
        </w:rPr>
        <w:t>6、</w:t>
      </w:r>
      <w:r>
        <w:rPr>
          <w:rFonts w:hint="eastAsia" w:ascii="仿宋_GB2312" w:hAnsi="仿宋_GB2312" w:eastAsia="仿宋_GB2312" w:cs="仿宋_GB2312"/>
          <w:bCs/>
          <w:color w:val="auto"/>
          <w:kern w:val="1"/>
          <w:sz w:val="28"/>
          <w:szCs w:val="28"/>
        </w:rPr>
        <w:t>对</w:t>
      </w:r>
      <w:r>
        <w:rPr>
          <w:rFonts w:hint="eastAsia" w:ascii="仿宋_GB2312" w:hAnsi="仿宋_GB2312" w:eastAsia="仿宋_GB2312" w:cs="仿宋_GB2312"/>
          <w:color w:val="auto"/>
          <w:sz w:val="28"/>
          <w:szCs w:val="28"/>
          <w:shd w:val="clear" w:color="auto" w:fill="FFFFFF"/>
        </w:rPr>
        <w:t>自主公开</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bCs/>
          <w:color w:val="auto"/>
          <w:kern w:val="1"/>
          <w:sz w:val="28"/>
          <w:szCs w:val="28"/>
        </w:rPr>
        <w:t>的不接受项：</w:t>
      </w:r>
      <w:r>
        <w:rPr>
          <w:rFonts w:hint="eastAsia" w:ascii="仿宋_GB2312" w:hAnsi="仿宋_GB2312" w:eastAsia="仿宋_GB2312" w:cs="仿宋_GB2312"/>
          <w:color w:val="auto"/>
          <w:kern w:val="1"/>
          <w:sz w:val="28"/>
          <w:szCs w:val="28"/>
          <w:u w:val="single"/>
        </w:rPr>
        <w:t xml:space="preserve">                                              </w:t>
      </w:r>
    </w:p>
    <w:p w14:paraId="12D477DA">
      <w:pPr>
        <w:pStyle w:val="5"/>
        <w:keepNext w:val="0"/>
        <w:keepLines w:val="0"/>
        <w:pageBreakBefore w:val="0"/>
        <w:widowControl w:val="0"/>
        <w:kinsoku/>
        <w:overflowPunct/>
        <w:topLinePunct w:val="0"/>
        <w:autoSpaceDE/>
        <w:autoSpaceDN/>
        <w:bidi w:val="0"/>
        <w:adjustRightInd w:val="0"/>
        <w:snapToGrid w:val="0"/>
        <w:spacing w:after="0" w:line="360" w:lineRule="auto"/>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1"/>
          <w:sz w:val="28"/>
          <w:szCs w:val="28"/>
          <w:u w:val="single"/>
        </w:rPr>
        <w:t xml:space="preserve">                                                              </w:t>
      </w:r>
    </w:p>
    <w:p w14:paraId="4BB47B4C">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全权代表（签字）：</w:t>
      </w:r>
    </w:p>
    <w:p w14:paraId="19449E52">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联系电话：</w:t>
      </w:r>
    </w:p>
    <w:p w14:paraId="36887AF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单位（盖章）：</w:t>
      </w:r>
    </w:p>
    <w:p w14:paraId="2AAC52ED">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日期：</w:t>
      </w:r>
    </w:p>
    <w:p w14:paraId="00ED1EA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7D90096D">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6597FE5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4AEC8327">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05452D2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1C858E59">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3846C816">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1676A894">
      <w:pPr>
        <w:rPr>
          <w:rFonts w:hint="eastAsia"/>
          <w:lang w:val="en-US" w:eastAsia="zh-CN"/>
        </w:rPr>
      </w:pPr>
    </w:p>
    <w:p w14:paraId="743D9AB4">
      <w:pPr>
        <w:pStyle w:val="2"/>
        <w:pageBreakBefore w:val="0"/>
        <w:kinsoku/>
        <w:wordWrap/>
        <w:overflowPunct/>
        <w:autoSpaceDE/>
        <w:autoSpaceDN/>
        <w:bidi w:val="0"/>
        <w:spacing w:before="0" w:after="0" w:line="360" w:lineRule="auto"/>
        <w:jc w:val="left"/>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附件：</w:t>
      </w:r>
    </w:p>
    <w:p w14:paraId="17C066BF">
      <w:pPr>
        <w:pStyle w:val="2"/>
        <w:pageBreakBefore w:val="0"/>
        <w:kinsoku/>
        <w:wordWrap/>
        <w:overflowPunct/>
        <w:autoSpaceDE/>
        <w:autoSpaceDN/>
        <w:bidi w:val="0"/>
        <w:spacing w:before="0" w:after="0" w:line="360" w:lineRule="auto"/>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数字化交付要求</w:t>
      </w:r>
    </w:p>
    <w:p w14:paraId="489C5803">
      <w:pPr>
        <w:pStyle w:val="25"/>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1.交付总体要求</w:t>
      </w:r>
    </w:p>
    <w:p w14:paraId="181D05E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在合同签订后，报价方需向采购方提交相关数字化人员信息，由采购方授予该报价方本项目数字化交付平台的录入权限。报价方需根据所提供物资的实际生产进度及时间节点，依据采购方发布的数字化交付统一规定在数字化交付平台上交付所要求的各项数字化成果，交付的成果必须满足数字化相关的规定，该部分要求作为验收、付款的重要考核依据。</w:t>
      </w:r>
    </w:p>
    <w:p w14:paraId="167F388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2.数字化交付范围</w:t>
      </w:r>
    </w:p>
    <w:p w14:paraId="49322C5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报价方的交付内容职责范围如下：</w:t>
      </w:r>
    </w:p>
    <w:p w14:paraId="74F83F0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负责按照数字化交付统一规定范围、内容、进度和质量要求，整理供货范围内的对象清单及对象属性数据、三维模型（包括原始数据库和元件库文件）、智能P&amp;ID（包括项目原始的备份文件）、工程文档和文档属性，以及上述内容的关联关系。</w:t>
      </w:r>
    </w:p>
    <w:p w14:paraId="412D84D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2）负责将内控合格的上述内容上载整合到数字化交付平台中。</w:t>
      </w:r>
    </w:p>
    <w:p w14:paraId="7D7A7BA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3）负责按照校验、数据检查、验收等要求，对交付的成果进行完善，直至验收通过。</w:t>
      </w:r>
    </w:p>
    <w:p w14:paraId="50AF42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3.数字化交付的内容及要求</w:t>
      </w:r>
    </w:p>
    <w:p w14:paraId="0AE2F60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3.1.1工厂对象清单内容</w:t>
      </w:r>
    </w:p>
    <w:p w14:paraId="59B7986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报价方按照采购方后续发布的数字化交付统一规定并提交其合同范围内的工厂对象清单，包含工厂对象位号、名称以及分类。</w:t>
      </w:r>
    </w:p>
    <w:p w14:paraId="2F7FCA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对于包设备（包括大型机组、成套设备、撬装设备等），由报价方按照采购方发布的相关规范要求对包设备进行拆分，并按照设计总体院发布的编码规定编制子设备位号，形成包设备拆分清单，内容包括成套设备位号、子设备位号、子设备名称、子设备分类等。</w:t>
      </w:r>
    </w:p>
    <w:p w14:paraId="352E1CC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采购方负责审核工厂对象清单中的位号和分类是否满足相关编码规则和分类标准，经确认后由报价方据此开展工厂对象属性和关联性资料的交付工作。</w:t>
      </w:r>
    </w:p>
    <w:p w14:paraId="6C683D3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3.1.2工厂对象属性数据交付</w:t>
      </w:r>
    </w:p>
    <w:p w14:paraId="5F37409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应按照项目数字化交付统一规定中工厂对象分类及属性内容交付的要求，以及数字化交付平台提供的工厂对象属性数据模板，填报供货范围内工厂对象的属性数据（信息来源为P的部分），并导入到数字化交付平台实现属性数据的存储。</w:t>
      </w:r>
    </w:p>
    <w:p w14:paraId="4202D0F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属性数据交付说明：</w:t>
      </w:r>
    </w:p>
    <w:p w14:paraId="76A699C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1）工厂对象应对应到数字化交付规定中对象分类的叶子节点。</w:t>
      </w:r>
    </w:p>
    <w:p w14:paraId="1B1F56E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2）移交属性数据的工厂对象应与实际供货范围，以及供货清单保持一致。</w:t>
      </w:r>
    </w:p>
    <w:p w14:paraId="3CAE76D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3.1.3三维模型交付内容</w:t>
      </w:r>
    </w:p>
    <w:p w14:paraId="15E5139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针对业主方确定的重点设备，需要按照数字化交付统一规定的要求进行建模，建模内容、深度，以及交付物需要满足业主方发布的数字化交付统一规定的要求，以下为典型的模型交付要求：</w:t>
      </w:r>
    </w:p>
    <w:p w14:paraId="0C5A02A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a)设备建模要求</w:t>
      </w:r>
    </w:p>
    <w:p w14:paraId="13EB825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1)设备供应商应根据业主的要求提供准确的、与实际设备外形尺寸一致的设备模型。</w:t>
      </w:r>
    </w:p>
    <w:p w14:paraId="5EF7F65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2)模型外观形状、内部结构、零部件规格型号与设备图纸等参考资料一致。</w:t>
      </w:r>
    </w:p>
    <w:p w14:paraId="05FE22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3)模型外观颜色、内部零部件颜色和实物照片与设备图纸等参考资料一致。</w:t>
      </w:r>
    </w:p>
    <w:p w14:paraId="0FB7417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4)针对有对象分类的三维模型中的工程对象应按照业主发布的数字化交付统一规定中的要求进行编码并附加工程数据信息，包括位号、名称等内容。</w:t>
      </w:r>
    </w:p>
    <w:p w14:paraId="1ACB9B9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5)模型输出类型必须是“实体几何面”，不允许输出“抽壳”“线框”或者“3D曲线”。</w:t>
      </w:r>
    </w:p>
    <w:p w14:paraId="1661105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6)应采用装配体建模，零部件装配由内向外按层级组装，如果多台设备是总体装配在一起的，要提交总体装配模型，以每台设备为单位装配，各设备分支独立，不能混合装配。</w:t>
      </w:r>
    </w:p>
    <w:p w14:paraId="64F6CC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b)交付物要求</w:t>
      </w:r>
    </w:p>
    <w:p w14:paraId="6D25A5E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供应商应交付模型文件、数据库备份文件，同时提供所使用建模软件的名称、版本。</w:t>
      </w:r>
    </w:p>
    <w:p w14:paraId="21E0A1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c)建模软件要求</w:t>
      </w:r>
    </w:p>
    <w:p w14:paraId="0E71114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精细化三维模型应采用主流设计软件，采用统一的定位基准、单位和方位，按照与实体工厂1∶1的比例建模，模型定位应与真实工程坐标一致或具备映射关系。三维模型的软件范围及其输出的格式和要求应从下表中进行选择：</w:t>
      </w:r>
    </w:p>
    <w:tbl>
      <w:tblPr>
        <w:tblStyle w:val="11"/>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1"/>
        <w:gridCol w:w="1540"/>
        <w:gridCol w:w="3591"/>
        <w:gridCol w:w="1785"/>
      </w:tblGrid>
      <w:tr w14:paraId="6A04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1601" w:type="dxa"/>
            <w:noWrap w:val="0"/>
            <w:vAlign w:val="center"/>
          </w:tcPr>
          <w:p w14:paraId="6E5E56B1">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模型类型</w:t>
            </w:r>
          </w:p>
        </w:tc>
        <w:tc>
          <w:tcPr>
            <w:tcW w:w="1540" w:type="dxa"/>
            <w:noWrap w:val="0"/>
            <w:vAlign w:val="center"/>
          </w:tcPr>
          <w:p w14:paraId="5E35A1BD">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软件名称</w:t>
            </w:r>
          </w:p>
        </w:tc>
        <w:tc>
          <w:tcPr>
            <w:tcW w:w="3591" w:type="dxa"/>
            <w:noWrap w:val="0"/>
            <w:vAlign w:val="center"/>
          </w:tcPr>
          <w:p w14:paraId="01397798">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输出格式</w:t>
            </w:r>
          </w:p>
        </w:tc>
        <w:tc>
          <w:tcPr>
            <w:tcW w:w="1785" w:type="dxa"/>
            <w:noWrap w:val="0"/>
            <w:vAlign w:val="center"/>
          </w:tcPr>
          <w:p w14:paraId="5089D6A3">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备注</w:t>
            </w:r>
          </w:p>
        </w:tc>
      </w:tr>
      <w:tr w14:paraId="7673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01" w:type="dxa"/>
            <w:vMerge w:val="restart"/>
            <w:noWrap w:val="0"/>
            <w:vAlign w:val="center"/>
          </w:tcPr>
          <w:p w14:paraId="540F56FC">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精细化模型</w:t>
            </w:r>
          </w:p>
        </w:tc>
        <w:tc>
          <w:tcPr>
            <w:tcW w:w="1540" w:type="dxa"/>
            <w:vMerge w:val="restart"/>
            <w:noWrap w:val="0"/>
            <w:vAlign w:val="center"/>
          </w:tcPr>
          <w:p w14:paraId="46BA3126">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Pro/E</w:t>
            </w:r>
          </w:p>
        </w:tc>
        <w:tc>
          <w:tcPr>
            <w:tcW w:w="3591" w:type="dxa"/>
            <w:noWrap w:val="0"/>
            <w:vAlign w:val="center"/>
          </w:tcPr>
          <w:p w14:paraId="365B5E1E">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.asm+.prt</w:t>
            </w:r>
          </w:p>
        </w:tc>
        <w:tc>
          <w:tcPr>
            <w:tcW w:w="1785" w:type="dxa"/>
            <w:vMerge w:val="restart"/>
            <w:noWrap w:val="0"/>
            <w:vAlign w:val="center"/>
          </w:tcPr>
          <w:p w14:paraId="5A7EFB2E">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45B0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667984C8">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vMerge w:val="continue"/>
            <w:noWrap w:val="0"/>
            <w:vAlign w:val="center"/>
          </w:tcPr>
          <w:p w14:paraId="7960EA18">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3591" w:type="dxa"/>
            <w:noWrap w:val="0"/>
            <w:vAlign w:val="center"/>
          </w:tcPr>
          <w:p w14:paraId="521FDF95">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vMerge w:val="continue"/>
            <w:noWrap w:val="0"/>
            <w:vAlign w:val="center"/>
          </w:tcPr>
          <w:p w14:paraId="37B90025">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24AB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672710E0">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vMerge w:val="restart"/>
            <w:noWrap w:val="0"/>
            <w:vAlign w:val="center"/>
          </w:tcPr>
          <w:p w14:paraId="039D7489">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SolidWorks</w:t>
            </w:r>
          </w:p>
        </w:tc>
        <w:tc>
          <w:tcPr>
            <w:tcW w:w="3591" w:type="dxa"/>
            <w:noWrap w:val="0"/>
            <w:vAlign w:val="center"/>
          </w:tcPr>
          <w:p w14:paraId="052C39AF">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.sldasm+.sldprt</w:t>
            </w:r>
          </w:p>
        </w:tc>
        <w:tc>
          <w:tcPr>
            <w:tcW w:w="1785" w:type="dxa"/>
            <w:vMerge w:val="restart"/>
            <w:noWrap w:val="0"/>
            <w:vAlign w:val="center"/>
          </w:tcPr>
          <w:p w14:paraId="0891CD02">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4A56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07EE3C1C">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vMerge w:val="continue"/>
            <w:noWrap w:val="0"/>
            <w:vAlign w:val="center"/>
          </w:tcPr>
          <w:p w14:paraId="378180A2">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3591" w:type="dxa"/>
            <w:noWrap w:val="0"/>
            <w:vAlign w:val="center"/>
          </w:tcPr>
          <w:p w14:paraId="4737189F">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vMerge w:val="continue"/>
            <w:noWrap w:val="0"/>
            <w:vAlign w:val="center"/>
          </w:tcPr>
          <w:p w14:paraId="0D9963AA">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7AAD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74E79434">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noWrap w:val="0"/>
            <w:vAlign w:val="center"/>
          </w:tcPr>
          <w:p w14:paraId="7E91CA0B">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INVENTOR</w:t>
            </w:r>
          </w:p>
        </w:tc>
        <w:tc>
          <w:tcPr>
            <w:tcW w:w="3591" w:type="dxa"/>
            <w:noWrap w:val="0"/>
            <w:vAlign w:val="center"/>
          </w:tcPr>
          <w:p w14:paraId="1048F75D">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noWrap w:val="0"/>
            <w:vAlign w:val="center"/>
          </w:tcPr>
          <w:p w14:paraId="4D615D85">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30E7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2B4B3C8C">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noWrap w:val="0"/>
            <w:vAlign w:val="center"/>
          </w:tcPr>
          <w:p w14:paraId="7B9FB4C9">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CATIA</w:t>
            </w:r>
          </w:p>
        </w:tc>
        <w:tc>
          <w:tcPr>
            <w:tcW w:w="3591" w:type="dxa"/>
            <w:noWrap w:val="0"/>
            <w:vAlign w:val="center"/>
          </w:tcPr>
          <w:p w14:paraId="77D8E07E">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noWrap w:val="0"/>
            <w:vAlign w:val="center"/>
          </w:tcPr>
          <w:p w14:paraId="223B7273">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6EFA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0688C8F6">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noWrap w:val="0"/>
            <w:vAlign w:val="center"/>
          </w:tcPr>
          <w:p w14:paraId="36D31DF7">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其他机械设计3D模型</w:t>
            </w:r>
          </w:p>
        </w:tc>
        <w:tc>
          <w:tcPr>
            <w:tcW w:w="3591" w:type="dxa"/>
            <w:noWrap w:val="0"/>
            <w:vAlign w:val="center"/>
          </w:tcPr>
          <w:p w14:paraId="5213E015">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noWrap w:val="0"/>
            <w:vAlign w:val="center"/>
          </w:tcPr>
          <w:p w14:paraId="6DEE81A8">
            <w:pPr>
              <w:pStyle w:val="27"/>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bl>
    <w:p w14:paraId="1016BD9E">
      <w:pPr>
        <w:pStyle w:val="25"/>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3.1.4智能P&amp;ID交付内容</w:t>
      </w:r>
    </w:p>
    <w:p w14:paraId="2B31E4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针对成套设备，需要移交智能P&amp;ID文件，原则上智能P&amp;ID软件的选择应符合下表的要求。</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2353"/>
        <w:gridCol w:w="3035"/>
        <w:gridCol w:w="2205"/>
      </w:tblGrid>
      <w:tr w14:paraId="1BB2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noWrap w:val="0"/>
            <w:vAlign w:val="center"/>
          </w:tcPr>
          <w:p w14:paraId="4DE27B50">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软件类型</w:t>
            </w:r>
          </w:p>
        </w:tc>
        <w:tc>
          <w:tcPr>
            <w:tcW w:w="2353" w:type="dxa"/>
            <w:noWrap w:val="0"/>
            <w:vAlign w:val="center"/>
          </w:tcPr>
          <w:p w14:paraId="00879D2E">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软件推荐</w:t>
            </w:r>
          </w:p>
        </w:tc>
        <w:tc>
          <w:tcPr>
            <w:tcW w:w="3035" w:type="dxa"/>
            <w:noWrap w:val="0"/>
            <w:vAlign w:val="center"/>
          </w:tcPr>
          <w:p w14:paraId="37E5E4C9">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交付输出格式</w:t>
            </w:r>
          </w:p>
        </w:tc>
        <w:tc>
          <w:tcPr>
            <w:tcW w:w="2205" w:type="dxa"/>
            <w:noWrap w:val="0"/>
            <w:vAlign w:val="center"/>
          </w:tcPr>
          <w:p w14:paraId="7B8FF319">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备注</w:t>
            </w:r>
          </w:p>
        </w:tc>
      </w:tr>
      <w:tr w14:paraId="1116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restart"/>
            <w:noWrap w:val="0"/>
            <w:vAlign w:val="center"/>
          </w:tcPr>
          <w:p w14:paraId="6AB452CB">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智能P&amp;ID</w:t>
            </w:r>
          </w:p>
        </w:tc>
        <w:tc>
          <w:tcPr>
            <w:tcW w:w="2353" w:type="dxa"/>
            <w:noWrap w:val="0"/>
            <w:vAlign w:val="center"/>
          </w:tcPr>
          <w:p w14:paraId="13D6D7C5">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AVEVA Diagram</w:t>
            </w:r>
          </w:p>
        </w:tc>
        <w:tc>
          <w:tcPr>
            <w:tcW w:w="3035" w:type="dxa"/>
            <w:noWrap w:val="0"/>
            <w:vAlign w:val="center"/>
          </w:tcPr>
          <w:p w14:paraId="2908E28B">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.svg+.xml</w:t>
            </w:r>
          </w:p>
        </w:tc>
        <w:tc>
          <w:tcPr>
            <w:tcW w:w="2205" w:type="dxa"/>
            <w:noWrap w:val="0"/>
            <w:vAlign w:val="center"/>
          </w:tcPr>
          <w:p w14:paraId="61ADB4AE">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p>
        </w:tc>
      </w:tr>
      <w:tr w14:paraId="6092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continue"/>
            <w:noWrap w:val="0"/>
            <w:vAlign w:val="center"/>
          </w:tcPr>
          <w:p w14:paraId="3AC23D7B">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p>
        </w:tc>
        <w:tc>
          <w:tcPr>
            <w:tcW w:w="2353" w:type="dxa"/>
            <w:noWrap w:val="0"/>
            <w:vAlign w:val="center"/>
          </w:tcPr>
          <w:p w14:paraId="4E8B1970">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SmartPlant P&amp;ID</w:t>
            </w:r>
          </w:p>
        </w:tc>
        <w:tc>
          <w:tcPr>
            <w:tcW w:w="3035" w:type="dxa"/>
            <w:noWrap w:val="0"/>
            <w:vAlign w:val="center"/>
          </w:tcPr>
          <w:p w14:paraId="702A2A45">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.pid+.xml+EFSchema.cmf</w:t>
            </w:r>
          </w:p>
        </w:tc>
        <w:tc>
          <w:tcPr>
            <w:tcW w:w="2205" w:type="dxa"/>
            <w:noWrap w:val="0"/>
            <w:vAlign w:val="center"/>
          </w:tcPr>
          <w:p w14:paraId="1E69E454">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Schema 文件如未</w:t>
            </w:r>
          </w:p>
          <w:p w14:paraId="67D7D262">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修改，可不提供</w:t>
            </w:r>
          </w:p>
        </w:tc>
      </w:tr>
      <w:tr w14:paraId="1ED5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continue"/>
            <w:noWrap w:val="0"/>
            <w:vAlign w:val="center"/>
          </w:tcPr>
          <w:p w14:paraId="7F5B13AD">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p>
        </w:tc>
        <w:tc>
          <w:tcPr>
            <w:tcW w:w="2353" w:type="dxa"/>
            <w:noWrap w:val="0"/>
            <w:vAlign w:val="center"/>
          </w:tcPr>
          <w:p w14:paraId="0952CE59">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AutoCAD</w:t>
            </w:r>
            <w:r>
              <w:rPr>
                <w:rFonts w:hint="eastAsia" w:ascii="仿宋_GB2312" w:hAnsi="仿宋_GB2312" w:eastAsia="仿宋_GB2312" w:cs="仿宋_GB2312"/>
                <w:color w:val="auto"/>
                <w:spacing w:val="-4"/>
                <w:sz w:val="28"/>
                <w:szCs w:val="28"/>
                <w:highlight w:val="none"/>
              </w:rPr>
              <w:t xml:space="preserve"> </w:t>
            </w:r>
            <w:r>
              <w:rPr>
                <w:rFonts w:hint="eastAsia" w:ascii="仿宋_GB2312" w:hAnsi="仿宋_GB2312" w:eastAsia="仿宋_GB2312" w:cs="仿宋_GB2312"/>
                <w:color w:val="auto"/>
                <w:kern w:val="0"/>
                <w:sz w:val="28"/>
                <w:szCs w:val="28"/>
                <w:highlight w:val="none"/>
              </w:rPr>
              <w:t>P&amp;ID</w:t>
            </w:r>
          </w:p>
        </w:tc>
        <w:tc>
          <w:tcPr>
            <w:tcW w:w="3035" w:type="dxa"/>
            <w:noWrap w:val="0"/>
            <w:vAlign w:val="center"/>
          </w:tcPr>
          <w:p w14:paraId="362904E0">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.dwg+项目文件</w:t>
            </w:r>
          </w:p>
        </w:tc>
        <w:tc>
          <w:tcPr>
            <w:tcW w:w="2205" w:type="dxa"/>
            <w:noWrap w:val="0"/>
            <w:vAlign w:val="center"/>
          </w:tcPr>
          <w:p w14:paraId="0251265D">
            <w:pPr>
              <w:pStyle w:val="28"/>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p>
        </w:tc>
      </w:tr>
    </w:tbl>
    <w:p w14:paraId="619941F0">
      <w:pPr>
        <w:pStyle w:val="25"/>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仿宋_GB2312" w:hAnsi="仿宋_GB2312" w:eastAsia="仿宋_GB2312" w:cs="仿宋_GB2312"/>
          <w:color w:val="auto"/>
          <w:sz w:val="28"/>
          <w:szCs w:val="28"/>
          <w:highlight w:val="none"/>
          <w:lang w:val="en-US" w:eastAsia="zh-CN"/>
        </w:rPr>
      </w:pPr>
    </w:p>
    <w:p w14:paraId="29765B7E">
      <w:pPr>
        <w:pStyle w:val="25"/>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智能P&amp;ID的文档命名和编码、图例、属性、图框、质量等应满足采购方发布的数字化交付统一规定的要求。</w:t>
      </w:r>
    </w:p>
    <w:p w14:paraId="0F87E7BC">
      <w:pPr>
        <w:pStyle w:val="25"/>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3.1.5工程文档交付</w:t>
      </w:r>
    </w:p>
    <w:p w14:paraId="367FF0D5">
      <w:pPr>
        <w:pStyle w:val="25"/>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按照采购方发布的数字化交付统一规定的要求，移交设备随机文件（如合格证、图纸、检验报告、操作/维护说明、备品备件清单、零部件清单等），文件的编码、目录结构、属性、质量等应符合规定的要求。</w:t>
      </w:r>
    </w:p>
    <w:p w14:paraId="3A09ECD5">
      <w:pPr>
        <w:pStyle w:val="25"/>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原则上移交的文档为带签章的PDF文件，针对数据表、备品备件清单、零部件清单等文件，还需同时移交可编辑版本，需要移交可编辑版的文件范围、文件格式以发布的统一规定为准。</w:t>
      </w:r>
    </w:p>
    <w:p w14:paraId="2A7D1CBC">
      <w:pPr>
        <w:pStyle w:val="25"/>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3.1.6工厂对象与文档的关联关系</w:t>
      </w:r>
    </w:p>
    <w:p w14:paraId="19225DF9">
      <w:pPr>
        <w:pStyle w:val="25"/>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供应商应按照项目数字化交付统一规定的要求，以及数字化交付平台提供的关联关系模板，移交对象与文档的关联关系。</w:t>
      </w:r>
    </w:p>
    <w:p w14:paraId="18760A2E">
      <w:pPr>
        <w:keepNext w:val="0"/>
        <w:keepLines w:val="0"/>
        <w:pageBreakBefore w:val="0"/>
        <w:kinsoku/>
        <w:wordWrap/>
        <w:overflowPunct/>
        <w:autoSpaceDE/>
        <w:autoSpaceDN/>
        <w:bidi w:val="0"/>
        <w:spacing w:line="240" w:lineRule="auto"/>
        <w:rPr>
          <w:rFonts w:hint="eastAsia" w:ascii="宋体" w:hAnsi="宋体" w:eastAsia="宋体" w:cs="宋体"/>
          <w:sz w:val="22"/>
          <w:szCs w:val="22"/>
        </w:rPr>
      </w:pPr>
    </w:p>
    <w:p w14:paraId="5E7BD175">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color w:val="auto"/>
          <w:kern w:val="0"/>
          <w:sz w:val="24"/>
          <w:szCs w:val="24"/>
          <w:lang w:val="en-US" w:eastAsia="zh-CN"/>
        </w:rPr>
      </w:pPr>
    </w:p>
    <w:sectPr>
      <w:pgSz w:w="11906" w:h="16838"/>
      <w:pgMar w:top="1157" w:right="1236" w:bottom="1157" w:left="1236"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ÎSå">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D26E5E"/>
    <w:multiLevelType w:val="multilevel"/>
    <w:tmpl w:val="27D26E5E"/>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4"/>
      </w:rPr>
    </w:lvl>
    <w:lvl w:ilvl="2" w:tentative="0">
      <w:start w:val="1"/>
      <w:numFmt w:val="decimal"/>
      <w:suff w:val="nothing"/>
      <w:lvlText w:val="%2%1.%3　"/>
      <w:lvlJc w:val="left"/>
      <w:pPr>
        <w:ind w:left="180" w:firstLine="0"/>
      </w:pPr>
    </w:lvl>
    <w:lvl w:ilvl="3" w:tentative="0">
      <w:start w:val="1"/>
      <w:numFmt w:val="decimal"/>
      <w:pStyle w:val="30"/>
      <w:suff w:val="nothing"/>
      <w:lvlText w:val="%1%2.%3.%4　"/>
      <w:lvlJc w:val="left"/>
      <w:pPr>
        <w:ind w:left="0" w:firstLine="0"/>
      </w:pPr>
      <w:rPr>
        <w:rFonts w:hint="eastAsia" w:ascii="宋体" w:hAnsi="Times New Roman" w:eastAsia="宋体"/>
        <w:b w:val="0"/>
        <w:i w:val="0"/>
        <w:sz w:val="24"/>
      </w:rPr>
    </w:lvl>
    <w:lvl w:ilvl="4" w:tentative="0">
      <w:start w:val="1"/>
      <w:numFmt w:val="decimal"/>
      <w:suff w:val="nothing"/>
      <w:lvlText w:val="%1%2.%3.%4.%5　"/>
      <w:lvlJc w:val="left"/>
      <w:pPr>
        <w:ind w:left="0" w:firstLine="0"/>
      </w:pPr>
      <w:rPr>
        <w:rFonts w:hint="eastAsia" w:ascii="宋体" w:hAnsi="Times New Roman" w:eastAsia="宋体"/>
        <w:b w:val="0"/>
        <w:i w:val="0"/>
        <w:spacing w:val="0"/>
        <w:position w:val="0"/>
        <w:sz w:val="24"/>
      </w:rPr>
    </w:lvl>
    <w:lvl w:ilvl="5" w:tentative="0">
      <w:start w:val="1"/>
      <w:numFmt w:val="decimal"/>
      <w:suff w:val="nothing"/>
      <w:lvlText w:val="%1%2.%3.%4.%5.%6　"/>
      <w:lvlJc w:val="left"/>
      <w:pPr>
        <w:ind w:left="0" w:firstLine="0"/>
      </w:pPr>
      <w:rPr>
        <w:rFonts w:hint="eastAsia" w:ascii="宋体" w:hAnsi="Times New Roman" w:eastAsia="宋体"/>
        <w:b w:val="0"/>
        <w:i w:val="0"/>
        <w:sz w:val="24"/>
      </w:rPr>
    </w:lvl>
    <w:lvl w:ilvl="6" w:tentative="0">
      <w:start w:val="1"/>
      <w:numFmt w:val="none"/>
      <w:suff w:val="nothing"/>
      <w:lvlText w:val="—— "/>
      <w:lvlJc w:val="left"/>
      <w:pPr>
        <w:ind w:left="380" w:firstLine="0"/>
      </w:pPr>
      <w:rPr>
        <w:rFonts w:hint="eastAsia" w:ascii="黑体" w:hAnsi="Times New Roman" w:eastAsia="黑体"/>
        <w:b w:val="0"/>
        <w:i w:val="0"/>
        <w:sz w:val="21"/>
      </w:rPr>
    </w:lvl>
    <w:lvl w:ilvl="7" w:tentative="0">
      <w:start w:val="1"/>
      <w:numFmt w:val="lowerLetter"/>
      <w:suff w:val="nothing"/>
      <w:lvlText w:val="%8%1） "/>
      <w:lvlJc w:val="left"/>
      <w:pPr>
        <w:ind w:left="380" w:firstLine="0"/>
      </w:pPr>
      <w:rPr>
        <w:rFonts w:hint="eastAsia"/>
      </w:rPr>
    </w:lvl>
    <w:lvl w:ilvl="8" w:tentative="0">
      <w:start w:val="1"/>
      <w:numFmt w:val="decimal"/>
      <w:suff w:val="nothing"/>
      <w:lvlText w:val="%9%1） "/>
      <w:lvlJc w:val="left"/>
      <w:pPr>
        <w:ind w:left="1162" w:hanging="425"/>
      </w:pPr>
      <w:rPr>
        <w:rFonts w:hint="eastAsia"/>
      </w:rPr>
    </w:lvl>
  </w:abstractNum>
  <w:abstractNum w:abstractNumId="1">
    <w:nsid w:val="3B00447B"/>
    <w:multiLevelType w:val="singleLevel"/>
    <w:tmpl w:val="3B00447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Yjk0YjJiMjNhMjRiMjM0ZGFhMmQ5ZTFlYjVlODAifQ=="/>
  </w:docVars>
  <w:rsids>
    <w:rsidRoot w:val="00000000"/>
    <w:rsid w:val="00E87FD8"/>
    <w:rsid w:val="018342DF"/>
    <w:rsid w:val="049A1BA3"/>
    <w:rsid w:val="05537C91"/>
    <w:rsid w:val="068A242D"/>
    <w:rsid w:val="068E5CAD"/>
    <w:rsid w:val="07184E4C"/>
    <w:rsid w:val="07424D15"/>
    <w:rsid w:val="08110CB7"/>
    <w:rsid w:val="0855653B"/>
    <w:rsid w:val="089D102A"/>
    <w:rsid w:val="08D6071F"/>
    <w:rsid w:val="099A19B7"/>
    <w:rsid w:val="09AA1228"/>
    <w:rsid w:val="09F928CD"/>
    <w:rsid w:val="0A9C3C10"/>
    <w:rsid w:val="0AA82ADC"/>
    <w:rsid w:val="0C566AD6"/>
    <w:rsid w:val="0D075905"/>
    <w:rsid w:val="0D307F6B"/>
    <w:rsid w:val="0D945B5C"/>
    <w:rsid w:val="0E0E6DB4"/>
    <w:rsid w:val="0F875418"/>
    <w:rsid w:val="10DF0AAA"/>
    <w:rsid w:val="11213F47"/>
    <w:rsid w:val="12244F80"/>
    <w:rsid w:val="133D6635"/>
    <w:rsid w:val="13EB585D"/>
    <w:rsid w:val="1486627C"/>
    <w:rsid w:val="1489454D"/>
    <w:rsid w:val="158E1579"/>
    <w:rsid w:val="15D63EB8"/>
    <w:rsid w:val="15EC6658"/>
    <w:rsid w:val="17922879"/>
    <w:rsid w:val="17BE143C"/>
    <w:rsid w:val="18123DEA"/>
    <w:rsid w:val="191B14FB"/>
    <w:rsid w:val="19D3125A"/>
    <w:rsid w:val="1AC066E3"/>
    <w:rsid w:val="1B116AE8"/>
    <w:rsid w:val="1B9405AB"/>
    <w:rsid w:val="1BB66664"/>
    <w:rsid w:val="1BD306B5"/>
    <w:rsid w:val="1BDA62E3"/>
    <w:rsid w:val="1C282778"/>
    <w:rsid w:val="1C6B4BBD"/>
    <w:rsid w:val="1CF9004F"/>
    <w:rsid w:val="1D406D29"/>
    <w:rsid w:val="1D61265F"/>
    <w:rsid w:val="1D77045C"/>
    <w:rsid w:val="1DA0537D"/>
    <w:rsid w:val="1E12411C"/>
    <w:rsid w:val="1E210886"/>
    <w:rsid w:val="1E6E6AEF"/>
    <w:rsid w:val="1F2678E9"/>
    <w:rsid w:val="1F6B79D8"/>
    <w:rsid w:val="1F7E35D3"/>
    <w:rsid w:val="1F9245AF"/>
    <w:rsid w:val="21112BD3"/>
    <w:rsid w:val="21933ED0"/>
    <w:rsid w:val="2225022C"/>
    <w:rsid w:val="22334287"/>
    <w:rsid w:val="23CF0F9F"/>
    <w:rsid w:val="23FC6252"/>
    <w:rsid w:val="25F658BE"/>
    <w:rsid w:val="26A27C21"/>
    <w:rsid w:val="271C1894"/>
    <w:rsid w:val="280A4C5F"/>
    <w:rsid w:val="298A418F"/>
    <w:rsid w:val="29EC4F1D"/>
    <w:rsid w:val="2AA7564C"/>
    <w:rsid w:val="2AB873E6"/>
    <w:rsid w:val="2B263D2B"/>
    <w:rsid w:val="2B7969FB"/>
    <w:rsid w:val="2BA23352"/>
    <w:rsid w:val="2BB463C2"/>
    <w:rsid w:val="2D711326"/>
    <w:rsid w:val="2DCD459B"/>
    <w:rsid w:val="2E29640B"/>
    <w:rsid w:val="2F552E82"/>
    <w:rsid w:val="2F5A2F6A"/>
    <w:rsid w:val="306A72AD"/>
    <w:rsid w:val="307C7118"/>
    <w:rsid w:val="33604F9A"/>
    <w:rsid w:val="341252C0"/>
    <w:rsid w:val="359A6B07"/>
    <w:rsid w:val="35B841ED"/>
    <w:rsid w:val="36783E04"/>
    <w:rsid w:val="36CC7FE0"/>
    <w:rsid w:val="37321293"/>
    <w:rsid w:val="375211E9"/>
    <w:rsid w:val="3797278D"/>
    <w:rsid w:val="3A1C3FA6"/>
    <w:rsid w:val="3A260472"/>
    <w:rsid w:val="3A3D3E1C"/>
    <w:rsid w:val="3AD73DE7"/>
    <w:rsid w:val="3B741D0B"/>
    <w:rsid w:val="3B8E1539"/>
    <w:rsid w:val="3C633297"/>
    <w:rsid w:val="3E8B6D79"/>
    <w:rsid w:val="3F7740D7"/>
    <w:rsid w:val="40E424A8"/>
    <w:rsid w:val="413403E0"/>
    <w:rsid w:val="41923A7A"/>
    <w:rsid w:val="4286740D"/>
    <w:rsid w:val="42E66EDA"/>
    <w:rsid w:val="431A73EB"/>
    <w:rsid w:val="43301127"/>
    <w:rsid w:val="446A2417"/>
    <w:rsid w:val="44D30FCF"/>
    <w:rsid w:val="45201FAC"/>
    <w:rsid w:val="45CE6B57"/>
    <w:rsid w:val="46271989"/>
    <w:rsid w:val="465A0D1A"/>
    <w:rsid w:val="46885DF8"/>
    <w:rsid w:val="47276D0E"/>
    <w:rsid w:val="475F1FDB"/>
    <w:rsid w:val="483056E3"/>
    <w:rsid w:val="48F071BE"/>
    <w:rsid w:val="49480DF6"/>
    <w:rsid w:val="4A052FB9"/>
    <w:rsid w:val="4A2C20B8"/>
    <w:rsid w:val="4AEC2C1A"/>
    <w:rsid w:val="4B663938"/>
    <w:rsid w:val="4C6726AF"/>
    <w:rsid w:val="4CAE01A9"/>
    <w:rsid w:val="4CCC1EC1"/>
    <w:rsid w:val="4D9E2555"/>
    <w:rsid w:val="4DC75912"/>
    <w:rsid w:val="4ECC5A50"/>
    <w:rsid w:val="503045D8"/>
    <w:rsid w:val="503F3393"/>
    <w:rsid w:val="507C7259"/>
    <w:rsid w:val="509007D0"/>
    <w:rsid w:val="50A618CB"/>
    <w:rsid w:val="51FC55C8"/>
    <w:rsid w:val="521E5249"/>
    <w:rsid w:val="528F250F"/>
    <w:rsid w:val="53B67FCD"/>
    <w:rsid w:val="53C47D96"/>
    <w:rsid w:val="543B4165"/>
    <w:rsid w:val="54750A52"/>
    <w:rsid w:val="549E18C1"/>
    <w:rsid w:val="54FD0D88"/>
    <w:rsid w:val="55115289"/>
    <w:rsid w:val="55431F02"/>
    <w:rsid w:val="55C3235D"/>
    <w:rsid w:val="56D44020"/>
    <w:rsid w:val="57AE7C02"/>
    <w:rsid w:val="58DF219E"/>
    <w:rsid w:val="58FB2325"/>
    <w:rsid w:val="5A7C589A"/>
    <w:rsid w:val="5AB04526"/>
    <w:rsid w:val="5AFA7489"/>
    <w:rsid w:val="5B9635CE"/>
    <w:rsid w:val="5C665C12"/>
    <w:rsid w:val="5C6B12A1"/>
    <w:rsid w:val="5CFA6687"/>
    <w:rsid w:val="5D002BB2"/>
    <w:rsid w:val="5D871862"/>
    <w:rsid w:val="5E482FBE"/>
    <w:rsid w:val="5F2142EE"/>
    <w:rsid w:val="5F7F0578"/>
    <w:rsid w:val="6035490C"/>
    <w:rsid w:val="6068125C"/>
    <w:rsid w:val="60865836"/>
    <w:rsid w:val="60B63E78"/>
    <w:rsid w:val="61045892"/>
    <w:rsid w:val="6185469D"/>
    <w:rsid w:val="61B678E7"/>
    <w:rsid w:val="63D041C3"/>
    <w:rsid w:val="643A2B26"/>
    <w:rsid w:val="64D43BB1"/>
    <w:rsid w:val="65660A5B"/>
    <w:rsid w:val="65BD7565"/>
    <w:rsid w:val="67192FCC"/>
    <w:rsid w:val="67472A96"/>
    <w:rsid w:val="682C5A95"/>
    <w:rsid w:val="6922313D"/>
    <w:rsid w:val="694E1960"/>
    <w:rsid w:val="698768BA"/>
    <w:rsid w:val="69921AFB"/>
    <w:rsid w:val="69EF47E9"/>
    <w:rsid w:val="6A9E4352"/>
    <w:rsid w:val="6B1078B7"/>
    <w:rsid w:val="6B152869"/>
    <w:rsid w:val="6BC120DD"/>
    <w:rsid w:val="6C4E17FE"/>
    <w:rsid w:val="6CAF1558"/>
    <w:rsid w:val="6D6C21B3"/>
    <w:rsid w:val="6DD528D6"/>
    <w:rsid w:val="6E360072"/>
    <w:rsid w:val="6EF6477A"/>
    <w:rsid w:val="6F59261E"/>
    <w:rsid w:val="6FFD6C0D"/>
    <w:rsid w:val="70774E35"/>
    <w:rsid w:val="708A46FF"/>
    <w:rsid w:val="70BE516F"/>
    <w:rsid w:val="70CF12D0"/>
    <w:rsid w:val="70D55500"/>
    <w:rsid w:val="70F64B28"/>
    <w:rsid w:val="71324FB4"/>
    <w:rsid w:val="71B36B06"/>
    <w:rsid w:val="72B74A56"/>
    <w:rsid w:val="72D03514"/>
    <w:rsid w:val="7501432B"/>
    <w:rsid w:val="75984F94"/>
    <w:rsid w:val="759F5809"/>
    <w:rsid w:val="769C41EB"/>
    <w:rsid w:val="76F12773"/>
    <w:rsid w:val="773530B4"/>
    <w:rsid w:val="774527CD"/>
    <w:rsid w:val="77747526"/>
    <w:rsid w:val="77856C0D"/>
    <w:rsid w:val="78537116"/>
    <w:rsid w:val="788649E0"/>
    <w:rsid w:val="788A7BFB"/>
    <w:rsid w:val="78F96AB1"/>
    <w:rsid w:val="7943704C"/>
    <w:rsid w:val="79B32F02"/>
    <w:rsid w:val="7A030E1C"/>
    <w:rsid w:val="7A9556EA"/>
    <w:rsid w:val="7AEA5601"/>
    <w:rsid w:val="7C4245A7"/>
    <w:rsid w:val="7C875E1E"/>
    <w:rsid w:val="7C98024C"/>
    <w:rsid w:val="7CBF19A2"/>
    <w:rsid w:val="7DBC0EEE"/>
    <w:rsid w:val="7F250077"/>
    <w:rsid w:val="7F782F8B"/>
    <w:rsid w:val="7F8A24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120" w:after="120"/>
      <w:outlineLvl w:val="2"/>
    </w:pPr>
    <w:rPr>
      <w:b/>
      <w:bCs/>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next w:val="6"/>
    <w:unhideWhenUsed/>
    <w:qFormat/>
    <w:uiPriority w:val="99"/>
    <w:pPr>
      <w:spacing w:after="120"/>
    </w:pPr>
  </w:style>
  <w:style w:type="paragraph" w:styleId="6">
    <w:name w:val="Plain Text"/>
    <w:basedOn w:val="1"/>
    <w:unhideWhenUsed/>
    <w:qFormat/>
    <w:uiPriority w:val="99"/>
    <w:rPr>
      <w:rFonts w:ascii="宋体" w:hAnsi="Courier New"/>
      <w:sz w:val="20"/>
      <w:szCs w:val="20"/>
    </w:rPr>
  </w:style>
  <w:style w:type="paragraph" w:styleId="7">
    <w:name w:val="List 2"/>
    <w:basedOn w:val="1"/>
    <w:qFormat/>
    <w:uiPriority w:val="0"/>
    <w:pPr>
      <w:widowControl/>
      <w:ind w:left="840" w:hanging="420"/>
      <w:jc w:val="left"/>
    </w:pPr>
    <w:rPr>
      <w:rFonts w:ascii="宋体"/>
      <w:kern w:val="0"/>
      <w:sz w:val="22"/>
      <w:szCs w:val="20"/>
    </w:rPr>
  </w:style>
  <w:style w:type="paragraph" w:styleId="8">
    <w:name w:val="Date"/>
    <w:basedOn w:val="1"/>
    <w:next w:val="1"/>
    <w:qFormat/>
    <w:uiPriority w:val="0"/>
    <w:rPr>
      <w:rFonts w:ascii="宋体" w:hAnsi="宋体" w:cs="Times New Roman"/>
      <w:sz w:val="24"/>
      <w:szCs w:val="2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样式 标题 2"/>
    <w:basedOn w:val="1"/>
    <w:next w:val="3"/>
    <w:qFormat/>
    <w:uiPriority w:val="0"/>
    <w:pPr>
      <w:snapToGrid w:val="0"/>
      <w:spacing w:line="360" w:lineRule="auto"/>
      <w:ind w:firstLine="200" w:firstLineChars="200"/>
    </w:pPr>
    <w:rPr>
      <w:rFonts w:eastAsia="仿宋_GB2312"/>
      <w:sz w:val="32"/>
      <w:szCs w:val="32"/>
    </w:rPr>
  </w:style>
  <w:style w:type="character" w:customStyle="1" w:styleId="18">
    <w:name w:val="font31"/>
    <w:basedOn w:val="13"/>
    <w:qFormat/>
    <w:uiPriority w:val="0"/>
    <w:rPr>
      <w:rFonts w:hint="default" w:ascii="Times New Roman" w:hAnsi="Times New Roman" w:cs="Times New Roman"/>
      <w:color w:val="000000"/>
      <w:sz w:val="20"/>
      <w:szCs w:val="20"/>
      <w:u w:val="none"/>
    </w:rPr>
  </w:style>
  <w:style w:type="character" w:customStyle="1" w:styleId="19">
    <w:name w:val="font41"/>
    <w:basedOn w:val="13"/>
    <w:qFormat/>
    <w:uiPriority w:val="0"/>
    <w:rPr>
      <w:rFonts w:hint="eastAsia" w:ascii="宋体" w:hAnsi="宋体" w:eastAsia="宋体" w:cs="宋体"/>
      <w:color w:val="000000"/>
      <w:sz w:val="20"/>
      <w:szCs w:val="20"/>
      <w:u w:val="none"/>
    </w:rPr>
  </w:style>
  <w:style w:type="character" w:customStyle="1" w:styleId="20">
    <w:name w:val="font21"/>
    <w:basedOn w:val="13"/>
    <w:qFormat/>
    <w:uiPriority w:val="0"/>
    <w:rPr>
      <w:rFonts w:hint="eastAsia" w:ascii="宋体" w:hAnsi="宋体" w:eastAsia="宋体" w:cs="宋体"/>
      <w:color w:val="000000"/>
      <w:sz w:val="20"/>
      <w:szCs w:val="20"/>
      <w:u w:val="none"/>
    </w:rPr>
  </w:style>
  <w:style w:type="character" w:customStyle="1" w:styleId="21">
    <w:name w:val="font11"/>
    <w:basedOn w:val="13"/>
    <w:qFormat/>
    <w:uiPriority w:val="0"/>
    <w:rPr>
      <w:rFonts w:hint="eastAsia" w:ascii="仿宋_GB2312" w:eastAsia="仿宋_GB2312" w:cs="仿宋_GB2312"/>
      <w:color w:val="000000"/>
      <w:sz w:val="18"/>
      <w:szCs w:val="18"/>
      <w:u w:val="none"/>
    </w:rPr>
  </w:style>
  <w:style w:type="character" w:customStyle="1" w:styleId="22">
    <w:name w:val="font51"/>
    <w:basedOn w:val="13"/>
    <w:qFormat/>
    <w:uiPriority w:val="0"/>
    <w:rPr>
      <w:rFonts w:ascii="Calibri" w:hAnsi="Calibri" w:cs="Calibri"/>
      <w:color w:val="000000"/>
      <w:sz w:val="18"/>
      <w:szCs w:val="18"/>
      <w:u w:val="none"/>
    </w:rPr>
  </w:style>
  <w:style w:type="character" w:customStyle="1" w:styleId="23">
    <w:name w:val="font61"/>
    <w:basedOn w:val="13"/>
    <w:qFormat/>
    <w:uiPriority w:val="0"/>
    <w:rPr>
      <w:rFonts w:ascii="Arial" w:hAnsi="Arial" w:cs="Arial"/>
      <w:b/>
      <w:bCs/>
      <w:color w:val="FF0000"/>
      <w:sz w:val="18"/>
      <w:szCs w:val="18"/>
      <w:u w:val="none"/>
    </w:rPr>
  </w:style>
  <w:style w:type="character" w:customStyle="1" w:styleId="24">
    <w:name w:val="font71"/>
    <w:basedOn w:val="13"/>
    <w:qFormat/>
    <w:uiPriority w:val="0"/>
    <w:rPr>
      <w:rFonts w:ascii="Arial" w:hAnsi="Arial" w:cs="Arial"/>
      <w:color w:val="000000"/>
      <w:sz w:val="18"/>
      <w:szCs w:val="18"/>
      <w:u w:val="none"/>
    </w:rPr>
  </w:style>
  <w:style w:type="paragraph" w:customStyle="1" w:styleId="25">
    <w:name w:val="小于节标题"/>
    <w:basedOn w:val="26"/>
    <w:qFormat/>
    <w:uiPriority w:val="0"/>
    <w:pPr>
      <w:tabs>
        <w:tab w:val="left" w:pos="567"/>
      </w:tabs>
      <w:ind w:firstLine="0" w:firstLineChars="0"/>
    </w:pPr>
  </w:style>
  <w:style w:type="paragraph" w:customStyle="1" w:styleId="26">
    <w:name w:val="新正文样式"/>
    <w:basedOn w:val="1"/>
    <w:qFormat/>
    <w:uiPriority w:val="0"/>
    <w:pPr>
      <w:tabs>
        <w:tab w:val="left" w:pos="567"/>
      </w:tabs>
      <w:spacing w:line="360" w:lineRule="auto"/>
      <w:ind w:firstLine="200" w:firstLineChars="200"/>
    </w:pPr>
    <w:rPr>
      <w:spacing w:val="0"/>
      <w:szCs w:val="24"/>
    </w:rPr>
  </w:style>
  <w:style w:type="paragraph" w:customStyle="1" w:styleId="27">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28">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 w:type="paragraph" w:styleId="29">
    <w:name w:val="List Paragraph"/>
    <w:basedOn w:val="1"/>
    <w:qFormat/>
    <w:uiPriority w:val="34"/>
    <w:pPr>
      <w:ind w:firstLine="420" w:firstLineChars="200"/>
    </w:pPr>
  </w:style>
  <w:style w:type="paragraph" w:customStyle="1" w:styleId="30">
    <w:name w:val="二级条"/>
    <w:next w:val="4"/>
    <w:autoRedefine/>
    <w:qFormat/>
    <w:uiPriority w:val="0"/>
    <w:pPr>
      <w:widowControl w:val="0"/>
      <w:numPr>
        <w:ilvl w:val="3"/>
        <w:numId w:val="1"/>
      </w:numPr>
      <w:spacing w:line="440" w:lineRule="exact"/>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4163</Words>
  <Characters>5254</Characters>
  <Lines>0</Lines>
  <Paragraphs>0</Paragraphs>
  <TotalTime>14</TotalTime>
  <ScaleCrop>false</ScaleCrop>
  <LinksUpToDate>false</LinksUpToDate>
  <CharactersWithSpaces>5490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彪</cp:lastModifiedBy>
  <cp:lastPrinted>2020-05-11T01:13:00Z</cp:lastPrinted>
  <dcterms:modified xsi:type="dcterms:W3CDTF">2026-07-30T06:05:34Z</dcterms:modified>
  <dc:title>醋酸造气工艺节能减排技术改造项目火灾报警及应急照明和疏散指示系统招标书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DAC5A51C15E842838B0D6C304F2A59DD_13</vt:lpwstr>
  </property>
  <property fmtid="{D5CDD505-2E9C-101B-9397-08002B2CF9AE}" pid="4" name="KSOTemplateDocerSaveRecord">
    <vt:lpwstr>eyJoZGlkIjoiZjI0MzAxOTExYzllNWViYjA1MTgzZTA1ZGIwZDZiYWMiLCJ1c2VySWQiOiI0NDY5MTgxMzcifQ==</vt:lpwstr>
  </property>
</Properties>
</file>