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  <w:rPr>
          <w:color w:val="auto"/>
        </w:rPr>
      </w:pPr>
      <w:r>
        <w:rPr>
          <w:color w:val="auto"/>
          <w:highlight w:val="none"/>
        </w:rP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  <w:rPr>
          <w:color w:val="auto"/>
          <w:highlight w:val="none"/>
        </w:rPr>
      </w:pPr>
      <w:r>
        <w:rPr>
          <w:color w:val="auto"/>
          <w:highlight w:val="none"/>
        </w:rP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项目名称</w:t>
      </w:r>
      <w:r>
        <w:rPr>
          <w:color w:val="auto"/>
          <w:highlight w:val="none"/>
        </w:rPr>
        <w:t>：</w:t>
      </w:r>
      <w:r>
        <w:rPr>
          <w:rFonts w:hint="eastAsia"/>
          <w:color w:val="auto"/>
          <w:highlight w:val="none"/>
          <w:lang w:val="en-US" w:eastAsia="zh-CN"/>
        </w:rPr>
        <w:t>乙酯装置老旧设备改造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项目</w:t>
      </w:r>
      <w:r>
        <w:rPr>
          <w:rFonts w:ascii="宋体" w:hAnsi="宋体" w:eastAsia="宋体" w:cs="宋体"/>
          <w:sz w:val="21"/>
          <w:szCs w:val="21"/>
          <w:highlight w:val="none"/>
        </w:rPr>
        <w:t>竣工财务决算审计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、醋酸二期装置老旧设备     改造项目</w:t>
      </w:r>
      <w:r>
        <w:rPr>
          <w:rFonts w:ascii="宋体" w:hAnsi="宋体" w:eastAsia="宋体" w:cs="宋体"/>
          <w:sz w:val="21"/>
          <w:szCs w:val="21"/>
          <w:highlight w:val="none"/>
        </w:rPr>
        <w:t>竣工财务决算审计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采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</w:t>
      </w:r>
      <w:r>
        <w:rPr>
          <w:b/>
          <w:color w:val="auto"/>
          <w:highlight w:val="none"/>
        </w:rPr>
        <w:t>购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</w:t>
      </w:r>
      <w:r>
        <w:rPr>
          <w:b/>
          <w:color w:val="auto"/>
          <w:highlight w:val="none"/>
        </w:rPr>
        <w:t>人</w:t>
      </w:r>
      <w:r>
        <w:rPr>
          <w:color w:val="auto"/>
          <w:highlight w:val="none"/>
        </w:rPr>
        <w:t>：江苏索普化工股份有限公司</w:t>
      </w:r>
      <w:r>
        <w:rPr>
          <w:rFonts w:hint="eastAsia"/>
          <w:color w:val="auto"/>
          <w:highlight w:val="none"/>
          <w:lang w:val="en-US" w:eastAsia="zh-CN"/>
        </w:rPr>
        <w:t>风险控制部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报价截止与评审时间</w:t>
      </w:r>
      <w:r>
        <w:rPr>
          <w:rFonts w:hint="eastAsia"/>
          <w:color w:val="auto"/>
          <w:highlight w:val="none"/>
          <w:lang w:val="en-US" w:eastAsia="zh-CN"/>
        </w:rPr>
        <w:t>：2026年8月21日14：00（北京时间）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评审地点</w:t>
      </w:r>
      <w:r>
        <w:rPr>
          <w:rFonts w:hint="eastAsia"/>
          <w:color w:val="auto"/>
          <w:highlight w:val="none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交货时间：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2026年</w:t>
      </w:r>
      <w:r>
        <w:rPr>
          <w:rFonts w:hint="eastAsia" w:cs="Times New Roman"/>
          <w:color w:val="auto"/>
          <w:highlight w:val="none"/>
          <w:lang w:val="en-US" w:eastAsia="zh-CN"/>
        </w:rPr>
        <w:t>11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月</w:t>
      </w:r>
      <w:r>
        <w:rPr>
          <w:rFonts w:hint="eastAsia" w:cs="Times New Roman"/>
          <w:color w:val="auto"/>
          <w:highlight w:val="none"/>
          <w:lang w:val="en-US" w:eastAsia="zh-CN"/>
        </w:rPr>
        <w:t>15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日</w:t>
      </w:r>
      <w:r>
        <w:rPr>
          <w:rFonts w:hint="eastAsia" w:ascii="Times New Roman" w:hAnsi="Times New Roman" w:cs="Times New Roman"/>
          <w:color w:val="auto"/>
          <w:highlight w:val="none"/>
        </w:rPr>
        <w:t xml:space="preserve">  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交货地址</w:t>
      </w:r>
      <w:r>
        <w:rPr>
          <w:rFonts w:hint="eastAsia"/>
          <w:color w:val="auto"/>
          <w:highlight w:val="none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江苏索普化工股份有限公司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color w:val="auto"/>
          <w:highlight w:val="none"/>
          <w:lang w:val="en-US" w:eastAsia="zh-CN"/>
        </w:rPr>
        <w:t>公示</w:t>
      </w:r>
      <w:r>
        <w:rPr>
          <w:b/>
          <w:color w:val="auto"/>
          <w:highlight w:val="none"/>
        </w:rPr>
        <w:t>查询</w:t>
      </w:r>
      <w:r>
        <w:rPr>
          <w:color w:val="auto"/>
          <w:highlight w:val="none"/>
        </w:rPr>
        <w:t>：</w:t>
      </w:r>
      <w:r>
        <w:rPr>
          <w:rFonts w:hint="eastAsia"/>
          <w:color w:val="auto"/>
          <w:highlight w:val="none"/>
          <w:lang w:val="en-US" w:eastAsia="zh-CN"/>
        </w:rPr>
        <w:t>ww</w:t>
      </w:r>
      <w:r>
        <w:rPr>
          <w:color w:val="auto"/>
          <w:highlight w:val="none"/>
        </w:rPr>
        <w:t>w.sopo.com.cn</w:t>
      </w:r>
    </w:p>
    <w:p w14:paraId="76821092">
      <w:pPr>
        <w:pStyle w:val="3"/>
        <w:rPr>
          <w:color w:val="auto"/>
          <w:highlight w:val="none"/>
        </w:rPr>
      </w:pPr>
      <w:r>
        <w:rPr>
          <w:color w:val="auto"/>
          <w:highlight w:val="none"/>
        </w:rPr>
        <w:t>二、采购内容及要求</w:t>
      </w:r>
    </w:p>
    <w:p w14:paraId="76D0435B">
      <w:pPr>
        <w:pStyle w:val="4"/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采购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内容</w:t>
      </w:r>
    </w:p>
    <w:p w14:paraId="7E706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both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highlight w:val="none"/>
          <w:lang w:val="en-US" w:eastAsia="zh-CN"/>
        </w:rPr>
        <w:t>1.采购服务内容：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承担江苏索普化工股份有限公司乙酯装置老旧设备改造项目、醋酸二期装置老旧设备改造项目的竣工财务决算审计工作，两个项目独立开展审计、分别出具正式的竣工财务决算审计报告。</w:t>
      </w:r>
    </w:p>
    <w:p w14:paraId="1B5BF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 xml:space="preserve">              </w:t>
      </w:r>
    </w:p>
    <w:p w14:paraId="22BFE0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422" w:firstLineChars="200"/>
        <w:textAlignment w:val="auto"/>
        <w:rPr>
          <w:rFonts w:hint="eastAsia" w:ascii="Times New Roman" w:hAnsi="Times New Roman" w:cs="Times New Roman"/>
          <w:b/>
          <w:bCs/>
          <w:color w:val="auto"/>
          <w:highlight w:val="none"/>
          <w:lang w:val="en-US" w:eastAsia="zh-CN"/>
        </w:rPr>
      </w:pPr>
      <w:r>
        <w:rPr>
          <w:rFonts w:hint="eastAsia" w:cs="Times New Roman"/>
          <w:b/>
          <w:bCs/>
          <w:color w:val="auto"/>
          <w:highlight w:val="none"/>
          <w:lang w:val="en-US" w:eastAsia="zh-CN"/>
        </w:rPr>
        <w:t>2.采购</w:t>
      </w:r>
      <w:r>
        <w:rPr>
          <w:rFonts w:hint="eastAsia" w:ascii="Times New Roman" w:hAnsi="Times New Roman" w:cs="Times New Roman"/>
          <w:b/>
          <w:bCs/>
          <w:color w:val="auto"/>
          <w:highlight w:val="none"/>
          <w:lang w:val="en-US" w:eastAsia="zh-CN"/>
        </w:rPr>
        <w:t>项目内容：</w:t>
      </w:r>
    </w:p>
    <w:p w14:paraId="3A8F30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（1）</w:t>
      </w:r>
      <w:r>
        <w:rPr>
          <w:rFonts w:hint="eastAsia"/>
          <w:color w:val="auto"/>
          <w:highlight w:val="none"/>
          <w:lang w:val="en-US" w:eastAsia="zh-CN"/>
        </w:rPr>
        <w:t>乙酯装置老旧设备改造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项目：索普股份醋酸厂乙酯装置于2004年投产，迄今已连续运行逾20年。依据《危险化学品生产使用企业老旧装置安全风险防控专项整治工作方案》及《危险化学品生产使用企业老旧装置安全风险评估指南（试行）》等文件要求，公司经全面自查与安全评估，确认该装置部分设备存在老化问题，需实施更新升级改造，以消除安全隐患、提升本质安全水平。该项目于2024年11月立项实施，2025年</w:t>
      </w:r>
      <w:r>
        <w:rPr>
          <w:rFonts w:hint="eastAsia" w:cs="Times New Roman"/>
          <w:color w:val="auto"/>
          <w:highlight w:val="none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月改造完成，总投资约3533万元。</w:t>
      </w:r>
    </w:p>
    <w:p w14:paraId="654DB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2）醋酸二期装置老旧设备改造项目：索普股份醋酸厂醋酸二期装置于2004年投产，迄今已连续运行逾20年。依据《危险化学品生产使用企业老旧装置安全风险防控专项整治工作方案》及《危险化学品生产使用企业老旧装置安全风险评估指南（试行）》等文件要求，经公司自查评估，该装置存在部分设备老化、工艺管线腐蚀严重、电气仪表系统需更新升级等问题。本次改造旨在提升装置本质安全水平，保障产品质量稳定。该项目于2024年11月立项实施，2026年8月改造完成，总投资约3508万元。</w:t>
      </w:r>
    </w:p>
    <w:p w14:paraId="65539951">
      <w:pPr>
        <w:numPr>
          <w:ilvl w:val="0"/>
          <w:numId w:val="0"/>
        </w:numPr>
        <w:spacing w:before="0" w:beforeAutospacing="1" w:after="0" w:afterAutospacing="1"/>
        <w:ind w:firstLine="480" w:firstLineChars="20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C2496B2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Times New Roman" w:hAnsi="Times New Roman" w:eastAsia="宋体" w:cs="Times New Roman"/>
          <w:b w:val="0"/>
          <w:color w:val="auto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（二）技术及资质要求</w:t>
      </w:r>
    </w:p>
    <w:p w14:paraId="499E9B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2" w:firstLineChars="2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highlight w:val="none"/>
          <w:lang w:val="en-US" w:eastAsia="zh-CN"/>
        </w:rPr>
        <w:t>1.</w:t>
      </w:r>
      <w:r>
        <w:rPr>
          <w:rFonts w:hint="eastAsia" w:ascii="Times New Roman" w:hAnsi="Times New Roman" w:cs="Times New Roman"/>
          <w:b/>
          <w:color w:val="auto"/>
          <w:highlight w:val="none"/>
          <w:lang w:val="en-US" w:eastAsia="zh-CN"/>
        </w:rPr>
        <w:t>技术要求：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2026年</w:t>
      </w:r>
      <w:r>
        <w:rPr>
          <w:rFonts w:hint="eastAsia" w:cs="Times New Roman"/>
          <w:color w:val="auto"/>
          <w:highlight w:val="none"/>
          <w:lang w:val="en-US" w:eastAsia="zh-CN"/>
        </w:rPr>
        <w:t>11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月</w:t>
      </w:r>
      <w:r>
        <w:rPr>
          <w:rFonts w:hint="eastAsia" w:cs="Times New Roman"/>
          <w:color w:val="auto"/>
          <w:highlight w:val="none"/>
          <w:lang w:val="en-US" w:eastAsia="zh-CN"/>
        </w:rPr>
        <w:t>15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日前完成</w:t>
      </w:r>
      <w:r>
        <w:rPr>
          <w:rFonts w:hint="eastAsia" w:cs="Times New Roman"/>
          <w:color w:val="auto"/>
          <w:highlight w:val="none"/>
          <w:lang w:val="en-US" w:eastAsia="zh-CN"/>
        </w:rPr>
        <w:t>两份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审计报告，报告需内容详实，均须包含以下几个部分：</w:t>
      </w:r>
    </w:p>
    <w:p w14:paraId="361AB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（1）项目基本情况：项目概况、项目批准情况、项目管理的组织形式、主要参建单位、工程开竣工时间、工程验收情况、资金来源占用情况等；</w:t>
      </w:r>
    </w:p>
    <w:p w14:paraId="184CAC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（2）审核情况：项目资金来源审核、概算执行情况、项目基本建设支出审核情况、工程项目和物资设备招投标情况的审核、合同管理情况审核</w:t>
      </w:r>
      <w:r>
        <w:rPr>
          <w:rFonts w:hint="eastAsia" w:cs="Times New Roman"/>
          <w:color w:val="auto"/>
          <w:highlight w:val="none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需将《合同执行情况清单》作为报告附件</w:t>
      </w:r>
      <w:r>
        <w:rPr>
          <w:rFonts w:hint="eastAsia" w:cs="Times New Roman"/>
          <w:color w:val="auto"/>
          <w:highlight w:val="none"/>
          <w:lang w:val="en-US" w:eastAsia="zh-CN"/>
        </w:rPr>
        <w:t>）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、项目财务管理情况审核等；</w:t>
      </w:r>
    </w:p>
    <w:p w14:paraId="2B166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3）编制资产交付清册。项目中涉及所有的设备、管线、支架、电缆等支出按相应的类别，应单列为固定资产，按单、台套价值5000元以上编制资产交付清册（按单、台套建立清册），具体参考公司设备固定资产目录。</w:t>
      </w:r>
    </w:p>
    <w:tbl>
      <w:tblPr>
        <w:tblStyle w:val="9"/>
        <w:tblW w:w="0" w:type="auto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460"/>
        <w:gridCol w:w="4303"/>
        <w:gridCol w:w="930"/>
      </w:tblGrid>
      <w:tr w14:paraId="11018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21C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序号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C5A4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类别</w:t>
            </w:r>
          </w:p>
        </w:tc>
        <w:tc>
          <w:tcPr>
            <w:tcW w:w="4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2F81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固定资产范围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E72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备注</w:t>
            </w:r>
          </w:p>
        </w:tc>
      </w:tr>
      <w:tr w14:paraId="504BF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ECE4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576B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泵类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5A5C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离心泵、真空泵、柱塞泵、螺旋泵、齿轮泵、高速泵、隔膜泵、Ⅱ型泵等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880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19A3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8D4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C750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风机类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18B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离心式通（鼓）风机、罗茨风机、轴流风机、其它风机等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C5B5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0BE9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E4EB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51804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A5275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3</w:t>
            </w:r>
          </w:p>
          <w:p w14:paraId="286622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92DF47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CF1601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C5F3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压缩机类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E0FB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0E39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F2D0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7E2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82E8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（1）往复压缩机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2DCB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空压机、CO压缩机、氧压机、氮压机、氢压机、膨胀机、制冷机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392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F3DC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0B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4AA3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（2）螺杆压缩机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674A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制冷机、空压机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C33D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0F39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00E5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E44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（3）透平压缩机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A7AB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065B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EA9B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9D17C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4647A45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60CBEDA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9ECD888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78FE24F6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4CC1C8BE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0490C8F0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4　</w:t>
            </w:r>
          </w:p>
          <w:p w14:paraId="2B861AC1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6F037F8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CE8AA47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589AF50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B28001C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F314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车辆类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DF2E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3EE63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C82A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CC58F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877EB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（1）叉车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7B4DD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ED117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02E3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41C12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22DF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（2）汽车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2FE98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70ECC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E269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8AF71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34FA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（3）拖拉机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4D569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00485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2EC3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EA88F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7C527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（4）电瓶车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B6D3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B07B8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2884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77003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353F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（5）摩托车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B76A8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56A01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61E0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83082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EFA7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（6）铁路槽车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1B772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34CF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6D9E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72EC5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A36A1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（7）装载机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295A1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87BE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6828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84F1B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1C79D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（8）手动液压搬运车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19722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E3EC7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9E64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8E865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13D2F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（9）平台搬运车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E5AE1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C6853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55A8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80204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1E0DB66E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6E8B843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73A2A032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5</w:t>
            </w:r>
          </w:p>
          <w:p w14:paraId="396347DB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36CEF717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5EDAC670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9D711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起重设备类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2504A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F73FD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CD3E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6D76A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6EBD6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（1）电动葫芦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D366A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49AAE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3FF4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A3EF7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77823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（2）桥式起重机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38D7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8CBA6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81A0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6D7D9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2D9C4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（3）门式起重机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5CF0E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901CD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8B10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C9A4F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4A782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（4）吊车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94B86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3643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104B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535A1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F8DDD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（5）电梯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638B8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2DCEA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2826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82FF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A7B00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（6）卷扬机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A74F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FB639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6C87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6843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210DE6E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6　</w:t>
            </w:r>
          </w:p>
          <w:p w14:paraId="2EFFCA4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FD61FD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80646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维修设备类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1C207">
            <w:pPr>
              <w:widowControl/>
              <w:spacing w:line="320" w:lineRule="exac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49118">
            <w:pPr>
              <w:widowControl/>
              <w:spacing w:line="32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2056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A0A4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428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（1）机加工设备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9874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切削机床、剪板机、卷板机等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3FD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01AA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54E1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F985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（2）焊接设备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51A2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焊机、坡口机、烘箱、探伤机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3374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AA2D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2EE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2C2CC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（3）木加工设备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DC65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圆锯机、带锯机、木工车床、榫槽机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0A4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C354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999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AA87C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（4）专用机具、设备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999F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气动扳手、清洗机、试压泵、安全阀校验台、安全阀动态研磨机等；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9181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268D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AD46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5A64665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53DCBC1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9AB778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7　</w:t>
            </w:r>
          </w:p>
          <w:p w14:paraId="138B407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76E8E51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F46720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213D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工程机械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0BF7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2112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B295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F24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83BB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（1）推土机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C3C5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F0F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A4EF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A5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407F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（2）搅拌机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BF78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15D8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9C40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337C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859F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（3）打夯机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F4D9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F96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3FA6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9337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8EB2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（4）喷砂机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7CFD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B7CC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EBFD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497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B74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（5）喷涂机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AB73C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127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43C6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A332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EED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（6）钢筋切断机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D02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3E0F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9D34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E5F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2673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（7）挖土机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C8F6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02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AC17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1E45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266B756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14B8B9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8　</w:t>
            </w:r>
          </w:p>
          <w:p w14:paraId="3EFB74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5150FEE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9EA5E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5012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动力设备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A326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1EA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6749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E9F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3114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（1）燃煤锅炉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D8F0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E8F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5C80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5A5A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A30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（2）发电机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5A5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767E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CE63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B33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C85C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（3）茶炉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072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489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75A3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D78E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BBDD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（4）汽轮机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9512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A484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3401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16D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CC8B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（5）水轮机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75EB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6556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538E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3B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44E975E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1ED5E6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01F5F0B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83F0D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1F0F42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9　</w:t>
            </w:r>
          </w:p>
          <w:p w14:paraId="22DC982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24284C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1A06500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6979C36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4776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电气设备类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4CC6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6E4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390A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0BA3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289D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（1）变压器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34E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DB9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DF17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E51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E98D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（2）互感器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1B5A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8DD5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5116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30F4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EA7A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（3）配电柜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BEC8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高低压配电柜、控制柜、操作台（柜）等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6B3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9E5F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D41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C48A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（4）低压抽屉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04A9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E69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50C4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8D6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784C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（5）电缆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432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电缆截面积16mm2以上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4BAE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61E1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982A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886E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（6）电机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DFD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577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D095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5243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1FE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（7）高压开关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52A8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DFBE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22D6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C96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05A0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（8）低压开关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CBC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B8E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AB68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9BDF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FFF9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（9）工业用UPS电源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26E3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436C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84A2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E9D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4AED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（10）变频器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CA8E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41E3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5F2C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CCF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517671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73C9024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56CCE7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78DAAE2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2194EE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10　</w:t>
            </w:r>
          </w:p>
          <w:p w14:paraId="2B307F7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694B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仪器仪表类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FCFA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1B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EC54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325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2B8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（1）仪器仪表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329C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成套热控仪表盘、成套仪表操作台、仪表成套装置、标准仪器及分析仪器，电磁流量计、法兰变送器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880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21CC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6DB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815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（2）衡器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942D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地上衡、皮带秤、其它衡器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1935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F348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BE9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4863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（3）PLC系统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D8B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含接杆件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AC5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809E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272A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2E89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（4）DCS系统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651E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含接杆件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C15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EE7A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75BD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4DF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（5）质量流量计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6772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3ED3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D7E0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0C99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42BBC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（6）液位计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1876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含雷达液位计、电浮筒液位计、超声波液位计、磁浮液位计、磁致伸缩液位计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708E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D07B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4EB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D90C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（7）调节阀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EE65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电动、气动调节阀，凡特材调节阀均应纳入固定资产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7F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558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24E9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11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8B75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办公用品类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1C86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计算机、打印机、复印机、电视机、传真机、空调、冰箱、冰柜、扫描仪、摄像机、数码相机等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993F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7F69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7255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1A43B86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4B4DF82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12　</w:t>
            </w:r>
          </w:p>
          <w:p w14:paraId="41CB70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D89C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反应设备类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E1EE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8A96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801D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4532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3940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（1）塔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902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冷却塔、精馏塔、吸收塔、火炬等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3B62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937E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EF7C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20B0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（2）反应釜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D71A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含减速机等基本附件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3A47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719C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E6E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2285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（3）电解槽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185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91CC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5F7B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23F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4A6B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（4）其它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407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氧化炉、合成炉、造气炉、转化炉等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E4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AA2F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A72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  <w:p w14:paraId="05E004A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13　</w:t>
            </w:r>
          </w:p>
          <w:p w14:paraId="4059B3B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3611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换热设备类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423A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567E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B8CA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8F1F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086C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（1）钢材类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15F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223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F770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4ED1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87D9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（2）特材类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36FD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EF68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9356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CAE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77BF65D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6B96A48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14　</w:t>
            </w:r>
          </w:p>
          <w:p w14:paraId="1083EB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C253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分离设备类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E2C3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118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C4D6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A0A7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4C0C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（1）分离容器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00DE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2CE6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F370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72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1D61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（2）离心机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955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BFC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4227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4097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BBE8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（3）压滤机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779F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58BB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A6C9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0443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B106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（4）振动筛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A3D6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98C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080B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EA78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67D6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加工类设备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2DC9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造粒机、切片机、气流粉碎等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4E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2700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E6A7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6F0DE69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16　</w:t>
            </w:r>
          </w:p>
          <w:p w14:paraId="224709A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8076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储存容器类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423F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39AD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3597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BF8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5919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（1）常压容器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7218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D7F2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893A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58AC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1C50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（2）压力容器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2E25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919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773F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9546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D6A0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（3）气柜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D6878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E19A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DC20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280A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175926D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3AA638E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17　</w:t>
            </w:r>
          </w:p>
          <w:p w14:paraId="6E0AED9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F46A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干燥设备类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D0367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C0AF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136D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19E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7AE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（1）真空带滤机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1D4A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337E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54877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2F62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594D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（2）气化床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AC8C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7291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12E51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BD2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4084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（3）蒸发效体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39A9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7B5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66C1A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7FA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C211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（4）脉冲(袋式）除尘器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53FD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FD4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AB71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F78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6A81924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18　</w:t>
            </w:r>
          </w:p>
          <w:p w14:paraId="71370D5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56F3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建筑物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0061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6E93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5139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628F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E08F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（1）生产用房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AE58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42C3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8E1B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AAA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3B50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（2）非生产用房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5149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2B3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A5FA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F88EF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71F6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（3）其他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B21EB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道路、车棚、地沟、地坪、围墙、挡土墙、烟囱、水塔、池（井）、码头、栈桥、雕塑、钢结构平台、旗杆、管架（廊）、停车场、铁路专用线、储罐（含基础）、站台、涵洞、加油站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875D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F396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4A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19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830E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后勤类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AC67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液化气灶、油烟机、绞切机、油气灶、消毒柜、保温车、开水炉等。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2900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61DC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3EA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20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31E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关键部件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66DD0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使用年限1年以上，单件价值50000元以上（不含税）的关键部件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6469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0395D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F53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  <w:p w14:paraId="5C0419C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21　</w:t>
            </w:r>
          </w:p>
          <w:p w14:paraId="68F8F54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4D7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输送设备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4BFFD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FC8B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D839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06CD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8A3F2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（1）带式输送机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3FD9E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C5C0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6DED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4F25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555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（2）其它输送机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16E6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螺旋输送机、斗式提升机、气流输送机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8925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1E57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2D1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440B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（3）输送管道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B105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0721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20AA9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83A3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22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D7B7F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制冷空调设备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2CC63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制冷压缩机、冷藏箱柜、空调机组、恒温机、去湿机等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C85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7F049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CD7C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23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7BE9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减速机及传动装置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0644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摆线针轮减速机、行星减速机、圆柱齿轮减速机、蜗轮蜗杆减速器、液力耦合器等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2117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39C63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B3EB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24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869C1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安全设备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B7544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防尘设备、烟雾传感器、氧气检测报警器、便携式二氧化碳检测报警器、便携式可燃气体检测报警器、送风式长管呼吸器等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D44AD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  <w:tr w14:paraId="4EAA2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82FD4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25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4E449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其它设备</w:t>
            </w:r>
          </w:p>
        </w:tc>
        <w:tc>
          <w:tcPr>
            <w:tcW w:w="4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8DE35">
            <w:pPr>
              <w:widowControl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吸泥机、破碎机等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BCC4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　</w:t>
            </w:r>
          </w:p>
        </w:tc>
      </w:tr>
    </w:tbl>
    <w:p w14:paraId="0DC484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2" w:firstLineChars="200"/>
        <w:textAlignment w:val="auto"/>
        <w:rPr>
          <w:rFonts w:hint="eastAsia" w:ascii="Times New Roman" w:hAnsi="Times New Roman" w:cs="Times New Roman"/>
          <w:b/>
          <w:bCs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highlight w:val="none"/>
          <w:lang w:val="en-US" w:eastAsia="zh-CN"/>
        </w:rPr>
        <w:t>2.资质要求：</w:t>
      </w:r>
    </w:p>
    <w:p w14:paraId="68BC01D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Times New Roman" w:hAnsi="Times New Roman" w:eastAsia="宋体" w:cs="Times New Roman"/>
          <w:color w:val="auto"/>
          <w:highlight w:val="none"/>
          <w:lang w:val="zh-CN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（1）报价时请提供在有效期内的营业执照复印件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zh-CN" w:eastAsia="zh-CN"/>
        </w:rPr>
        <w:t>；</w:t>
      </w:r>
    </w:p>
    <w:p w14:paraId="694514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（2）报价人具有行业主管部门颁发的有效的会计师事务所执业证书，且证券相关服务业务已在中国证监会完成备案（提供证明材料复印件）；</w:t>
      </w:r>
    </w:p>
    <w:p w14:paraId="585545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（3）</w:t>
      </w:r>
      <w:r>
        <w:rPr>
          <w:highlight w:val="none"/>
        </w:rPr>
        <w:t>拟委派本项目项目负责人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执业注册会计师5年及以上，并具有3000万元以上化工企业项目竣工</w:t>
      </w:r>
      <w:r>
        <w:rPr>
          <w:rFonts w:hint="eastAsia" w:cs="Times New Roman"/>
          <w:color w:val="auto"/>
          <w:highlight w:val="none"/>
          <w:lang w:val="en-US" w:eastAsia="zh-CN"/>
        </w:rPr>
        <w:t>财务决算审计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的相关业绩不少于3个；</w:t>
      </w:r>
    </w:p>
    <w:p w14:paraId="40BD0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20" w:firstLineChars="200"/>
        <w:textAlignment w:val="auto"/>
        <w:rPr>
          <w:rFonts w:hint="default"/>
          <w:color w:val="FF0000"/>
          <w:lang w:val="en-US"/>
        </w:rPr>
      </w:pP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（</w:t>
      </w:r>
      <w:r>
        <w:rPr>
          <w:rFonts w:hint="eastAsia" w:cs="Times New Roman"/>
          <w:color w:val="auto"/>
          <w:highlight w:val="none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）不接受被列入索普集团供应商负面清单中的单位</w:t>
      </w:r>
      <w:r>
        <w:rPr>
          <w:rFonts w:hint="eastAsia" w:cs="Times New Roman"/>
          <w:color w:val="auto"/>
          <w:highlight w:val="none"/>
          <w:lang w:val="en-US" w:eastAsia="zh-CN"/>
        </w:rPr>
        <w:t>报价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 xml:space="preserve">。 </w:t>
      </w:r>
      <w:r>
        <w:rPr>
          <w:rFonts w:hint="eastAsia" w:cs="Times New Roman"/>
          <w:color w:val="FF0000"/>
          <w:highlight w:val="none"/>
          <w:lang w:val="en-US" w:eastAsia="zh-CN"/>
        </w:rPr>
        <w:t xml:space="preserve">            </w:t>
      </w:r>
      <w:r>
        <w:rPr>
          <w:rFonts w:hint="eastAsia" w:cs="Times New Roman"/>
          <w:color w:val="FF0000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91D100">
      <w:pPr>
        <w:pStyle w:val="3"/>
        <w:rPr>
          <w:color w:val="auto"/>
          <w:highlight w:val="none"/>
        </w:rPr>
      </w:pPr>
      <w:r>
        <w:rPr>
          <w:color w:val="auto"/>
          <w:highlight w:val="none"/>
        </w:rPr>
        <w:t>三、报价要求</w:t>
      </w:r>
    </w:p>
    <w:p w14:paraId="74662129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报价为含增值税包干价，税率6%。如国家税率调整，按合同含税价格/（1+合同约定税率）*（1+国家规定的新税率）调整合同价格开具发票</w:t>
      </w:r>
      <w:r>
        <w:rPr>
          <w:rFonts w:hint="eastAsia"/>
          <w:color w:val="auto"/>
          <w:highlight w:val="none"/>
          <w:lang w:eastAsia="zh-CN"/>
        </w:rPr>
        <w:t>。</w:t>
      </w:r>
      <w:r>
        <w:rPr>
          <w:rFonts w:hint="eastAsia"/>
          <w:color w:val="auto"/>
          <w:highlight w:val="none"/>
          <w:lang w:val="en-US" w:eastAsia="zh-CN"/>
        </w:rPr>
        <w:t>报价函格式见附件1</w:t>
      </w:r>
      <w:r>
        <w:rPr>
          <w:color w:val="auto"/>
          <w:highlight w:val="none"/>
        </w:rPr>
        <w:t>。</w:t>
      </w:r>
    </w:p>
    <w:p w14:paraId="6E64C763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（二）付款方式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highlight w:val="none"/>
        </w:rPr>
        <w:t>提交审计报告后，开具增值税专用发票，票到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入账后60天</w:t>
      </w:r>
      <w:r>
        <w:rPr>
          <w:rFonts w:hint="eastAsia" w:ascii="Times New Roman" w:hAnsi="Times New Roman" w:eastAsia="宋体" w:cs="Times New Roman"/>
          <w:color w:val="auto"/>
          <w:highlight w:val="none"/>
        </w:rPr>
        <w:t>内付款。</w:t>
      </w:r>
      <w:r>
        <w:rPr>
          <w:color w:val="auto"/>
          <w:highlight w:val="none"/>
        </w:rPr>
        <w:t>含税报价≥10万元以银行承兑支付，&lt;10万元以现汇支付。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（三）报价提交方式</w:t>
      </w:r>
    </w:p>
    <w:p w14:paraId="12F2DE97">
      <w:pPr>
        <w:numPr>
          <w:ilvl w:val="0"/>
          <w:numId w:val="0"/>
        </w:numPr>
        <w:spacing w:before="0" w:beforeAutospacing="1" w:after="0" w:afterAutospacing="1"/>
        <w:ind w:firstLine="422" w:firstLineChars="200"/>
        <w:rPr>
          <w:color w:val="auto"/>
          <w:highlight w:val="none"/>
        </w:rPr>
      </w:pPr>
      <w:r>
        <w:rPr>
          <w:b/>
          <w:color w:val="auto"/>
          <w:highlight w:val="none"/>
        </w:rPr>
        <w:t>线下报价</w:t>
      </w:r>
      <w:r>
        <w:rPr>
          <w:color w:val="auto"/>
          <w:highlight w:val="none"/>
        </w:rPr>
        <w:t>：密封送达</w:t>
      </w:r>
      <w:r>
        <w:rPr>
          <w:rFonts w:hint="eastAsia"/>
          <w:color w:val="auto"/>
          <w:highlight w:val="none"/>
          <w:lang w:val="en-US" w:eastAsia="zh-CN"/>
        </w:rPr>
        <w:t>或邮寄送达</w:t>
      </w:r>
      <w:r>
        <w:rPr>
          <w:color w:val="auto"/>
          <w:highlight w:val="none"/>
        </w:rPr>
        <w:t>（封条需加盖公章、法人章并注明密封日期；封面注明项目名称、供应商信息、联系方式），</w:t>
      </w:r>
      <w:r>
        <w:rPr>
          <w:rFonts w:hint="eastAsia"/>
          <w:color w:val="auto"/>
          <w:highlight w:val="none"/>
          <w:lang w:val="en-US" w:eastAsia="zh-CN"/>
        </w:rPr>
        <w:t>邮寄送达需电联报价联系人告知快递单号，逾期无效</w:t>
      </w:r>
      <w:r>
        <w:rPr>
          <w:color w:val="auto"/>
          <w:highlight w:val="none"/>
        </w:rPr>
        <w:t>。</w:t>
      </w:r>
    </w:p>
    <w:p w14:paraId="7C743C17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（四）送达地址及联系方式</w:t>
      </w:r>
    </w:p>
    <w:p w14:paraId="4E99EB60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收件单位</w:t>
      </w:r>
      <w:r>
        <w:rPr>
          <w:color w:val="auto"/>
          <w:highlight w:val="none"/>
        </w:rPr>
        <w:t>：江苏索普化工股份有限公司</w:t>
      </w:r>
      <w:r>
        <w:rPr>
          <w:rFonts w:hint="eastAsia"/>
          <w:color w:val="auto"/>
          <w:highlight w:val="none"/>
          <w:lang w:val="en-US" w:eastAsia="zh-CN"/>
        </w:rPr>
        <w:t>风险控制部</w:t>
      </w:r>
    </w:p>
    <w:p w14:paraId="09A9996A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地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   </w:t>
      </w:r>
      <w:r>
        <w:rPr>
          <w:b/>
          <w:color w:val="auto"/>
          <w:highlight w:val="none"/>
        </w:rPr>
        <w:t>址</w:t>
      </w:r>
      <w:r>
        <w:rPr>
          <w:color w:val="auto"/>
          <w:highlight w:val="none"/>
        </w:rPr>
        <w:t>：江苏省镇江市京口区求索路101号（邮编：212006）</w:t>
      </w:r>
    </w:p>
    <w:p w14:paraId="14CC59C7">
      <w:pPr>
        <w:numPr>
          <w:ilvl w:val="0"/>
          <w:numId w:val="4"/>
        </w:numPr>
        <w:spacing w:before="0" w:beforeAutospacing="1" w:after="0" w:afterAutospacing="1"/>
        <w:ind w:left="720" w:hanging="360"/>
        <w:rPr>
          <w:rFonts w:hint="default"/>
          <w:color w:val="auto"/>
          <w:highlight w:val="none"/>
          <w:lang w:val="en-US"/>
        </w:rPr>
      </w:pPr>
      <w:r>
        <w:rPr>
          <w:b/>
          <w:color w:val="auto"/>
          <w:highlight w:val="none"/>
        </w:rPr>
        <w:t>联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</w:t>
      </w:r>
      <w:r>
        <w:rPr>
          <w:b/>
          <w:color w:val="auto"/>
          <w:highlight w:val="none"/>
        </w:rPr>
        <w:t>系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</w:t>
      </w:r>
      <w:r>
        <w:rPr>
          <w:b/>
          <w:color w:val="auto"/>
          <w:highlight w:val="none"/>
        </w:rPr>
        <w:t>人</w:t>
      </w:r>
      <w:r>
        <w:rPr>
          <w:color w:val="auto"/>
          <w:highlight w:val="none"/>
        </w:rPr>
        <w:t>：</w:t>
      </w:r>
      <w:r>
        <w:rPr>
          <w:rFonts w:hint="eastAsia"/>
          <w:color w:val="auto"/>
          <w:highlight w:val="none"/>
          <w:lang w:val="en-US" w:eastAsia="zh-CN"/>
        </w:rPr>
        <w:t>张涵</w:t>
      </w:r>
      <w:r>
        <w:rPr>
          <w:color w:val="auto"/>
          <w:highlight w:val="none"/>
        </w:rPr>
        <w:t>，电话：</w:t>
      </w:r>
      <w:r>
        <w:rPr>
          <w:rFonts w:hint="eastAsia"/>
          <w:color w:val="auto"/>
          <w:highlight w:val="none"/>
          <w:lang w:val="en-US" w:eastAsia="zh-CN"/>
        </w:rPr>
        <w:t>15240278057</w:t>
      </w:r>
    </w:p>
    <w:p w14:paraId="46E1F8B6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（五）疑问咨询</w:t>
      </w:r>
    </w:p>
    <w:p w14:paraId="20BA2C34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color w:val="auto"/>
          <w:highlight w:val="none"/>
          <w:lang w:val="en-US" w:eastAsia="zh-CN"/>
        </w:rPr>
        <w:t>报价</w:t>
      </w:r>
      <w:r>
        <w:rPr>
          <w:b/>
          <w:color w:val="auto"/>
          <w:highlight w:val="none"/>
        </w:rPr>
        <w:t>联系人</w:t>
      </w:r>
      <w:r>
        <w:rPr>
          <w:color w:val="auto"/>
          <w:highlight w:val="none"/>
        </w:rPr>
        <w:t>：</w:t>
      </w:r>
      <w:r>
        <w:rPr>
          <w:rFonts w:hint="eastAsia"/>
          <w:color w:val="auto"/>
          <w:highlight w:val="none"/>
          <w:lang w:val="en-US" w:eastAsia="zh-CN"/>
        </w:rPr>
        <w:t>张涵15240278057</w:t>
      </w:r>
      <w:r>
        <w:rPr>
          <w:rFonts w:hint="eastAsia"/>
          <w:color w:val="auto"/>
          <w:highlight w:val="none"/>
          <w:lang w:eastAsia="zh-CN"/>
        </w:rPr>
        <w:t>（</w:t>
      </w:r>
      <w:r>
        <w:rPr>
          <w:rFonts w:hint="eastAsia"/>
          <w:color w:val="auto"/>
          <w:highlight w:val="none"/>
          <w:lang w:val="en-US" w:eastAsia="zh-CN"/>
        </w:rPr>
        <w:t>详情咨询</w:t>
      </w:r>
      <w:r>
        <w:rPr>
          <w:rFonts w:hint="eastAsia"/>
          <w:color w:val="auto"/>
          <w:highlight w:val="none"/>
          <w:lang w:eastAsia="zh-CN"/>
        </w:rPr>
        <w:t>）</w:t>
      </w:r>
    </w:p>
    <w:p w14:paraId="7A111C8A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rFonts w:hint="eastAsia"/>
          <w:b/>
          <w:color w:val="auto"/>
          <w:highlight w:val="none"/>
          <w:lang w:val="en-US" w:eastAsia="zh-CN"/>
        </w:rPr>
        <w:t>部门负责人</w:t>
      </w:r>
      <w:r>
        <w:rPr>
          <w:color w:val="auto"/>
          <w:highlight w:val="none"/>
        </w:rPr>
        <w:t>：</w:t>
      </w:r>
      <w:r>
        <w:rPr>
          <w:rFonts w:hint="eastAsia" w:ascii="Times New Roman" w:hAnsi="Times New Roman" w:eastAsia="宋体" w:cs="Times New Roman"/>
          <w:color w:val="auto"/>
          <w:highlight w:val="none"/>
          <w:lang w:val="en-US" w:eastAsia="zh-CN"/>
        </w:rPr>
        <w:t>汪莹13952852702</w:t>
      </w:r>
    </w:p>
    <w:p w14:paraId="21BF4B68">
      <w:pPr>
        <w:pStyle w:val="3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四</w:t>
      </w:r>
      <w:r>
        <w:rPr>
          <w:color w:val="auto"/>
          <w:highlight w:val="none"/>
        </w:rPr>
        <w:t>、其他要求</w:t>
      </w:r>
    </w:p>
    <w:p w14:paraId="26F2A39A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供应商资格</w:t>
      </w:r>
      <w:r>
        <w:rPr>
          <w:color w:val="auto"/>
          <w:highlight w:val="none"/>
        </w:rPr>
        <w:t>：不接受失信被执行人、重大违法案件当事人。</w:t>
      </w:r>
    </w:p>
    <w:p w14:paraId="3F116F3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售后服务</w:t>
      </w:r>
      <w:r>
        <w:rPr>
          <w:color w:val="auto"/>
          <w:highlight w:val="none"/>
        </w:rPr>
        <w:t>：电话响应≤8小时，明确解决方案。</w:t>
      </w:r>
    </w:p>
    <w:p w14:paraId="0059EF89">
      <w:pPr>
        <w:numPr>
          <w:ilvl w:val="0"/>
          <w:numId w:val="6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知识产权</w:t>
      </w:r>
      <w:r>
        <w:rPr>
          <w:color w:val="auto"/>
          <w:highlight w:val="none"/>
        </w:rPr>
        <w:t>：供应商承担所有知识产权纠纷责任。</w:t>
      </w:r>
    </w:p>
    <w:p w14:paraId="14247EF0">
      <w:pPr>
        <w:pStyle w:val="3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五</w:t>
      </w:r>
      <w:r>
        <w:rPr>
          <w:color w:val="auto"/>
          <w:highlight w:val="none"/>
        </w:rPr>
        <w:t>、评审流程</w:t>
      </w:r>
    </w:p>
    <w:p w14:paraId="31F18230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评</w:t>
      </w:r>
      <w:r>
        <w:rPr>
          <w:rFonts w:hint="eastAsia"/>
          <w:b/>
          <w:color w:val="auto"/>
          <w:highlight w:val="none"/>
          <w:lang w:val="en-US" w:eastAsia="zh-CN"/>
        </w:rPr>
        <w:t xml:space="preserve">    </w:t>
      </w:r>
      <w:r>
        <w:rPr>
          <w:b/>
          <w:color w:val="auto"/>
          <w:highlight w:val="none"/>
        </w:rPr>
        <w:t>审</w:t>
      </w:r>
      <w:r>
        <w:rPr>
          <w:color w:val="auto"/>
          <w:highlight w:val="none"/>
        </w:rPr>
        <w:t>：采购人组织评审小组，</w:t>
      </w:r>
      <w:r>
        <w:rPr>
          <w:rFonts w:hint="eastAsia"/>
          <w:color w:val="auto"/>
          <w:highlight w:val="none"/>
          <w:lang w:val="en-US" w:eastAsia="zh-CN"/>
        </w:rPr>
        <w:t>评审</w:t>
      </w:r>
      <w:r>
        <w:rPr>
          <w:color w:val="auto"/>
          <w:highlight w:val="none"/>
        </w:rPr>
        <w:t>供应商报价，供应商需保持通讯畅通。</w:t>
      </w:r>
    </w:p>
    <w:p w14:paraId="0F994B82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评定标准</w:t>
      </w:r>
      <w:r>
        <w:rPr>
          <w:color w:val="auto"/>
          <w:highlight w:val="none"/>
        </w:rPr>
        <w:t>：满足技术及供货期要求的供应商中，</w:t>
      </w:r>
      <w:r>
        <w:rPr>
          <w:rFonts w:hint="eastAsia"/>
          <w:color w:val="auto"/>
          <w:highlight w:val="none"/>
          <w:lang w:val="en-US" w:eastAsia="zh-CN"/>
        </w:rPr>
        <w:t>报价</w:t>
      </w:r>
      <w:r>
        <w:rPr>
          <w:color w:val="auto"/>
          <w:highlight w:val="none"/>
        </w:rPr>
        <w:t>最低者为成交候选人。</w:t>
      </w:r>
    </w:p>
    <w:p w14:paraId="3F9E105C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询价废止</w:t>
      </w:r>
      <w:r>
        <w:rPr>
          <w:color w:val="auto"/>
          <w:highlight w:val="none"/>
        </w:rPr>
        <w:t>：存在串通报价等违规行为的，作废并列入供应商负面清单。</w:t>
      </w:r>
    </w:p>
    <w:p w14:paraId="7C9B8AF9">
      <w:pPr>
        <w:numPr>
          <w:ilvl w:val="0"/>
          <w:numId w:val="7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无效报价</w:t>
      </w:r>
      <w:r>
        <w:rPr>
          <w:color w:val="auto"/>
          <w:highlight w:val="none"/>
        </w:rPr>
        <w:t>：资质不全、报价空项、不符合技术要求、价格明显偏离市场的，作无效处理。</w:t>
      </w:r>
    </w:p>
    <w:p w14:paraId="797A2A8A">
      <w:pPr>
        <w:pStyle w:val="3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六</w:t>
      </w:r>
      <w:r>
        <w:rPr>
          <w:color w:val="auto"/>
          <w:highlight w:val="none"/>
        </w:rPr>
        <w:t>、违约责任</w:t>
      </w:r>
    </w:p>
    <w:p w14:paraId="7CF2FB56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逾期交货</w:t>
      </w:r>
      <w:r>
        <w:rPr>
          <w:color w:val="auto"/>
          <w:highlight w:val="none"/>
        </w:rP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质量不合格</w:t>
      </w:r>
      <w:r>
        <w:rPr>
          <w:color w:val="auto"/>
          <w:highlight w:val="none"/>
        </w:rPr>
        <w:t>：</w:t>
      </w:r>
    </w:p>
    <w:p w14:paraId="6C6D2CED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  <w:highlight w:val="none"/>
        </w:rPr>
      </w:pPr>
      <w:r>
        <w:rPr>
          <w:color w:val="auto"/>
          <w:highlight w:val="none"/>
        </w:rP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8"/>
        </w:numPr>
        <w:spacing w:before="0" w:beforeAutospacing="1" w:after="0" w:afterAutospacing="1"/>
        <w:ind w:left="1440" w:hanging="360"/>
        <w:rPr>
          <w:color w:val="auto"/>
          <w:highlight w:val="none"/>
        </w:rPr>
      </w:pPr>
      <w:r>
        <w:rPr>
          <w:color w:val="auto"/>
          <w:highlight w:val="none"/>
        </w:rP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8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损失赔偿</w:t>
      </w:r>
      <w:r>
        <w:rPr>
          <w:color w:val="auto"/>
          <w:highlight w:val="none"/>
        </w:rPr>
        <w:t>：因质量或逾期造成的直接/间接损失，违约金不超过合同总价20%。</w:t>
      </w:r>
    </w:p>
    <w:p w14:paraId="1A94C3D1">
      <w:pPr>
        <w:pStyle w:val="3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七</w:t>
      </w:r>
      <w:r>
        <w:rPr>
          <w:color w:val="auto"/>
          <w:highlight w:val="none"/>
        </w:rPr>
        <w:t>、其他事项</w:t>
      </w:r>
    </w:p>
    <w:p w14:paraId="3E4BA11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成交人须按询价书签订合同，违约将面临中止合作风险。</w:t>
      </w:r>
    </w:p>
    <w:p w14:paraId="228D9EB6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产品需经采购人检验合格，长期合约三次不合格者终止合同。</w:t>
      </w:r>
    </w:p>
    <w:p w14:paraId="1E0C3DA3">
      <w:pPr>
        <w:numPr>
          <w:ilvl w:val="0"/>
          <w:numId w:val="9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违规供应商将列入负面清单，解释权归江苏索普化工股份有限公司</w:t>
      </w:r>
      <w:r>
        <w:rPr>
          <w:rFonts w:hint="eastAsia"/>
          <w:color w:val="auto"/>
          <w:highlight w:val="none"/>
          <w:lang w:val="en-US" w:eastAsia="zh-CN"/>
        </w:rPr>
        <w:t>风险控制部</w:t>
      </w:r>
      <w:r>
        <w:rPr>
          <w:color w:val="auto"/>
          <w:highlight w:val="none"/>
        </w:rPr>
        <w:t>。</w:t>
      </w:r>
    </w:p>
    <w:p w14:paraId="1D48D955">
      <w:pPr>
        <w:jc w:val="right"/>
        <w:rPr>
          <w:color w:val="auto"/>
          <w:highlight w:val="none"/>
        </w:rPr>
      </w:pPr>
    </w:p>
    <w:p w14:paraId="61B8DBE6">
      <w:pPr>
        <w:jc w:val="right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color w:val="auto"/>
          <w:highlight w:val="none"/>
          <w:lang w:val="en-US" w:eastAsia="zh-CN"/>
        </w:rPr>
      </w:pPr>
    </w:p>
    <w:p w14:paraId="4D3E071A">
      <w:pPr>
        <w:jc w:val="right"/>
        <w:rPr>
          <w:rFonts w:hint="eastAsia"/>
          <w:color w:val="auto"/>
          <w:highlight w:val="none"/>
          <w:lang w:val="en-US" w:eastAsia="zh-CN"/>
        </w:rPr>
      </w:pPr>
    </w:p>
    <w:p w14:paraId="7F5142DD">
      <w:pPr>
        <w:jc w:val="right"/>
        <w:rPr>
          <w:color w:val="auto"/>
          <w:highlight w:val="none"/>
        </w:rPr>
      </w:pPr>
      <w:r>
        <w:rPr>
          <w:color w:val="auto"/>
          <w:highlight w:val="none"/>
        </w:rPr>
        <w:t>江苏索普化工股份有限公司</w:t>
      </w:r>
      <w:r>
        <w:rPr>
          <w:rFonts w:hint="eastAsia"/>
          <w:color w:val="auto"/>
          <w:highlight w:val="none"/>
          <w:lang w:val="en-US" w:eastAsia="zh-CN"/>
        </w:rPr>
        <w:t>风险控制部</w:t>
      </w:r>
    </w:p>
    <w:p w14:paraId="26E9FD79">
      <w:pPr>
        <w:jc w:val="right"/>
        <w:rPr>
          <w:color w:val="auto"/>
          <w:highlight w:val="none"/>
        </w:rPr>
      </w:pPr>
      <w:r>
        <w:rPr>
          <w:color w:val="auto"/>
          <w:highlight w:val="none"/>
        </w:rPr>
        <w:t>日期：</w:t>
      </w:r>
      <w:r>
        <w:rPr>
          <w:color w:val="auto"/>
          <w:highlight w:val="none"/>
          <w:u w:val="single"/>
        </w:rPr>
        <w:t>__</w:t>
      </w:r>
      <w:r>
        <w:rPr>
          <w:rFonts w:hint="eastAsia"/>
          <w:color w:val="auto"/>
          <w:highlight w:val="none"/>
          <w:u w:val="single"/>
          <w:lang w:val="en-US" w:eastAsia="zh-CN"/>
        </w:rPr>
        <w:t>2026</w:t>
      </w:r>
      <w:r>
        <w:rPr>
          <w:color w:val="auto"/>
          <w:highlight w:val="none"/>
          <w:u w:val="single"/>
        </w:rPr>
        <w:t>__</w:t>
      </w:r>
      <w:r>
        <w:rPr>
          <w:color w:val="auto"/>
          <w:highlight w:val="none"/>
        </w:rPr>
        <w:t>年</w:t>
      </w:r>
      <w:r>
        <w:rPr>
          <w:color w:val="auto"/>
          <w:highlight w:val="none"/>
          <w:u w:val="single"/>
        </w:rPr>
        <w:t>_</w:t>
      </w:r>
      <w:r>
        <w:rPr>
          <w:rFonts w:hint="eastAsia"/>
          <w:color w:val="auto"/>
          <w:highlight w:val="none"/>
          <w:u w:val="single"/>
          <w:lang w:val="en-US" w:eastAsia="zh-CN"/>
        </w:rPr>
        <w:t>8</w:t>
      </w:r>
      <w:r>
        <w:rPr>
          <w:color w:val="auto"/>
          <w:highlight w:val="none"/>
          <w:u w:val="single"/>
        </w:rPr>
        <w:t>_</w:t>
      </w:r>
      <w:r>
        <w:rPr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u w:val="single"/>
          <w:lang w:val="en-US" w:eastAsia="zh-CN"/>
        </w:rPr>
        <w:t>13</w:t>
      </w:r>
      <w:bookmarkStart w:id="0" w:name="_GoBack"/>
      <w:bookmarkEnd w:id="0"/>
      <w:r>
        <w:rPr>
          <w:color w:val="auto"/>
          <w:highlight w:val="none"/>
        </w:rPr>
        <w:t>日</w:t>
      </w:r>
    </w:p>
    <w:p w14:paraId="3A4F3A57">
      <w:pPr>
        <w:jc w:val="right"/>
        <w:rPr>
          <w:color w:val="FF0000"/>
        </w:rPr>
      </w:pPr>
      <w:r>
        <w:rPr>
          <w:color w:val="FF0000"/>
        </w:rPr>
        <w:br w:type="page"/>
      </w:r>
    </w:p>
    <w:p w14:paraId="2E629C24">
      <w:pPr>
        <w:pStyle w:val="3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附件1</w:t>
      </w:r>
    </w:p>
    <w:p w14:paraId="756083B5">
      <w:pPr>
        <w:pStyle w:val="3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t>报价函</w:t>
      </w:r>
    </w:p>
    <w:p w14:paraId="58D07B85">
      <w:pPr>
        <w:rPr>
          <w:color w:val="auto"/>
          <w:highlight w:val="none"/>
        </w:rPr>
      </w:pPr>
      <w:r>
        <w:rPr>
          <w:b/>
          <w:color w:val="auto"/>
          <w:highlight w:val="none"/>
        </w:rPr>
        <w:t>江苏索普化工股份有限公司</w:t>
      </w:r>
      <w:r>
        <w:rPr>
          <w:color w:val="auto"/>
          <w:highlight w:val="none"/>
        </w:rPr>
        <w:t>：</w:t>
      </w:r>
    </w:p>
    <w:p w14:paraId="03DF583E">
      <w:pPr>
        <w:rPr>
          <w:color w:val="auto"/>
          <w:highlight w:val="none"/>
        </w:rPr>
      </w:pPr>
      <w:r>
        <w:rPr>
          <w:color w:val="auto"/>
          <w:highlight w:val="none"/>
        </w:rPr>
        <w:t>（报价单位全称）授权（全权代表姓名、职务）为全权代表，参加贵方公开询比价活动，报价如下：</w:t>
      </w:r>
    </w:p>
    <w:p w14:paraId="5C86A75D">
      <w:pPr>
        <w:pStyle w:val="13"/>
        <w:numPr>
          <w:ilvl w:val="0"/>
          <w:numId w:val="0"/>
        </w:numPr>
        <w:jc w:val="left"/>
        <w:rPr>
          <w:rFonts w:hint="default" w:ascii="Times New Roman" w:hAnsi="Times New Roman" w:eastAsia="宋体" w:cs="Times New Roman"/>
          <w:bCs w:val="0"/>
          <w:color w:val="auto"/>
          <w:sz w:val="21"/>
          <w:szCs w:val="24"/>
          <w:highlight w:val="none"/>
          <w:lang w:val="en-US" w:eastAsia="zh-CN" w:bidi="ar-SA"/>
        </w:rPr>
      </w:pPr>
      <w:r>
        <w:rPr>
          <w:b/>
          <w:color w:val="auto"/>
          <w:highlight w:val="none"/>
        </w:rPr>
        <w:t>项目总价（含税）</w:t>
      </w:r>
      <w:r>
        <w:rPr>
          <w:color w:val="auto"/>
          <w:highlight w:val="none"/>
        </w:rPr>
        <w:t>：</w:t>
      </w:r>
      <w:r>
        <w:rPr>
          <w:rFonts w:ascii="仿宋_GB2312" w:hAnsi="仿宋_GB2312" w:eastAsia="仿宋_GB2312" w:cs="仿宋_GB2312"/>
          <w:color w:val="auto"/>
          <w:kern w:val="1"/>
          <w:sz w:val="30"/>
          <w:szCs w:val="30"/>
          <w:highlight w:val="none"/>
          <w:u w:val="single"/>
        </w:rPr>
        <w:softHyphen/>
      </w:r>
      <w:r>
        <w:rPr>
          <w:rFonts w:hint="eastAsia" w:ascii="仿宋_GB2312" w:hAnsi="仿宋_GB2312" w:eastAsia="仿宋_GB2312" w:cs="仿宋_GB2312"/>
          <w:color w:val="auto"/>
          <w:kern w:val="1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</w:rPr>
        <w:t>(大写)：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</w:rPr>
        <w:t>元人民币；税率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auto"/>
          <w:kern w:val="1"/>
          <w:sz w:val="21"/>
          <w:szCs w:val="21"/>
          <w:highlight w:val="none"/>
        </w:rPr>
        <w:t>%，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highlight w:val="none"/>
          <w:lang w:val="en-US" w:eastAsia="zh-CN" w:bidi="ar-SA"/>
        </w:rPr>
        <w:t>项目包括：乙酯装置老旧设备改造项目</w:t>
      </w:r>
      <w:r>
        <w:rPr>
          <w:rFonts w:ascii="Times New Roman" w:hAnsi="Times New Roman" w:eastAsia="宋体" w:cs="Times New Roman"/>
          <w:bCs w:val="0"/>
          <w:color w:val="auto"/>
          <w:sz w:val="21"/>
          <w:szCs w:val="24"/>
          <w:highlight w:val="none"/>
          <w:lang w:val="en-US" w:eastAsia="zh-CN" w:bidi="ar-SA"/>
        </w:rPr>
        <w:t>竣工财务决算审计</w:t>
      </w:r>
      <w:r>
        <w:rPr>
          <w:rFonts w:hint="eastAsia" w:ascii="Times New Roman" w:hAnsi="Times New Roman" w:eastAsia="宋体" w:cs="Times New Roman"/>
          <w:bCs w:val="0"/>
          <w:color w:val="auto"/>
          <w:sz w:val="21"/>
          <w:szCs w:val="24"/>
          <w:highlight w:val="none"/>
          <w:lang w:val="en-US" w:eastAsia="zh-CN" w:bidi="ar-SA"/>
        </w:rPr>
        <w:t>、醋酸二期装置老旧设备改造项目</w:t>
      </w:r>
      <w:r>
        <w:rPr>
          <w:rFonts w:ascii="Times New Roman" w:hAnsi="Times New Roman" w:eastAsia="宋体" w:cs="Times New Roman"/>
          <w:bCs w:val="0"/>
          <w:color w:val="auto"/>
          <w:sz w:val="21"/>
          <w:szCs w:val="24"/>
          <w:highlight w:val="none"/>
          <w:lang w:val="en-US" w:eastAsia="zh-CN" w:bidi="ar-SA"/>
        </w:rPr>
        <w:t>竣工财务决算审计</w:t>
      </w:r>
    </w:p>
    <w:p w14:paraId="5A4FFAD1">
      <w:pPr>
        <w:pStyle w:val="13"/>
        <w:ind w:left="0" w:leftChars="0" w:firstLine="0" w:firstLineChars="0"/>
        <w:rPr>
          <w:color w:val="auto"/>
          <w:highlight w:val="none"/>
        </w:rPr>
      </w:pPr>
    </w:p>
    <w:p w14:paraId="167DA178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交货时间</w:t>
      </w:r>
      <w:r>
        <w:rPr>
          <w:color w:val="auto"/>
          <w:highlight w:val="none"/>
        </w:rPr>
        <w:t>：________________________。</w:t>
      </w:r>
    </w:p>
    <w:p w14:paraId="7E6B970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color w:val="auto"/>
          <w:highlight w:val="none"/>
        </w:rPr>
        <w:t>愿意提供与报价相关的所有数据、资料，理解贵方无义务接受最低价或任何报价。</w:t>
      </w:r>
    </w:p>
    <w:p w14:paraId="6B11732D">
      <w:pPr>
        <w:numPr>
          <w:ilvl w:val="0"/>
          <w:numId w:val="10"/>
        </w:numPr>
        <w:spacing w:before="0" w:beforeAutospacing="1" w:after="0" w:afterAutospacing="1"/>
        <w:ind w:left="720" w:hanging="360"/>
        <w:rPr>
          <w:color w:val="auto"/>
          <w:highlight w:val="none"/>
        </w:rPr>
      </w:pPr>
      <w:r>
        <w:rPr>
          <w:b/>
          <w:color w:val="auto"/>
          <w:highlight w:val="none"/>
        </w:rPr>
        <w:t>不接受项</w:t>
      </w:r>
      <w:r>
        <w:rPr>
          <w:color w:val="auto"/>
          <w:highlight w:val="none"/>
        </w:rPr>
        <w:t>：________________________。</w:t>
      </w:r>
    </w:p>
    <w:p w14:paraId="1D8C735C">
      <w:pPr>
        <w:rPr>
          <w:color w:val="auto"/>
          <w:highlight w:val="none"/>
        </w:rPr>
      </w:pPr>
      <w:r>
        <w:rPr>
          <w:b/>
          <w:color w:val="auto"/>
          <w:highlight w:val="none"/>
        </w:rPr>
        <w:t>承诺</w:t>
      </w:r>
      <w:r>
        <w:rPr>
          <w:color w:val="auto"/>
          <w:highlight w:val="none"/>
        </w:rPr>
        <w:t>：遵守询价书规定，及时签订合同并履行责任；</w:t>
      </w:r>
      <w:r>
        <w:rPr>
          <w:rFonts w:hint="eastAsia"/>
          <w:color w:val="auto"/>
          <w:highlight w:val="none"/>
          <w:lang w:val="en-US" w:eastAsia="zh-CN"/>
        </w:rPr>
        <w:t>不串通报价</w:t>
      </w:r>
      <w:r>
        <w:rPr>
          <w:color w:val="auto"/>
          <w:highlight w:val="none"/>
        </w:rPr>
        <w:t>，信息真实有效；接受贵方核查与审计。如违反，承担法律责任及相关处理。</w:t>
      </w:r>
    </w:p>
    <w:p w14:paraId="0F5911FA">
      <w:pPr>
        <w:rPr>
          <w:color w:val="auto"/>
          <w:highlight w:val="none"/>
        </w:rPr>
      </w:pPr>
      <w:r>
        <w:rPr>
          <w:color w:val="auto"/>
          <w:highlight w:val="none"/>
        </w:rPr>
        <w:t>全权代表（签字）：________ 联系电话：________</w:t>
      </w:r>
    </w:p>
    <w:p w14:paraId="00829DAD">
      <w:pPr>
        <w:rPr>
          <w:color w:val="auto"/>
          <w:highlight w:val="none"/>
        </w:rPr>
      </w:pPr>
      <w:r>
        <w:rPr>
          <w:color w:val="auto"/>
          <w:highlight w:val="none"/>
        </w:rPr>
        <w:t>报价单位（盖章）：________ 日期：____年__月__日</w:t>
      </w:r>
    </w:p>
    <w:p w14:paraId="7CC6A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  <w:rPr>
          <w:rFonts w:hint="eastAsia"/>
          <w:color w:val="FF000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7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2109A"/>
    <w:rsid w:val="01785B98"/>
    <w:rsid w:val="018E53BB"/>
    <w:rsid w:val="03661A20"/>
    <w:rsid w:val="03C2759E"/>
    <w:rsid w:val="04B50EB1"/>
    <w:rsid w:val="05341E77"/>
    <w:rsid w:val="05634469"/>
    <w:rsid w:val="05AA02EA"/>
    <w:rsid w:val="05D37841"/>
    <w:rsid w:val="05E530D0"/>
    <w:rsid w:val="06145C5B"/>
    <w:rsid w:val="07FC3E74"/>
    <w:rsid w:val="080F08D8"/>
    <w:rsid w:val="09297778"/>
    <w:rsid w:val="0A2763AD"/>
    <w:rsid w:val="0A590531"/>
    <w:rsid w:val="0B1408EB"/>
    <w:rsid w:val="0BE8391A"/>
    <w:rsid w:val="0D1A3FA7"/>
    <w:rsid w:val="0D200E92"/>
    <w:rsid w:val="0D7F554F"/>
    <w:rsid w:val="0D814026"/>
    <w:rsid w:val="0E6A2D0C"/>
    <w:rsid w:val="0E7D2A40"/>
    <w:rsid w:val="0ED2440E"/>
    <w:rsid w:val="10006568"/>
    <w:rsid w:val="1057106E"/>
    <w:rsid w:val="10EC17B7"/>
    <w:rsid w:val="1144022D"/>
    <w:rsid w:val="11472E91"/>
    <w:rsid w:val="115F2023"/>
    <w:rsid w:val="12922C84"/>
    <w:rsid w:val="12AA36D7"/>
    <w:rsid w:val="12FB3F33"/>
    <w:rsid w:val="134678C7"/>
    <w:rsid w:val="13D749A0"/>
    <w:rsid w:val="13EC5F71"/>
    <w:rsid w:val="143C4803"/>
    <w:rsid w:val="147931F1"/>
    <w:rsid w:val="14D05D11"/>
    <w:rsid w:val="15386004"/>
    <w:rsid w:val="15763384"/>
    <w:rsid w:val="15D66ED9"/>
    <w:rsid w:val="15E866B4"/>
    <w:rsid w:val="15F1304B"/>
    <w:rsid w:val="172E7B8E"/>
    <w:rsid w:val="172F4AF3"/>
    <w:rsid w:val="179032F8"/>
    <w:rsid w:val="17920BDE"/>
    <w:rsid w:val="18047D2E"/>
    <w:rsid w:val="18371EB1"/>
    <w:rsid w:val="18D45952"/>
    <w:rsid w:val="19297320"/>
    <w:rsid w:val="194A1A99"/>
    <w:rsid w:val="1B3B1CB8"/>
    <w:rsid w:val="1C0D408C"/>
    <w:rsid w:val="1CA67605"/>
    <w:rsid w:val="1D43117C"/>
    <w:rsid w:val="1D7C655F"/>
    <w:rsid w:val="1DAD5074"/>
    <w:rsid w:val="1E1521F8"/>
    <w:rsid w:val="1E594203"/>
    <w:rsid w:val="1F026649"/>
    <w:rsid w:val="1F354E12"/>
    <w:rsid w:val="1F6E1F30"/>
    <w:rsid w:val="1FB367D9"/>
    <w:rsid w:val="20E93F65"/>
    <w:rsid w:val="225E003A"/>
    <w:rsid w:val="22743D02"/>
    <w:rsid w:val="228D7161"/>
    <w:rsid w:val="23130100"/>
    <w:rsid w:val="243F3E9B"/>
    <w:rsid w:val="247C629F"/>
    <w:rsid w:val="24960418"/>
    <w:rsid w:val="24E05525"/>
    <w:rsid w:val="27576635"/>
    <w:rsid w:val="27673E35"/>
    <w:rsid w:val="277327DA"/>
    <w:rsid w:val="284C097D"/>
    <w:rsid w:val="28893937"/>
    <w:rsid w:val="28E514B5"/>
    <w:rsid w:val="298B39A7"/>
    <w:rsid w:val="2A6C52BE"/>
    <w:rsid w:val="2B2D2106"/>
    <w:rsid w:val="2B8C00D9"/>
    <w:rsid w:val="2D466A4A"/>
    <w:rsid w:val="2D6D29C6"/>
    <w:rsid w:val="2E0B376C"/>
    <w:rsid w:val="2E730AF8"/>
    <w:rsid w:val="2EE67D35"/>
    <w:rsid w:val="2EEE0779"/>
    <w:rsid w:val="2F824376"/>
    <w:rsid w:val="2FBF67B3"/>
    <w:rsid w:val="2FE74170"/>
    <w:rsid w:val="30401C15"/>
    <w:rsid w:val="30DA11D4"/>
    <w:rsid w:val="31490108"/>
    <w:rsid w:val="31B859B9"/>
    <w:rsid w:val="31EB1F9F"/>
    <w:rsid w:val="33D26ADA"/>
    <w:rsid w:val="3623361D"/>
    <w:rsid w:val="36A4475E"/>
    <w:rsid w:val="3840162B"/>
    <w:rsid w:val="3D505024"/>
    <w:rsid w:val="3E157CEF"/>
    <w:rsid w:val="3E4031C1"/>
    <w:rsid w:val="40175FA1"/>
    <w:rsid w:val="41AA2E44"/>
    <w:rsid w:val="41B84E1D"/>
    <w:rsid w:val="421C59A4"/>
    <w:rsid w:val="42535616"/>
    <w:rsid w:val="43160791"/>
    <w:rsid w:val="432D5ADB"/>
    <w:rsid w:val="43B27D8E"/>
    <w:rsid w:val="43C81360"/>
    <w:rsid w:val="44093E52"/>
    <w:rsid w:val="44E0062E"/>
    <w:rsid w:val="45D95AA6"/>
    <w:rsid w:val="49BF4FB3"/>
    <w:rsid w:val="4A563B69"/>
    <w:rsid w:val="4AC251FD"/>
    <w:rsid w:val="4AD351BA"/>
    <w:rsid w:val="4AE1260F"/>
    <w:rsid w:val="4AEC627C"/>
    <w:rsid w:val="4BD96800"/>
    <w:rsid w:val="4C4A025D"/>
    <w:rsid w:val="4CC27294"/>
    <w:rsid w:val="4DA92202"/>
    <w:rsid w:val="4DDC25D7"/>
    <w:rsid w:val="4DDE00FE"/>
    <w:rsid w:val="4E50267E"/>
    <w:rsid w:val="50DF55D9"/>
    <w:rsid w:val="50EA5B3B"/>
    <w:rsid w:val="511217B8"/>
    <w:rsid w:val="513A2283"/>
    <w:rsid w:val="53310CD0"/>
    <w:rsid w:val="53334A48"/>
    <w:rsid w:val="53682217"/>
    <w:rsid w:val="538F59F6"/>
    <w:rsid w:val="53E06252"/>
    <w:rsid w:val="5492226E"/>
    <w:rsid w:val="54C067AF"/>
    <w:rsid w:val="54C85664"/>
    <w:rsid w:val="5757315A"/>
    <w:rsid w:val="58035889"/>
    <w:rsid w:val="58113834"/>
    <w:rsid w:val="59266DFD"/>
    <w:rsid w:val="5A702373"/>
    <w:rsid w:val="5B303F63"/>
    <w:rsid w:val="5C5C00FB"/>
    <w:rsid w:val="5DA1385F"/>
    <w:rsid w:val="5E8E4B64"/>
    <w:rsid w:val="5FED582A"/>
    <w:rsid w:val="60681AA9"/>
    <w:rsid w:val="60E94998"/>
    <w:rsid w:val="618C5914"/>
    <w:rsid w:val="626F711E"/>
    <w:rsid w:val="62DB0C58"/>
    <w:rsid w:val="6326564D"/>
    <w:rsid w:val="638D599C"/>
    <w:rsid w:val="63B75221"/>
    <w:rsid w:val="63F87D96"/>
    <w:rsid w:val="64872E45"/>
    <w:rsid w:val="64B90B25"/>
    <w:rsid w:val="64DE616D"/>
    <w:rsid w:val="654C3747"/>
    <w:rsid w:val="65F52031"/>
    <w:rsid w:val="67B04461"/>
    <w:rsid w:val="685F3791"/>
    <w:rsid w:val="693052F5"/>
    <w:rsid w:val="694037F5"/>
    <w:rsid w:val="6A230B6F"/>
    <w:rsid w:val="6ACE4BFE"/>
    <w:rsid w:val="6BF40694"/>
    <w:rsid w:val="6D610AD4"/>
    <w:rsid w:val="6D7E0B5E"/>
    <w:rsid w:val="6DD76B71"/>
    <w:rsid w:val="6DFB0400"/>
    <w:rsid w:val="6E032E11"/>
    <w:rsid w:val="6EAA61E1"/>
    <w:rsid w:val="6F4B2A10"/>
    <w:rsid w:val="70651B61"/>
    <w:rsid w:val="70D2369A"/>
    <w:rsid w:val="71F4068C"/>
    <w:rsid w:val="721455EC"/>
    <w:rsid w:val="725531A4"/>
    <w:rsid w:val="72847AF0"/>
    <w:rsid w:val="72A03324"/>
    <w:rsid w:val="73D2750D"/>
    <w:rsid w:val="756659BC"/>
    <w:rsid w:val="759F79A2"/>
    <w:rsid w:val="76426BCC"/>
    <w:rsid w:val="76AA651F"/>
    <w:rsid w:val="7A995229"/>
    <w:rsid w:val="7B106F4E"/>
    <w:rsid w:val="7B1A0118"/>
    <w:rsid w:val="7B3B62E0"/>
    <w:rsid w:val="7BAB6FC2"/>
    <w:rsid w:val="7BB06386"/>
    <w:rsid w:val="7E1D1CCD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kern w:val="0"/>
      <w:sz w:val="20"/>
      <w:szCs w:val="21"/>
    </w:rPr>
  </w:style>
  <w:style w:type="paragraph" w:styleId="6">
    <w:name w:val="Body Text"/>
    <w:basedOn w:val="1"/>
    <w:next w:val="7"/>
    <w:qFormat/>
    <w:uiPriority w:val="0"/>
    <w:rPr>
      <w:rFonts w:ascii="仿宋_GB2312" w:eastAsia="仿宋_GB2312"/>
      <w:sz w:val="28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正文缩进正文（首行缩进两字） + 宋体 行距: 1.5 倍行距"/>
    <w:basedOn w:val="5"/>
    <w:qFormat/>
    <w:uiPriority w:val="0"/>
    <w:pPr>
      <w:adjustRightInd w:val="0"/>
      <w:spacing w:line="300" w:lineRule="auto"/>
      <w:ind w:firstLine="482"/>
      <w:jc w:val="left"/>
      <w:textAlignment w:val="baseline"/>
    </w:pPr>
    <w:rPr>
      <w:rFonts w:ascii="宋体" w:hAnsi="宋体"/>
      <w:bCs/>
      <w:sz w:val="24"/>
    </w:rPr>
  </w:style>
  <w:style w:type="character" w:customStyle="1" w:styleId="14">
    <w:name w:val="font91"/>
    <w:basedOn w:val="11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5">
    <w:name w:val="font101"/>
    <w:basedOn w:val="11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6">
    <w:name w:val="font4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112"/>
    <w:basedOn w:val="11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3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0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8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7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2606</Words>
  <Characters>2752</Characters>
  <Lines>0</Lines>
  <Paragraphs>0</Paragraphs>
  <TotalTime>10</TotalTime>
  <ScaleCrop>false</ScaleCrop>
  <LinksUpToDate>false</LinksUpToDate>
  <CharactersWithSpaces>4271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张涵</cp:lastModifiedBy>
  <cp:lastPrinted>2026-01-13T08:37:00Z</cp:lastPrinted>
  <dcterms:modified xsi:type="dcterms:W3CDTF">2026-08-13T02:55:28Z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eyJoZGlkIjoiNzJhN2Q4ODkyNDA1OGVjODU4OTU4MDY1YWRhNjc4MjAiLCJ1c2VySWQiOiIxNzk5MTY3NTU0In0=</vt:lpwstr>
  </property>
  <property fmtid="{D5CDD505-2E9C-101B-9397-08002B2CF9AE}" pid="4" name="ICV">
    <vt:lpwstr>AC08B15DEC824E5996F0D7D741009FFB_12</vt:lpwstr>
  </property>
</Properties>
</file>