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ascii="Times New Roman" w:hAnsi="Times New Roman" w:cs="Times New Roman"/>
          <w:lang w:val="en-US" w:eastAsia="zh-CN"/>
        </w:rPr>
        <w:t>护栏90米及装置护栏立柱40只</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：2026年8月21日9：30（北京时间）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天内（如无法满足请在报价时注明）</w:t>
      </w:r>
    </w:p>
    <w:p w14:paraId="09A330B4">
      <w:pPr>
        <w:numPr>
          <w:ilvl w:val="0"/>
          <w:numId w:val="1"/>
        </w:numPr>
        <w:spacing w:before="0" w:beforeAutospacing="1" w:after="0" w:afterAutospacing="1"/>
        <w:ind w:left="720" w:hanging="360"/>
        <w:rPr>
          <w:rFonts w:hint="eastAsia" w:ascii="Times New Roman" w:hAnsi="Times New Roman" w:cs="Times New Roman"/>
        </w:rPr>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仓库（江苏省镇江市京口区求索路88号）</w:t>
      </w:r>
    </w:p>
    <w:p w14:paraId="69BCA1B6">
      <w:pPr>
        <w:numPr>
          <w:ilvl w:val="0"/>
          <w:numId w:val="1"/>
        </w:numPr>
        <w:spacing w:before="0" w:beforeAutospacing="1" w:after="0" w:afterAutospacing="1"/>
        <w:ind w:left="720" w:hanging="360"/>
        <w:rPr>
          <w:rFonts w:hint="eastAsia" w:ascii="Times New Roman" w:hAnsi="Times New Roman" w:cs="Times New Roman"/>
        </w:rPr>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Style w:val="8"/>
          <w:rFonts w:hint="eastAsia" w:ascii="Times New Roman" w:hAnsi="Times New Roman" w:cs="Times New Roman"/>
        </w:rPr>
        <w:t>。</w:t>
      </w:r>
      <w:r>
        <w:rPr>
          <w:rFonts w:hint="eastAsia"/>
          <w:lang w:val="en-US" w:eastAsia="zh-CN"/>
        </w:rPr>
        <w:fldChar w:fldCharType="end"/>
      </w:r>
    </w:p>
    <w:p w14:paraId="07675AEA">
      <w:pPr>
        <w:ind w:firstLine="420" w:firstLineChars="200"/>
        <w:rPr>
          <w:rFonts w:hint="eastAsia" w:ascii="Times New Roman" w:hAnsi="Times New Roman" w:cs="Times New Roman"/>
        </w:rPr>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5"/>
        <w:gridCol w:w="1616"/>
        <w:gridCol w:w="1610"/>
        <w:gridCol w:w="1467"/>
        <w:gridCol w:w="792"/>
        <w:gridCol w:w="953"/>
        <w:gridCol w:w="1377"/>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2E910CDC">
            <w:pPr>
              <w:snapToGrid w:val="0"/>
              <w:ind w:left="0" w:leftChars="0" w:right="0" w:rightChars="0" w:firstLine="0" w:firstLineChars="0"/>
              <w:jc w:val="center"/>
              <w:rPr>
                <w:rFonts w:hint="eastAsia" w:eastAsia="宋体"/>
                <w:b/>
                <w:lang w:eastAsia="zh-CN"/>
              </w:rPr>
            </w:pPr>
            <w:r>
              <w:rPr>
                <w:rFonts w:hint="eastAsia"/>
                <w:b/>
                <w:lang w:val="en-US" w:eastAsia="zh-CN"/>
              </w:rPr>
              <w:t>序号</w:t>
            </w:r>
          </w:p>
        </w:tc>
        <w:tc>
          <w:tcPr>
            <w:tcW w:w="1616" w:type="dxa"/>
            <w:tcMar>
              <w:left w:w="108" w:type="dxa"/>
              <w:right w:w="108" w:type="dxa"/>
            </w:tcMar>
            <w:vAlign w:val="center"/>
          </w:tcPr>
          <w:p w14:paraId="271F0396">
            <w:pPr>
              <w:snapToGrid w:val="0"/>
              <w:ind w:left="0" w:leftChars="0" w:right="0" w:rightChars="0" w:firstLine="0" w:firstLineChars="0"/>
              <w:jc w:val="center"/>
              <w:rPr>
                <w:b/>
              </w:rPr>
            </w:pPr>
            <w:r>
              <w:rPr>
                <w:b/>
              </w:rPr>
              <w:t>物料编码</w:t>
            </w:r>
          </w:p>
        </w:tc>
        <w:tc>
          <w:tcPr>
            <w:tcW w:w="1610"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1467"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92"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53"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1377"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使用部门</w:t>
            </w:r>
          </w:p>
        </w:tc>
      </w:tr>
      <w:tr w14:paraId="7021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6E9385CD">
            <w:pPr>
              <w:snapToGrid w:val="0"/>
              <w:ind w:left="0" w:leftChars="0" w:right="0" w:rightChars="0" w:firstLine="0" w:firstLineChars="0"/>
              <w:jc w:val="center"/>
              <w:rPr>
                <w:rFonts w:hint="default"/>
                <w:b w:val="0"/>
                <w:bCs/>
                <w:lang w:val="en-US" w:eastAsia="zh-CN"/>
              </w:rPr>
            </w:pPr>
            <w:r>
              <w:rPr>
                <w:rFonts w:hint="eastAsia"/>
                <w:b w:val="0"/>
                <w:bCs/>
                <w:lang w:val="en-US" w:eastAsia="zh-CN"/>
              </w:rPr>
              <w:t>1</w:t>
            </w:r>
          </w:p>
        </w:tc>
        <w:tc>
          <w:tcPr>
            <w:tcW w:w="1616" w:type="dxa"/>
            <w:tcMar>
              <w:left w:w="108" w:type="dxa"/>
              <w:right w:w="108" w:type="dxa"/>
            </w:tcMar>
            <w:vAlign w:val="center"/>
          </w:tcPr>
          <w:p w14:paraId="188557CD">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06150000000089</w:t>
            </w:r>
          </w:p>
        </w:tc>
        <w:tc>
          <w:tcPr>
            <w:tcW w:w="1610" w:type="dxa"/>
            <w:tcMar>
              <w:left w:w="108" w:type="dxa"/>
              <w:right w:w="108" w:type="dxa"/>
            </w:tcMar>
            <w:vAlign w:val="center"/>
          </w:tcPr>
          <w:p w14:paraId="11405DC1">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装置护栏立柱</w:t>
            </w:r>
          </w:p>
        </w:tc>
        <w:tc>
          <w:tcPr>
            <w:tcW w:w="1467" w:type="dxa"/>
            <w:tcMar>
              <w:left w:w="108" w:type="dxa"/>
              <w:right w:w="108" w:type="dxa"/>
            </w:tcMar>
            <w:vAlign w:val="center"/>
          </w:tcPr>
          <w:p w14:paraId="11793553">
            <w:pPr>
              <w:keepNext w:val="0"/>
              <w:keepLines w:val="0"/>
              <w:widowControl/>
              <w:suppressLineNumbers w:val="0"/>
              <w:jc w:val="center"/>
              <w:textAlignment w:val="center"/>
              <w:rPr>
                <w:b/>
              </w:rPr>
            </w:pPr>
            <w:r>
              <w:rPr>
                <w:rFonts w:hint="eastAsia" w:ascii="宋体" w:hAnsi="宋体" w:eastAsia="宋体" w:cs="宋体"/>
                <w:i w:val="0"/>
                <w:iCs w:val="0"/>
                <w:color w:val="000000"/>
                <w:kern w:val="0"/>
                <w:sz w:val="20"/>
                <w:szCs w:val="20"/>
                <w:u w:val="none"/>
                <w:lang w:val="en-US" w:eastAsia="zh-CN" w:bidi="ar"/>
              </w:rPr>
              <w:t>高度970mm，厚度不小于1mm,柱底黑色,底座需作配重处理（</w:t>
            </w:r>
            <w:r>
              <w:rPr>
                <w:rFonts w:hint="eastAsia" w:ascii="宋体" w:hAnsi="宋体" w:eastAsia="宋体" w:cs="宋体"/>
                <w:i w:val="0"/>
                <w:iCs w:val="0"/>
                <w:color w:val="FF0000"/>
                <w:kern w:val="0"/>
                <w:sz w:val="20"/>
                <w:szCs w:val="20"/>
                <w:u w:val="none"/>
                <w:lang w:val="en-US" w:eastAsia="zh-CN" w:bidi="ar"/>
              </w:rPr>
              <w:t>灌装水泥</w:t>
            </w:r>
            <w:r>
              <w:rPr>
                <w:rFonts w:hint="eastAsia" w:ascii="宋体" w:hAnsi="宋体" w:cs="宋体"/>
                <w:i w:val="0"/>
                <w:iCs w:val="0"/>
                <w:color w:val="FF0000"/>
                <w:kern w:val="0"/>
                <w:sz w:val="20"/>
                <w:szCs w:val="20"/>
                <w:u w:val="none"/>
                <w:lang w:val="en-US" w:eastAsia="zh-CN" w:bidi="ar"/>
              </w:rPr>
              <w:t>，见图</w:t>
            </w:r>
            <w:bookmarkStart w:id="0" w:name="_GoBack"/>
            <w:bookmarkEnd w:id="0"/>
            <w:r>
              <w:rPr>
                <w:rFonts w:hint="eastAsia" w:ascii="宋体" w:hAnsi="宋体" w:eastAsia="宋体" w:cs="宋体"/>
                <w:i w:val="0"/>
                <w:iCs w:val="0"/>
                <w:color w:val="000000"/>
                <w:kern w:val="0"/>
                <w:sz w:val="20"/>
                <w:szCs w:val="20"/>
                <w:u w:val="none"/>
                <w:lang w:val="en-US" w:eastAsia="zh-CN" w:bidi="ar"/>
              </w:rPr>
              <w:t>）,立柱白色（两边上下都含侧耳）与护栏相匹配，含地钉等配件，塑钢，详细尺寸见图片</w:t>
            </w:r>
          </w:p>
        </w:tc>
        <w:tc>
          <w:tcPr>
            <w:tcW w:w="792" w:type="dxa"/>
            <w:tcMar>
              <w:left w:w="108" w:type="dxa"/>
              <w:right w:w="108" w:type="dxa"/>
            </w:tcMar>
            <w:vAlign w:val="center"/>
          </w:tcPr>
          <w:p w14:paraId="1FE257F5">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只</w:t>
            </w:r>
          </w:p>
        </w:tc>
        <w:tc>
          <w:tcPr>
            <w:tcW w:w="953" w:type="dxa"/>
            <w:tcMar>
              <w:left w:w="108" w:type="dxa"/>
              <w:right w:w="108" w:type="dxa"/>
            </w:tcMar>
            <w:vAlign w:val="center"/>
          </w:tcPr>
          <w:p w14:paraId="700B0B0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40</w:t>
            </w:r>
          </w:p>
        </w:tc>
        <w:tc>
          <w:tcPr>
            <w:tcW w:w="1377" w:type="dxa"/>
            <w:tcMar>
              <w:left w:w="108" w:type="dxa"/>
              <w:right w:w="108" w:type="dxa"/>
            </w:tcMar>
            <w:vAlign w:val="center"/>
          </w:tcPr>
          <w:p w14:paraId="5C731BD6">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r w14:paraId="51F6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6726EA33">
            <w:pPr>
              <w:snapToGrid w:val="0"/>
              <w:ind w:left="0" w:leftChars="0" w:right="0" w:rightChars="0" w:firstLine="0" w:firstLineChars="0"/>
              <w:jc w:val="center"/>
              <w:rPr>
                <w:rFonts w:hint="default"/>
                <w:b w:val="0"/>
                <w:bCs/>
                <w:lang w:val="en-US" w:eastAsia="zh-CN"/>
              </w:rPr>
            </w:pPr>
            <w:r>
              <w:rPr>
                <w:rFonts w:hint="eastAsia"/>
                <w:b w:val="0"/>
                <w:bCs/>
                <w:lang w:val="en-US" w:eastAsia="zh-CN"/>
              </w:rPr>
              <w:t>2</w:t>
            </w:r>
          </w:p>
        </w:tc>
        <w:tc>
          <w:tcPr>
            <w:tcW w:w="1616" w:type="dxa"/>
            <w:tcMar>
              <w:left w:w="108" w:type="dxa"/>
              <w:right w:w="108" w:type="dxa"/>
            </w:tcMar>
            <w:vAlign w:val="center"/>
          </w:tcPr>
          <w:p w14:paraId="0D63092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06150000000091</w:t>
            </w:r>
          </w:p>
        </w:tc>
        <w:tc>
          <w:tcPr>
            <w:tcW w:w="1610" w:type="dxa"/>
            <w:tcMar>
              <w:left w:w="108" w:type="dxa"/>
              <w:right w:w="108" w:type="dxa"/>
            </w:tcMar>
            <w:vAlign w:val="center"/>
          </w:tcPr>
          <w:p w14:paraId="57AF7001">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护栏</w:t>
            </w:r>
          </w:p>
        </w:tc>
        <w:tc>
          <w:tcPr>
            <w:tcW w:w="1467" w:type="dxa"/>
            <w:tcMar>
              <w:left w:w="108" w:type="dxa"/>
              <w:right w:w="108" w:type="dxa"/>
            </w:tcMar>
            <w:vAlign w:val="center"/>
          </w:tcPr>
          <w:p w14:paraId="76C6E392">
            <w:pPr>
              <w:keepNext w:val="0"/>
              <w:keepLines w:val="0"/>
              <w:widowControl/>
              <w:suppressLineNumbers w:val="0"/>
              <w:jc w:val="center"/>
              <w:textAlignment w:val="center"/>
              <w:rPr>
                <w:rFonts w:hint="default"/>
                <w:b/>
                <w:lang w:val="en-US"/>
              </w:rPr>
            </w:pPr>
            <w:r>
              <w:rPr>
                <w:rFonts w:hint="eastAsia" w:ascii="宋体" w:hAnsi="宋体" w:eastAsia="宋体" w:cs="宋体"/>
                <w:i w:val="0"/>
                <w:iCs w:val="0"/>
                <w:color w:val="000000"/>
                <w:kern w:val="0"/>
                <w:sz w:val="20"/>
                <w:szCs w:val="20"/>
                <w:u w:val="none"/>
                <w:lang w:val="en-US" w:eastAsia="zh-CN" w:bidi="ar"/>
              </w:rPr>
              <w:t>长度30</w:t>
            </w:r>
            <w:r>
              <w:rPr>
                <w:rFonts w:hint="eastAsia" w:ascii="宋体" w:hAnsi="宋体" w:cs="宋体"/>
                <w:i w:val="0"/>
                <w:iCs w:val="0"/>
                <w:color w:val="000000"/>
                <w:kern w:val="0"/>
                <w:sz w:val="20"/>
                <w:szCs w:val="20"/>
                <w:u w:val="none"/>
                <w:lang w:val="en-US" w:eastAsia="zh-CN" w:bidi="ar"/>
              </w:rPr>
              <w:t>8</w:t>
            </w:r>
            <w:r>
              <w:rPr>
                <w:rFonts w:hint="eastAsia" w:ascii="宋体" w:hAnsi="宋体" w:eastAsia="宋体" w:cs="宋体"/>
                <w:i w:val="0"/>
                <w:iCs w:val="0"/>
                <w:color w:val="000000"/>
                <w:kern w:val="0"/>
                <w:sz w:val="20"/>
                <w:szCs w:val="20"/>
                <w:u w:val="none"/>
                <w:lang w:val="en-US" w:eastAsia="zh-CN" w:bidi="ar"/>
              </w:rPr>
              <w:t>0mm，厚度不小于1mm，配</w:t>
            </w:r>
            <w:r>
              <w:rPr>
                <w:rFonts w:hint="eastAsia" w:ascii="宋体" w:hAnsi="宋体" w:eastAsia="宋体" w:cs="宋体"/>
                <w:i w:val="0"/>
                <w:iCs w:val="0"/>
                <w:color w:val="FF0000"/>
                <w:kern w:val="0"/>
                <w:sz w:val="20"/>
                <w:szCs w:val="20"/>
                <w:u w:val="none"/>
                <w:lang w:val="en-US" w:eastAsia="zh-CN" w:bidi="ar"/>
              </w:rPr>
              <w:t>红色</w:t>
            </w:r>
            <w:r>
              <w:rPr>
                <w:rFonts w:hint="eastAsia" w:ascii="宋体" w:hAnsi="宋体" w:eastAsia="宋体" w:cs="宋体"/>
                <w:i w:val="0"/>
                <w:iCs w:val="0"/>
                <w:color w:val="000000"/>
                <w:kern w:val="0"/>
                <w:sz w:val="20"/>
                <w:szCs w:val="20"/>
                <w:u w:val="none"/>
                <w:lang w:val="en-US" w:eastAsia="zh-CN" w:bidi="ar"/>
              </w:rPr>
              <w:t>反光条、地钉等配件，塑钢，详细尺寸见图片</w:t>
            </w:r>
          </w:p>
        </w:tc>
        <w:tc>
          <w:tcPr>
            <w:tcW w:w="792" w:type="dxa"/>
            <w:tcMar>
              <w:left w:w="108" w:type="dxa"/>
              <w:right w:w="108" w:type="dxa"/>
            </w:tcMar>
            <w:vAlign w:val="center"/>
          </w:tcPr>
          <w:p w14:paraId="4795939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米</w:t>
            </w:r>
          </w:p>
        </w:tc>
        <w:tc>
          <w:tcPr>
            <w:tcW w:w="953" w:type="dxa"/>
            <w:tcMar>
              <w:left w:w="108" w:type="dxa"/>
              <w:right w:w="108" w:type="dxa"/>
            </w:tcMar>
            <w:vAlign w:val="center"/>
          </w:tcPr>
          <w:p w14:paraId="2E6B3C8A">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90</w:t>
            </w:r>
          </w:p>
        </w:tc>
        <w:tc>
          <w:tcPr>
            <w:tcW w:w="1377" w:type="dxa"/>
            <w:tcMar>
              <w:left w:w="108" w:type="dxa"/>
              <w:right w:w="108" w:type="dxa"/>
            </w:tcMar>
            <w:vAlign w:val="center"/>
          </w:tcPr>
          <w:p w14:paraId="23CB47A2">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bl>
    <w:p w14:paraId="3C06393A">
      <w:pPr>
        <w:pStyle w:val="4"/>
      </w:pPr>
      <w:r>
        <w:t>（二）技术及资质要求</w:t>
      </w:r>
    </w:p>
    <w:p w14:paraId="01FE0728">
      <w:pPr>
        <w:numPr>
          <w:ilvl w:val="0"/>
          <w:numId w:val="2"/>
        </w:numPr>
        <w:spacing w:before="0" w:beforeAutospacing="1" w:after="0" w:afterAutospacing="1"/>
        <w:ind w:left="720" w:hanging="360"/>
      </w:pPr>
      <w:r>
        <w:rPr>
          <w:b/>
        </w:rPr>
        <w:t>技术标准</w:t>
      </w:r>
      <w:r>
        <w:t>：全新正品，</w:t>
      </w:r>
      <w:r>
        <w:rPr>
          <w:rFonts w:hint="eastAsia"/>
          <w:lang w:val="en-US" w:eastAsia="zh-CN"/>
        </w:rPr>
        <w:t>产品</w:t>
      </w:r>
      <w:r>
        <w:t>符合采购人技术及使用要求。</w:t>
      </w:r>
    </w:p>
    <w:p w14:paraId="57C92BE1">
      <w:pPr>
        <w:numPr>
          <w:ilvl w:val="0"/>
          <w:numId w:val="2"/>
        </w:numPr>
        <w:spacing w:before="0" w:beforeAutospacing="1" w:after="0" w:afterAutospacing="1"/>
        <w:ind w:left="720" w:hanging="360"/>
      </w:pPr>
      <w:r>
        <w:rPr>
          <w:b/>
        </w:rPr>
        <w:t>报价要求</w:t>
      </w:r>
      <w:r>
        <w:t>：需完整填写品牌及型号</w:t>
      </w:r>
      <w:r>
        <w:rPr>
          <w:rFonts w:hint="eastAsia"/>
          <w:lang w:eastAsia="zh-CN"/>
        </w:rPr>
        <w:t>，</w:t>
      </w:r>
      <w:r>
        <w:rPr>
          <w:rFonts w:hint="eastAsia"/>
          <w:lang w:val="en-US" w:eastAsia="zh-CN"/>
        </w:rPr>
        <w:t>不能有空缺项</w:t>
      </w:r>
      <w:r>
        <w:t>。</w:t>
      </w:r>
    </w:p>
    <w:p w14:paraId="378C6594">
      <w:pPr>
        <w:numPr>
          <w:ilvl w:val="0"/>
          <w:numId w:val="2"/>
        </w:numPr>
        <w:spacing w:before="0" w:beforeAutospacing="1" w:after="0" w:afterAutospacing="1"/>
        <w:ind w:left="720" w:hanging="360"/>
        <w:rPr>
          <w:rFonts w:hint="eastAsia" w:ascii="Times New Roman" w:hAnsi="Times New Roman" w:cs="Times New Roman"/>
          <w:lang w:val="en-US" w:eastAsia="zh-CN"/>
        </w:rPr>
      </w:pPr>
      <w:r>
        <w:rPr>
          <w:rFonts w:hint="eastAsia"/>
          <w:b/>
          <w:bCs/>
          <w:lang w:val="en-US" w:eastAsia="zh-CN"/>
        </w:rPr>
        <w:t>到货验收</w:t>
      </w:r>
      <w:r>
        <w:t>：</w:t>
      </w:r>
      <w:r>
        <w:rPr>
          <w:rFonts w:hint="eastAsia"/>
          <w:lang w:val="en-US" w:eastAsia="zh-CN"/>
        </w:rPr>
        <w:t>包装完好，有产品合格证</w:t>
      </w:r>
      <w:r>
        <w:rPr>
          <w:rFonts w:hint="eastAsia"/>
        </w:rPr>
        <w:t>。</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rPr>
          <w:rFonts w:hint="default"/>
          <w:lang w:val="en-US"/>
        </w:rPr>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孙梅13705289596</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D6C37"/>
    <w:rsid w:val="02B0310F"/>
    <w:rsid w:val="035B751F"/>
    <w:rsid w:val="03661A20"/>
    <w:rsid w:val="04E81B1A"/>
    <w:rsid w:val="054374DB"/>
    <w:rsid w:val="05BA78F4"/>
    <w:rsid w:val="05DC421B"/>
    <w:rsid w:val="06A20FC1"/>
    <w:rsid w:val="07293490"/>
    <w:rsid w:val="07C37441"/>
    <w:rsid w:val="07C37CF6"/>
    <w:rsid w:val="07D843EB"/>
    <w:rsid w:val="08493425"/>
    <w:rsid w:val="08E7715F"/>
    <w:rsid w:val="0AE924D8"/>
    <w:rsid w:val="0B1408EB"/>
    <w:rsid w:val="0BBA6F8E"/>
    <w:rsid w:val="0D613984"/>
    <w:rsid w:val="0E9B4435"/>
    <w:rsid w:val="0EE56D34"/>
    <w:rsid w:val="10D41F07"/>
    <w:rsid w:val="11FC6BF9"/>
    <w:rsid w:val="12922C84"/>
    <w:rsid w:val="129A3494"/>
    <w:rsid w:val="130B1024"/>
    <w:rsid w:val="134678C7"/>
    <w:rsid w:val="13854144"/>
    <w:rsid w:val="13EC08FE"/>
    <w:rsid w:val="147931F1"/>
    <w:rsid w:val="14D05D11"/>
    <w:rsid w:val="14EB1960"/>
    <w:rsid w:val="152E4A94"/>
    <w:rsid w:val="15386004"/>
    <w:rsid w:val="15F1304B"/>
    <w:rsid w:val="16E037D2"/>
    <w:rsid w:val="17920BDE"/>
    <w:rsid w:val="17B96D57"/>
    <w:rsid w:val="192C753C"/>
    <w:rsid w:val="1A0C2EC9"/>
    <w:rsid w:val="1B0F1919"/>
    <w:rsid w:val="1B7156DA"/>
    <w:rsid w:val="1C0D408C"/>
    <w:rsid w:val="1C662D65"/>
    <w:rsid w:val="1C6E1C1A"/>
    <w:rsid w:val="1CC95442"/>
    <w:rsid w:val="1D2A0508"/>
    <w:rsid w:val="1D7C655F"/>
    <w:rsid w:val="1D882ADD"/>
    <w:rsid w:val="20861239"/>
    <w:rsid w:val="20D740A9"/>
    <w:rsid w:val="20FC3C98"/>
    <w:rsid w:val="210C0BC6"/>
    <w:rsid w:val="213E2809"/>
    <w:rsid w:val="21A02C53"/>
    <w:rsid w:val="220B73F0"/>
    <w:rsid w:val="222766AD"/>
    <w:rsid w:val="228D7161"/>
    <w:rsid w:val="23D9744C"/>
    <w:rsid w:val="243453C7"/>
    <w:rsid w:val="247C629F"/>
    <w:rsid w:val="24960418"/>
    <w:rsid w:val="24E05525"/>
    <w:rsid w:val="28C76D25"/>
    <w:rsid w:val="28DD7CC7"/>
    <w:rsid w:val="2A525741"/>
    <w:rsid w:val="2AA22981"/>
    <w:rsid w:val="2B8C00D9"/>
    <w:rsid w:val="2B8D64D7"/>
    <w:rsid w:val="2C9C1E50"/>
    <w:rsid w:val="2D6D29C6"/>
    <w:rsid w:val="2DE37725"/>
    <w:rsid w:val="2DF53F49"/>
    <w:rsid w:val="2E730AF8"/>
    <w:rsid w:val="2EEB0EA8"/>
    <w:rsid w:val="2EEE0779"/>
    <w:rsid w:val="2F7544C2"/>
    <w:rsid w:val="30AD6D47"/>
    <w:rsid w:val="30DA11D4"/>
    <w:rsid w:val="312406A1"/>
    <w:rsid w:val="32330E81"/>
    <w:rsid w:val="36122AC3"/>
    <w:rsid w:val="3792539D"/>
    <w:rsid w:val="38BE13DB"/>
    <w:rsid w:val="38BF03A8"/>
    <w:rsid w:val="38C007D4"/>
    <w:rsid w:val="38C138AB"/>
    <w:rsid w:val="397D1A60"/>
    <w:rsid w:val="3A4A73CA"/>
    <w:rsid w:val="3B961569"/>
    <w:rsid w:val="3C4F08F9"/>
    <w:rsid w:val="3CD57D31"/>
    <w:rsid w:val="3DC06F70"/>
    <w:rsid w:val="3F746C97"/>
    <w:rsid w:val="400C12F5"/>
    <w:rsid w:val="437B05F4"/>
    <w:rsid w:val="462A4554"/>
    <w:rsid w:val="47B61335"/>
    <w:rsid w:val="483920A2"/>
    <w:rsid w:val="4AC251FD"/>
    <w:rsid w:val="4AE1260F"/>
    <w:rsid w:val="4BD96800"/>
    <w:rsid w:val="4D965737"/>
    <w:rsid w:val="4F345086"/>
    <w:rsid w:val="51134562"/>
    <w:rsid w:val="513A2283"/>
    <w:rsid w:val="53397B84"/>
    <w:rsid w:val="53B84DE2"/>
    <w:rsid w:val="54B020C8"/>
    <w:rsid w:val="560817B5"/>
    <w:rsid w:val="58113834"/>
    <w:rsid w:val="5A702373"/>
    <w:rsid w:val="5AED1980"/>
    <w:rsid w:val="5BBB382C"/>
    <w:rsid w:val="5FED582A"/>
    <w:rsid w:val="60681AA9"/>
    <w:rsid w:val="61F97F70"/>
    <w:rsid w:val="62204E55"/>
    <w:rsid w:val="626F711E"/>
    <w:rsid w:val="6326564D"/>
    <w:rsid w:val="63F87D96"/>
    <w:rsid w:val="64B90B25"/>
    <w:rsid w:val="67386545"/>
    <w:rsid w:val="677F7E04"/>
    <w:rsid w:val="682C160E"/>
    <w:rsid w:val="68476448"/>
    <w:rsid w:val="694037F5"/>
    <w:rsid w:val="6C084DC9"/>
    <w:rsid w:val="6DCD4AB5"/>
    <w:rsid w:val="6DD76B71"/>
    <w:rsid w:val="6E120D4B"/>
    <w:rsid w:val="6E2A65EF"/>
    <w:rsid w:val="6F4920FA"/>
    <w:rsid w:val="6F712728"/>
    <w:rsid w:val="6F906926"/>
    <w:rsid w:val="722F31E7"/>
    <w:rsid w:val="74EB4D2A"/>
    <w:rsid w:val="755D72AA"/>
    <w:rsid w:val="765B27BA"/>
    <w:rsid w:val="782B18E2"/>
    <w:rsid w:val="783047FF"/>
    <w:rsid w:val="7A995229"/>
    <w:rsid w:val="7B106F4E"/>
    <w:rsid w:val="7BA2010D"/>
    <w:rsid w:val="7D75230C"/>
    <w:rsid w:val="7E655B4E"/>
    <w:rsid w:val="7F6D4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91"/>
    <w:basedOn w:val="6"/>
    <w:qFormat/>
    <w:uiPriority w:val="0"/>
    <w:rPr>
      <w:rFonts w:hint="eastAsia" w:ascii="宋体" w:hAnsi="宋体" w:eastAsia="宋体" w:cs="宋体"/>
      <w:color w:val="000000"/>
      <w:sz w:val="16"/>
      <w:szCs w:val="16"/>
      <w:u w:val="none"/>
    </w:rPr>
  </w:style>
  <w:style w:type="character" w:customStyle="1" w:styleId="10">
    <w:name w:val="font101"/>
    <w:basedOn w:val="6"/>
    <w:qFormat/>
    <w:uiPriority w:val="0"/>
    <w:rPr>
      <w:rFonts w:hint="default" w:ascii="Times New Roman" w:hAnsi="Times New Roman" w:cs="Times New Roman"/>
      <w:color w:val="000000"/>
      <w:sz w:val="16"/>
      <w:szCs w:val="16"/>
      <w:u w:val="none"/>
    </w:rPr>
  </w:style>
  <w:style w:type="character" w:customStyle="1" w:styleId="11">
    <w:name w:val="font41"/>
    <w:basedOn w:val="6"/>
    <w:qFormat/>
    <w:uiPriority w:val="0"/>
    <w:rPr>
      <w:rFonts w:hint="eastAsia" w:ascii="宋体" w:hAnsi="宋体" w:eastAsia="宋体" w:cs="宋体"/>
      <w:color w:val="000000"/>
      <w:sz w:val="18"/>
      <w:szCs w:val="18"/>
      <w:u w:val="none"/>
    </w:rPr>
  </w:style>
  <w:style w:type="character" w:customStyle="1" w:styleId="12">
    <w:name w:val="font112"/>
    <w:basedOn w:val="6"/>
    <w:qFormat/>
    <w:uiPriority w:val="0"/>
    <w:rPr>
      <w:rFonts w:hint="eastAsia" w:ascii="宋体" w:hAnsi="宋体" w:eastAsia="宋体" w:cs="宋体"/>
      <w:color w:val="000000"/>
      <w:sz w:val="14"/>
      <w:szCs w:val="14"/>
      <w:u w:val="none"/>
    </w:rPr>
  </w:style>
  <w:style w:type="character" w:customStyle="1" w:styleId="13">
    <w:name w:val="font21"/>
    <w:basedOn w:val="6"/>
    <w:qFormat/>
    <w:uiPriority w:val="0"/>
    <w:rPr>
      <w:rFonts w:hint="eastAsia" w:ascii="宋体" w:hAnsi="宋体" w:eastAsia="宋体" w:cs="宋体"/>
      <w:color w:val="000000"/>
      <w:sz w:val="18"/>
      <w:szCs w:val="18"/>
      <w:u w:val="none"/>
    </w:rPr>
  </w:style>
  <w:style w:type="character" w:customStyle="1" w:styleId="14">
    <w:name w:val="font31"/>
    <w:basedOn w:val="6"/>
    <w:qFormat/>
    <w:uiPriority w:val="0"/>
    <w:rPr>
      <w:rFonts w:hint="default" w:ascii="Times New Roman" w:hAnsi="Times New Roman" w:cs="Times New Roman"/>
      <w:color w:val="000000"/>
      <w:sz w:val="18"/>
      <w:szCs w:val="18"/>
      <w:u w:val="none"/>
    </w:rPr>
  </w:style>
  <w:style w:type="character" w:customStyle="1" w:styleId="15">
    <w:name w:val="font11"/>
    <w:basedOn w:val="6"/>
    <w:qFormat/>
    <w:uiPriority w:val="0"/>
    <w:rPr>
      <w:rFonts w:hint="default" w:ascii="Times New Roman" w:hAnsi="Times New Roman" w:cs="Times New Roman"/>
      <w:color w:val="000000"/>
      <w:sz w:val="18"/>
      <w:szCs w:val="18"/>
      <w:u w:val="none"/>
    </w:rPr>
  </w:style>
  <w:style w:type="character" w:customStyle="1" w:styleId="16">
    <w:name w:val="font81"/>
    <w:basedOn w:val="6"/>
    <w:qFormat/>
    <w:uiPriority w:val="0"/>
    <w:rPr>
      <w:rFonts w:hint="eastAsia" w:ascii="宋体" w:hAnsi="宋体" w:eastAsia="宋体" w:cs="宋体"/>
      <w:color w:val="000000"/>
      <w:sz w:val="18"/>
      <w:szCs w:val="18"/>
      <w:u w:val="none"/>
    </w:rPr>
  </w:style>
  <w:style w:type="character" w:customStyle="1" w:styleId="17">
    <w:name w:val="font71"/>
    <w:basedOn w:val="6"/>
    <w:qFormat/>
    <w:uiPriority w:val="0"/>
    <w:rPr>
      <w:rFonts w:hint="default" w:ascii="Times New Roman" w:hAnsi="Times New Roman" w:cs="Times New Roman"/>
      <w:color w:val="000000"/>
      <w:sz w:val="18"/>
      <w:szCs w:val="18"/>
      <w:u w:val="none"/>
    </w:rPr>
  </w:style>
  <w:style w:type="character" w:customStyle="1" w:styleId="18">
    <w:name w:val="font51"/>
    <w:basedOn w:val="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2085</Words>
  <Characters>2365</Characters>
  <Lines>0</Lines>
  <Paragraphs>0</Paragraphs>
  <TotalTime>7</TotalTime>
  <ScaleCrop>false</ScaleCrop>
  <LinksUpToDate>false</LinksUpToDate>
  <CharactersWithSpaces>2382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2026-08-12T05:46:22Z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