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48A45">
      <w:pPr>
        <w:pStyle w:val="12"/>
        <w:rPr>
          <w:rFonts w:hint="eastAsia"/>
        </w:rPr>
      </w:pPr>
      <w:r>
        <w:t>产品买卖合同</w:t>
      </w:r>
    </w:p>
    <w:p w14:paraId="20F95A40">
      <w:pPr>
        <w:kinsoku/>
        <w:spacing w:line="157" w:lineRule="exact"/>
      </w:pPr>
    </w:p>
    <w:tbl>
      <w:tblPr>
        <w:tblStyle w:val="42"/>
        <w:tblW w:w="9068" w:type="dxa"/>
        <w:tblInd w:w="265"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5426"/>
        <w:gridCol w:w="3642"/>
      </w:tblGrid>
      <w:tr w14:paraId="3C3FCE0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30" w:hRule="atLeast"/>
        </w:trPr>
        <w:tc>
          <w:tcPr>
            <w:tcW w:w="5426" w:type="dxa"/>
          </w:tcPr>
          <w:p w14:paraId="19081348">
            <w:pPr>
              <w:pStyle w:val="43"/>
              <w:kinsoku/>
              <w:spacing w:line="213" w:lineRule="auto"/>
              <w:rPr>
                <w:rFonts w:hint="eastAsia"/>
                <w:sz w:val="18"/>
                <w:szCs w:val="18"/>
                <w:lang w:eastAsia="zh-CN"/>
              </w:rPr>
            </w:pPr>
            <w:r>
              <w:rPr>
                <w:rFonts w:hint="eastAsia"/>
                <w:spacing w:val="7"/>
                <w:sz w:val="18"/>
                <w:szCs w:val="18"/>
                <w:lang w:eastAsia="zh-CN"/>
              </w:rPr>
              <w:t>买受人（以下简称甲方）：江苏索普赛瑞装备制造有限公司</w:t>
            </w:r>
          </w:p>
        </w:tc>
        <w:tc>
          <w:tcPr>
            <w:tcW w:w="3642" w:type="dxa"/>
          </w:tcPr>
          <w:p w14:paraId="65D87650">
            <w:pPr>
              <w:pStyle w:val="43"/>
              <w:kinsoku/>
              <w:spacing w:line="214" w:lineRule="auto"/>
              <w:rPr>
                <w:rFonts w:hint="eastAsia"/>
                <w:sz w:val="18"/>
                <w:szCs w:val="18"/>
                <w:lang w:eastAsia="zh-CN"/>
              </w:rPr>
            </w:pPr>
            <w:r>
              <w:rPr>
                <w:rFonts w:hint="eastAsia"/>
                <w:sz w:val="18"/>
                <w:szCs w:val="18"/>
              </w:rPr>
              <w:t>合同编号：</w:t>
            </w:r>
            <w:r>
              <w:rPr>
                <w:rFonts w:hint="eastAsia"/>
                <w:sz w:val="18"/>
                <w:szCs w:val="18"/>
                <w:lang w:eastAsia="zh-CN"/>
              </w:rPr>
              <w:t xml:space="preserve"> </w:t>
            </w:r>
          </w:p>
        </w:tc>
      </w:tr>
      <w:tr w14:paraId="0802300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5426" w:type="dxa"/>
          </w:tcPr>
          <w:p w14:paraId="76CEC843">
            <w:pPr>
              <w:pStyle w:val="43"/>
              <w:kinsoku/>
              <w:spacing w:before="50" w:line="194" w:lineRule="auto"/>
              <w:rPr>
                <w:rFonts w:hint="eastAsia"/>
                <w:sz w:val="18"/>
                <w:szCs w:val="18"/>
                <w:lang w:eastAsia="zh-CN"/>
              </w:rPr>
            </w:pPr>
            <w:r>
              <w:rPr>
                <w:rFonts w:hint="eastAsia"/>
                <w:spacing w:val="8"/>
                <w:sz w:val="18"/>
                <w:szCs w:val="18"/>
                <w:lang w:eastAsia="zh-CN"/>
              </w:rPr>
              <w:t>出卖人（以下简称乙方）：</w:t>
            </w:r>
          </w:p>
        </w:tc>
        <w:tc>
          <w:tcPr>
            <w:tcW w:w="3642" w:type="dxa"/>
          </w:tcPr>
          <w:p w14:paraId="75E5B29D">
            <w:pPr>
              <w:pStyle w:val="43"/>
              <w:kinsoku/>
              <w:spacing w:line="214" w:lineRule="auto"/>
              <w:rPr>
                <w:rFonts w:hint="eastAsia"/>
                <w:sz w:val="18"/>
                <w:szCs w:val="18"/>
                <w:lang w:eastAsia="zh-CN"/>
              </w:rPr>
            </w:pPr>
            <w:r>
              <w:rPr>
                <w:rFonts w:hint="eastAsia"/>
                <w:sz w:val="18"/>
                <w:szCs w:val="18"/>
                <w:lang w:eastAsia="zh-CN"/>
              </w:rPr>
              <w:t>签订地点：镇江市京口区谏壁镇焦湾</w:t>
            </w:r>
          </w:p>
        </w:tc>
      </w:tr>
      <w:tr w14:paraId="5F78407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28" w:hRule="atLeast"/>
        </w:trPr>
        <w:tc>
          <w:tcPr>
            <w:tcW w:w="5426" w:type="dxa"/>
          </w:tcPr>
          <w:p w14:paraId="56F9C4FA">
            <w:pPr>
              <w:pStyle w:val="43"/>
              <w:kinsoku/>
              <w:spacing w:before="28" w:line="175" w:lineRule="auto"/>
              <w:rPr>
                <w:rFonts w:hint="eastAsia"/>
                <w:sz w:val="18"/>
                <w:szCs w:val="18"/>
                <w:lang w:eastAsia="zh-CN"/>
              </w:rPr>
            </w:pPr>
            <w:r>
              <w:rPr>
                <w:rFonts w:hint="eastAsia"/>
                <w:b/>
                <w:bCs/>
                <w:spacing w:val="1"/>
                <w:sz w:val="18"/>
                <w:szCs w:val="18"/>
                <w:lang w:eastAsia="zh-CN"/>
              </w:rPr>
              <w:t>第一条</w:t>
            </w:r>
            <w:r>
              <w:rPr>
                <w:rFonts w:hint="eastAsia"/>
                <w:spacing w:val="1"/>
                <w:sz w:val="18"/>
                <w:szCs w:val="18"/>
                <w:lang w:eastAsia="zh-CN"/>
              </w:rPr>
              <w:t xml:space="preserve"> 标的、数量、单价及交货时间</w:t>
            </w:r>
          </w:p>
        </w:tc>
        <w:tc>
          <w:tcPr>
            <w:tcW w:w="3642" w:type="dxa"/>
          </w:tcPr>
          <w:p w14:paraId="47068063">
            <w:pPr>
              <w:pStyle w:val="43"/>
              <w:kinsoku/>
              <w:spacing w:line="214" w:lineRule="auto"/>
              <w:rPr>
                <w:rFonts w:hint="eastAsia"/>
                <w:sz w:val="18"/>
                <w:szCs w:val="18"/>
              </w:rPr>
            </w:pPr>
            <w:r>
              <w:rPr>
                <w:rFonts w:hint="eastAsia"/>
                <w:sz w:val="18"/>
                <w:szCs w:val="18"/>
              </w:rPr>
              <w:t>签订时间：</w:t>
            </w:r>
            <w:r>
              <w:rPr>
                <w:rFonts w:hint="eastAsia"/>
                <w:sz w:val="18"/>
                <w:szCs w:val="18"/>
                <w:u w:val="single"/>
                <w:lang w:eastAsia="zh-CN"/>
              </w:rPr>
              <w:t xml:space="preserve">    </w:t>
            </w:r>
            <w:r>
              <w:rPr>
                <w:rFonts w:hint="eastAsia"/>
                <w:sz w:val="18"/>
                <w:szCs w:val="18"/>
                <w:u w:val="single"/>
              </w:rPr>
              <w:t>年</w:t>
            </w:r>
            <w:r>
              <w:rPr>
                <w:rFonts w:hint="eastAsia"/>
                <w:sz w:val="18"/>
                <w:szCs w:val="18"/>
                <w:u w:val="single"/>
                <w:lang w:eastAsia="zh-CN"/>
              </w:rPr>
              <w:t xml:space="preserve">  </w:t>
            </w:r>
            <w:r>
              <w:rPr>
                <w:rFonts w:hint="eastAsia"/>
                <w:sz w:val="18"/>
                <w:szCs w:val="18"/>
                <w:u w:val="single"/>
              </w:rPr>
              <w:t>月</w:t>
            </w:r>
            <w:r>
              <w:rPr>
                <w:rFonts w:hint="eastAsia"/>
                <w:sz w:val="18"/>
                <w:szCs w:val="18"/>
                <w:u w:val="single"/>
                <w:lang w:eastAsia="zh-CN"/>
              </w:rPr>
              <w:t xml:space="preserve">  </w:t>
            </w:r>
            <w:r>
              <w:rPr>
                <w:rFonts w:hint="eastAsia"/>
                <w:sz w:val="18"/>
                <w:szCs w:val="18"/>
                <w:u w:val="single"/>
              </w:rPr>
              <w:t>日</w:t>
            </w:r>
          </w:p>
        </w:tc>
      </w:tr>
    </w:tbl>
    <w:p w14:paraId="234CE6CD">
      <w:pPr>
        <w:kinsoku/>
        <w:spacing w:line="28" w:lineRule="exact"/>
      </w:pPr>
    </w:p>
    <w:tbl>
      <w:tblPr>
        <w:tblStyle w:val="42"/>
        <w:tblW w:w="95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2198"/>
        <w:gridCol w:w="689"/>
        <w:gridCol w:w="809"/>
        <w:gridCol w:w="1588"/>
        <w:gridCol w:w="1199"/>
        <w:gridCol w:w="1783"/>
      </w:tblGrid>
      <w:tr w14:paraId="07254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1244" w:type="dxa"/>
          </w:tcPr>
          <w:p w14:paraId="583EFF58">
            <w:pPr>
              <w:widowControl w:val="0"/>
              <w:kinsoku/>
              <w:autoSpaceDE/>
              <w:autoSpaceDN/>
              <w:adjustRightInd/>
              <w:snapToGrid/>
              <w:jc w:val="center"/>
              <w:textAlignment w:val="auto"/>
              <w:rPr>
                <w:rFonts w:ascii="Times New Roman" w:hAnsi="Times New Roman" w:eastAsia="宋体" w:cs="Times New Roman"/>
                <w:snapToGrid/>
                <w:kern w:val="2"/>
                <w:szCs w:val="20"/>
                <w:lang w:eastAsia="zh-CN"/>
              </w:rPr>
            </w:pPr>
            <w:r>
              <w:rPr>
                <w:rFonts w:hint="eastAsia" w:ascii="Times New Roman" w:hAnsi="Times New Roman" w:eastAsia="宋体" w:cs="Times New Roman"/>
                <w:snapToGrid/>
                <w:kern w:val="2"/>
                <w:szCs w:val="20"/>
                <w:lang w:eastAsia="zh-CN"/>
              </w:rPr>
              <w:t>标的物名称</w:t>
            </w:r>
          </w:p>
        </w:tc>
        <w:tc>
          <w:tcPr>
            <w:tcW w:w="2198" w:type="dxa"/>
          </w:tcPr>
          <w:p w14:paraId="03D6A7A4">
            <w:pPr>
              <w:widowControl w:val="0"/>
              <w:kinsoku/>
              <w:autoSpaceDE/>
              <w:autoSpaceDN/>
              <w:adjustRightInd/>
              <w:snapToGrid/>
              <w:jc w:val="center"/>
              <w:textAlignment w:val="auto"/>
              <w:rPr>
                <w:rFonts w:ascii="Times New Roman" w:hAnsi="Times New Roman" w:eastAsia="宋体" w:cs="Times New Roman"/>
                <w:snapToGrid/>
                <w:kern w:val="2"/>
                <w:szCs w:val="20"/>
                <w:lang w:eastAsia="zh-CN"/>
              </w:rPr>
            </w:pPr>
            <w:r>
              <w:rPr>
                <w:rFonts w:hint="eastAsia" w:ascii="Times New Roman" w:hAnsi="Times New Roman" w:eastAsia="宋体" w:cs="Times New Roman"/>
                <w:snapToGrid/>
                <w:kern w:val="2"/>
                <w:szCs w:val="20"/>
                <w:lang w:eastAsia="zh-CN"/>
              </w:rPr>
              <w:t>规格型号</w:t>
            </w:r>
          </w:p>
        </w:tc>
        <w:tc>
          <w:tcPr>
            <w:tcW w:w="689" w:type="dxa"/>
          </w:tcPr>
          <w:p w14:paraId="5CE9FBCB">
            <w:pPr>
              <w:widowControl w:val="0"/>
              <w:kinsoku/>
              <w:autoSpaceDE/>
              <w:autoSpaceDN/>
              <w:adjustRightInd/>
              <w:snapToGrid/>
              <w:jc w:val="center"/>
              <w:textAlignment w:val="auto"/>
              <w:rPr>
                <w:rFonts w:ascii="Times New Roman" w:hAnsi="Times New Roman" w:eastAsia="宋体" w:cs="Times New Roman"/>
                <w:snapToGrid/>
                <w:kern w:val="2"/>
                <w:szCs w:val="20"/>
                <w:lang w:eastAsia="zh-CN"/>
              </w:rPr>
            </w:pPr>
            <w:r>
              <w:rPr>
                <w:rFonts w:hint="eastAsia" w:ascii="Times New Roman" w:hAnsi="Times New Roman" w:eastAsia="宋体" w:cs="Times New Roman"/>
                <w:snapToGrid/>
                <w:kern w:val="2"/>
                <w:szCs w:val="20"/>
                <w:lang w:eastAsia="zh-CN"/>
              </w:rPr>
              <w:t>单位</w:t>
            </w:r>
          </w:p>
        </w:tc>
        <w:tc>
          <w:tcPr>
            <w:tcW w:w="809" w:type="dxa"/>
          </w:tcPr>
          <w:p w14:paraId="176D83F3">
            <w:pPr>
              <w:widowControl w:val="0"/>
              <w:kinsoku/>
              <w:autoSpaceDE/>
              <w:autoSpaceDN/>
              <w:adjustRightInd/>
              <w:snapToGrid/>
              <w:jc w:val="center"/>
              <w:textAlignment w:val="auto"/>
              <w:rPr>
                <w:rFonts w:ascii="Times New Roman" w:hAnsi="Times New Roman" w:eastAsia="宋体" w:cs="Times New Roman"/>
                <w:snapToGrid/>
                <w:kern w:val="2"/>
                <w:szCs w:val="20"/>
                <w:lang w:eastAsia="zh-CN"/>
              </w:rPr>
            </w:pPr>
            <w:r>
              <w:rPr>
                <w:rFonts w:hint="eastAsia" w:ascii="Times New Roman" w:hAnsi="Times New Roman" w:eastAsia="宋体" w:cs="Times New Roman"/>
                <w:snapToGrid/>
                <w:kern w:val="2"/>
                <w:szCs w:val="20"/>
                <w:lang w:eastAsia="zh-CN"/>
              </w:rPr>
              <w:t>数量</w:t>
            </w:r>
          </w:p>
        </w:tc>
        <w:tc>
          <w:tcPr>
            <w:tcW w:w="1588" w:type="dxa"/>
          </w:tcPr>
          <w:p w14:paraId="5F6BB5A7">
            <w:pPr>
              <w:widowControl w:val="0"/>
              <w:kinsoku/>
              <w:autoSpaceDE/>
              <w:autoSpaceDN/>
              <w:adjustRightInd/>
              <w:snapToGrid/>
              <w:jc w:val="center"/>
              <w:textAlignment w:val="auto"/>
              <w:rPr>
                <w:rFonts w:ascii="Times New Roman" w:hAnsi="Times New Roman" w:eastAsia="宋体" w:cs="Times New Roman"/>
                <w:snapToGrid/>
                <w:kern w:val="2"/>
                <w:szCs w:val="20"/>
                <w:lang w:eastAsia="zh-CN"/>
              </w:rPr>
            </w:pPr>
            <w:r>
              <w:rPr>
                <w:rFonts w:hint="eastAsia" w:ascii="Times New Roman" w:hAnsi="Times New Roman" w:eastAsia="宋体" w:cs="Times New Roman"/>
                <w:snapToGrid/>
                <w:kern w:val="2"/>
                <w:szCs w:val="20"/>
                <w:lang w:eastAsia="zh-CN"/>
              </w:rPr>
              <w:t>含税单价(¥:元）</w:t>
            </w:r>
          </w:p>
        </w:tc>
        <w:tc>
          <w:tcPr>
            <w:tcW w:w="1199" w:type="dxa"/>
          </w:tcPr>
          <w:p w14:paraId="4224A03C">
            <w:pPr>
              <w:widowControl w:val="0"/>
              <w:kinsoku/>
              <w:autoSpaceDE/>
              <w:autoSpaceDN/>
              <w:adjustRightInd/>
              <w:snapToGrid/>
              <w:jc w:val="center"/>
              <w:textAlignment w:val="auto"/>
              <w:rPr>
                <w:rFonts w:ascii="Times New Roman" w:hAnsi="Times New Roman" w:eastAsia="宋体" w:cs="Times New Roman"/>
                <w:snapToGrid/>
                <w:kern w:val="2"/>
                <w:szCs w:val="20"/>
                <w:lang w:eastAsia="zh-CN"/>
              </w:rPr>
            </w:pPr>
            <w:r>
              <w:rPr>
                <w:rFonts w:hint="eastAsia" w:ascii="Times New Roman" w:hAnsi="Times New Roman" w:eastAsia="宋体" w:cs="Times New Roman"/>
                <w:snapToGrid/>
                <w:kern w:val="2"/>
                <w:szCs w:val="20"/>
                <w:lang w:eastAsia="zh-CN"/>
              </w:rPr>
              <w:t>总额(¥:元)</w:t>
            </w:r>
          </w:p>
        </w:tc>
        <w:tc>
          <w:tcPr>
            <w:tcW w:w="1783" w:type="dxa"/>
          </w:tcPr>
          <w:p w14:paraId="1223EC1A">
            <w:pPr>
              <w:widowControl w:val="0"/>
              <w:kinsoku/>
              <w:autoSpaceDE/>
              <w:autoSpaceDN/>
              <w:adjustRightInd/>
              <w:snapToGrid/>
              <w:jc w:val="center"/>
              <w:textAlignment w:val="auto"/>
              <w:rPr>
                <w:rFonts w:ascii="Times New Roman" w:hAnsi="Times New Roman" w:eastAsia="宋体" w:cs="Times New Roman"/>
                <w:snapToGrid/>
                <w:kern w:val="2"/>
                <w:szCs w:val="20"/>
                <w:lang w:eastAsia="zh-CN"/>
              </w:rPr>
            </w:pPr>
            <w:r>
              <w:rPr>
                <w:rFonts w:hint="eastAsia" w:ascii="Times New Roman" w:hAnsi="Times New Roman" w:eastAsia="宋体" w:cs="Times New Roman"/>
                <w:snapToGrid/>
                <w:kern w:val="2"/>
                <w:szCs w:val="20"/>
                <w:lang w:eastAsia="zh-CN"/>
              </w:rPr>
              <w:t>备注</w:t>
            </w:r>
          </w:p>
        </w:tc>
      </w:tr>
      <w:tr w14:paraId="2BBE0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244" w:type="dxa"/>
            <w:vAlign w:val="center"/>
          </w:tcPr>
          <w:p w14:paraId="3D269FB1">
            <w:pPr>
              <w:widowControl w:val="0"/>
              <w:kinsoku/>
              <w:autoSpaceDE/>
              <w:autoSpaceDN/>
              <w:adjustRightInd/>
              <w:snapToGrid/>
              <w:jc w:val="center"/>
              <w:textAlignment w:val="auto"/>
              <w:rPr>
                <w:rFonts w:ascii="Times New Roman" w:hAnsi="Times New Roman" w:eastAsia="宋体" w:cs="Times New Roman"/>
                <w:snapToGrid/>
                <w:kern w:val="2"/>
                <w:sz w:val="18"/>
                <w:szCs w:val="18"/>
                <w:lang w:eastAsia="zh-CN"/>
              </w:rPr>
            </w:pPr>
            <w:r>
              <w:rPr>
                <w:rFonts w:hint="eastAsia" w:ascii="Times New Roman" w:hAnsi="Times New Roman" w:eastAsia="宋体" w:cs="Times New Roman"/>
                <w:snapToGrid/>
                <w:kern w:val="2"/>
                <w:sz w:val="18"/>
                <w:szCs w:val="18"/>
                <w:lang w:eastAsia="zh-CN"/>
              </w:rPr>
              <w:t xml:space="preserve"> </w:t>
            </w:r>
          </w:p>
        </w:tc>
        <w:tc>
          <w:tcPr>
            <w:tcW w:w="5284" w:type="dxa"/>
            <w:gridSpan w:val="4"/>
            <w:vAlign w:val="center"/>
          </w:tcPr>
          <w:p w14:paraId="0DC92A90">
            <w:pPr>
              <w:widowControl w:val="0"/>
              <w:kinsoku/>
              <w:autoSpaceDE/>
              <w:autoSpaceDN/>
              <w:adjustRightInd/>
              <w:snapToGrid/>
              <w:jc w:val="center"/>
              <w:textAlignment w:val="auto"/>
              <w:rPr>
                <w:rFonts w:ascii="Times New Roman" w:hAnsi="Times New Roman" w:eastAsia="宋体" w:cs="Times New Roman"/>
                <w:snapToGrid/>
                <w:kern w:val="2"/>
                <w:sz w:val="18"/>
                <w:szCs w:val="18"/>
                <w:lang w:eastAsia="zh-CN"/>
              </w:rPr>
            </w:pPr>
            <w:r>
              <w:rPr>
                <w:rFonts w:hint="eastAsia" w:ascii="Times New Roman" w:hAnsi="Times New Roman" w:eastAsia="宋体" w:cs="Times New Roman"/>
                <w:snapToGrid/>
                <w:kern w:val="2"/>
                <w:sz w:val="18"/>
                <w:szCs w:val="18"/>
                <w:lang w:eastAsia="zh-CN"/>
              </w:rPr>
              <w:t xml:space="preserve"> </w:t>
            </w:r>
          </w:p>
        </w:tc>
        <w:tc>
          <w:tcPr>
            <w:tcW w:w="1199" w:type="dxa"/>
            <w:vAlign w:val="center"/>
          </w:tcPr>
          <w:p w14:paraId="797280F2">
            <w:pPr>
              <w:widowControl w:val="0"/>
              <w:kinsoku/>
              <w:autoSpaceDE/>
              <w:autoSpaceDN/>
              <w:adjustRightInd/>
              <w:snapToGrid/>
              <w:jc w:val="center"/>
              <w:textAlignment w:val="auto"/>
              <w:rPr>
                <w:rFonts w:ascii="Times New Roman" w:hAnsi="Times New Roman" w:eastAsia="宋体" w:cs="Times New Roman"/>
                <w:snapToGrid/>
                <w:kern w:val="2"/>
                <w:sz w:val="18"/>
                <w:szCs w:val="18"/>
                <w:lang w:eastAsia="zh-CN"/>
              </w:rPr>
            </w:pPr>
            <w:r>
              <w:rPr>
                <w:rFonts w:hint="eastAsia" w:ascii="Times New Roman" w:hAnsi="Times New Roman" w:eastAsia="宋体" w:cs="Times New Roman"/>
                <w:snapToGrid/>
                <w:kern w:val="2"/>
                <w:sz w:val="18"/>
                <w:szCs w:val="18"/>
                <w:lang w:eastAsia="zh-CN"/>
              </w:rPr>
              <w:t xml:space="preserve"> </w:t>
            </w:r>
          </w:p>
        </w:tc>
        <w:tc>
          <w:tcPr>
            <w:tcW w:w="1783" w:type="dxa"/>
            <w:vAlign w:val="center"/>
          </w:tcPr>
          <w:p w14:paraId="38C9AB51">
            <w:pPr>
              <w:widowControl w:val="0"/>
              <w:kinsoku/>
              <w:autoSpaceDE/>
              <w:autoSpaceDN/>
              <w:adjustRightInd/>
              <w:snapToGrid/>
              <w:textAlignment w:val="auto"/>
              <w:rPr>
                <w:rFonts w:ascii="Times New Roman" w:hAnsi="Times New Roman" w:eastAsia="宋体" w:cs="Times New Roman"/>
                <w:snapToGrid/>
                <w:kern w:val="2"/>
                <w:sz w:val="18"/>
                <w:szCs w:val="18"/>
                <w:lang w:eastAsia="zh-CN"/>
              </w:rPr>
            </w:pPr>
          </w:p>
        </w:tc>
      </w:tr>
      <w:tr w14:paraId="5C63C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9510" w:type="dxa"/>
            <w:gridSpan w:val="7"/>
            <w:vAlign w:val="center"/>
          </w:tcPr>
          <w:p w14:paraId="3560C49F">
            <w:pPr>
              <w:widowControl w:val="0"/>
              <w:kinsoku/>
              <w:autoSpaceDE/>
              <w:autoSpaceDN/>
              <w:adjustRightInd/>
              <w:snapToGrid/>
              <w:jc w:val="center"/>
              <w:textAlignment w:val="auto"/>
              <w:rPr>
                <w:rFonts w:ascii="Times New Roman" w:hAnsi="Times New Roman" w:eastAsia="宋体" w:cs="Times New Roman"/>
                <w:snapToGrid/>
                <w:kern w:val="2"/>
                <w:sz w:val="18"/>
                <w:szCs w:val="18"/>
                <w:lang w:eastAsia="zh-CN"/>
              </w:rPr>
            </w:pPr>
            <w:r>
              <w:rPr>
                <w:rFonts w:hint="eastAsia" w:ascii="Times New Roman" w:hAnsi="Times New Roman" w:eastAsia="宋体" w:cs="Times New Roman"/>
                <w:snapToGrid/>
                <w:kern w:val="2"/>
                <w:sz w:val="18"/>
                <w:szCs w:val="18"/>
                <w:lang w:eastAsia="zh-CN"/>
              </w:rPr>
              <w:t>合计人民币金额（大写）：</w:t>
            </w:r>
            <w:r>
              <w:rPr>
                <w:rFonts w:ascii="Times New Roman" w:hAnsi="Times New Roman" w:eastAsia="宋体" w:cs="Times New Roman"/>
                <w:snapToGrid/>
                <w:kern w:val="2"/>
                <w:sz w:val="18"/>
                <w:szCs w:val="18"/>
                <w:u w:val="single"/>
                <w:lang w:eastAsia="zh-CN"/>
              </w:rPr>
              <w:t xml:space="preserve">                            </w:t>
            </w:r>
            <w:r>
              <w:rPr>
                <w:rFonts w:hint="eastAsia" w:ascii="Times New Roman" w:hAnsi="Times New Roman" w:eastAsia="宋体" w:cs="Times New Roman"/>
                <w:snapToGrid/>
                <w:kern w:val="2"/>
                <w:sz w:val="18"/>
                <w:szCs w:val="18"/>
                <w:lang w:eastAsia="zh-CN"/>
              </w:rPr>
              <w:t>（含税率为13%的增值税及运费）</w:t>
            </w:r>
          </w:p>
        </w:tc>
      </w:tr>
      <w:tr w14:paraId="6A580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9510" w:type="dxa"/>
            <w:gridSpan w:val="7"/>
            <w:vAlign w:val="center"/>
          </w:tcPr>
          <w:p w14:paraId="7BBF060D">
            <w:pPr>
              <w:widowControl w:val="0"/>
              <w:kinsoku/>
              <w:autoSpaceDE/>
              <w:autoSpaceDN/>
              <w:adjustRightInd/>
              <w:snapToGrid/>
              <w:ind w:left="105" w:leftChars="50"/>
              <w:jc w:val="both"/>
              <w:textAlignment w:val="auto"/>
              <w:rPr>
                <w:rFonts w:ascii="Times New Roman" w:hAnsi="Times New Roman" w:eastAsia="宋体" w:cs="Times New Roman"/>
                <w:snapToGrid/>
                <w:kern w:val="2"/>
                <w:sz w:val="18"/>
                <w:szCs w:val="18"/>
                <w:lang w:eastAsia="zh-CN"/>
              </w:rPr>
            </w:pPr>
            <w:r>
              <w:rPr>
                <w:rFonts w:hint="eastAsia" w:ascii="Times New Roman" w:hAnsi="Times New Roman" w:eastAsia="宋体" w:cs="Times New Roman"/>
                <w:snapToGrid/>
                <w:kern w:val="2"/>
                <w:sz w:val="18"/>
                <w:szCs w:val="18"/>
                <w:lang w:eastAsia="zh-CN"/>
              </w:rPr>
              <w:t>其中人民币不含税金额（小写）：</w:t>
            </w:r>
            <w:r>
              <w:rPr>
                <w:rFonts w:hint="eastAsia" w:ascii="Times New Roman" w:hAnsi="Times New Roman" w:eastAsia="宋体" w:cs="Times New Roman"/>
                <w:snapToGrid/>
                <w:kern w:val="2"/>
                <w:sz w:val="18"/>
                <w:szCs w:val="18"/>
                <w:u w:val="single"/>
                <w:lang w:eastAsia="zh-CN"/>
              </w:rPr>
              <w:t xml:space="preserve">                 </w:t>
            </w:r>
            <w:r>
              <w:rPr>
                <w:rFonts w:hint="eastAsia" w:ascii="Times New Roman" w:hAnsi="Times New Roman" w:eastAsia="宋体" w:cs="Times New Roman"/>
                <w:snapToGrid/>
                <w:kern w:val="2"/>
                <w:sz w:val="18"/>
                <w:szCs w:val="18"/>
                <w:lang w:eastAsia="zh-CN"/>
              </w:rPr>
              <w:t>元                  增值税税金金额（小写）：</w:t>
            </w:r>
            <w:r>
              <w:rPr>
                <w:rFonts w:ascii="Times New Roman" w:hAnsi="Times New Roman" w:eastAsia="宋体" w:cs="Times New Roman"/>
                <w:snapToGrid/>
                <w:kern w:val="2"/>
                <w:sz w:val="18"/>
                <w:szCs w:val="18"/>
                <w:u w:val="single"/>
                <w:lang w:eastAsia="zh-CN"/>
              </w:rPr>
              <w:t xml:space="preserve">            </w:t>
            </w:r>
            <w:r>
              <w:rPr>
                <w:rFonts w:hint="eastAsia" w:ascii="Times New Roman" w:hAnsi="Times New Roman" w:eastAsia="宋体" w:cs="Times New Roman"/>
                <w:snapToGrid/>
                <w:kern w:val="2"/>
                <w:sz w:val="18"/>
                <w:szCs w:val="18"/>
                <w:lang w:eastAsia="zh-CN"/>
              </w:rPr>
              <w:t>元（如国家税率发生 变化，税率调整后价格=合同含税价格÷（1+合同约定税率）×（1+国家规定新税率）</w:t>
            </w:r>
          </w:p>
        </w:tc>
      </w:tr>
      <w:tr w14:paraId="15C0D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9510" w:type="dxa"/>
            <w:gridSpan w:val="7"/>
            <w:vAlign w:val="center"/>
          </w:tcPr>
          <w:p w14:paraId="4EA11C20">
            <w:pPr>
              <w:widowControl w:val="0"/>
              <w:kinsoku/>
              <w:autoSpaceDE/>
              <w:autoSpaceDN/>
              <w:adjustRightInd/>
              <w:snapToGrid/>
              <w:ind w:left="105" w:leftChars="50"/>
              <w:jc w:val="both"/>
              <w:textAlignment w:val="auto"/>
              <w:rPr>
                <w:rFonts w:hint="default" w:ascii="Times New Roman" w:hAnsi="Times New Roman" w:eastAsia="宋体" w:cs="Times New Roman"/>
                <w:snapToGrid/>
                <w:kern w:val="2"/>
                <w:sz w:val="18"/>
                <w:szCs w:val="18"/>
                <w:lang w:val="en-US" w:eastAsia="zh-CN"/>
              </w:rPr>
            </w:pPr>
            <w:r>
              <w:rPr>
                <w:rFonts w:hint="eastAsia" w:ascii="Times New Roman" w:hAnsi="Times New Roman" w:eastAsia="宋体" w:cs="Times New Roman"/>
                <w:snapToGrid/>
                <w:kern w:val="2"/>
                <w:sz w:val="18"/>
                <w:szCs w:val="18"/>
                <w:lang w:eastAsia="zh-CN"/>
              </w:rPr>
              <w:t>交货时间：</w:t>
            </w:r>
            <w:r>
              <w:rPr>
                <w:rFonts w:ascii="Times New Roman" w:hAnsi="Times New Roman" w:eastAsia="宋体" w:cs="Times New Roman"/>
                <w:snapToGrid/>
                <w:kern w:val="2"/>
                <w:sz w:val="18"/>
                <w:szCs w:val="18"/>
                <w:u w:val="single"/>
                <w:lang w:eastAsia="zh-CN"/>
              </w:rPr>
              <w:t xml:space="preserve">       </w:t>
            </w:r>
            <w:r>
              <w:rPr>
                <w:rFonts w:hint="eastAsia" w:ascii="Times New Roman" w:hAnsi="Times New Roman" w:eastAsia="宋体" w:cs="Times New Roman"/>
                <w:snapToGrid/>
                <w:kern w:val="2"/>
                <w:sz w:val="18"/>
                <w:szCs w:val="18"/>
                <w:u w:val="single"/>
                <w:lang w:eastAsia="zh-CN"/>
              </w:rPr>
              <w:t>年</w:t>
            </w:r>
            <w:r>
              <w:rPr>
                <w:rFonts w:ascii="Times New Roman" w:hAnsi="Times New Roman" w:eastAsia="宋体" w:cs="Times New Roman"/>
                <w:snapToGrid/>
                <w:kern w:val="2"/>
                <w:sz w:val="18"/>
                <w:szCs w:val="18"/>
                <w:u w:val="single"/>
                <w:lang w:eastAsia="zh-CN"/>
              </w:rPr>
              <w:t xml:space="preserve">   </w:t>
            </w:r>
            <w:r>
              <w:rPr>
                <w:rFonts w:hint="eastAsia" w:ascii="Times New Roman" w:hAnsi="Times New Roman" w:eastAsia="宋体" w:cs="Times New Roman"/>
                <w:snapToGrid/>
                <w:kern w:val="2"/>
                <w:sz w:val="18"/>
                <w:szCs w:val="18"/>
                <w:u w:val="single"/>
                <w:lang w:eastAsia="zh-CN"/>
              </w:rPr>
              <w:t>月</w:t>
            </w:r>
            <w:r>
              <w:rPr>
                <w:rFonts w:ascii="Times New Roman" w:hAnsi="Times New Roman" w:eastAsia="宋体" w:cs="Times New Roman"/>
                <w:snapToGrid/>
                <w:kern w:val="2"/>
                <w:sz w:val="18"/>
                <w:szCs w:val="18"/>
                <w:u w:val="single"/>
                <w:lang w:eastAsia="zh-CN"/>
              </w:rPr>
              <w:t xml:space="preserve">   </w:t>
            </w:r>
            <w:r>
              <w:rPr>
                <w:rFonts w:hint="eastAsia" w:ascii="Times New Roman" w:hAnsi="Times New Roman" w:eastAsia="宋体" w:cs="Times New Roman"/>
                <w:snapToGrid/>
                <w:kern w:val="2"/>
                <w:sz w:val="18"/>
                <w:szCs w:val="18"/>
                <w:u w:val="single"/>
                <w:lang w:eastAsia="zh-CN"/>
              </w:rPr>
              <w:t>日</w:t>
            </w:r>
            <w:r>
              <w:rPr>
                <w:rFonts w:hint="eastAsia" w:ascii="Times New Roman" w:hAnsi="Times New Roman" w:eastAsia="宋体" w:cs="Times New Roman"/>
                <w:snapToGrid/>
                <w:kern w:val="2"/>
                <w:sz w:val="18"/>
                <w:szCs w:val="18"/>
                <w:lang w:eastAsia="zh-CN"/>
              </w:rPr>
              <w:t>前送至交货地点，应随货提交符合国家及行业标准要求的产品资料，质量证明文件，包括但不限于质保书、第三方检测报告等，未全部提供，视为未到货</w:t>
            </w:r>
            <w:r>
              <w:rPr>
                <w:rFonts w:hint="eastAsia" w:ascii="Times New Roman" w:hAnsi="Times New Roman" w:eastAsia="宋体" w:cs="Times New Roman"/>
                <w:snapToGrid/>
                <w:kern w:val="2"/>
                <w:sz w:val="18"/>
                <w:szCs w:val="18"/>
                <w:lang w:val="en-US" w:eastAsia="zh-CN"/>
              </w:rPr>
              <w:t>。</w:t>
            </w:r>
          </w:p>
        </w:tc>
      </w:tr>
    </w:tbl>
    <w:p w14:paraId="20FFB61A">
      <w:pPr>
        <w:spacing w:line="280" w:lineRule="exact"/>
        <w:rPr>
          <w:rFonts w:hint="eastAsia" w:ascii="仿宋" w:hAnsi="仿宋" w:eastAsia="仿宋" w:cs="仿宋"/>
          <w:spacing w:val="-1"/>
          <w:sz w:val="28"/>
          <w:szCs w:val="28"/>
          <w:lang w:eastAsia="zh-CN"/>
        </w:rPr>
      </w:pPr>
    </w:p>
    <w:p w14:paraId="18E75991">
      <w:pPr>
        <w:spacing w:line="500" w:lineRule="exact"/>
        <w:rPr>
          <w:rFonts w:hint="eastAsia" w:ascii="宋体" w:hAnsi="宋体" w:eastAsia="宋体" w:cs="宋体"/>
          <w:spacing w:val="8"/>
          <w:lang w:eastAsia="zh-CN"/>
        </w:rPr>
      </w:pPr>
      <w:r>
        <w:rPr>
          <w:rFonts w:hint="eastAsia" w:ascii="宋体" w:hAnsi="宋体" w:eastAsia="宋体" w:cs="宋体"/>
          <w:b/>
          <w:bCs/>
          <w:spacing w:val="8"/>
          <w:lang w:eastAsia="zh-CN"/>
        </w:rPr>
        <w:t>第二条</w:t>
      </w:r>
      <w:r>
        <w:rPr>
          <w:rFonts w:hint="eastAsia" w:ascii="宋体" w:hAnsi="宋体" w:eastAsia="宋体" w:cs="宋体"/>
          <w:spacing w:val="8"/>
          <w:lang w:eastAsia="zh-CN"/>
        </w:rPr>
        <w:t xml:space="preserve">  质量要求及技术标准：按照</w:t>
      </w:r>
      <w:r>
        <w:rPr>
          <w:rFonts w:hint="eastAsia" w:ascii="宋体" w:hAnsi="宋体" w:eastAsia="宋体" w:cs="宋体"/>
          <w:color w:val="auto"/>
          <w:spacing w:val="8"/>
          <w:lang w:eastAsia="zh-CN"/>
        </w:rPr>
        <w:t>合同</w:t>
      </w:r>
      <w:r>
        <w:rPr>
          <w:rFonts w:hint="eastAsia" w:ascii="宋体" w:hAnsi="宋体" w:eastAsia="宋体" w:cs="宋体"/>
          <w:color w:val="FF0000"/>
          <w:spacing w:val="8"/>
          <w:u w:val="single"/>
          <w:lang w:eastAsia="zh-CN"/>
        </w:rPr>
        <w:t>供货清单</w:t>
      </w:r>
      <w:r>
        <w:rPr>
          <w:rFonts w:hint="eastAsia" w:ascii="宋体" w:hAnsi="宋体" w:eastAsia="宋体" w:cs="宋体"/>
          <w:spacing w:val="8"/>
          <w:lang w:eastAsia="zh-CN"/>
        </w:rPr>
        <w:t>（包括但不限于质量要求、技术标准、材质、包装、产地、型号、规格、送货条件、检验标准等）供货，未注明标准的产品质量应达到国家标准，如没有国家标准的，应达到行业标准或企业标准，以标准高者为准。所供货物产地应完全符合供货清单要求，乙方应于本合同签订后</w:t>
      </w:r>
      <w:r>
        <w:rPr>
          <w:rFonts w:hint="eastAsia" w:ascii="宋体" w:hAnsi="宋体" w:eastAsia="宋体" w:cs="宋体"/>
          <w:color w:val="FF0000"/>
          <w:spacing w:val="8"/>
          <w:u w:val="single"/>
          <w:lang w:eastAsia="zh-CN"/>
        </w:rPr>
        <w:t xml:space="preserve"> 7 </w:t>
      </w:r>
      <w:r>
        <w:rPr>
          <w:rFonts w:hint="eastAsia" w:ascii="宋体" w:hAnsi="宋体" w:eastAsia="宋体" w:cs="宋体"/>
          <w:spacing w:val="8"/>
          <w:lang w:eastAsia="zh-CN"/>
        </w:rPr>
        <w:t>日内按甲方要求提供如下材料，包括但不限于乙方与第三方签订的合同、付款凭证、发票、送货单等乙方通过正规合法渠道获取</w:t>
      </w:r>
      <w:r>
        <w:rPr>
          <w:rFonts w:hint="eastAsia" w:ascii="宋体" w:hAnsi="宋体" w:eastAsia="宋体" w:cs="宋体"/>
          <w:color w:val="FF0000"/>
          <w:spacing w:val="8"/>
          <w:u w:val="single"/>
          <w:lang w:eastAsia="zh-CN"/>
        </w:rPr>
        <w:t>货物</w:t>
      </w:r>
      <w:r>
        <w:rPr>
          <w:rFonts w:hint="eastAsia" w:ascii="宋体" w:hAnsi="宋体" w:eastAsia="宋体" w:cs="宋体"/>
          <w:spacing w:val="8"/>
          <w:lang w:eastAsia="zh-CN"/>
        </w:rPr>
        <w:t>的证明材料。甲方有权不定时的对乙方履约情况进行检查，对产品进行检验，可向第三方核实乙方采购的真实性，乙方均予以配合。如乙方未按上述要求提供证明材料、配合检查，或被甲方认定为材料造假、产品不符合甲方要求、甲方认为乙方存在其他无法履行本合同的情形，甲方有权要求乙方限期改正，逾期仍不符合甲方要求的，甲方有权解除本合同，乙方按本合同第九条承担违约责任。</w:t>
      </w:r>
    </w:p>
    <w:p w14:paraId="1D74AD7A">
      <w:pPr>
        <w:spacing w:line="500" w:lineRule="exact"/>
        <w:rPr>
          <w:rFonts w:hint="eastAsia" w:ascii="宋体" w:hAnsi="宋体" w:eastAsia="宋体" w:cs="宋体"/>
          <w:lang w:eastAsia="zh-CN"/>
        </w:rPr>
      </w:pPr>
      <w:r>
        <w:rPr>
          <w:rFonts w:hint="eastAsia" w:ascii="宋体" w:hAnsi="宋体" w:eastAsia="宋体" w:cs="宋体"/>
          <w:b/>
          <w:bCs/>
          <w:lang w:eastAsia="zh-CN"/>
        </w:rPr>
        <w:t>第三条</w:t>
      </w:r>
      <w:r>
        <w:rPr>
          <w:rFonts w:hint="eastAsia" w:ascii="宋体" w:hAnsi="宋体" w:eastAsia="宋体"/>
          <w:lang w:eastAsia="zh-CN"/>
        </w:rPr>
        <w:t xml:space="preserve">  </w:t>
      </w:r>
      <w:r>
        <w:rPr>
          <w:rFonts w:hint="eastAsia" w:ascii="宋体" w:hAnsi="宋体" w:eastAsia="宋体" w:cs="宋体"/>
          <w:lang w:eastAsia="zh-CN"/>
        </w:rPr>
        <w:t>乙方对质量负责的条件及期限：质保期为</w:t>
      </w:r>
      <w:r>
        <w:rPr>
          <w:rFonts w:hint="eastAsia" w:ascii="宋体" w:hAnsi="宋体" w:eastAsia="宋体" w:cs="宋体"/>
          <w:color w:val="FF0000"/>
          <w:u w:val="single"/>
          <w:lang w:eastAsia="zh-CN"/>
        </w:rPr>
        <w:t>壹年</w:t>
      </w:r>
      <w:r>
        <w:rPr>
          <w:rFonts w:hint="eastAsia" w:ascii="宋体" w:hAnsi="宋体" w:eastAsia="宋体"/>
          <w:color w:val="FF0000"/>
          <w:u w:val="single"/>
          <w:lang w:eastAsia="zh-CN"/>
        </w:rPr>
        <w:t>/</w:t>
      </w:r>
      <w:r>
        <w:rPr>
          <w:rFonts w:hint="eastAsia" w:ascii="宋体" w:hAnsi="宋体" w:eastAsia="宋体" w:cs="宋体"/>
          <w:color w:val="FF0000"/>
          <w:u w:val="single"/>
          <w:lang w:eastAsia="zh-CN"/>
        </w:rPr>
        <w:t>设备投入使用后</w:t>
      </w:r>
      <w:r>
        <w:rPr>
          <w:rFonts w:hint="eastAsia" w:ascii="宋体" w:hAnsi="宋体" w:eastAsia="宋体"/>
          <w:color w:val="FF0000"/>
          <w:u w:val="single"/>
          <w:lang w:eastAsia="zh-CN"/>
        </w:rPr>
        <w:t>12</w:t>
      </w:r>
      <w:r>
        <w:rPr>
          <w:rFonts w:hint="eastAsia" w:ascii="宋体" w:hAnsi="宋体" w:eastAsia="宋体" w:cs="宋体"/>
          <w:color w:val="FF0000"/>
          <w:u w:val="single"/>
          <w:lang w:eastAsia="zh-CN"/>
        </w:rPr>
        <w:t>个月</w:t>
      </w:r>
      <w:r>
        <w:rPr>
          <w:rFonts w:hint="eastAsia" w:ascii="宋体" w:hAnsi="宋体" w:eastAsia="宋体" w:cs="宋体"/>
          <w:lang w:eastAsia="zh-CN"/>
        </w:rPr>
        <w:t>，自货物到达交货地点且经甲方验收合格之日起计算。如退换货、维修发生在质保期内，则质保期自甲方确认退换货、维修结束之日起重新开始起算。质保期内，乙方负责免费维修或退换货（以甲方要求为准），并承担因此产生的所有费用，包括但不限于运输费、耗材、人工费等。若因质量问题导致甲方遭受任何直接、间接损失，乙方应予以全额赔偿。质量问题包括但不限于外观损坏、尺寸不符、材料性能不符合要求、内部结构缺陷、环境变化导致的材料性能下降或故障等。质保期外进行维修，包括但不限于人工、耗材、零部件、运输等全部费用乙方均给予</w:t>
      </w:r>
      <w:r>
        <w:rPr>
          <w:rFonts w:hint="eastAsia" w:ascii="宋体" w:hAnsi="宋体" w:eastAsia="宋体"/>
          <w:color w:val="FF0000"/>
          <w:u w:val="single"/>
          <w:lang w:eastAsia="zh-CN"/>
        </w:rPr>
        <w:t>9</w:t>
      </w:r>
      <w:r>
        <w:rPr>
          <w:rFonts w:hint="eastAsia" w:ascii="宋体" w:hAnsi="宋体" w:eastAsia="宋体" w:cs="宋体"/>
          <w:color w:val="FF0000"/>
          <w:u w:val="single"/>
          <w:lang w:eastAsia="zh-CN"/>
        </w:rPr>
        <w:t>折以下</w:t>
      </w:r>
      <w:r>
        <w:rPr>
          <w:rFonts w:hint="eastAsia" w:ascii="宋体" w:hAnsi="宋体" w:eastAsia="宋体" w:cs="宋体"/>
          <w:lang w:eastAsia="zh-CN"/>
        </w:rPr>
        <w:t>优惠。</w:t>
      </w:r>
    </w:p>
    <w:p w14:paraId="18B7E494">
      <w:pPr>
        <w:spacing w:line="500" w:lineRule="exact"/>
        <w:rPr>
          <w:rFonts w:hint="eastAsia" w:ascii="宋体" w:hAnsi="宋体" w:eastAsia="宋体"/>
          <w:lang w:eastAsia="zh-CN"/>
        </w:rPr>
      </w:pPr>
      <w:r>
        <w:rPr>
          <w:rFonts w:hint="eastAsia" w:ascii="宋体" w:hAnsi="宋体" w:eastAsia="宋体" w:cs="宋体"/>
          <w:b/>
          <w:bCs/>
          <w:lang w:eastAsia="zh-CN"/>
        </w:rPr>
        <w:t>第四条</w:t>
      </w:r>
      <w:r>
        <w:rPr>
          <w:rFonts w:hint="eastAsia" w:ascii="宋体" w:hAnsi="宋体" w:eastAsia="宋体"/>
          <w:lang w:eastAsia="zh-CN"/>
        </w:rPr>
        <w:t xml:space="preserve">  </w:t>
      </w:r>
      <w:r>
        <w:rPr>
          <w:rFonts w:hint="eastAsia" w:ascii="宋体" w:hAnsi="宋体" w:eastAsia="宋体" w:cs="宋体"/>
          <w:lang w:eastAsia="zh-CN"/>
        </w:rPr>
        <w:t>合理损耗标准及计算方法：按合同实际到货数量进行结算，乙方随货提供供货清单，并在供货清单上签字盖章，甲方对供货清单的确认仅是对到货实物数量，不视为对价款的确认，价款以合同约定为准。</w:t>
      </w:r>
    </w:p>
    <w:p w14:paraId="61C8D2C3">
      <w:pPr>
        <w:pStyle w:val="12"/>
        <w:jc w:val="left"/>
        <w:rPr>
          <w:rFonts w:hint="eastAsia"/>
          <w:sz w:val="21"/>
          <w:szCs w:val="21"/>
        </w:rPr>
      </w:pPr>
      <w:r>
        <w:rPr>
          <w:rFonts w:hint="eastAsia"/>
          <w:sz w:val="21"/>
          <w:szCs w:val="21"/>
        </w:rPr>
        <w:t xml:space="preserve">第五条  </w:t>
      </w:r>
      <w:r>
        <w:rPr>
          <w:rFonts w:hint="eastAsia"/>
          <w:b w:val="0"/>
          <w:bCs w:val="0"/>
          <w:sz w:val="21"/>
          <w:szCs w:val="21"/>
        </w:rPr>
        <w:t>标的物所有权自乙方交货时起转移。</w:t>
      </w:r>
    </w:p>
    <w:p w14:paraId="704A6A3D">
      <w:pPr>
        <w:pStyle w:val="12"/>
        <w:jc w:val="left"/>
        <w:rPr>
          <w:rFonts w:hint="eastAsia"/>
          <w:b w:val="0"/>
          <w:bCs w:val="0"/>
          <w:sz w:val="21"/>
          <w:szCs w:val="21"/>
        </w:rPr>
      </w:pPr>
      <w:r>
        <w:rPr>
          <w:rFonts w:hint="eastAsia"/>
          <w:sz w:val="21"/>
          <w:szCs w:val="21"/>
        </w:rPr>
        <w:t xml:space="preserve">第六条  </w:t>
      </w:r>
      <w:r>
        <w:rPr>
          <w:rFonts w:hint="eastAsia"/>
          <w:b w:val="0"/>
          <w:bCs w:val="0"/>
          <w:sz w:val="21"/>
          <w:szCs w:val="21"/>
        </w:rPr>
        <w:t>交货方式、交货地点及费用承担：乙方送货上门，运费由乙方承担（承担运输、卸货交付的风险）。验收流程包括但不限于核对货物数量、检查货物外观及包装完整性、确认随货提供的产品资料和技术文件齐全。符合国家及行业标准要求的产品资料、质量证明文件随货同行，对于随货未提供相应文件资料的，视为未收到货物，超过最迟交货时间未提供产品资料、质量证明文件的，视为延迟交货，按本合同第九条执行。货物交至</w:t>
      </w:r>
      <w:r>
        <w:rPr>
          <w:rFonts w:hint="eastAsia"/>
          <w:b w:val="0"/>
          <w:bCs w:val="0"/>
          <w:color w:val="FF0000"/>
          <w:sz w:val="21"/>
          <w:szCs w:val="21"/>
          <w:u w:val="single"/>
        </w:rPr>
        <w:t>江苏省镇江市京口谏壁镇求索路18号江苏索普赛瑞装备制造有限公司（股份西大门内）</w:t>
      </w:r>
      <w:r>
        <w:rPr>
          <w:rFonts w:hint="eastAsia"/>
          <w:b w:val="0"/>
          <w:bCs w:val="0"/>
          <w:sz w:val="21"/>
          <w:szCs w:val="21"/>
        </w:rPr>
        <w:t>，收货人：</w:t>
      </w:r>
      <w:r>
        <w:rPr>
          <w:rFonts w:hint="eastAsia"/>
          <w:b w:val="0"/>
          <w:bCs w:val="0"/>
          <w:color w:val="FF0000"/>
          <w:sz w:val="21"/>
          <w:szCs w:val="21"/>
          <w:u w:val="single"/>
        </w:rPr>
        <w:t>**</w:t>
      </w:r>
      <w:r>
        <w:rPr>
          <w:rFonts w:hint="eastAsia"/>
          <w:b w:val="0"/>
          <w:bCs w:val="0"/>
          <w:sz w:val="21"/>
          <w:szCs w:val="21"/>
        </w:rPr>
        <w:t xml:space="preserve"> 。</w:t>
      </w:r>
    </w:p>
    <w:p w14:paraId="71DA9979">
      <w:pPr>
        <w:spacing w:line="500" w:lineRule="exact"/>
        <w:ind w:left="-1" w:leftChars="-1" w:hanging="1"/>
        <w:rPr>
          <w:rFonts w:hint="eastAsia" w:ascii="宋体" w:hAnsi="宋体" w:eastAsia="宋体" w:cs="宋体"/>
          <w:spacing w:val="8"/>
          <w:lang w:eastAsia="zh-CN"/>
        </w:rPr>
      </w:pPr>
      <w:r>
        <w:rPr>
          <w:rFonts w:hint="eastAsia" w:ascii="宋体" w:hAnsi="宋体" w:eastAsia="宋体" w:cs="宋体"/>
          <w:b/>
          <w:bCs/>
          <w:spacing w:val="8"/>
          <w:lang w:eastAsia="zh-CN"/>
        </w:rPr>
        <w:t>第七条</w:t>
      </w:r>
      <w:r>
        <w:rPr>
          <w:rFonts w:ascii="宋体" w:hAnsi="宋体" w:eastAsia="宋体" w:cs="宋体"/>
          <w:spacing w:val="8"/>
          <w:lang w:eastAsia="zh-CN"/>
        </w:rPr>
        <w:t xml:space="preserve">  </w:t>
      </w:r>
      <w:r>
        <w:rPr>
          <w:rFonts w:hint="eastAsia" w:ascii="宋体" w:hAnsi="宋体" w:eastAsia="宋体" w:cs="宋体"/>
          <w:spacing w:val="8"/>
          <w:lang w:eastAsia="zh-CN"/>
        </w:rPr>
        <w:t>检验标准、方法、地点及期限：按照本合同第二条、第六条约定进行验收，验收合格后，甲方出具书面验收合格单。货物的外观、数量提出异议期限为收货之日起</w:t>
      </w:r>
      <w:r>
        <w:rPr>
          <w:rFonts w:ascii="宋体" w:hAnsi="宋体" w:eastAsia="宋体" w:cs="宋体"/>
          <w:spacing w:val="8"/>
          <w:lang w:eastAsia="zh-CN"/>
        </w:rPr>
        <w:t>1</w:t>
      </w:r>
      <w:r>
        <w:rPr>
          <w:rFonts w:hint="eastAsia" w:ascii="宋体" w:hAnsi="宋体" w:eastAsia="宋体" w:cs="宋体"/>
          <w:spacing w:val="8"/>
          <w:lang w:eastAsia="zh-CN"/>
        </w:rPr>
        <w:t>个月内（异议期限内，货物发生退换货或维修的，异议期限自退换货、维修结束后重新计算），</w:t>
      </w:r>
      <w:r>
        <w:rPr>
          <w:rFonts w:ascii="宋体" w:hAnsi="宋体" w:eastAsia="宋体" w:cs="宋体"/>
          <w:spacing w:val="8"/>
          <w:lang w:eastAsia="zh-CN"/>
        </w:rPr>
        <w:t>货物的质量、瑕疵提出异议期限同质保期（第三条）</w:t>
      </w:r>
      <w:r>
        <w:rPr>
          <w:rFonts w:hint="eastAsia" w:ascii="宋体" w:hAnsi="宋体" w:eastAsia="宋体" w:cs="宋体"/>
          <w:spacing w:val="8"/>
          <w:lang w:eastAsia="zh-CN"/>
        </w:rPr>
        <w:t>。</w:t>
      </w:r>
      <w:r>
        <w:rPr>
          <w:rFonts w:ascii="宋体" w:hAnsi="宋体" w:eastAsia="宋体" w:cs="宋体"/>
          <w:spacing w:val="8"/>
          <w:lang w:eastAsia="zh-CN"/>
        </w:rPr>
        <w:t>若验收不合格，</w:t>
      </w:r>
      <w:r>
        <w:rPr>
          <w:rFonts w:hint="eastAsia" w:ascii="宋体" w:hAnsi="宋体" w:eastAsia="宋体" w:cs="宋体"/>
          <w:spacing w:val="8"/>
          <w:lang w:eastAsia="zh-CN"/>
        </w:rPr>
        <w:t>甲方有权拒收，乙方</w:t>
      </w:r>
      <w:r>
        <w:rPr>
          <w:rFonts w:ascii="宋体" w:hAnsi="宋体" w:eastAsia="宋体" w:cs="宋体"/>
          <w:spacing w:val="8"/>
          <w:lang w:eastAsia="zh-CN"/>
        </w:rPr>
        <w:t>负责换货，并承担由此产生的所有费用。</w:t>
      </w:r>
      <w:r>
        <w:rPr>
          <w:rFonts w:hint="eastAsia" w:ascii="宋体" w:hAnsi="宋体" w:eastAsia="宋体" w:cs="宋体"/>
          <w:spacing w:val="8"/>
          <w:lang w:eastAsia="zh-CN"/>
        </w:rPr>
        <w:t>乙方未在规定时间内按甲方要求换货完毕，视为延期交货，乙方按本合同第九条约定承担违约责任。</w:t>
      </w:r>
    </w:p>
    <w:p w14:paraId="6A3EA5C6">
      <w:pPr>
        <w:pStyle w:val="12"/>
        <w:jc w:val="left"/>
        <w:rPr>
          <w:rFonts w:hint="eastAsia"/>
          <w:b w:val="0"/>
          <w:bCs w:val="0"/>
          <w:sz w:val="21"/>
          <w:szCs w:val="21"/>
        </w:rPr>
      </w:pPr>
      <w:r>
        <w:rPr>
          <w:rFonts w:hint="eastAsia"/>
          <w:sz w:val="21"/>
          <w:szCs w:val="21"/>
        </w:rPr>
        <w:t xml:space="preserve">第八条  </w:t>
      </w:r>
      <w:r>
        <w:rPr>
          <w:rFonts w:hint="eastAsia"/>
          <w:b w:val="0"/>
          <w:bCs w:val="0"/>
          <w:sz w:val="21"/>
          <w:szCs w:val="21"/>
        </w:rPr>
        <w:t>结算方式及时间：</w:t>
      </w:r>
      <w:r>
        <w:rPr>
          <w:rFonts w:hint="eastAsia"/>
          <w:b w:val="0"/>
          <w:bCs w:val="0"/>
          <w:color w:val="FF0000"/>
          <w:sz w:val="21"/>
          <w:szCs w:val="21"/>
          <w:u w:val="single"/>
        </w:rPr>
        <w:t>现汇/承兑结算</w:t>
      </w:r>
      <w:r>
        <w:rPr>
          <w:rFonts w:hint="eastAsia"/>
          <w:b w:val="0"/>
          <w:bCs w:val="0"/>
          <w:sz w:val="21"/>
          <w:szCs w:val="21"/>
        </w:rPr>
        <w:t>。乙方按合同供货清单供货后，同时符合如下条件时，甲方在收到符合要求的发票后90日内付至已供</w:t>
      </w:r>
      <w:r>
        <w:rPr>
          <w:rFonts w:hint="eastAsia"/>
          <w:b w:val="0"/>
          <w:bCs w:val="0"/>
          <w:color w:val="FF0000"/>
          <w:sz w:val="21"/>
          <w:szCs w:val="21"/>
          <w:u w:val="single"/>
        </w:rPr>
        <w:t>货款/货款的90%</w:t>
      </w:r>
      <w:r>
        <w:rPr>
          <w:rFonts w:hint="eastAsia"/>
          <w:b w:val="0"/>
          <w:bCs w:val="0"/>
          <w:sz w:val="21"/>
          <w:szCs w:val="21"/>
        </w:rPr>
        <w:t>：1、货物交至交货地点并经甲方验收合格；2、乙方向甲方开具符合甲方要求的全额增值税专用发票(13%税率)；3、供货结束后三个月。</w:t>
      </w:r>
      <w:r>
        <w:rPr>
          <w:rFonts w:hint="eastAsia"/>
          <w:b w:val="0"/>
          <w:bCs w:val="0"/>
          <w:color w:val="FF0000"/>
          <w:sz w:val="21"/>
          <w:szCs w:val="21"/>
          <w:u w:val="single"/>
        </w:rPr>
        <w:t>剩余10%货款作为质保金，在质保期到期后90日内，且产品无质量问题、乙方无违约行为后无息支付，但因产品存在质量问题或乙方存在违约行为、欠付甲方款项而被甲方予以直接扣减的除外。</w:t>
      </w:r>
      <w:r>
        <w:rPr>
          <w:rFonts w:hint="eastAsia"/>
          <w:b w:val="0"/>
          <w:bCs w:val="0"/>
          <w:sz w:val="21"/>
          <w:szCs w:val="21"/>
        </w:rPr>
        <w:t>乙方有任一违反本合同约定的行为，甲方有权停止付款，直至违约行为消除，甲方不构成违约，由此造成的一切损失均由乙方承担。</w:t>
      </w:r>
    </w:p>
    <w:p w14:paraId="006A8FA6">
      <w:pPr>
        <w:kinsoku/>
        <w:spacing w:line="348" w:lineRule="auto"/>
        <w:ind w:left="1" w:hanging="1"/>
        <w:rPr>
          <w:rFonts w:hint="eastAsia" w:ascii="宋体" w:hAnsi="宋体" w:eastAsia="宋体" w:cs="宋体"/>
          <w:spacing w:val="8"/>
          <w:lang w:eastAsia="zh-CN"/>
        </w:rPr>
      </w:pPr>
      <w:r>
        <w:rPr>
          <w:rFonts w:hint="eastAsia" w:ascii="宋体" w:hAnsi="宋体" w:eastAsia="宋体" w:cs="宋体"/>
          <w:b/>
          <w:bCs/>
          <w:spacing w:val="8"/>
          <w:lang w:eastAsia="zh-CN"/>
        </w:rPr>
        <w:t>第九条</w:t>
      </w:r>
      <w:r>
        <w:rPr>
          <w:rFonts w:hint="eastAsia" w:ascii="宋体" w:hAnsi="宋体" w:eastAsia="宋体" w:cs="宋体"/>
          <w:spacing w:val="8"/>
          <w:lang w:eastAsia="zh-CN"/>
        </w:rPr>
        <w:t xml:space="preserve">  违约责任：如乙方延迟交货，每迟延一天，承担合同总额1%的违约金，如仍不足以弥补甲方因此遭受的全部直接与间接损失的，乙方应予以全额赔偿；如延期交货超过3 天，经甲方催告后1日内，乙方未按期交货，甲方有权单方解除合同。如乙方违反本合同任一条约定，经甲方催告后1日内仍不履行或违约行为未消除的，甲方有权单方解除本合同。甲方通知乙方合同解除后，甲方另找第三方供货，由此产生的费用由乙方承担，乙方还应在3日内将甲方之前所支付的货款及相应利息（自甲方付款之日起按照同期全国银行间同业拆借中心公布的贷款市场报价利率计算）全部返还甲方。此外，乙方还应向甲方支付相当本合同总金额30%的违约金。乙方如有其他违约行为的，参照本条约定承担违约责任。对于乙方应付甲方款项（包括但不限于违约金、损失等），甲方均可从应付货款、质保金及乙方与甲方其他合同项下甲方应付款项中直接扣减，扣完为止，不足部分由乙方按本合同约定另行给付，乙方无异议。如因乙方延期交货或产品质量问题等乙方原因，导致甲方无法及时向第三方供货，发生违约责任，对于第三方向甲方主张全部损失均由乙方承担，该金额不受本合同项下货款金额限制。</w:t>
      </w:r>
    </w:p>
    <w:p w14:paraId="13158A4E">
      <w:pPr>
        <w:pStyle w:val="12"/>
        <w:jc w:val="left"/>
        <w:rPr>
          <w:rFonts w:hint="eastAsia"/>
          <w:b w:val="0"/>
          <w:bCs w:val="0"/>
          <w:sz w:val="21"/>
          <w:szCs w:val="21"/>
        </w:rPr>
      </w:pPr>
      <w:r>
        <w:rPr>
          <w:rFonts w:hint="eastAsia"/>
          <w:sz w:val="21"/>
          <w:szCs w:val="21"/>
        </w:rPr>
        <w:t xml:space="preserve">第十条  </w:t>
      </w:r>
      <w:r>
        <w:rPr>
          <w:rFonts w:hint="eastAsia"/>
          <w:b w:val="0"/>
          <w:bCs w:val="0"/>
          <w:sz w:val="21"/>
          <w:szCs w:val="21"/>
        </w:rPr>
        <w:t>合同争议解决方式：本合同在履行过程中发生的争议，由双方当事人协商解决，协商不成的，双方均有权依法向镇江市京口区人民法院起诉，因乙方违约引发的诉讼，乙方除应依法履行相关裁判外，还应承担诉讼产生的诉讼费、保全费、保全保险费、律师费、执行费、公告费、广告费、评估费、鉴定费、拍卖资产产生的全部税费、差旅费、调查取证的费用等实现债权费用。</w:t>
      </w:r>
    </w:p>
    <w:p w14:paraId="3C679240">
      <w:pPr>
        <w:pStyle w:val="12"/>
        <w:jc w:val="left"/>
        <w:rPr>
          <w:rFonts w:hint="eastAsia"/>
          <w:b w:val="0"/>
          <w:bCs w:val="0"/>
          <w:sz w:val="21"/>
          <w:szCs w:val="21"/>
        </w:rPr>
      </w:pPr>
      <w:r>
        <w:rPr>
          <w:rFonts w:hint="eastAsia"/>
          <w:sz w:val="21"/>
          <w:szCs w:val="21"/>
        </w:rPr>
        <w:t xml:space="preserve">第十一条 </w:t>
      </w:r>
      <w:r>
        <w:rPr>
          <w:rFonts w:hint="eastAsia"/>
          <w:b w:val="0"/>
          <w:bCs w:val="0"/>
          <w:sz w:val="21"/>
          <w:szCs w:val="21"/>
        </w:rPr>
        <w:t>乙方应自行负责自己一方人员的人身、财产安全。如在履行本合同过程中发生安全事故，乙方应自行承担相应的法律责任，若因此导致甲方损失的，乙方应予以全额赔偿。乙方应遵守甲方相关规章制度，如违反将按《索普赛瑞供应商负面清单管理规定》予以扣分，直至乙方被移出供应商清单。如乙方被甲方认定为不合格供应商，自甲方通知乙方之日起，甲方有权解除双方所签订尚在履行中的合同，由此造成的一切损失均由乙方承担，乙方还应按相应合同承担违约责任。</w:t>
      </w:r>
    </w:p>
    <w:p w14:paraId="6C628444">
      <w:pPr>
        <w:pStyle w:val="12"/>
        <w:jc w:val="left"/>
        <w:rPr>
          <w:rFonts w:hint="eastAsia"/>
          <w:sz w:val="21"/>
          <w:szCs w:val="21"/>
        </w:rPr>
      </w:pPr>
      <w:r>
        <w:rPr>
          <w:rFonts w:hint="eastAsia"/>
          <w:sz w:val="21"/>
          <w:szCs w:val="21"/>
        </w:rPr>
        <w:t xml:space="preserve">第十二条 </w:t>
      </w:r>
      <w:r>
        <w:rPr>
          <w:rFonts w:hint="eastAsia"/>
          <w:b w:val="0"/>
          <w:bCs w:val="0"/>
          <w:sz w:val="21"/>
          <w:szCs w:val="21"/>
        </w:rPr>
        <w:t>乙方应对所售产品享有完全知识产权，若因乙方原因引起知识产权纠纷，甲方不承担任何责任。如因乙方导致甲方受第三方追索，导致甲方维权等各项损失（包括但不限于律师费、保全保险费、差旅费、第三方向甲方主张费用、甲方实际支付、预期支付的全部费用等），均应由乙方承担。乙方不得将任何合同信息泄漏给第三方，一经发现有损甲方利益的可能，甲方有权单方面解除合同，并要求乙方赔偿全部损失。</w:t>
      </w:r>
    </w:p>
    <w:p w14:paraId="1A791326">
      <w:pPr>
        <w:pStyle w:val="12"/>
        <w:jc w:val="left"/>
        <w:rPr>
          <w:rFonts w:hint="eastAsia"/>
          <w:sz w:val="21"/>
          <w:szCs w:val="21"/>
        </w:rPr>
      </w:pPr>
      <w:r>
        <w:rPr>
          <w:rFonts w:hint="eastAsia"/>
          <w:sz w:val="21"/>
          <w:szCs w:val="21"/>
        </w:rPr>
        <w:t xml:space="preserve">第十三条  </w:t>
      </w:r>
      <w:r>
        <w:rPr>
          <w:rFonts w:hint="eastAsia"/>
          <w:b w:val="0"/>
          <w:bCs w:val="0"/>
          <w:sz w:val="21"/>
          <w:szCs w:val="21"/>
        </w:rPr>
        <w:t>质保期间，乙方应当在接到甲方的维修通知后3日内进行维修，维修费用（包括但不限于人工、材料等费用）均由乙方承担；如乙方拒不履行维修义务，甲方有权委托其他单位或人员维修，由此产生的维修费用（包括但不限于人工、材料等费用）均由乙方承担。</w:t>
      </w:r>
    </w:p>
    <w:p w14:paraId="31E068C1">
      <w:pPr>
        <w:pStyle w:val="12"/>
        <w:jc w:val="left"/>
        <w:rPr>
          <w:rFonts w:hint="eastAsia"/>
          <w:b w:val="0"/>
          <w:bCs w:val="0"/>
          <w:sz w:val="21"/>
          <w:szCs w:val="21"/>
        </w:rPr>
      </w:pPr>
      <w:r>
        <w:rPr>
          <w:rFonts w:hint="eastAsia"/>
          <w:sz w:val="21"/>
          <w:szCs w:val="21"/>
        </w:rPr>
        <w:t xml:space="preserve">第十四条 </w:t>
      </w:r>
      <w:r>
        <w:rPr>
          <w:rFonts w:hint="eastAsia"/>
          <w:b w:val="0"/>
          <w:bCs w:val="0"/>
          <w:sz w:val="21"/>
          <w:szCs w:val="21"/>
        </w:rPr>
        <w:t>其他未尽事宜，双方协商解决，并签订补充协议，合同供货清单作为合同附件，系本合同组成部分，与本合同具有同等法律效力。</w:t>
      </w:r>
    </w:p>
    <w:p w14:paraId="091F86B0">
      <w:pPr>
        <w:pStyle w:val="12"/>
        <w:jc w:val="left"/>
        <w:rPr>
          <w:rFonts w:hint="eastAsia"/>
          <w:b w:val="0"/>
          <w:bCs w:val="0"/>
          <w:sz w:val="21"/>
          <w:szCs w:val="21"/>
        </w:rPr>
      </w:pPr>
      <w:r>
        <w:rPr>
          <w:rFonts w:hint="eastAsia"/>
          <w:sz w:val="21"/>
          <w:szCs w:val="21"/>
        </w:rPr>
        <w:t xml:space="preserve">第十五条  </w:t>
      </w:r>
      <w:r>
        <w:rPr>
          <w:rFonts w:hint="eastAsia"/>
          <w:b w:val="0"/>
          <w:bCs w:val="0"/>
          <w:sz w:val="21"/>
          <w:szCs w:val="21"/>
        </w:rPr>
        <w:t>本合同一式肆份，双方各执贰份，自双方签章之日起生效（双方确认一方在合同上签章后以传真或扫描件形式传输给对方，对方接收后在该传真或扫描件上签章后再以传真或扫描件形式回传对方也视为合同生效，（备注：如以传真、邮寄、电子邮件方式签订合同，生效时间根据合同做相应的调整）双方约定通过本合同签署栏列明的传真号或电子邮箱账号互传合同传真件或扫描件）。</w:t>
      </w:r>
    </w:p>
    <w:p w14:paraId="197EC7DC">
      <w:pPr>
        <w:pStyle w:val="12"/>
        <w:jc w:val="left"/>
        <w:rPr>
          <w:rFonts w:hint="eastAsia"/>
          <w:b w:val="0"/>
          <w:bCs w:val="0"/>
          <w:sz w:val="21"/>
          <w:szCs w:val="21"/>
        </w:rPr>
      </w:pPr>
      <w:r>
        <w:rPr>
          <w:rFonts w:hint="eastAsia"/>
          <w:sz w:val="21"/>
          <w:szCs w:val="21"/>
        </w:rPr>
        <w:t xml:space="preserve">第十六条 </w:t>
      </w:r>
      <w:r>
        <w:rPr>
          <w:rFonts w:hint="eastAsia"/>
          <w:b w:val="0"/>
          <w:bCs w:val="0"/>
          <w:sz w:val="21"/>
          <w:szCs w:val="21"/>
        </w:rPr>
        <w:t>双方确认本合同载明的地址为双方函件送达地址，同时也作为发生诉讼时法院送达法律文书的地址。一经邮寄，无论是否收到，自邮寄之日起的第三日视为送达之日。若地址发生变更，应及时书面告知对方变更后地址，未及时告知的，应承担相应的法律后果。此条款所约定的邮寄方式包含但不限于EMS、顺丰快递、圆通快递等。</w:t>
      </w:r>
    </w:p>
    <w:p w14:paraId="2FC6060F">
      <w:pPr>
        <w:spacing w:line="440" w:lineRule="exact"/>
        <w:rPr>
          <w:rFonts w:hint="eastAsia" w:ascii="宋体" w:hAnsi="宋体" w:eastAsia="宋体" w:cs="宋体"/>
          <w:spacing w:val="8"/>
          <w:lang w:eastAsia="zh-CN"/>
        </w:rPr>
      </w:pPr>
      <w:r>
        <w:rPr>
          <w:rFonts w:hint="eastAsia" w:ascii="宋体" w:hAnsi="宋体" w:eastAsia="宋体" w:cs="宋体"/>
          <w:b/>
          <w:bCs/>
          <w:color w:val="auto"/>
          <w:spacing w:val="8"/>
          <w:lang w:eastAsia="zh-CN"/>
        </w:rPr>
        <w:t>第十七条</w:t>
      </w:r>
      <w:r>
        <w:rPr>
          <w:rFonts w:hint="eastAsia" w:ascii="宋体" w:hAnsi="宋体" w:eastAsia="宋体" w:cs="宋体"/>
          <w:spacing w:val="8"/>
          <w:lang w:eastAsia="zh-CN"/>
        </w:rPr>
        <w:t xml:space="preserve">  其他约定：</w:t>
      </w:r>
    </w:p>
    <w:tbl>
      <w:tblPr>
        <w:tblStyle w:val="42"/>
        <w:tblW w:w="95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20"/>
        <w:gridCol w:w="4839"/>
      </w:tblGrid>
      <w:tr w14:paraId="5FB1D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9" w:hRule="atLeast"/>
        </w:trPr>
        <w:tc>
          <w:tcPr>
            <w:tcW w:w="4720" w:type="dxa"/>
            <w:vAlign w:val="center"/>
          </w:tcPr>
          <w:p w14:paraId="5AE33DB2">
            <w:pPr>
              <w:pStyle w:val="43"/>
              <w:kinsoku/>
              <w:spacing w:line="300" w:lineRule="exact"/>
              <w:ind w:left="105" w:leftChars="50"/>
              <w:jc w:val="both"/>
              <w:rPr>
                <w:rFonts w:hint="eastAsia"/>
                <w:spacing w:val="1"/>
                <w:sz w:val="18"/>
                <w:szCs w:val="18"/>
                <w:lang w:eastAsia="zh-CN"/>
              </w:rPr>
            </w:pPr>
            <w:r>
              <w:rPr>
                <w:rFonts w:hint="eastAsia"/>
                <w:spacing w:val="1"/>
                <w:sz w:val="18"/>
                <w:szCs w:val="18"/>
                <w:lang w:eastAsia="zh-CN"/>
              </w:rPr>
              <w:t>甲方（</w:t>
            </w:r>
            <w:r>
              <w:rPr>
                <w:spacing w:val="1"/>
                <w:sz w:val="18"/>
                <w:szCs w:val="18"/>
                <w:lang w:eastAsia="zh-CN"/>
              </w:rPr>
              <w:t>盖章</w:t>
            </w:r>
            <w:r>
              <w:rPr>
                <w:rFonts w:hint="eastAsia"/>
                <w:spacing w:val="1"/>
                <w:sz w:val="18"/>
                <w:szCs w:val="18"/>
                <w:lang w:eastAsia="zh-CN"/>
              </w:rPr>
              <w:t>）：江苏索普赛瑞装备制造有限公司</w:t>
            </w:r>
          </w:p>
          <w:p w14:paraId="5AC2C41B">
            <w:pPr>
              <w:pStyle w:val="43"/>
              <w:kinsoku/>
              <w:spacing w:line="300" w:lineRule="exact"/>
              <w:ind w:left="105" w:leftChars="50"/>
              <w:jc w:val="both"/>
              <w:rPr>
                <w:rFonts w:hint="eastAsia"/>
                <w:spacing w:val="1"/>
                <w:sz w:val="18"/>
                <w:szCs w:val="18"/>
                <w:lang w:eastAsia="zh-CN"/>
              </w:rPr>
            </w:pPr>
            <w:r>
              <w:rPr>
                <w:spacing w:val="1"/>
                <w:sz w:val="18"/>
                <w:szCs w:val="18"/>
                <w:lang w:eastAsia="zh-CN"/>
              </w:rPr>
              <w:t>约定送达地址：镇江市京口区求索路18号</w:t>
            </w:r>
          </w:p>
          <w:p w14:paraId="7CEA35F8">
            <w:pPr>
              <w:pStyle w:val="43"/>
              <w:kinsoku/>
              <w:spacing w:line="300" w:lineRule="exact"/>
              <w:ind w:left="105" w:leftChars="50"/>
              <w:jc w:val="both"/>
              <w:rPr>
                <w:rFonts w:hint="eastAsia"/>
                <w:spacing w:val="1"/>
                <w:sz w:val="18"/>
                <w:szCs w:val="18"/>
                <w:lang w:eastAsia="zh-CN"/>
              </w:rPr>
            </w:pPr>
            <w:r>
              <w:rPr>
                <w:spacing w:val="1"/>
                <w:sz w:val="18"/>
                <w:szCs w:val="18"/>
                <w:lang w:eastAsia="zh-CN"/>
              </w:rPr>
              <w:t xml:space="preserve">邮政编码：212006 </w:t>
            </w:r>
          </w:p>
          <w:p w14:paraId="40255617">
            <w:pPr>
              <w:pStyle w:val="43"/>
              <w:kinsoku/>
              <w:spacing w:line="300" w:lineRule="exact"/>
              <w:ind w:left="105" w:leftChars="50"/>
              <w:jc w:val="both"/>
              <w:rPr>
                <w:rFonts w:hint="eastAsia"/>
                <w:spacing w:val="1"/>
                <w:sz w:val="18"/>
                <w:szCs w:val="18"/>
                <w:lang w:eastAsia="zh-CN"/>
              </w:rPr>
            </w:pPr>
            <w:r>
              <w:rPr>
                <w:spacing w:val="1"/>
                <w:sz w:val="18"/>
                <w:szCs w:val="18"/>
                <w:lang w:eastAsia="zh-CN"/>
              </w:rPr>
              <w:t>经办人</w:t>
            </w:r>
            <w:r>
              <w:rPr>
                <w:rFonts w:hint="eastAsia"/>
                <w:spacing w:val="1"/>
                <w:sz w:val="18"/>
                <w:szCs w:val="18"/>
                <w:lang w:eastAsia="zh-CN"/>
              </w:rPr>
              <w:t>（</w:t>
            </w:r>
            <w:r>
              <w:rPr>
                <w:spacing w:val="1"/>
                <w:sz w:val="18"/>
                <w:szCs w:val="18"/>
                <w:lang w:eastAsia="zh-CN"/>
              </w:rPr>
              <w:t>签名</w:t>
            </w:r>
            <w:r>
              <w:rPr>
                <w:rFonts w:hint="eastAsia"/>
                <w:spacing w:val="1"/>
                <w:sz w:val="18"/>
                <w:szCs w:val="18"/>
                <w:lang w:eastAsia="zh-CN"/>
              </w:rPr>
              <w:t>）：</w:t>
            </w:r>
          </w:p>
          <w:p w14:paraId="736498E1">
            <w:pPr>
              <w:pStyle w:val="43"/>
              <w:kinsoku/>
              <w:spacing w:line="300" w:lineRule="exact"/>
              <w:ind w:left="105" w:leftChars="50"/>
              <w:jc w:val="both"/>
              <w:rPr>
                <w:rFonts w:hint="eastAsia"/>
                <w:spacing w:val="1"/>
                <w:sz w:val="18"/>
                <w:szCs w:val="18"/>
                <w:lang w:eastAsia="zh-CN"/>
              </w:rPr>
            </w:pPr>
            <w:r>
              <w:rPr>
                <w:spacing w:val="1"/>
                <w:sz w:val="18"/>
                <w:szCs w:val="18"/>
                <w:lang w:eastAsia="zh-CN"/>
              </w:rPr>
              <w:t xml:space="preserve">电话：0511-88995117      传真： </w:t>
            </w:r>
          </w:p>
          <w:p w14:paraId="7549D87C">
            <w:pPr>
              <w:pStyle w:val="43"/>
              <w:kinsoku/>
              <w:spacing w:line="300" w:lineRule="exact"/>
              <w:ind w:left="105" w:leftChars="50"/>
              <w:jc w:val="both"/>
              <w:rPr>
                <w:rFonts w:hint="eastAsia"/>
                <w:spacing w:val="1"/>
                <w:sz w:val="18"/>
                <w:szCs w:val="18"/>
                <w:lang w:eastAsia="zh-CN"/>
              </w:rPr>
            </w:pPr>
            <w:r>
              <w:rPr>
                <w:spacing w:val="1"/>
                <w:sz w:val="18"/>
                <w:szCs w:val="18"/>
                <w:lang w:eastAsia="zh-CN"/>
              </w:rPr>
              <w:t>电子邮箱：22459892@qq.com</w:t>
            </w:r>
          </w:p>
          <w:p w14:paraId="2D030ADA">
            <w:pPr>
              <w:pStyle w:val="43"/>
              <w:kinsoku/>
              <w:spacing w:line="300" w:lineRule="exact"/>
              <w:ind w:left="105" w:leftChars="50"/>
              <w:jc w:val="both"/>
              <w:rPr>
                <w:rFonts w:hint="eastAsia"/>
                <w:spacing w:val="1"/>
                <w:sz w:val="18"/>
                <w:szCs w:val="18"/>
                <w:lang w:eastAsia="zh-CN"/>
              </w:rPr>
            </w:pPr>
            <w:r>
              <w:rPr>
                <w:spacing w:val="1"/>
                <w:sz w:val="18"/>
                <w:szCs w:val="18"/>
                <w:lang w:eastAsia="zh-CN"/>
              </w:rPr>
              <w:t>税号</w:t>
            </w:r>
            <w:r>
              <w:rPr>
                <w:rFonts w:hint="eastAsia"/>
                <w:spacing w:val="1"/>
                <w:sz w:val="18"/>
                <w:szCs w:val="18"/>
                <w:lang w:eastAsia="zh-CN"/>
              </w:rPr>
              <w:t>/统一社会信用代码</w:t>
            </w:r>
            <w:r>
              <w:rPr>
                <w:spacing w:val="1"/>
                <w:sz w:val="18"/>
                <w:szCs w:val="18"/>
                <w:lang w:eastAsia="zh-CN"/>
              </w:rPr>
              <w:t>：91321102MAIT4PGEIC</w:t>
            </w:r>
          </w:p>
          <w:p w14:paraId="68C42622">
            <w:pPr>
              <w:pStyle w:val="43"/>
              <w:kinsoku/>
              <w:spacing w:line="300" w:lineRule="exact"/>
              <w:ind w:left="105" w:leftChars="50"/>
              <w:jc w:val="both"/>
              <w:rPr>
                <w:rFonts w:hint="eastAsia"/>
                <w:spacing w:val="1"/>
                <w:sz w:val="18"/>
                <w:szCs w:val="18"/>
                <w:lang w:eastAsia="zh-CN"/>
              </w:rPr>
            </w:pPr>
            <w:r>
              <w:rPr>
                <w:spacing w:val="1"/>
                <w:sz w:val="18"/>
                <w:szCs w:val="18"/>
                <w:lang w:eastAsia="zh-CN"/>
              </w:rPr>
              <w:t xml:space="preserve">开户银行：中国银行股份有限公司镇江谏壁支行 </w:t>
            </w:r>
          </w:p>
          <w:p w14:paraId="47F7D77E">
            <w:pPr>
              <w:pStyle w:val="43"/>
              <w:kinsoku/>
              <w:spacing w:line="300" w:lineRule="exact"/>
              <w:ind w:left="105" w:leftChars="50"/>
              <w:jc w:val="both"/>
              <w:rPr>
                <w:rFonts w:hint="eastAsia"/>
                <w:spacing w:val="1"/>
                <w:sz w:val="18"/>
                <w:szCs w:val="18"/>
              </w:rPr>
            </w:pPr>
            <w:r>
              <w:rPr>
                <w:spacing w:val="1"/>
                <w:sz w:val="18"/>
                <w:szCs w:val="18"/>
              </w:rPr>
              <w:t>行号：104314000325</w:t>
            </w:r>
          </w:p>
          <w:p w14:paraId="0A12E142">
            <w:pPr>
              <w:pStyle w:val="43"/>
              <w:kinsoku/>
              <w:spacing w:line="300" w:lineRule="exact"/>
              <w:ind w:left="105" w:leftChars="50"/>
              <w:jc w:val="both"/>
              <w:rPr>
                <w:rFonts w:hint="eastAsia"/>
                <w:spacing w:val="1"/>
                <w:sz w:val="18"/>
                <w:szCs w:val="18"/>
              </w:rPr>
            </w:pPr>
            <w:r>
              <w:rPr>
                <w:rFonts w:hint="eastAsia"/>
                <w:spacing w:val="1"/>
                <w:sz w:val="18"/>
                <w:szCs w:val="18"/>
                <w:lang w:eastAsia="zh-CN"/>
              </w:rPr>
              <w:t>账</w:t>
            </w:r>
            <w:r>
              <w:rPr>
                <w:spacing w:val="1"/>
                <w:sz w:val="18"/>
                <w:szCs w:val="18"/>
              </w:rPr>
              <w:t>号：4676709126</w:t>
            </w:r>
            <w:r>
              <w:rPr>
                <w:rFonts w:hint="eastAsia"/>
                <w:spacing w:val="1"/>
                <w:sz w:val="18"/>
                <w:szCs w:val="18"/>
                <w:lang w:eastAsia="zh-CN"/>
              </w:rPr>
              <w:t>46</w:t>
            </w:r>
          </w:p>
        </w:tc>
        <w:tc>
          <w:tcPr>
            <w:tcW w:w="4839" w:type="dxa"/>
            <w:vAlign w:val="center"/>
          </w:tcPr>
          <w:p w14:paraId="11584459">
            <w:pPr>
              <w:pStyle w:val="43"/>
              <w:kinsoku/>
              <w:spacing w:line="300" w:lineRule="exact"/>
              <w:ind w:left="105" w:leftChars="50"/>
              <w:jc w:val="both"/>
              <w:rPr>
                <w:rFonts w:hint="eastAsia"/>
                <w:spacing w:val="1"/>
                <w:sz w:val="18"/>
                <w:szCs w:val="18"/>
                <w:lang w:eastAsia="zh-CN"/>
              </w:rPr>
            </w:pPr>
            <w:r>
              <w:rPr>
                <w:rFonts w:hint="eastAsia"/>
                <w:spacing w:val="1"/>
                <w:sz w:val="18"/>
                <w:szCs w:val="18"/>
                <w:lang w:eastAsia="zh-CN"/>
              </w:rPr>
              <w:t>乙方（</w:t>
            </w:r>
            <w:r>
              <w:rPr>
                <w:spacing w:val="1"/>
                <w:sz w:val="18"/>
                <w:szCs w:val="18"/>
                <w:lang w:eastAsia="zh-CN"/>
              </w:rPr>
              <w:t>盖章</w:t>
            </w:r>
            <w:r>
              <w:rPr>
                <w:rFonts w:hint="eastAsia"/>
                <w:spacing w:val="1"/>
                <w:sz w:val="18"/>
                <w:szCs w:val="18"/>
                <w:lang w:eastAsia="zh-CN"/>
              </w:rPr>
              <w:t>）：</w:t>
            </w:r>
          </w:p>
          <w:p w14:paraId="0242B39F">
            <w:pPr>
              <w:pStyle w:val="43"/>
              <w:kinsoku/>
              <w:spacing w:line="300" w:lineRule="exact"/>
              <w:ind w:left="105" w:leftChars="50"/>
              <w:jc w:val="both"/>
              <w:rPr>
                <w:rFonts w:hint="eastAsia"/>
                <w:spacing w:val="1"/>
                <w:sz w:val="18"/>
                <w:szCs w:val="18"/>
                <w:lang w:eastAsia="zh-CN"/>
              </w:rPr>
            </w:pPr>
            <w:r>
              <w:rPr>
                <w:spacing w:val="1"/>
                <w:sz w:val="18"/>
                <w:szCs w:val="18"/>
                <w:lang w:eastAsia="zh-CN"/>
              </w:rPr>
              <w:t>约定送达地址：</w:t>
            </w:r>
            <w:r>
              <w:rPr>
                <w:rFonts w:hint="eastAsia"/>
                <w:spacing w:val="1"/>
                <w:sz w:val="18"/>
                <w:szCs w:val="18"/>
                <w:lang w:val="en-US" w:eastAsia="zh-CN"/>
              </w:rPr>
              <w:t xml:space="preserve"> </w:t>
            </w:r>
          </w:p>
          <w:p w14:paraId="53F19175">
            <w:pPr>
              <w:pStyle w:val="43"/>
              <w:kinsoku/>
              <w:spacing w:line="300" w:lineRule="exact"/>
              <w:ind w:left="105" w:leftChars="50"/>
              <w:jc w:val="both"/>
              <w:rPr>
                <w:rFonts w:hint="eastAsia"/>
                <w:spacing w:val="1"/>
                <w:sz w:val="18"/>
                <w:szCs w:val="18"/>
                <w:lang w:eastAsia="zh-CN"/>
              </w:rPr>
            </w:pPr>
            <w:r>
              <w:rPr>
                <w:spacing w:val="1"/>
                <w:sz w:val="18"/>
                <w:szCs w:val="18"/>
                <w:lang w:eastAsia="zh-CN"/>
              </w:rPr>
              <w:t>邮政编码：</w:t>
            </w:r>
            <w:r>
              <w:rPr>
                <w:rFonts w:hint="eastAsia"/>
                <w:spacing w:val="1"/>
                <w:sz w:val="18"/>
                <w:szCs w:val="18"/>
                <w:lang w:val="en-US" w:eastAsia="zh-CN"/>
              </w:rPr>
              <w:t xml:space="preserve"> </w:t>
            </w:r>
          </w:p>
          <w:p w14:paraId="75662645">
            <w:pPr>
              <w:pStyle w:val="43"/>
              <w:kinsoku/>
              <w:spacing w:line="300" w:lineRule="exact"/>
              <w:ind w:left="105" w:leftChars="50"/>
              <w:jc w:val="both"/>
              <w:rPr>
                <w:rFonts w:hint="eastAsia"/>
                <w:spacing w:val="1"/>
                <w:sz w:val="18"/>
                <w:szCs w:val="18"/>
                <w:lang w:eastAsia="zh-CN"/>
              </w:rPr>
            </w:pPr>
            <w:r>
              <w:rPr>
                <w:spacing w:val="1"/>
                <w:sz w:val="18"/>
                <w:szCs w:val="18"/>
                <w:lang w:eastAsia="zh-CN"/>
              </w:rPr>
              <w:t>经办人</w:t>
            </w:r>
            <w:r>
              <w:rPr>
                <w:rFonts w:hint="eastAsia"/>
                <w:spacing w:val="1"/>
                <w:sz w:val="18"/>
                <w:szCs w:val="18"/>
                <w:lang w:eastAsia="zh-CN"/>
              </w:rPr>
              <w:t>（</w:t>
            </w:r>
            <w:r>
              <w:rPr>
                <w:spacing w:val="1"/>
                <w:sz w:val="18"/>
                <w:szCs w:val="18"/>
                <w:lang w:eastAsia="zh-CN"/>
              </w:rPr>
              <w:t>签名</w:t>
            </w:r>
            <w:r>
              <w:rPr>
                <w:rFonts w:hint="eastAsia"/>
                <w:spacing w:val="1"/>
                <w:sz w:val="18"/>
                <w:szCs w:val="18"/>
                <w:lang w:eastAsia="zh-CN"/>
              </w:rPr>
              <w:t>）：</w:t>
            </w:r>
          </w:p>
          <w:p w14:paraId="6AD72411">
            <w:pPr>
              <w:pStyle w:val="43"/>
              <w:kinsoku/>
              <w:spacing w:line="300" w:lineRule="exact"/>
              <w:ind w:left="105" w:leftChars="50"/>
              <w:jc w:val="both"/>
              <w:rPr>
                <w:rFonts w:hint="eastAsia"/>
                <w:spacing w:val="1"/>
                <w:sz w:val="18"/>
                <w:szCs w:val="18"/>
                <w:lang w:eastAsia="zh-CN"/>
              </w:rPr>
            </w:pPr>
            <w:r>
              <w:rPr>
                <w:spacing w:val="1"/>
                <w:sz w:val="18"/>
                <w:szCs w:val="18"/>
                <w:lang w:eastAsia="zh-CN"/>
              </w:rPr>
              <w:t>电话：</w:t>
            </w:r>
            <w:r>
              <w:rPr>
                <w:rFonts w:hint="eastAsia"/>
                <w:spacing w:val="1"/>
                <w:sz w:val="18"/>
                <w:szCs w:val="18"/>
                <w:lang w:val="en-US" w:eastAsia="zh-CN"/>
              </w:rPr>
              <w:t xml:space="preserve"> </w:t>
            </w:r>
            <w:r>
              <w:rPr>
                <w:spacing w:val="1"/>
                <w:sz w:val="18"/>
                <w:szCs w:val="18"/>
                <w:lang w:eastAsia="zh-CN"/>
              </w:rPr>
              <w:t xml:space="preserve">           传真：</w:t>
            </w:r>
            <w:r>
              <w:rPr>
                <w:rFonts w:hint="eastAsia"/>
                <w:spacing w:val="1"/>
                <w:sz w:val="18"/>
                <w:szCs w:val="18"/>
                <w:lang w:val="en-US" w:eastAsia="zh-CN"/>
              </w:rPr>
              <w:t xml:space="preserve"> </w:t>
            </w:r>
            <w:r>
              <w:rPr>
                <w:spacing w:val="1"/>
                <w:sz w:val="18"/>
                <w:szCs w:val="18"/>
                <w:lang w:eastAsia="zh-CN"/>
              </w:rPr>
              <w:t xml:space="preserve"> </w:t>
            </w:r>
          </w:p>
          <w:p w14:paraId="5A8F9BE2">
            <w:pPr>
              <w:pStyle w:val="43"/>
              <w:kinsoku/>
              <w:spacing w:line="300" w:lineRule="exact"/>
              <w:ind w:left="105" w:leftChars="50"/>
              <w:jc w:val="both"/>
              <w:rPr>
                <w:rFonts w:hint="eastAsia"/>
                <w:spacing w:val="1"/>
                <w:sz w:val="18"/>
                <w:szCs w:val="18"/>
                <w:lang w:eastAsia="zh-CN"/>
              </w:rPr>
            </w:pPr>
            <w:r>
              <w:rPr>
                <w:spacing w:val="1"/>
                <w:sz w:val="18"/>
                <w:szCs w:val="18"/>
                <w:lang w:eastAsia="zh-CN"/>
              </w:rPr>
              <w:t>电子邮箱：</w:t>
            </w:r>
            <w:r>
              <w:rPr>
                <w:rFonts w:hint="eastAsia"/>
                <w:spacing w:val="1"/>
                <w:sz w:val="18"/>
                <w:szCs w:val="18"/>
                <w:lang w:val="en-US" w:eastAsia="zh-CN"/>
              </w:rPr>
              <w:t xml:space="preserve"> </w:t>
            </w:r>
          </w:p>
          <w:p w14:paraId="525C02BE">
            <w:pPr>
              <w:pStyle w:val="43"/>
              <w:kinsoku/>
              <w:spacing w:line="300" w:lineRule="exact"/>
              <w:ind w:left="105" w:leftChars="50"/>
              <w:jc w:val="both"/>
              <w:rPr>
                <w:rFonts w:hint="eastAsia"/>
                <w:spacing w:val="1"/>
                <w:sz w:val="18"/>
                <w:szCs w:val="18"/>
                <w:lang w:eastAsia="zh-CN"/>
              </w:rPr>
            </w:pPr>
            <w:r>
              <w:rPr>
                <w:spacing w:val="1"/>
                <w:sz w:val="18"/>
                <w:szCs w:val="18"/>
                <w:lang w:eastAsia="zh-CN"/>
              </w:rPr>
              <w:t>税号</w:t>
            </w:r>
            <w:r>
              <w:rPr>
                <w:rFonts w:hint="eastAsia"/>
                <w:spacing w:val="1"/>
                <w:sz w:val="18"/>
                <w:szCs w:val="18"/>
                <w:lang w:eastAsia="zh-CN"/>
              </w:rPr>
              <w:t>/统一社会信用代码</w:t>
            </w:r>
            <w:r>
              <w:rPr>
                <w:spacing w:val="1"/>
                <w:sz w:val="18"/>
                <w:szCs w:val="18"/>
                <w:lang w:eastAsia="zh-CN"/>
              </w:rPr>
              <w:t>：</w:t>
            </w:r>
            <w:r>
              <w:rPr>
                <w:rFonts w:hint="eastAsia"/>
                <w:spacing w:val="1"/>
                <w:sz w:val="18"/>
                <w:szCs w:val="18"/>
                <w:lang w:val="en-US" w:eastAsia="zh-CN"/>
              </w:rPr>
              <w:t xml:space="preserve"> </w:t>
            </w:r>
          </w:p>
          <w:p w14:paraId="2EE22477">
            <w:pPr>
              <w:pStyle w:val="43"/>
              <w:kinsoku/>
              <w:spacing w:line="300" w:lineRule="exact"/>
              <w:ind w:left="105" w:leftChars="50"/>
              <w:jc w:val="both"/>
              <w:rPr>
                <w:rFonts w:hint="eastAsia"/>
                <w:spacing w:val="1"/>
                <w:sz w:val="18"/>
                <w:szCs w:val="18"/>
                <w:lang w:eastAsia="zh-CN"/>
              </w:rPr>
            </w:pPr>
            <w:r>
              <w:rPr>
                <w:spacing w:val="1"/>
                <w:sz w:val="18"/>
                <w:szCs w:val="18"/>
                <w:lang w:eastAsia="zh-CN"/>
              </w:rPr>
              <w:t>开户银行：</w:t>
            </w:r>
            <w:r>
              <w:rPr>
                <w:rFonts w:hint="eastAsia"/>
                <w:spacing w:val="1"/>
                <w:sz w:val="18"/>
                <w:szCs w:val="18"/>
                <w:lang w:val="en-US" w:eastAsia="zh-CN"/>
              </w:rPr>
              <w:t xml:space="preserve"> </w:t>
            </w:r>
            <w:r>
              <w:rPr>
                <w:spacing w:val="1"/>
                <w:sz w:val="18"/>
                <w:szCs w:val="18"/>
                <w:lang w:eastAsia="zh-CN"/>
              </w:rPr>
              <w:t xml:space="preserve"> </w:t>
            </w:r>
          </w:p>
          <w:p w14:paraId="349DC338">
            <w:pPr>
              <w:pStyle w:val="43"/>
              <w:kinsoku/>
              <w:spacing w:line="300" w:lineRule="exact"/>
              <w:ind w:left="105" w:leftChars="50"/>
              <w:jc w:val="both"/>
              <w:rPr>
                <w:rFonts w:hint="eastAsia"/>
                <w:spacing w:val="1"/>
                <w:sz w:val="18"/>
                <w:szCs w:val="18"/>
              </w:rPr>
            </w:pPr>
            <w:r>
              <w:rPr>
                <w:spacing w:val="1"/>
                <w:sz w:val="18"/>
                <w:szCs w:val="18"/>
              </w:rPr>
              <w:t>行号：</w:t>
            </w:r>
            <w:r>
              <w:rPr>
                <w:rFonts w:hint="eastAsia"/>
                <w:spacing w:val="1"/>
                <w:sz w:val="18"/>
                <w:szCs w:val="18"/>
                <w:lang w:val="en-US" w:eastAsia="zh-CN"/>
              </w:rPr>
              <w:t xml:space="preserve"> </w:t>
            </w:r>
            <w:r>
              <w:rPr>
                <w:spacing w:val="1"/>
                <w:sz w:val="18"/>
                <w:szCs w:val="18"/>
              </w:rPr>
              <w:t xml:space="preserve"> </w:t>
            </w:r>
          </w:p>
          <w:p w14:paraId="23571AF4">
            <w:pPr>
              <w:pStyle w:val="43"/>
              <w:kinsoku/>
              <w:spacing w:line="300" w:lineRule="exact"/>
              <w:ind w:left="105" w:leftChars="50"/>
              <w:jc w:val="both"/>
              <w:rPr>
                <w:rFonts w:hint="eastAsia" w:eastAsia="宋体"/>
                <w:spacing w:val="1"/>
                <w:sz w:val="18"/>
                <w:szCs w:val="18"/>
                <w:lang w:eastAsia="zh-CN"/>
              </w:rPr>
            </w:pPr>
            <w:r>
              <w:rPr>
                <w:rFonts w:hint="eastAsia"/>
                <w:spacing w:val="1"/>
                <w:sz w:val="18"/>
                <w:szCs w:val="18"/>
                <w:lang w:eastAsia="zh-CN"/>
              </w:rPr>
              <w:t>账</w:t>
            </w:r>
            <w:r>
              <w:rPr>
                <w:spacing w:val="1"/>
                <w:sz w:val="18"/>
                <w:szCs w:val="18"/>
              </w:rPr>
              <w:t>号：</w:t>
            </w:r>
            <w:r>
              <w:rPr>
                <w:rFonts w:hint="eastAsia"/>
                <w:spacing w:val="1"/>
                <w:sz w:val="18"/>
                <w:szCs w:val="18"/>
                <w:lang w:val="en-US" w:eastAsia="zh-CN"/>
              </w:rPr>
              <w:t xml:space="preserve"> </w:t>
            </w:r>
            <w:bookmarkStart w:id="0" w:name="_GoBack"/>
            <w:bookmarkEnd w:id="0"/>
          </w:p>
        </w:tc>
      </w:tr>
    </w:tbl>
    <w:p w14:paraId="13C51382">
      <w:pPr>
        <w:kinsoku/>
        <w:spacing w:line="277" w:lineRule="auto"/>
        <w:ind w:left="420" w:leftChars="200" w:right="315" w:rightChars="150"/>
        <w:rPr>
          <w:rFonts w:eastAsiaTheme="minorEastAsia"/>
          <w:lang w:eastAsia="zh-CN"/>
        </w:rPr>
      </w:pPr>
    </w:p>
    <w:sectPr>
      <w:pgSz w:w="11907" w:h="16840"/>
      <w:pgMar w:top="414" w:right="1055" w:bottom="244" w:left="1276" w:header="0" w:footer="0" w:gutter="0"/>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24B"/>
    <w:rsid w:val="004853DF"/>
    <w:rsid w:val="005950CA"/>
    <w:rsid w:val="005979D6"/>
    <w:rsid w:val="006555C4"/>
    <w:rsid w:val="00686E49"/>
    <w:rsid w:val="008609C2"/>
    <w:rsid w:val="008D0130"/>
    <w:rsid w:val="0096257C"/>
    <w:rsid w:val="00985A80"/>
    <w:rsid w:val="00985E13"/>
    <w:rsid w:val="00B2624B"/>
    <w:rsid w:val="00BB62EC"/>
    <w:rsid w:val="00C154AE"/>
    <w:rsid w:val="00CE30BD"/>
    <w:rsid w:val="00CF23B0"/>
    <w:rsid w:val="00ED302E"/>
    <w:rsid w:val="00EE4C75"/>
    <w:rsid w:val="00F079B6"/>
    <w:rsid w:val="00F715A6"/>
    <w:rsid w:val="00FE7C76"/>
    <w:rsid w:val="0B7A1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0" w:line="240" w:lineRule="auto"/>
      <w:textAlignment w:val="baseline"/>
    </w:pPr>
    <w:rPr>
      <w:rFonts w:ascii="Arial" w:hAnsi="Arial" w:eastAsia="Arial" w:cs="Arial"/>
      <w:snapToGrid w:val="0"/>
      <w:color w:val="000000"/>
      <w:kern w:val="0"/>
      <w:sz w:val="21"/>
      <w:szCs w:val="21"/>
      <w:lang w:val="en-US" w:eastAsia="en-US" w:bidi="ar-SA"/>
      <w14:ligatures w14:val="none"/>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0"/>
    <w:autoRedefine/>
    <w:qFormat/>
    <w:uiPriority w:val="0"/>
  </w:style>
  <w:style w:type="paragraph" w:styleId="12">
    <w:name w:val="Body Text"/>
    <w:basedOn w:val="1"/>
    <w:link w:val="41"/>
    <w:autoRedefine/>
    <w:semiHidden/>
    <w:qFormat/>
    <w:uiPriority w:val="0"/>
    <w:pPr>
      <w:kinsoku/>
      <w:spacing w:line="500" w:lineRule="exact"/>
      <w:ind w:hanging="1"/>
      <w:jc w:val="center"/>
    </w:pPr>
    <w:rPr>
      <w:rFonts w:ascii="宋体" w:hAnsi="宋体" w:eastAsia="宋体" w:cs="宋体"/>
      <w:b/>
      <w:bCs/>
      <w:sz w:val="28"/>
      <w:szCs w:val="28"/>
      <w:lang w:eastAsia="zh-CN"/>
    </w:rPr>
  </w:style>
  <w:style w:type="paragraph" w:styleId="13">
    <w:name w:val="footer"/>
    <w:basedOn w:val="1"/>
    <w:link w:val="39"/>
    <w:unhideWhenUsed/>
    <w:uiPriority w:val="99"/>
    <w:pPr>
      <w:tabs>
        <w:tab w:val="center" w:pos="4153"/>
        <w:tab w:val="right" w:pos="8306"/>
      </w:tabs>
    </w:pPr>
    <w:rPr>
      <w:sz w:val="18"/>
      <w:szCs w:val="18"/>
    </w:rPr>
  </w:style>
  <w:style w:type="paragraph" w:styleId="14">
    <w:name w:val="header"/>
    <w:basedOn w:val="1"/>
    <w:link w:val="38"/>
    <w:unhideWhenUsed/>
    <w:uiPriority w:val="99"/>
    <w:pPr>
      <w:tabs>
        <w:tab w:val="center" w:pos="4153"/>
        <w:tab w:val="right" w:pos="8306"/>
      </w:tabs>
      <w:jc w:val="center"/>
    </w:pPr>
    <w:rPr>
      <w:sz w:val="18"/>
      <w:szCs w:val="18"/>
    </w:rPr>
  </w:style>
  <w:style w:type="paragraph" w:styleId="15">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9">
    <w:name w:val="annotation reference"/>
    <w:basedOn w:val="18"/>
    <w:autoRedefine/>
    <w:qFormat/>
    <w:uiPriority w:val="0"/>
    <w:rPr>
      <w:sz w:val="21"/>
      <w:szCs w:val="21"/>
    </w:rPr>
  </w:style>
  <w:style w:type="character" w:customStyle="1" w:styleId="20">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8"/>
    <w:link w:val="3"/>
    <w:semiHidden/>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8"/>
    <w:link w:val="4"/>
    <w:semiHidden/>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8"/>
    <w:link w:val="5"/>
    <w:semiHidden/>
    <w:uiPriority w:val="9"/>
    <w:rPr>
      <w:rFonts w:cstheme="majorBidi"/>
      <w:color w:val="104862" w:themeColor="accent1" w:themeShade="BF"/>
      <w:sz w:val="28"/>
      <w:szCs w:val="28"/>
    </w:rPr>
  </w:style>
  <w:style w:type="character" w:customStyle="1" w:styleId="24">
    <w:name w:val="标题 5 字符"/>
    <w:basedOn w:val="18"/>
    <w:link w:val="6"/>
    <w:semiHidden/>
    <w:uiPriority w:val="9"/>
    <w:rPr>
      <w:rFonts w:cstheme="majorBidi"/>
      <w:color w:val="104862" w:themeColor="accent1" w:themeShade="BF"/>
      <w:sz w:val="24"/>
    </w:rPr>
  </w:style>
  <w:style w:type="character" w:customStyle="1" w:styleId="25">
    <w:name w:val="标题 6 字符"/>
    <w:basedOn w:val="18"/>
    <w:link w:val="7"/>
    <w:semiHidden/>
    <w:uiPriority w:val="9"/>
    <w:rPr>
      <w:rFonts w:cstheme="majorBidi"/>
      <w:b/>
      <w:bCs/>
      <w:color w:val="104862" w:themeColor="accent1" w:themeShade="BF"/>
    </w:rPr>
  </w:style>
  <w:style w:type="character" w:customStyle="1" w:styleId="26">
    <w:name w:val="标题 7 字符"/>
    <w:basedOn w:val="18"/>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6"/>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5"/>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8"/>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8"/>
    <w:link w:val="35"/>
    <w:uiPriority w:val="30"/>
    <w:rPr>
      <w:i/>
      <w:iCs/>
      <w:color w:val="104862" w:themeColor="accent1" w:themeShade="BF"/>
    </w:rPr>
  </w:style>
  <w:style w:type="character" w:customStyle="1" w:styleId="37">
    <w:name w:val="Intense Reference"/>
    <w:basedOn w:val="18"/>
    <w:qFormat/>
    <w:uiPriority w:val="32"/>
    <w:rPr>
      <w:b/>
      <w:bCs/>
      <w:smallCaps/>
      <w:color w:val="104862" w:themeColor="accent1" w:themeShade="BF"/>
      <w:spacing w:val="5"/>
    </w:rPr>
  </w:style>
  <w:style w:type="character" w:customStyle="1" w:styleId="38">
    <w:name w:val="页眉 字符"/>
    <w:basedOn w:val="18"/>
    <w:link w:val="14"/>
    <w:uiPriority w:val="99"/>
    <w:rPr>
      <w:sz w:val="18"/>
      <w:szCs w:val="18"/>
    </w:rPr>
  </w:style>
  <w:style w:type="character" w:customStyle="1" w:styleId="39">
    <w:name w:val="页脚 字符"/>
    <w:basedOn w:val="18"/>
    <w:link w:val="13"/>
    <w:uiPriority w:val="99"/>
    <w:rPr>
      <w:sz w:val="18"/>
      <w:szCs w:val="18"/>
    </w:rPr>
  </w:style>
  <w:style w:type="character" w:customStyle="1" w:styleId="40">
    <w:name w:val="批注文字 字符"/>
    <w:basedOn w:val="18"/>
    <w:link w:val="11"/>
    <w:uiPriority w:val="0"/>
    <w:rPr>
      <w:rFonts w:ascii="Arial" w:hAnsi="Arial" w:eastAsia="Arial" w:cs="Arial"/>
      <w:snapToGrid w:val="0"/>
      <w:color w:val="000000"/>
      <w:kern w:val="0"/>
      <w:sz w:val="21"/>
      <w:szCs w:val="21"/>
      <w:lang w:eastAsia="en-US"/>
      <w14:ligatures w14:val="none"/>
    </w:rPr>
  </w:style>
  <w:style w:type="character" w:customStyle="1" w:styleId="41">
    <w:name w:val="正文文本 字符"/>
    <w:basedOn w:val="18"/>
    <w:link w:val="12"/>
    <w:semiHidden/>
    <w:uiPriority w:val="0"/>
    <w:rPr>
      <w:rFonts w:ascii="宋体" w:hAnsi="宋体" w:eastAsia="宋体" w:cs="宋体"/>
      <w:b/>
      <w:bCs/>
      <w:snapToGrid w:val="0"/>
      <w:color w:val="000000"/>
      <w:kern w:val="0"/>
      <w:sz w:val="28"/>
      <w:szCs w:val="28"/>
      <w14:ligatures w14:val="none"/>
    </w:rPr>
  </w:style>
  <w:style w:type="table" w:customStyle="1" w:styleId="42">
    <w:name w:val="Table Normal"/>
    <w:semiHidden/>
    <w:unhideWhenUsed/>
    <w:qFormat/>
    <w:uiPriority w:val="0"/>
    <w:pPr>
      <w:spacing w:after="0" w:line="240" w:lineRule="auto"/>
    </w:pPr>
    <w:rPr>
      <w:rFonts w:ascii="Times New Roman" w:hAnsi="Times New Roman" w:eastAsia="宋体" w:cs="Times New Roman"/>
      <w:kern w:val="0"/>
      <w:sz w:val="20"/>
      <w:szCs w:val="20"/>
      <w14:ligatures w14:val="none"/>
    </w:rPr>
    <w:tblPr>
      <w:tblCellMar>
        <w:top w:w="0" w:type="dxa"/>
        <w:left w:w="0" w:type="dxa"/>
        <w:bottom w:w="0" w:type="dxa"/>
        <w:right w:w="0" w:type="dxa"/>
      </w:tblCellMar>
    </w:tblPr>
  </w:style>
  <w:style w:type="paragraph" w:customStyle="1" w:styleId="43">
    <w:name w:val="Table Text"/>
    <w:basedOn w:val="1"/>
    <w:semiHidden/>
    <w:qFormat/>
    <w:uiPriority w:val="0"/>
    <w:rPr>
      <w:rFonts w:ascii="宋体" w:hAnsi="宋体" w:eastAsia="宋体" w:cs="宋体"/>
    </w:rPr>
  </w:style>
  <w:style w:type="paragraph" w:customStyle="1" w:styleId="44">
    <w:name w:val="Revision"/>
    <w:hidden/>
    <w:semiHidden/>
    <w:uiPriority w:val="99"/>
    <w:pPr>
      <w:spacing w:after="0" w:line="240" w:lineRule="auto"/>
    </w:pPr>
    <w:rPr>
      <w:rFonts w:ascii="Arial" w:hAnsi="Arial" w:eastAsia="Arial" w:cs="Arial"/>
      <w:snapToGrid w:val="0"/>
      <w:color w:val="000000"/>
      <w:kern w:val="0"/>
      <w:sz w:val="21"/>
      <w:szCs w:val="21"/>
      <w:lang w:val="en-US" w:eastAsia="en-US" w:bidi="ar-SA"/>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3</Pages>
  <Words>3586</Words>
  <Characters>3764</Characters>
  <Lines>28</Lines>
  <Paragraphs>7</Paragraphs>
  <TotalTime>18</TotalTime>
  <ScaleCrop>false</ScaleCrop>
  <LinksUpToDate>false</LinksUpToDate>
  <CharactersWithSpaces>3921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2025-04-09T06:37:00Z</dcterms:created>
  <dc:creator>am</dc:creator>
  <cp:lastModifiedBy>王儀</cp:lastModifiedBy>
  <dcterms:modified xsi:type="dcterms:W3CDTF">2025-04-15T06:22:56Z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eyJoZGlkIjoiZTc1ZWFhYzUxZWI3MjFmNjIzN2U2ZTc0NWNkNTYyNWIiLCJ1c2VySWQiOiI1Njk4MjgxMTcifQ==</vt:lpwstr>
  </property>
  <property fmtid="{D5CDD505-2E9C-101B-9397-08002B2CF9AE}" pid="3" name="KSOProductBuildVer">
    <vt:lpwstr>2052-12.1.0.20784</vt:lpwstr>
  </property>
  <property fmtid="{D5CDD505-2E9C-101B-9397-08002B2CF9AE}" pid="4" name="ICV">
    <vt:lpwstr>26014BA318C8417FA50B36FA3304355C_12</vt:lpwstr>
  </property>
</Properties>
</file>