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D16FB">
      <w:pPr>
        <w:tabs>
          <w:tab w:val="left" w:pos="180"/>
        </w:tabs>
        <w:spacing w:line="360" w:lineRule="auto"/>
        <w:jc w:val="center"/>
        <w:rPr>
          <w:rFonts w:hint="eastAsia" w:ascii="方正小标宋简体" w:hAnsi="方正小标宋简体" w:eastAsia="方正小标宋简体" w:cs="方正小标宋简体"/>
          <w:b/>
          <w:kern w:val="1"/>
          <w:sz w:val="44"/>
          <w:szCs w:val="44"/>
          <w:lang w:val="en-US" w:eastAsia="zh-CN"/>
        </w:rPr>
      </w:pPr>
      <w:r>
        <w:rPr>
          <w:rFonts w:hint="eastAsia" w:ascii="方正小标宋简体" w:hAnsi="方正小标宋简体" w:eastAsia="方正小标宋简体" w:cs="方正小标宋简体"/>
          <w:b/>
          <w:kern w:val="1"/>
          <w:sz w:val="44"/>
          <w:szCs w:val="44"/>
          <w:lang w:val="en-US" w:eastAsia="zh-CN"/>
        </w:rPr>
        <w:t>醋酸乙烯及EVA一体化项目</w:t>
      </w:r>
    </w:p>
    <w:p w14:paraId="23E194F2">
      <w:pPr>
        <w:tabs>
          <w:tab w:val="left" w:pos="180"/>
        </w:tabs>
        <w:spacing w:line="360" w:lineRule="auto"/>
        <w:jc w:val="center"/>
        <w:rPr>
          <w:rFonts w:hint="default" w:ascii="黑体" w:hAnsi="黑体" w:eastAsia="黑体" w:cs="黑体"/>
          <w:b/>
          <w:kern w:val="1"/>
          <w:sz w:val="36"/>
          <w:szCs w:val="36"/>
          <w:lang w:val="en-US" w:eastAsia="zh-CN"/>
        </w:rPr>
      </w:pPr>
      <w:r>
        <w:rPr>
          <w:rFonts w:hint="eastAsia" w:ascii="方正小标宋简体" w:hAnsi="方正小标宋简体" w:eastAsia="方正小标宋简体" w:cs="方正小标宋简体"/>
          <w:b/>
          <w:kern w:val="1"/>
          <w:sz w:val="44"/>
          <w:szCs w:val="44"/>
          <w:lang w:val="en-US" w:eastAsia="zh-CN"/>
        </w:rPr>
        <w:t>多功能水泵控制阀公开采购文件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宋体" w:eastAsia="仿宋_GB2312" w:cs="‹ÎSå"/>
          <w:color w:val="auto"/>
          <w:kern w:val="1"/>
          <w:sz w:val="24"/>
          <w:lang w:val="en-US" w:eastAsia="zh-CN"/>
        </w:rPr>
      </w:pPr>
    </w:p>
    <w:p w14:paraId="057E3634">
      <w:pPr>
        <w:spacing w:line="360" w:lineRule="auto"/>
        <w:ind w:firstLine="560" w:firstLineChars="200"/>
        <w:jc w:val="left"/>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我公司现需采购</w:t>
      </w:r>
      <w:r>
        <w:rPr>
          <w:rFonts w:hint="eastAsia" w:ascii="仿宋_GB2312" w:hAnsi="仿宋_GB2312" w:eastAsia="仿宋_GB2312" w:cs="仿宋_GB2312"/>
          <w:color w:val="auto"/>
          <w:kern w:val="1"/>
          <w:sz w:val="28"/>
          <w:szCs w:val="28"/>
          <w:u w:val="single"/>
          <w:lang w:val="en-US" w:eastAsia="zh-CN"/>
        </w:rPr>
        <w:t>多功能水泵控制阀9台</w:t>
      </w:r>
      <w:r>
        <w:rPr>
          <w:rFonts w:hint="eastAsia" w:ascii="仿宋_GB2312" w:hAnsi="仿宋_GB2312" w:eastAsia="仿宋_GB2312" w:cs="仿宋_GB2312"/>
          <w:color w:val="auto"/>
          <w:kern w:val="1"/>
          <w:sz w:val="28"/>
          <w:szCs w:val="28"/>
          <w:lang w:val="en-US" w:eastAsia="zh-CN"/>
        </w:rPr>
        <w:t>，现在索普官网公开发布采购信息，实行满足要求的最低价中选。</w:t>
      </w:r>
    </w:p>
    <w:p w14:paraId="208B961A">
      <w:pPr>
        <w:spacing w:line="360" w:lineRule="auto"/>
        <w:ind w:firstLine="560" w:firstLineChars="200"/>
        <w:jc w:val="left"/>
        <w:rPr>
          <w:rFonts w:hint="eastAsia" w:ascii="仿宋_GB2312" w:hAnsi="仿宋_GB2312" w:eastAsia="仿宋_GB2312" w:cs="仿宋_GB2312"/>
          <w:color w:val="auto"/>
          <w:kern w:val="1"/>
          <w:sz w:val="28"/>
          <w:szCs w:val="28"/>
          <w:highlight w:val="none"/>
          <w:lang w:val="zh-CN"/>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bCs/>
          <w:color w:val="auto"/>
          <w:kern w:val="1"/>
          <w:sz w:val="28"/>
          <w:szCs w:val="28"/>
        </w:rPr>
        <w:t xml:space="preserve"> </w:t>
      </w:r>
      <w:r>
        <w:rPr>
          <w:rFonts w:hint="eastAsia" w:ascii="仿宋_GB2312" w:hAnsi="仿宋_GB2312" w:eastAsia="仿宋_GB2312" w:cs="仿宋_GB2312"/>
          <w:color w:val="auto"/>
          <w:kern w:val="1"/>
          <w:sz w:val="28"/>
          <w:szCs w:val="28"/>
          <w:highlight w:val="none"/>
        </w:rPr>
        <w:t>报价须知</w:t>
      </w:r>
    </w:p>
    <w:p w14:paraId="2E59C918">
      <w:pPr>
        <w:spacing w:line="360" w:lineRule="auto"/>
        <w:ind w:firstLine="560" w:firstLineChars="200"/>
        <w:jc w:val="left"/>
        <w:rPr>
          <w:rFonts w:hint="eastAsia" w:ascii="仿宋_GB2312" w:hAnsi="仿宋_GB2312" w:eastAsia="仿宋_GB2312" w:cs="仿宋_GB2312"/>
          <w:color w:val="auto"/>
          <w:kern w:val="1"/>
          <w:sz w:val="28"/>
          <w:szCs w:val="28"/>
          <w:highlight w:val="none"/>
          <w:lang w:val="en-US" w:eastAsia="zh-CN"/>
        </w:rPr>
      </w:pPr>
      <w:r>
        <w:rPr>
          <w:rFonts w:hint="eastAsia" w:ascii="仿宋_GB2312" w:hAnsi="仿宋_GB2312" w:eastAsia="仿宋_GB2312" w:cs="仿宋_GB2312"/>
          <w:color w:val="auto"/>
          <w:kern w:val="1"/>
          <w:sz w:val="28"/>
          <w:szCs w:val="28"/>
          <w:highlight w:val="none"/>
        </w:rPr>
        <w:t xml:space="preserve">1.1 </w:t>
      </w:r>
      <w:r>
        <w:rPr>
          <w:rFonts w:hint="eastAsia" w:ascii="仿宋_GB2312" w:hAnsi="仿宋_GB2312" w:eastAsia="仿宋_GB2312" w:cs="仿宋_GB2312"/>
          <w:color w:val="auto"/>
          <w:kern w:val="1"/>
          <w:sz w:val="28"/>
          <w:szCs w:val="28"/>
          <w:highlight w:val="none"/>
          <w:lang w:eastAsia="zh-CN"/>
        </w:rPr>
        <w:t>采购</w:t>
      </w:r>
      <w:r>
        <w:rPr>
          <w:rFonts w:hint="eastAsia" w:ascii="仿宋_GB2312" w:hAnsi="仿宋_GB2312" w:eastAsia="仿宋_GB2312" w:cs="仿宋_GB2312"/>
          <w:color w:val="auto"/>
          <w:kern w:val="1"/>
          <w:sz w:val="28"/>
          <w:szCs w:val="28"/>
          <w:highlight w:val="none"/>
        </w:rPr>
        <w:t>货物名称</w:t>
      </w:r>
      <w:r>
        <w:rPr>
          <w:rFonts w:hint="eastAsia" w:ascii="仿宋_GB2312" w:hAnsi="仿宋_GB2312" w:eastAsia="仿宋_GB2312" w:cs="仿宋_GB2312"/>
          <w:color w:val="auto"/>
          <w:kern w:val="1"/>
          <w:sz w:val="28"/>
          <w:szCs w:val="28"/>
          <w:highlight w:val="none"/>
          <w:lang w:eastAsia="zh-CN"/>
        </w:rPr>
        <w:t>：</w:t>
      </w:r>
      <w:r>
        <w:rPr>
          <w:rFonts w:hint="eastAsia" w:ascii="仿宋_GB2312" w:hAnsi="仿宋_GB2312" w:eastAsia="仿宋_GB2312" w:cs="仿宋_GB2312"/>
          <w:color w:val="auto"/>
          <w:kern w:val="1"/>
          <w:sz w:val="28"/>
          <w:szCs w:val="28"/>
          <w:u w:val="single"/>
          <w:lang w:val="en-US" w:eastAsia="zh-CN"/>
        </w:rPr>
        <w:t>多功能水泵控制阀9台</w:t>
      </w:r>
      <w:r>
        <w:rPr>
          <w:rFonts w:hint="eastAsia" w:ascii="仿宋_GB2312" w:hAnsi="仿宋_GB2312" w:eastAsia="仿宋_GB2312" w:cs="仿宋_GB2312"/>
          <w:color w:val="auto"/>
          <w:kern w:val="1"/>
          <w:sz w:val="28"/>
          <w:szCs w:val="28"/>
          <w:highlight w:val="none"/>
          <w:lang w:val="en-US" w:eastAsia="zh-CN"/>
        </w:rPr>
        <w:t>（详见3.</w:t>
      </w:r>
      <w:r>
        <w:rPr>
          <w:rFonts w:hint="eastAsia" w:ascii="仿宋_GB2312" w:hAnsi="仿宋_GB2312" w:eastAsia="仿宋_GB2312" w:cs="仿宋_GB2312"/>
          <w:bCs/>
          <w:sz w:val="28"/>
          <w:szCs w:val="28"/>
        </w:rPr>
        <w:t>报价货物清单及技术要求</w:t>
      </w:r>
      <w:r>
        <w:rPr>
          <w:rFonts w:hint="eastAsia" w:ascii="仿宋_GB2312" w:hAnsi="仿宋_GB2312" w:eastAsia="仿宋_GB2312" w:cs="仿宋_GB2312"/>
          <w:color w:val="auto"/>
          <w:kern w:val="1"/>
          <w:sz w:val="28"/>
          <w:szCs w:val="28"/>
          <w:highlight w:val="none"/>
          <w:lang w:val="en-US" w:eastAsia="zh-CN"/>
        </w:rPr>
        <w:t>）。</w:t>
      </w:r>
    </w:p>
    <w:p w14:paraId="766183DA">
      <w:pPr>
        <w:spacing w:line="360" w:lineRule="auto"/>
        <w:ind w:firstLine="560" w:firstLineChars="200"/>
        <w:jc w:val="left"/>
        <w:rPr>
          <w:rFonts w:hint="eastAsia" w:ascii="仿宋_GB2312" w:hAnsi="仿宋_GB2312" w:eastAsia="仿宋_GB2312" w:cs="仿宋_GB2312"/>
          <w:sz w:val="28"/>
          <w:szCs w:val="28"/>
          <w:u w:val="none"/>
        </w:rPr>
      </w:pPr>
      <w:r>
        <w:rPr>
          <w:rFonts w:hint="eastAsia" w:ascii="仿宋_GB2312" w:hAnsi="仿宋_GB2312" w:eastAsia="仿宋_GB2312" w:cs="仿宋_GB2312"/>
          <w:color w:val="auto"/>
          <w:kern w:val="1"/>
          <w:sz w:val="28"/>
          <w:szCs w:val="28"/>
          <w:highlight w:val="none"/>
        </w:rPr>
        <w:t>1.2 交货地点：</w:t>
      </w:r>
      <w:r>
        <w:rPr>
          <w:rFonts w:hint="eastAsia" w:ascii="仿宋_GB2312" w:hAnsi="仿宋_GB2312" w:eastAsia="仿宋_GB2312" w:cs="仿宋_GB2312"/>
          <w:b/>
          <w:bCs/>
          <w:color w:val="auto"/>
          <w:kern w:val="1"/>
          <w:sz w:val="28"/>
          <w:szCs w:val="28"/>
          <w:u w:val="single"/>
        </w:rPr>
        <w:t>江苏索普</w:t>
      </w:r>
      <w:r>
        <w:rPr>
          <w:rFonts w:hint="eastAsia" w:ascii="仿宋_GB2312" w:hAnsi="仿宋_GB2312" w:eastAsia="仿宋_GB2312" w:cs="仿宋_GB2312"/>
          <w:b/>
          <w:bCs/>
          <w:color w:val="auto"/>
          <w:kern w:val="1"/>
          <w:sz w:val="28"/>
          <w:szCs w:val="28"/>
          <w:u w:val="single"/>
          <w:lang w:val="en-US" w:eastAsia="zh-CN"/>
        </w:rPr>
        <w:t>新材料科技有限公司指定现场</w:t>
      </w:r>
      <w:r>
        <w:rPr>
          <w:rFonts w:hint="eastAsia" w:ascii="仿宋_GB2312" w:hAnsi="仿宋_GB2312" w:eastAsia="仿宋_GB2312" w:cs="仿宋_GB2312"/>
          <w:b/>
          <w:bCs/>
          <w:color w:val="auto"/>
          <w:kern w:val="1"/>
          <w:sz w:val="28"/>
          <w:szCs w:val="28"/>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1.3 交货期：合同签订后</w:t>
      </w:r>
      <w:r>
        <w:rPr>
          <w:rFonts w:hint="eastAsia" w:ascii="仿宋_GB2312" w:hAnsi="仿宋_GB2312" w:eastAsia="仿宋_GB2312" w:cs="仿宋_GB2312"/>
          <w:b/>
          <w:bCs/>
          <w:color w:val="auto"/>
          <w:kern w:val="1"/>
          <w:sz w:val="28"/>
          <w:szCs w:val="28"/>
          <w:u w:val="single"/>
          <w:lang w:val="en-US" w:eastAsia="zh-CN"/>
        </w:rPr>
        <w:t>2</w:t>
      </w:r>
      <w:r>
        <w:rPr>
          <w:rFonts w:hint="eastAsia" w:ascii="仿宋_GB2312" w:hAnsi="仿宋_GB2312" w:eastAsia="仿宋_GB2312" w:cs="仿宋_GB2312"/>
          <w:b/>
          <w:bCs/>
          <w:color w:val="auto"/>
          <w:kern w:val="1"/>
          <w:sz w:val="28"/>
          <w:szCs w:val="28"/>
          <w:u w:val="single"/>
        </w:rPr>
        <w:t>0个工作日</w:t>
      </w:r>
      <w:r>
        <w:rPr>
          <w:rFonts w:hint="eastAsia" w:ascii="仿宋_GB2312" w:hAnsi="仿宋_GB2312" w:eastAsia="仿宋_GB2312" w:cs="仿宋_GB2312"/>
          <w:color w:val="auto"/>
          <w:kern w:val="1"/>
          <w:sz w:val="28"/>
          <w:szCs w:val="28"/>
        </w:rPr>
        <w:t>（如无法满足</w:t>
      </w:r>
      <w:bookmarkStart w:id="0" w:name="_GoBack"/>
      <w:bookmarkEnd w:id="0"/>
      <w:r>
        <w:rPr>
          <w:rFonts w:hint="eastAsia" w:ascii="仿宋_GB2312" w:hAnsi="仿宋_GB2312" w:eastAsia="仿宋_GB2312" w:cs="仿宋_GB2312"/>
          <w:color w:val="auto"/>
          <w:kern w:val="1"/>
          <w:sz w:val="28"/>
          <w:szCs w:val="28"/>
        </w:rPr>
        <w:t>请在报价时注明）。</w:t>
      </w:r>
    </w:p>
    <w:p w14:paraId="5470BEE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 xml:space="preserve">1.4 </w:t>
      </w:r>
      <w:r>
        <w:rPr>
          <w:rFonts w:hint="eastAsia" w:ascii="仿宋_GB2312" w:hAnsi="仿宋_GB2312" w:eastAsia="仿宋_GB2312" w:cs="仿宋_GB2312"/>
          <w:color w:val="auto"/>
          <w:kern w:val="1"/>
          <w:sz w:val="28"/>
          <w:szCs w:val="28"/>
          <w:lang w:val="en-US" w:eastAsia="zh-CN"/>
        </w:rPr>
        <w:t>付款方式：货到增值税专用发票到2个月内银行现汇付款90%，余款10%为质保金，质保期为材料到货后18个月。如</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人不接受</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人提出的付款方式，明确能够接受的付款方式及付款时间，</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 报价方式：</w:t>
      </w:r>
      <w:r>
        <w:rPr>
          <w:rFonts w:hint="eastAsia" w:ascii="仿宋_GB2312" w:hAnsi="仿宋_GB2312" w:eastAsia="仿宋_GB2312" w:cs="仿宋_GB2312"/>
          <w:b/>
          <w:bCs/>
          <w:color w:val="auto"/>
          <w:kern w:val="1"/>
          <w:sz w:val="28"/>
          <w:szCs w:val="28"/>
          <w:u w:val="single"/>
          <w:lang w:val="en-US" w:eastAsia="zh-CN"/>
        </w:rPr>
        <w:t>线下</w:t>
      </w:r>
      <w:r>
        <w:rPr>
          <w:rFonts w:hint="eastAsia" w:ascii="仿宋_GB2312" w:hAnsi="仿宋_GB2312" w:eastAsia="仿宋_GB2312" w:cs="仿宋_GB2312"/>
          <w:color w:val="auto"/>
          <w:kern w:val="1"/>
          <w:sz w:val="28"/>
          <w:szCs w:val="28"/>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1.5.1 报价袋外包装必须用</w:t>
      </w:r>
      <w:r>
        <w:rPr>
          <w:rFonts w:hint="eastAsia" w:ascii="仿宋_GB2312" w:hAnsi="仿宋_GB2312" w:eastAsia="仿宋_GB2312" w:cs="仿宋_GB2312"/>
          <w:b/>
          <w:bCs/>
          <w:color w:val="auto"/>
          <w:kern w:val="1"/>
          <w:sz w:val="28"/>
          <w:szCs w:val="28"/>
          <w:u w:val="single"/>
          <w:lang w:val="en-US" w:eastAsia="zh-CN"/>
        </w:rPr>
        <w:t>“封条”</w:t>
      </w:r>
      <w:r>
        <w:rPr>
          <w:rFonts w:hint="eastAsia" w:ascii="仿宋_GB2312" w:hAnsi="仿宋_GB2312" w:eastAsia="仿宋_GB2312" w:cs="仿宋_GB2312"/>
          <w:color w:val="auto"/>
          <w:kern w:val="1"/>
          <w:sz w:val="28"/>
          <w:szCs w:val="28"/>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1.5.3 报价文件1份，并要求在报价截止日之前送达，逾期将作为作无效报价处理。</w:t>
      </w:r>
    </w:p>
    <w:p w14:paraId="2F611742">
      <w:pPr>
        <w:spacing w:line="360" w:lineRule="auto"/>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auto"/>
          <w:kern w:val="1"/>
          <w:sz w:val="28"/>
          <w:szCs w:val="28"/>
          <w:lang w:val="en-US" w:eastAsia="zh-CN"/>
        </w:rPr>
        <w:t>1.6 报价</w:t>
      </w:r>
      <w:r>
        <w:rPr>
          <w:rFonts w:hint="eastAsia" w:ascii="仿宋_GB2312" w:hAnsi="仿宋_GB2312" w:eastAsia="仿宋_GB2312" w:cs="仿宋_GB2312"/>
          <w:color w:val="auto"/>
          <w:kern w:val="1"/>
          <w:sz w:val="28"/>
          <w:szCs w:val="28"/>
        </w:rPr>
        <w:t>截止时间</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9</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7</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下</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highlight w:val="none"/>
          <w:lang w:val="en-US" w:eastAsia="zh-CN"/>
        </w:rPr>
        <w:t>14</w:t>
      </w:r>
      <w:r>
        <w:rPr>
          <w:rFonts w:hint="eastAsia" w:ascii="仿宋_GB2312" w:hAnsi="仿宋_GB2312" w:eastAsia="仿宋_GB2312" w:cs="仿宋_GB2312"/>
          <w:color w:val="auto"/>
          <w:kern w:val="1"/>
          <w:sz w:val="28"/>
          <w:szCs w:val="28"/>
          <w:lang w:val="en-US" w:eastAsia="zh-CN"/>
        </w:rPr>
        <w:t>：00</w:t>
      </w:r>
      <w:r>
        <w:rPr>
          <w:rFonts w:hint="eastAsia" w:ascii="仿宋_GB2312" w:hAnsi="仿宋_GB2312" w:eastAsia="仿宋_GB2312" w:cs="仿宋_GB2312"/>
          <w:color w:val="auto"/>
          <w:kern w:val="1"/>
          <w:sz w:val="28"/>
          <w:szCs w:val="28"/>
        </w:rPr>
        <w:t>时（北京时间）</w:t>
      </w:r>
      <w:r>
        <w:rPr>
          <w:rFonts w:hint="eastAsia" w:ascii="仿宋_GB2312" w:hAnsi="仿宋_GB2312" w:eastAsia="仿宋_GB2312" w:cs="仿宋_GB2312"/>
          <w:color w:val="auto"/>
          <w:kern w:val="1"/>
          <w:sz w:val="28"/>
          <w:szCs w:val="28"/>
          <w:lang w:eastAsia="zh-CN"/>
        </w:rPr>
        <w:t>。</w:t>
      </w:r>
    </w:p>
    <w:p w14:paraId="3E1BFF0B">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7</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highlight w:val="none"/>
          <w:lang w:eastAsia="zh-CN"/>
        </w:rPr>
        <w:t>评审</w:t>
      </w:r>
      <w:r>
        <w:rPr>
          <w:rFonts w:hint="eastAsia" w:ascii="仿宋_GB2312" w:hAnsi="仿宋_GB2312" w:eastAsia="仿宋_GB2312" w:cs="仿宋_GB2312"/>
          <w:color w:val="auto"/>
          <w:kern w:val="1"/>
          <w:sz w:val="28"/>
          <w:szCs w:val="28"/>
          <w:highlight w:val="none"/>
        </w:rPr>
        <w:t>时间：</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9</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7</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下</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highlight w:val="none"/>
          <w:lang w:val="en-US" w:eastAsia="zh-CN"/>
        </w:rPr>
        <w:t>14</w:t>
      </w:r>
      <w:r>
        <w:rPr>
          <w:rFonts w:hint="eastAsia" w:ascii="仿宋_GB2312" w:hAnsi="仿宋_GB2312" w:eastAsia="仿宋_GB2312" w:cs="仿宋_GB2312"/>
          <w:color w:val="auto"/>
          <w:kern w:val="1"/>
          <w:sz w:val="28"/>
          <w:szCs w:val="28"/>
          <w:lang w:val="en-US" w:eastAsia="zh-CN"/>
        </w:rPr>
        <w:t>：00</w:t>
      </w:r>
      <w:r>
        <w:rPr>
          <w:rFonts w:hint="eastAsia" w:ascii="仿宋_GB2312" w:hAnsi="仿宋_GB2312" w:eastAsia="仿宋_GB2312" w:cs="仿宋_GB2312"/>
          <w:color w:val="auto"/>
          <w:kern w:val="1"/>
          <w:sz w:val="28"/>
          <w:szCs w:val="28"/>
        </w:rPr>
        <w:t>时</w:t>
      </w:r>
      <w:r>
        <w:rPr>
          <w:rFonts w:hint="eastAsia" w:ascii="仿宋_GB2312" w:hAnsi="仿宋_GB2312" w:eastAsia="仿宋_GB2312" w:cs="仿宋_GB2312"/>
          <w:color w:val="auto"/>
          <w:kern w:val="1"/>
          <w:sz w:val="28"/>
          <w:szCs w:val="28"/>
          <w:highlight w:val="none"/>
        </w:rPr>
        <w:t>（北京时间）。</w:t>
      </w:r>
    </w:p>
    <w:p w14:paraId="576355F7">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8</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地点：江苏索普(集团)有限公司</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中心。</w:t>
      </w:r>
    </w:p>
    <w:p w14:paraId="1C46B09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eastAsia="zh-CN"/>
        </w:rPr>
      </w:pPr>
      <w:r>
        <w:rPr>
          <w:rFonts w:hint="eastAsia" w:ascii="仿宋_GB2312" w:hAnsi="仿宋_GB2312" w:eastAsia="仿宋_GB2312" w:cs="仿宋_GB2312"/>
          <w:color w:val="auto"/>
          <w:kern w:val="1"/>
          <w:sz w:val="28"/>
          <w:szCs w:val="28"/>
          <w:highlight w:val="none"/>
        </w:rPr>
        <w:t>1.</w:t>
      </w:r>
      <w:r>
        <w:rPr>
          <w:rFonts w:hint="eastAsia" w:ascii="仿宋_GB2312" w:hAnsi="仿宋_GB2312" w:eastAsia="仿宋_GB2312" w:cs="仿宋_GB2312"/>
          <w:color w:val="auto"/>
          <w:kern w:val="1"/>
          <w:sz w:val="28"/>
          <w:szCs w:val="28"/>
          <w:highlight w:val="none"/>
          <w:lang w:val="en-US" w:eastAsia="zh-CN"/>
        </w:rPr>
        <w:t>9</w:t>
      </w:r>
      <w:r>
        <w:rPr>
          <w:rFonts w:hint="eastAsia" w:ascii="仿宋_GB2312" w:hAnsi="仿宋_GB2312" w:eastAsia="仿宋_GB2312" w:cs="仿宋_GB2312"/>
          <w:color w:val="auto"/>
          <w:kern w:val="1"/>
          <w:sz w:val="28"/>
          <w:szCs w:val="28"/>
          <w:highlight w:val="none"/>
        </w:rPr>
        <w:t xml:space="preserve"> 报价须知：</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highlight w:val="none"/>
          <w:lang w:eastAsia="zh-CN"/>
        </w:rPr>
        <w:t>含</w:t>
      </w:r>
      <w:r>
        <w:rPr>
          <w:rFonts w:hint="eastAsia" w:ascii="仿宋_GB2312" w:hAnsi="仿宋_GB2312" w:eastAsia="仿宋_GB2312" w:cs="仿宋_GB2312"/>
          <w:b/>
          <w:bCs/>
          <w:sz w:val="28"/>
          <w:szCs w:val="28"/>
          <w:highlight w:val="none"/>
          <w:u w:val="single"/>
        </w:rPr>
        <w:t>13%</w:t>
      </w:r>
      <w:r>
        <w:rPr>
          <w:rFonts w:hint="eastAsia" w:ascii="仿宋_GB2312" w:hAnsi="仿宋_GB2312" w:eastAsia="仿宋_GB2312" w:cs="仿宋_GB2312"/>
          <w:b/>
          <w:bCs/>
          <w:sz w:val="28"/>
          <w:szCs w:val="28"/>
          <w:highlight w:val="none"/>
          <w:u w:val="single"/>
          <w:lang w:val="en-US" w:eastAsia="zh-CN"/>
        </w:rPr>
        <w:t xml:space="preserve"> </w:t>
      </w:r>
      <w:r>
        <w:rPr>
          <w:rFonts w:hint="eastAsia" w:ascii="仿宋_GB2312" w:hAnsi="仿宋_GB2312" w:eastAsia="仿宋_GB2312" w:cs="仿宋_GB2312"/>
          <w:kern w:val="1"/>
          <w:sz w:val="28"/>
          <w:szCs w:val="28"/>
          <w:highlight w:val="none"/>
          <w:lang w:eastAsia="zh-CN"/>
        </w:rPr>
        <w:t>增值税</w:t>
      </w:r>
      <w:r>
        <w:rPr>
          <w:rFonts w:hint="eastAsia" w:ascii="仿宋_GB2312" w:hAnsi="仿宋_GB2312" w:eastAsia="仿宋_GB2312" w:cs="仿宋_GB2312"/>
          <w:kern w:val="1"/>
          <w:sz w:val="28"/>
          <w:szCs w:val="28"/>
          <w:highlight w:val="none"/>
          <w:lang w:val="en-US" w:eastAsia="zh-CN"/>
        </w:rPr>
        <w:t>、</w:t>
      </w:r>
      <w:r>
        <w:rPr>
          <w:rFonts w:hint="eastAsia" w:ascii="仿宋_GB2312" w:hAnsi="仿宋_GB2312" w:eastAsia="仿宋_GB2312" w:cs="仿宋_GB2312"/>
          <w:kern w:val="1"/>
          <w:sz w:val="28"/>
          <w:szCs w:val="28"/>
          <w:lang w:eastAsia="zh-CN"/>
        </w:rPr>
        <w:t>运费等。</w:t>
      </w:r>
    </w:p>
    <w:p w14:paraId="5DD05A1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val="en-US" w:eastAsia="zh-CN"/>
        </w:rPr>
      </w:pPr>
      <w:r>
        <w:rPr>
          <w:rFonts w:hint="eastAsia" w:ascii="仿宋_GB2312" w:hAnsi="仿宋_GB2312" w:eastAsia="仿宋_GB2312" w:cs="仿宋_GB2312"/>
          <w:kern w:val="1"/>
          <w:sz w:val="28"/>
          <w:szCs w:val="28"/>
          <w:lang w:val="en-US" w:eastAsia="zh-CN"/>
        </w:rPr>
        <w:t>1.10本次报价各项产品随货资料【</w:t>
      </w:r>
      <w:r>
        <w:rPr>
          <w:rFonts w:hint="eastAsia" w:ascii="仿宋_GB2312" w:hAnsi="仿宋_GB2312" w:eastAsia="仿宋_GB2312" w:cs="仿宋_GB2312"/>
          <w:color w:val="auto"/>
          <w:kern w:val="1"/>
          <w:sz w:val="28"/>
          <w:szCs w:val="28"/>
          <w:lang w:val="en-US" w:eastAsia="zh-CN"/>
        </w:rPr>
        <w:t>说明书、</w:t>
      </w:r>
      <w:r>
        <w:rPr>
          <w:rFonts w:hint="eastAsia" w:ascii="仿宋_GB2312" w:hAnsi="仿宋_GB2312" w:eastAsia="仿宋_GB2312" w:cs="仿宋_GB2312"/>
          <w:color w:val="000000"/>
          <w:kern w:val="1"/>
          <w:sz w:val="28"/>
          <w:szCs w:val="28"/>
          <w:lang w:val="en-US" w:eastAsia="zh-CN" w:bidi="ar-SA"/>
        </w:rPr>
        <w:t>质量保证书（或质量保修卡、检验报告）</w:t>
      </w:r>
      <w:r>
        <w:rPr>
          <w:rFonts w:hint="eastAsia" w:ascii="仿宋_GB2312" w:hAnsi="仿宋_GB2312" w:eastAsia="仿宋_GB2312" w:cs="仿宋_GB2312"/>
          <w:color w:val="auto"/>
          <w:kern w:val="1"/>
          <w:sz w:val="28"/>
          <w:szCs w:val="28"/>
          <w:lang w:val="en-US" w:eastAsia="zh-CN"/>
        </w:rPr>
        <w:t>、合格证等】，</w:t>
      </w:r>
      <w:r>
        <w:rPr>
          <w:rFonts w:hint="eastAsia" w:ascii="仿宋_GB2312" w:hAnsi="仿宋_GB2312" w:eastAsia="仿宋_GB2312" w:cs="仿宋_GB2312"/>
          <w:kern w:val="1"/>
          <w:sz w:val="28"/>
          <w:szCs w:val="28"/>
          <w:lang w:val="en-US" w:eastAsia="zh-CN"/>
        </w:rPr>
        <w:t>采用数字化交付模式，电子版资料需上传至公司数字化交付平台。所有报价单位提供的资料均需满足附件：《材料数字化交付要求》。</w:t>
      </w:r>
    </w:p>
    <w:p w14:paraId="15ABD55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highlight w:val="none"/>
          <w:lang w:val="en-US" w:eastAsia="zh-CN"/>
        </w:rPr>
        <w:t>1.11</w:t>
      </w:r>
      <w:r>
        <w:rPr>
          <w:rFonts w:hint="eastAsia" w:ascii="仿宋_GB2312" w:hAnsi="仿宋_GB2312" w:eastAsia="仿宋_GB2312" w:cs="仿宋_GB2312"/>
          <w:sz w:val="28"/>
          <w:szCs w:val="28"/>
          <w:highlight w:val="none"/>
        </w:rPr>
        <w:t>如国</w:t>
      </w:r>
      <w:r>
        <w:rPr>
          <w:rFonts w:hint="eastAsia" w:ascii="仿宋_GB2312" w:hAnsi="仿宋_GB2312" w:eastAsia="仿宋_GB2312" w:cs="仿宋_GB2312"/>
          <w:sz w:val="28"/>
          <w:szCs w:val="28"/>
        </w:rPr>
        <w:t>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bCs/>
          <w:kern w:val="1"/>
          <w:sz w:val="28"/>
          <w:szCs w:val="28"/>
          <w:highlight w:val="none"/>
          <w:lang w:eastAsia="zh-CN"/>
        </w:rPr>
      </w:pPr>
      <w:r>
        <w:rPr>
          <w:rFonts w:hint="eastAsia" w:ascii="仿宋_GB2312" w:hAnsi="仿宋_GB2312" w:eastAsia="仿宋_GB2312" w:cs="仿宋_GB2312"/>
          <w:kern w:val="1"/>
          <w:sz w:val="28"/>
          <w:szCs w:val="28"/>
          <w:highlight w:val="none"/>
        </w:rPr>
        <w:t>2.</w:t>
      </w:r>
      <w:r>
        <w:rPr>
          <w:rFonts w:hint="eastAsia" w:ascii="仿宋_GB2312" w:hAnsi="仿宋_GB2312" w:eastAsia="仿宋_GB2312" w:cs="仿宋_GB2312"/>
          <w:bCs/>
          <w:kern w:val="1"/>
          <w:sz w:val="28"/>
          <w:szCs w:val="28"/>
          <w:highlight w:val="none"/>
        </w:rPr>
        <w:t xml:space="preserve"> </w:t>
      </w:r>
      <w:r>
        <w:rPr>
          <w:rFonts w:hint="eastAsia" w:ascii="仿宋_GB2312" w:hAnsi="仿宋_GB2312" w:eastAsia="仿宋_GB2312" w:cs="仿宋_GB2312"/>
          <w:bCs/>
          <w:kern w:val="1"/>
          <w:sz w:val="28"/>
          <w:szCs w:val="28"/>
          <w:highlight w:val="none"/>
          <w:lang w:eastAsia="zh-CN"/>
        </w:rPr>
        <w:t>报价</w:t>
      </w:r>
      <w:r>
        <w:rPr>
          <w:rFonts w:hint="eastAsia" w:ascii="仿宋_GB2312" w:hAnsi="仿宋_GB2312" w:eastAsia="仿宋_GB2312" w:cs="仿宋_GB2312"/>
          <w:bCs/>
          <w:kern w:val="1"/>
          <w:sz w:val="28"/>
          <w:szCs w:val="28"/>
          <w:highlight w:val="none"/>
        </w:rPr>
        <w:t>人资质</w:t>
      </w:r>
      <w:r>
        <w:rPr>
          <w:rFonts w:hint="eastAsia" w:ascii="仿宋_GB2312" w:hAnsi="仿宋_GB2312" w:eastAsia="仿宋_GB2312" w:cs="仿宋_GB2312"/>
          <w:bCs/>
          <w:kern w:val="1"/>
          <w:sz w:val="28"/>
          <w:szCs w:val="28"/>
          <w:highlight w:val="none"/>
          <w:lang w:eastAsia="zh-CN"/>
        </w:rPr>
        <w:t>：</w:t>
      </w:r>
    </w:p>
    <w:p w14:paraId="76A7F7A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 xml:space="preserve">2.1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人必须具有合法生产经营资质。</w:t>
      </w:r>
      <w:r>
        <w:rPr>
          <w:rFonts w:hint="eastAsia" w:ascii="仿宋_GB2312" w:hAnsi="仿宋_GB2312" w:eastAsia="仿宋_GB2312" w:cs="仿宋_GB2312"/>
          <w:sz w:val="28"/>
          <w:szCs w:val="28"/>
        </w:rPr>
        <w:t>确定中</w:t>
      </w:r>
      <w:r>
        <w:rPr>
          <w:rFonts w:hint="eastAsia" w:ascii="仿宋_GB2312" w:hAnsi="仿宋_GB2312" w:eastAsia="仿宋_GB2312" w:cs="仿宋_GB2312"/>
          <w:sz w:val="28"/>
          <w:szCs w:val="28"/>
          <w:lang w:val="en-US" w:eastAsia="zh-CN"/>
        </w:rPr>
        <w:t>选</w:t>
      </w:r>
      <w:r>
        <w:rPr>
          <w:rFonts w:hint="eastAsia" w:ascii="仿宋_GB2312" w:hAnsi="仿宋_GB2312" w:eastAsia="仿宋_GB2312" w:cs="仿宋_GB2312"/>
          <w:sz w:val="28"/>
          <w:szCs w:val="28"/>
        </w:rPr>
        <w:t>后，在签订合同前，</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w:t>
      </w:r>
      <w:r>
        <w:rPr>
          <w:rFonts w:hint="eastAsia" w:ascii="仿宋_GB2312" w:hAnsi="仿宋_GB2312" w:eastAsia="仿宋_GB2312" w:cs="仿宋_GB2312"/>
          <w:sz w:val="28"/>
          <w:szCs w:val="28"/>
        </w:rPr>
        <w:t>需提供如下有效资质文件：《营业执照》、《税务登记证》、《组织机构代码证》（或三证合一）、一般纳税人证明材料等。</w:t>
      </w:r>
    </w:p>
    <w:p w14:paraId="2E695622">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人为经销商，必须具有合法经销资质。</w:t>
      </w:r>
    </w:p>
    <w:p w14:paraId="69ACA5FE">
      <w:pPr>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3</w:t>
      </w:r>
      <w:r>
        <w:rPr>
          <w:rFonts w:hint="eastAsia" w:ascii="仿宋_GB2312" w:hAnsi="仿宋_GB2312" w:eastAsia="仿宋_GB2312" w:cs="仿宋_GB2312"/>
          <w:kern w:val="1"/>
          <w:sz w:val="28"/>
          <w:szCs w:val="28"/>
        </w:rPr>
        <w:t xml:space="preserve">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w:t>
      </w:r>
      <w:r>
        <w:rPr>
          <w:rFonts w:hint="eastAsia" w:ascii="仿宋_GB2312" w:hAnsi="仿宋_GB2312" w:eastAsia="仿宋_GB2312" w:cs="仿宋_GB2312"/>
          <w:sz w:val="28"/>
          <w:szCs w:val="28"/>
        </w:rPr>
        <w:t>具备良好的售后服务能力，要求电话联系后</w:t>
      </w:r>
      <w:r>
        <w:rPr>
          <w:rFonts w:hint="eastAsia" w:ascii="仿宋_GB2312" w:hAnsi="仿宋_GB2312" w:eastAsia="仿宋_GB2312" w:cs="仿宋_GB2312"/>
          <w:b/>
          <w:bCs/>
          <w:sz w:val="28"/>
          <w:szCs w:val="28"/>
          <w:u w:val="single"/>
        </w:rPr>
        <w:t>8小时</w:t>
      </w:r>
      <w:r>
        <w:rPr>
          <w:rFonts w:hint="eastAsia" w:ascii="仿宋_GB2312" w:hAnsi="仿宋_GB2312" w:eastAsia="仿宋_GB2312" w:cs="仿宋_GB2312"/>
          <w:sz w:val="28"/>
          <w:szCs w:val="28"/>
        </w:rPr>
        <w:t>内必须给予回复，明确解决方案。</w:t>
      </w:r>
    </w:p>
    <w:p w14:paraId="64D12A5D">
      <w:pPr>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人所供产品引起的知识产权方面的纠纷，由</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人承担一切后果，</w:t>
      </w:r>
      <w:r>
        <w:rPr>
          <w:rFonts w:hint="eastAsia" w:ascii="仿宋_GB2312" w:hAnsi="仿宋_GB2312" w:eastAsia="仿宋_GB2312" w:cs="仿宋_GB2312"/>
          <w:sz w:val="28"/>
          <w:szCs w:val="28"/>
          <w:lang w:eastAsia="zh-CN"/>
        </w:rPr>
        <w:t>采购</w:t>
      </w:r>
      <w:r>
        <w:rPr>
          <w:rFonts w:hint="eastAsia" w:ascii="仿宋_GB2312" w:hAnsi="仿宋_GB2312" w:eastAsia="仿宋_GB2312" w:cs="仿宋_GB2312"/>
          <w:sz w:val="28"/>
          <w:szCs w:val="28"/>
        </w:rPr>
        <w:t>人不承担任何责任。</w:t>
      </w:r>
    </w:p>
    <w:p w14:paraId="05E12521">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sz w:val="28"/>
          <w:szCs w:val="28"/>
          <w:lang w:val="en-US" w:eastAsia="zh-CN"/>
        </w:rPr>
        <w:t xml:space="preserve">2.5 </w:t>
      </w:r>
      <w:r>
        <w:rPr>
          <w:rFonts w:hint="eastAsia" w:ascii="仿宋_GB2312" w:hAnsi="仿宋_GB2312" w:eastAsia="仿宋_GB2312" w:cs="仿宋_GB2312"/>
          <w:color w:val="000000"/>
          <w:kern w:val="1"/>
          <w:sz w:val="28"/>
          <w:szCs w:val="28"/>
          <w:lang w:val="en-US" w:eastAsia="zh-CN" w:bidi="ar-SA"/>
        </w:rPr>
        <w:t>不接受被列入索普集团供应商负面清单中的单位报价。</w:t>
      </w:r>
    </w:p>
    <w:p w14:paraId="63FB2D75">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2.6不接受被列入失信被执行人、重大违法案件当事人报价。</w:t>
      </w:r>
    </w:p>
    <w:p w14:paraId="00326C4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bCs/>
          <w:sz w:val="28"/>
          <w:szCs w:val="28"/>
          <w:lang w:eastAsia="zh-CN"/>
        </w:rPr>
      </w:pPr>
      <w:r>
        <w:rPr>
          <w:rFonts w:hint="eastAsia" w:ascii="仿宋_GB2312" w:hAnsi="仿宋_GB2312" w:eastAsia="仿宋_GB2312" w:cs="仿宋_GB2312"/>
          <w:sz w:val="28"/>
          <w:szCs w:val="28"/>
        </w:rPr>
        <w:t xml:space="preserve">3. </w:t>
      </w:r>
      <w:r>
        <w:rPr>
          <w:rFonts w:hint="eastAsia" w:ascii="仿宋_GB2312" w:hAnsi="仿宋_GB2312" w:eastAsia="仿宋_GB2312" w:cs="仿宋_GB2312"/>
          <w:bCs/>
          <w:sz w:val="28"/>
          <w:szCs w:val="28"/>
        </w:rPr>
        <w:t>报价货物清单及技术要求</w:t>
      </w:r>
      <w:r>
        <w:rPr>
          <w:rFonts w:hint="eastAsia" w:ascii="仿宋_GB2312" w:hAnsi="仿宋_GB2312" w:eastAsia="仿宋_GB2312" w:cs="仿宋_GB2312"/>
          <w:bCs/>
          <w:sz w:val="28"/>
          <w:szCs w:val="28"/>
          <w:lang w:eastAsia="zh-CN"/>
        </w:rPr>
        <w:t>：</w:t>
      </w:r>
    </w:p>
    <w:p w14:paraId="35F64E1F">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ascii="仿宋_GB2312" w:hAnsi="仿宋_GB2312" w:eastAsia="仿宋_GB2312" w:cs="仿宋_GB2312"/>
          <w:sz w:val="28"/>
          <w:szCs w:val="28"/>
          <w:lang w:eastAsia="zh-CN"/>
        </w:rPr>
      </w:pPr>
    </w:p>
    <w:tbl>
      <w:tblPr>
        <w:tblStyle w:val="10"/>
        <w:tblW w:w="884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2"/>
        <w:gridCol w:w="2076"/>
        <w:gridCol w:w="4327"/>
        <w:gridCol w:w="850"/>
        <w:gridCol w:w="852"/>
      </w:tblGrid>
      <w:tr w14:paraId="19C93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0ECFD76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2076" w:type="dxa"/>
            <w:tcBorders>
              <w:top w:val="single" w:color="000000" w:sz="4" w:space="0"/>
              <w:left w:val="single" w:color="000000" w:sz="4" w:space="0"/>
              <w:bottom w:val="single" w:color="000000" w:sz="4" w:space="0"/>
              <w:right w:val="single" w:color="000000" w:sz="4" w:space="0"/>
            </w:tcBorders>
            <w:noWrap w:val="0"/>
            <w:vAlign w:val="center"/>
          </w:tcPr>
          <w:p w14:paraId="686C979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物料名称</w:t>
            </w:r>
          </w:p>
        </w:tc>
        <w:tc>
          <w:tcPr>
            <w:tcW w:w="4327" w:type="dxa"/>
            <w:tcBorders>
              <w:top w:val="single" w:color="000000" w:sz="4" w:space="0"/>
              <w:left w:val="single" w:color="000000" w:sz="4" w:space="0"/>
              <w:bottom w:val="single" w:color="000000" w:sz="4" w:space="0"/>
              <w:right w:val="single" w:color="000000" w:sz="4" w:space="0"/>
            </w:tcBorders>
            <w:noWrap w:val="0"/>
            <w:vAlign w:val="center"/>
          </w:tcPr>
          <w:p w14:paraId="29D3B59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型号规格</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7E036A1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单位</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78C06BF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数量</w:t>
            </w:r>
          </w:p>
        </w:tc>
      </w:tr>
      <w:tr w14:paraId="1A1F8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734562E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2076" w:type="dxa"/>
            <w:tcBorders>
              <w:top w:val="single" w:color="000000" w:sz="4" w:space="0"/>
              <w:left w:val="single" w:color="000000" w:sz="4" w:space="0"/>
              <w:bottom w:val="single" w:color="000000" w:sz="4" w:space="0"/>
              <w:right w:val="single" w:color="000000" w:sz="4" w:space="0"/>
            </w:tcBorders>
            <w:noWrap w:val="0"/>
            <w:vAlign w:val="center"/>
          </w:tcPr>
          <w:p w14:paraId="5D41D9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多功能水泵控制阀124X05A~D</w:t>
            </w:r>
          </w:p>
        </w:tc>
        <w:tc>
          <w:tcPr>
            <w:tcW w:w="4327" w:type="dxa"/>
            <w:tcBorders>
              <w:top w:val="single" w:color="000000" w:sz="4" w:space="0"/>
              <w:left w:val="single" w:color="000000" w:sz="4" w:space="0"/>
              <w:bottom w:val="single" w:color="000000" w:sz="4" w:space="0"/>
              <w:right w:val="single" w:color="000000" w:sz="4" w:space="0"/>
            </w:tcBorders>
            <w:noWrap w:val="0"/>
            <w:vAlign w:val="center"/>
          </w:tcPr>
          <w:p w14:paraId="052BA7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DN350 PN16bar RF；法兰标准：HG/T20592；标准：CJ/T 167-2016</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50B0432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台</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1F8AF7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20"/>
                <w:szCs w:val="20"/>
                <w:u w:val="none"/>
                <w:lang w:val="en-US" w:eastAsia="zh-CN" w:bidi="ar"/>
              </w:rPr>
              <w:t>4</w:t>
            </w:r>
          </w:p>
        </w:tc>
      </w:tr>
      <w:tr w14:paraId="67EB1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47A6C4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2076" w:type="dxa"/>
            <w:tcBorders>
              <w:top w:val="single" w:color="000000" w:sz="4" w:space="0"/>
              <w:left w:val="single" w:color="000000" w:sz="4" w:space="0"/>
              <w:bottom w:val="single" w:color="000000" w:sz="4" w:space="0"/>
              <w:right w:val="single" w:color="000000" w:sz="4" w:space="0"/>
            </w:tcBorders>
            <w:noWrap w:val="0"/>
            <w:vAlign w:val="center"/>
          </w:tcPr>
          <w:p w14:paraId="29C3AC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多功能水泵控制阀124X08</w:t>
            </w:r>
          </w:p>
        </w:tc>
        <w:tc>
          <w:tcPr>
            <w:tcW w:w="4327" w:type="dxa"/>
            <w:tcBorders>
              <w:top w:val="single" w:color="000000" w:sz="4" w:space="0"/>
              <w:left w:val="single" w:color="000000" w:sz="4" w:space="0"/>
              <w:bottom w:val="single" w:color="000000" w:sz="4" w:space="0"/>
              <w:right w:val="single" w:color="000000" w:sz="4" w:space="0"/>
            </w:tcBorders>
            <w:noWrap w:val="0"/>
            <w:vAlign w:val="center"/>
          </w:tcPr>
          <w:p w14:paraId="1708111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DN700 PN10bar RF；法兰标准：HG/T20592；标准：CJ/T 167-2016</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158910C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台</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5BF715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20"/>
                <w:szCs w:val="20"/>
                <w:u w:val="none"/>
                <w:lang w:val="en-US" w:eastAsia="zh-CN" w:bidi="ar"/>
              </w:rPr>
              <w:t>1</w:t>
            </w:r>
          </w:p>
        </w:tc>
      </w:tr>
      <w:tr w14:paraId="28F3E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24CFBD9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2076" w:type="dxa"/>
            <w:tcBorders>
              <w:top w:val="single" w:color="000000" w:sz="4" w:space="0"/>
              <w:left w:val="single" w:color="000000" w:sz="4" w:space="0"/>
              <w:bottom w:val="single" w:color="000000" w:sz="4" w:space="0"/>
              <w:right w:val="single" w:color="000000" w:sz="4" w:space="0"/>
            </w:tcBorders>
            <w:noWrap w:val="0"/>
            <w:vAlign w:val="center"/>
          </w:tcPr>
          <w:p w14:paraId="40C041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多功能水泵控制阀124X07</w:t>
            </w:r>
          </w:p>
        </w:tc>
        <w:tc>
          <w:tcPr>
            <w:tcW w:w="4327" w:type="dxa"/>
            <w:tcBorders>
              <w:top w:val="single" w:color="000000" w:sz="4" w:space="0"/>
              <w:left w:val="single" w:color="000000" w:sz="4" w:space="0"/>
              <w:bottom w:val="single" w:color="000000" w:sz="4" w:space="0"/>
              <w:right w:val="single" w:color="000000" w:sz="4" w:space="0"/>
            </w:tcBorders>
            <w:noWrap w:val="0"/>
            <w:vAlign w:val="center"/>
          </w:tcPr>
          <w:p w14:paraId="3DEE92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DN1000 PN10bar RF；法兰标准：HG/T20592；标准：CJ/T 167-2016</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315FD6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台</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17EE02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20"/>
                <w:szCs w:val="20"/>
                <w:u w:val="none"/>
                <w:lang w:val="en-US" w:eastAsia="zh-CN" w:bidi="ar"/>
              </w:rPr>
              <w:t>4</w:t>
            </w:r>
          </w:p>
        </w:tc>
      </w:tr>
    </w:tbl>
    <w:p w14:paraId="1B8110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p w14:paraId="31F4FAF2">
      <w:pPr>
        <w:keepNext w:val="0"/>
        <w:keepLines w:val="0"/>
        <w:widowControl/>
        <w:suppressLineNumbers w:val="0"/>
        <w:ind w:firstLine="560" w:firstLineChars="200"/>
        <w:jc w:val="left"/>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3.1 技术参数表</w:t>
      </w:r>
    </w:p>
    <w:tbl>
      <w:tblPr>
        <w:tblStyle w:val="10"/>
        <w:tblW w:w="0" w:type="auto"/>
        <w:tblInd w:w="6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980"/>
        <w:gridCol w:w="4800"/>
      </w:tblGrid>
      <w:tr w14:paraId="5E979294">
        <w:tblPrEx>
          <w:tblCellMar>
            <w:top w:w="0" w:type="dxa"/>
            <w:left w:w="108" w:type="dxa"/>
            <w:bottom w:w="0" w:type="dxa"/>
            <w:right w:w="108" w:type="dxa"/>
          </w:tblCellMar>
        </w:tblPrEx>
        <w:trPr>
          <w:cantSplit/>
          <w:trHeight w:val="454" w:hRule="atLeast"/>
        </w:trPr>
        <w:tc>
          <w:tcPr>
            <w:tcW w:w="720" w:type="dxa"/>
            <w:noWrap w:val="0"/>
            <w:vAlign w:val="center"/>
          </w:tcPr>
          <w:p w14:paraId="496F3C0E">
            <w:pPr>
              <w:spacing w:line="360" w:lineRule="auto"/>
              <w:jc w:val="center"/>
              <w:rPr>
                <w:sz w:val="24"/>
              </w:rPr>
            </w:pPr>
            <w:r>
              <w:rPr>
                <w:sz w:val="24"/>
              </w:rPr>
              <w:t>序号</w:t>
            </w:r>
          </w:p>
        </w:tc>
        <w:tc>
          <w:tcPr>
            <w:tcW w:w="1980" w:type="dxa"/>
            <w:noWrap w:val="0"/>
            <w:vAlign w:val="center"/>
          </w:tcPr>
          <w:p w14:paraId="1F8CF03F">
            <w:pPr>
              <w:spacing w:line="360" w:lineRule="auto"/>
              <w:jc w:val="center"/>
              <w:rPr>
                <w:sz w:val="24"/>
              </w:rPr>
            </w:pPr>
            <w:r>
              <w:rPr>
                <w:sz w:val="24"/>
              </w:rPr>
              <w:t>名  称</w:t>
            </w:r>
          </w:p>
        </w:tc>
        <w:tc>
          <w:tcPr>
            <w:tcW w:w="4800" w:type="dxa"/>
            <w:noWrap w:val="0"/>
            <w:vAlign w:val="center"/>
          </w:tcPr>
          <w:p w14:paraId="4891B34F">
            <w:pPr>
              <w:spacing w:line="360" w:lineRule="auto"/>
              <w:ind w:left="412"/>
              <w:jc w:val="center"/>
              <w:rPr>
                <w:sz w:val="24"/>
              </w:rPr>
            </w:pPr>
            <w:r>
              <w:rPr>
                <w:sz w:val="24"/>
              </w:rPr>
              <w:t>材      质</w:t>
            </w:r>
          </w:p>
        </w:tc>
      </w:tr>
      <w:tr w14:paraId="5B9C5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noWrap w:val="0"/>
            <w:vAlign w:val="center"/>
          </w:tcPr>
          <w:p w14:paraId="72527415">
            <w:pPr>
              <w:spacing w:line="360" w:lineRule="auto"/>
              <w:jc w:val="center"/>
              <w:rPr>
                <w:sz w:val="24"/>
                <w:szCs w:val="24"/>
              </w:rPr>
            </w:pPr>
            <w:r>
              <w:rPr>
                <w:sz w:val="24"/>
                <w:szCs w:val="24"/>
              </w:rPr>
              <w:t>1</w:t>
            </w:r>
          </w:p>
        </w:tc>
        <w:tc>
          <w:tcPr>
            <w:tcW w:w="1980" w:type="dxa"/>
            <w:noWrap w:val="0"/>
            <w:vAlign w:val="center"/>
          </w:tcPr>
          <w:p w14:paraId="7E285F4D">
            <w:pPr>
              <w:spacing w:line="360" w:lineRule="auto"/>
              <w:jc w:val="center"/>
              <w:rPr>
                <w:sz w:val="24"/>
                <w:szCs w:val="24"/>
              </w:rPr>
            </w:pPr>
            <w:r>
              <w:rPr>
                <w:sz w:val="24"/>
                <w:szCs w:val="24"/>
              </w:rPr>
              <w:t>阀    体</w:t>
            </w:r>
          </w:p>
        </w:tc>
        <w:tc>
          <w:tcPr>
            <w:tcW w:w="4800" w:type="dxa"/>
            <w:noWrap w:val="0"/>
            <w:vAlign w:val="center"/>
          </w:tcPr>
          <w:p w14:paraId="21837E95">
            <w:pPr>
              <w:spacing w:line="360" w:lineRule="auto"/>
              <w:jc w:val="center"/>
              <w:rPr>
                <w:sz w:val="24"/>
                <w:szCs w:val="24"/>
              </w:rPr>
            </w:pPr>
            <w:r>
              <w:rPr>
                <w:sz w:val="24"/>
                <w:szCs w:val="24"/>
              </w:rPr>
              <w:t>球墨铸铁</w:t>
            </w:r>
          </w:p>
        </w:tc>
      </w:tr>
      <w:tr w14:paraId="31F19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noWrap w:val="0"/>
            <w:vAlign w:val="center"/>
          </w:tcPr>
          <w:p w14:paraId="200B670F">
            <w:pPr>
              <w:spacing w:line="360" w:lineRule="auto"/>
              <w:jc w:val="center"/>
              <w:rPr>
                <w:sz w:val="24"/>
                <w:szCs w:val="24"/>
              </w:rPr>
            </w:pPr>
            <w:r>
              <w:rPr>
                <w:sz w:val="24"/>
                <w:szCs w:val="24"/>
              </w:rPr>
              <w:t>2</w:t>
            </w:r>
          </w:p>
        </w:tc>
        <w:tc>
          <w:tcPr>
            <w:tcW w:w="1980" w:type="dxa"/>
            <w:noWrap w:val="0"/>
            <w:vAlign w:val="center"/>
          </w:tcPr>
          <w:p w14:paraId="56ACAB6C">
            <w:pPr>
              <w:spacing w:line="360" w:lineRule="auto"/>
              <w:jc w:val="center"/>
              <w:rPr>
                <w:sz w:val="24"/>
                <w:szCs w:val="24"/>
              </w:rPr>
            </w:pPr>
            <w:r>
              <w:rPr>
                <w:sz w:val="24"/>
                <w:szCs w:val="24"/>
              </w:rPr>
              <w:t>阀    盖</w:t>
            </w:r>
          </w:p>
        </w:tc>
        <w:tc>
          <w:tcPr>
            <w:tcW w:w="4800" w:type="dxa"/>
            <w:noWrap w:val="0"/>
            <w:vAlign w:val="center"/>
          </w:tcPr>
          <w:p w14:paraId="5308BFD3">
            <w:pPr>
              <w:spacing w:line="360" w:lineRule="auto"/>
              <w:jc w:val="center"/>
              <w:rPr>
                <w:sz w:val="24"/>
                <w:szCs w:val="24"/>
              </w:rPr>
            </w:pPr>
            <w:r>
              <w:rPr>
                <w:sz w:val="24"/>
                <w:szCs w:val="24"/>
              </w:rPr>
              <w:t>球墨铸铁</w:t>
            </w:r>
          </w:p>
        </w:tc>
      </w:tr>
      <w:tr w14:paraId="6602F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noWrap w:val="0"/>
            <w:vAlign w:val="center"/>
          </w:tcPr>
          <w:p w14:paraId="79DB08DE">
            <w:pPr>
              <w:spacing w:line="360" w:lineRule="auto"/>
              <w:jc w:val="center"/>
              <w:rPr>
                <w:sz w:val="24"/>
                <w:szCs w:val="24"/>
              </w:rPr>
            </w:pPr>
            <w:r>
              <w:rPr>
                <w:sz w:val="24"/>
                <w:szCs w:val="24"/>
              </w:rPr>
              <w:t>3</w:t>
            </w:r>
          </w:p>
        </w:tc>
        <w:tc>
          <w:tcPr>
            <w:tcW w:w="1980" w:type="dxa"/>
            <w:noWrap w:val="0"/>
            <w:vAlign w:val="center"/>
          </w:tcPr>
          <w:p w14:paraId="791741E3">
            <w:pPr>
              <w:spacing w:line="360" w:lineRule="auto"/>
              <w:jc w:val="center"/>
              <w:rPr>
                <w:sz w:val="24"/>
                <w:szCs w:val="24"/>
              </w:rPr>
            </w:pPr>
            <w:r>
              <w:rPr>
                <w:sz w:val="24"/>
                <w:szCs w:val="24"/>
              </w:rPr>
              <w:t>主阀板座</w:t>
            </w:r>
          </w:p>
        </w:tc>
        <w:tc>
          <w:tcPr>
            <w:tcW w:w="4800" w:type="dxa"/>
            <w:noWrap w:val="0"/>
            <w:vAlign w:val="center"/>
          </w:tcPr>
          <w:p w14:paraId="5A5F00A5">
            <w:pPr>
              <w:spacing w:line="360" w:lineRule="auto"/>
              <w:jc w:val="center"/>
              <w:rPr>
                <w:b/>
                <w:bCs/>
                <w:sz w:val="24"/>
                <w:szCs w:val="24"/>
              </w:rPr>
            </w:pPr>
            <w:r>
              <w:rPr>
                <w:sz w:val="24"/>
                <w:szCs w:val="24"/>
              </w:rPr>
              <w:t>不锈钢2Cr13</w:t>
            </w:r>
          </w:p>
        </w:tc>
      </w:tr>
      <w:tr w14:paraId="16B7C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noWrap w:val="0"/>
            <w:vAlign w:val="center"/>
          </w:tcPr>
          <w:p w14:paraId="6B9C6982">
            <w:pPr>
              <w:spacing w:line="360" w:lineRule="auto"/>
              <w:jc w:val="center"/>
              <w:rPr>
                <w:sz w:val="24"/>
                <w:szCs w:val="24"/>
              </w:rPr>
            </w:pPr>
            <w:r>
              <w:rPr>
                <w:sz w:val="24"/>
                <w:szCs w:val="24"/>
              </w:rPr>
              <w:t>4</w:t>
            </w:r>
          </w:p>
        </w:tc>
        <w:tc>
          <w:tcPr>
            <w:tcW w:w="1980" w:type="dxa"/>
            <w:noWrap w:val="0"/>
            <w:vAlign w:val="center"/>
          </w:tcPr>
          <w:p w14:paraId="55F5EB6C">
            <w:pPr>
              <w:spacing w:line="360" w:lineRule="auto"/>
              <w:jc w:val="center"/>
              <w:rPr>
                <w:sz w:val="24"/>
                <w:szCs w:val="24"/>
              </w:rPr>
            </w:pPr>
            <w:r>
              <w:rPr>
                <w:sz w:val="24"/>
                <w:szCs w:val="24"/>
              </w:rPr>
              <w:t>主 阀 板</w:t>
            </w:r>
          </w:p>
        </w:tc>
        <w:tc>
          <w:tcPr>
            <w:tcW w:w="4800" w:type="dxa"/>
            <w:noWrap w:val="0"/>
            <w:vAlign w:val="center"/>
          </w:tcPr>
          <w:p w14:paraId="45F861F2">
            <w:pPr>
              <w:spacing w:line="360" w:lineRule="auto"/>
              <w:jc w:val="center"/>
              <w:rPr>
                <w:sz w:val="24"/>
                <w:szCs w:val="24"/>
              </w:rPr>
            </w:pPr>
            <w:r>
              <w:rPr>
                <w:sz w:val="24"/>
                <w:szCs w:val="24"/>
              </w:rPr>
              <w:t>球墨铸铁</w:t>
            </w:r>
          </w:p>
        </w:tc>
      </w:tr>
      <w:tr w14:paraId="6A03C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noWrap w:val="0"/>
            <w:vAlign w:val="center"/>
          </w:tcPr>
          <w:p w14:paraId="39CCD4CD">
            <w:pPr>
              <w:spacing w:line="360" w:lineRule="auto"/>
              <w:jc w:val="center"/>
              <w:rPr>
                <w:sz w:val="24"/>
                <w:szCs w:val="24"/>
              </w:rPr>
            </w:pPr>
            <w:r>
              <w:rPr>
                <w:sz w:val="24"/>
                <w:szCs w:val="24"/>
              </w:rPr>
              <w:t>5</w:t>
            </w:r>
          </w:p>
        </w:tc>
        <w:tc>
          <w:tcPr>
            <w:tcW w:w="1980" w:type="dxa"/>
            <w:noWrap w:val="0"/>
            <w:vAlign w:val="center"/>
          </w:tcPr>
          <w:p w14:paraId="1F81CAA1">
            <w:pPr>
              <w:spacing w:line="360" w:lineRule="auto"/>
              <w:jc w:val="center"/>
              <w:rPr>
                <w:sz w:val="24"/>
                <w:szCs w:val="24"/>
              </w:rPr>
            </w:pPr>
            <w:r>
              <w:rPr>
                <w:sz w:val="24"/>
                <w:szCs w:val="24"/>
              </w:rPr>
              <w:t>阀杆/阀轴</w:t>
            </w:r>
          </w:p>
        </w:tc>
        <w:tc>
          <w:tcPr>
            <w:tcW w:w="4800" w:type="dxa"/>
            <w:noWrap w:val="0"/>
            <w:vAlign w:val="center"/>
          </w:tcPr>
          <w:p w14:paraId="3EC23414">
            <w:pPr>
              <w:spacing w:line="360" w:lineRule="auto"/>
              <w:jc w:val="center"/>
              <w:rPr>
                <w:bCs/>
                <w:sz w:val="24"/>
                <w:szCs w:val="24"/>
              </w:rPr>
            </w:pPr>
            <w:r>
              <w:rPr>
                <w:sz w:val="24"/>
                <w:szCs w:val="24"/>
              </w:rPr>
              <w:t>不锈钢2Cr13</w:t>
            </w:r>
          </w:p>
        </w:tc>
      </w:tr>
      <w:tr w14:paraId="1B83E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noWrap w:val="0"/>
            <w:vAlign w:val="center"/>
          </w:tcPr>
          <w:p w14:paraId="06C21F88">
            <w:pPr>
              <w:spacing w:line="360" w:lineRule="auto"/>
              <w:jc w:val="center"/>
              <w:rPr>
                <w:sz w:val="24"/>
                <w:szCs w:val="24"/>
              </w:rPr>
            </w:pPr>
            <w:r>
              <w:rPr>
                <w:sz w:val="24"/>
                <w:szCs w:val="24"/>
              </w:rPr>
              <w:t>6</w:t>
            </w:r>
          </w:p>
        </w:tc>
        <w:tc>
          <w:tcPr>
            <w:tcW w:w="1980" w:type="dxa"/>
            <w:noWrap w:val="0"/>
            <w:vAlign w:val="center"/>
          </w:tcPr>
          <w:p w14:paraId="18C510CA">
            <w:pPr>
              <w:spacing w:line="360" w:lineRule="auto"/>
              <w:jc w:val="center"/>
              <w:rPr>
                <w:sz w:val="24"/>
                <w:szCs w:val="24"/>
              </w:rPr>
            </w:pPr>
            <w:r>
              <w:rPr>
                <w:sz w:val="24"/>
                <w:szCs w:val="24"/>
              </w:rPr>
              <w:t>缓闭阀板</w:t>
            </w:r>
          </w:p>
        </w:tc>
        <w:tc>
          <w:tcPr>
            <w:tcW w:w="4800" w:type="dxa"/>
            <w:noWrap w:val="0"/>
            <w:vAlign w:val="center"/>
          </w:tcPr>
          <w:p w14:paraId="23BE8F21">
            <w:pPr>
              <w:spacing w:line="360" w:lineRule="auto"/>
              <w:jc w:val="center"/>
              <w:rPr>
                <w:sz w:val="24"/>
                <w:szCs w:val="24"/>
              </w:rPr>
            </w:pPr>
            <w:r>
              <w:rPr>
                <w:sz w:val="24"/>
                <w:szCs w:val="24"/>
              </w:rPr>
              <w:t>不锈钢2Cr13</w:t>
            </w:r>
          </w:p>
        </w:tc>
      </w:tr>
      <w:tr w14:paraId="2DDC0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noWrap w:val="0"/>
            <w:vAlign w:val="center"/>
          </w:tcPr>
          <w:p w14:paraId="79F36E1C">
            <w:pPr>
              <w:spacing w:line="360" w:lineRule="auto"/>
              <w:jc w:val="center"/>
              <w:rPr>
                <w:sz w:val="24"/>
                <w:szCs w:val="24"/>
              </w:rPr>
            </w:pPr>
            <w:r>
              <w:rPr>
                <w:bCs/>
                <w:sz w:val="24"/>
                <w:szCs w:val="24"/>
              </w:rPr>
              <w:t>7</w:t>
            </w:r>
          </w:p>
        </w:tc>
        <w:tc>
          <w:tcPr>
            <w:tcW w:w="1980" w:type="dxa"/>
            <w:noWrap w:val="0"/>
            <w:vAlign w:val="center"/>
          </w:tcPr>
          <w:p w14:paraId="270D4AF2">
            <w:pPr>
              <w:spacing w:line="360" w:lineRule="auto"/>
              <w:jc w:val="center"/>
              <w:rPr>
                <w:sz w:val="24"/>
                <w:szCs w:val="24"/>
              </w:rPr>
            </w:pPr>
            <w:r>
              <w:rPr>
                <w:bCs/>
                <w:sz w:val="24"/>
                <w:szCs w:val="24"/>
              </w:rPr>
              <w:t xml:space="preserve">膜片   </w:t>
            </w:r>
          </w:p>
        </w:tc>
        <w:tc>
          <w:tcPr>
            <w:tcW w:w="4800" w:type="dxa"/>
            <w:noWrap w:val="0"/>
            <w:vAlign w:val="center"/>
          </w:tcPr>
          <w:p w14:paraId="1E7EF4A1">
            <w:pPr>
              <w:spacing w:line="360" w:lineRule="auto"/>
              <w:jc w:val="center"/>
              <w:rPr>
                <w:sz w:val="24"/>
                <w:szCs w:val="24"/>
              </w:rPr>
            </w:pPr>
            <w:r>
              <w:rPr>
                <w:bCs/>
                <w:sz w:val="24"/>
                <w:szCs w:val="24"/>
              </w:rPr>
              <w:t>硫化橡胶/强化尼龙橡胶</w:t>
            </w:r>
          </w:p>
        </w:tc>
      </w:tr>
      <w:tr w14:paraId="00D68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noWrap w:val="0"/>
            <w:vAlign w:val="center"/>
          </w:tcPr>
          <w:p w14:paraId="41A7E1D5">
            <w:pPr>
              <w:spacing w:line="360" w:lineRule="auto"/>
              <w:jc w:val="center"/>
              <w:rPr>
                <w:sz w:val="24"/>
                <w:szCs w:val="24"/>
              </w:rPr>
            </w:pPr>
            <w:r>
              <w:rPr>
                <w:bCs/>
                <w:sz w:val="24"/>
                <w:szCs w:val="24"/>
              </w:rPr>
              <w:t>8</w:t>
            </w:r>
          </w:p>
        </w:tc>
        <w:tc>
          <w:tcPr>
            <w:tcW w:w="1980" w:type="dxa"/>
            <w:noWrap w:val="0"/>
            <w:vAlign w:val="center"/>
          </w:tcPr>
          <w:p w14:paraId="120F4529">
            <w:pPr>
              <w:spacing w:line="360" w:lineRule="auto"/>
              <w:jc w:val="center"/>
              <w:rPr>
                <w:sz w:val="24"/>
                <w:szCs w:val="24"/>
              </w:rPr>
            </w:pPr>
            <w:r>
              <w:rPr>
                <w:bCs/>
                <w:sz w:val="24"/>
                <w:szCs w:val="24"/>
              </w:rPr>
              <w:t>弹簧</w:t>
            </w:r>
          </w:p>
        </w:tc>
        <w:tc>
          <w:tcPr>
            <w:tcW w:w="4800" w:type="dxa"/>
            <w:noWrap w:val="0"/>
            <w:vAlign w:val="center"/>
          </w:tcPr>
          <w:p w14:paraId="1CFD69F1">
            <w:pPr>
              <w:spacing w:line="360" w:lineRule="auto"/>
              <w:jc w:val="center"/>
              <w:rPr>
                <w:sz w:val="24"/>
                <w:szCs w:val="24"/>
              </w:rPr>
            </w:pPr>
            <w:r>
              <w:rPr>
                <w:bCs/>
                <w:sz w:val="24"/>
                <w:szCs w:val="24"/>
              </w:rPr>
              <w:t>硅锰钢</w:t>
            </w:r>
          </w:p>
        </w:tc>
      </w:tr>
      <w:tr w14:paraId="481FD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noWrap w:val="0"/>
            <w:vAlign w:val="center"/>
          </w:tcPr>
          <w:p w14:paraId="15C8EB44">
            <w:pPr>
              <w:spacing w:line="360" w:lineRule="auto"/>
              <w:jc w:val="center"/>
              <w:rPr>
                <w:sz w:val="24"/>
                <w:szCs w:val="24"/>
              </w:rPr>
            </w:pPr>
            <w:r>
              <w:rPr>
                <w:bCs/>
                <w:sz w:val="24"/>
                <w:szCs w:val="24"/>
              </w:rPr>
              <w:t>9</w:t>
            </w:r>
          </w:p>
        </w:tc>
        <w:tc>
          <w:tcPr>
            <w:tcW w:w="1980" w:type="dxa"/>
            <w:noWrap w:val="0"/>
            <w:vAlign w:val="center"/>
          </w:tcPr>
          <w:p w14:paraId="48274365">
            <w:pPr>
              <w:spacing w:line="360" w:lineRule="auto"/>
              <w:jc w:val="center"/>
              <w:rPr>
                <w:sz w:val="24"/>
                <w:szCs w:val="24"/>
              </w:rPr>
            </w:pPr>
            <w:r>
              <w:rPr>
                <w:bCs/>
                <w:sz w:val="24"/>
                <w:szCs w:val="24"/>
              </w:rPr>
              <w:t>过滤器</w:t>
            </w:r>
          </w:p>
        </w:tc>
        <w:tc>
          <w:tcPr>
            <w:tcW w:w="4800" w:type="dxa"/>
            <w:noWrap w:val="0"/>
            <w:vAlign w:val="center"/>
          </w:tcPr>
          <w:p w14:paraId="6136ED53">
            <w:pPr>
              <w:spacing w:line="360" w:lineRule="auto"/>
              <w:jc w:val="center"/>
              <w:rPr>
                <w:sz w:val="24"/>
                <w:szCs w:val="24"/>
              </w:rPr>
            </w:pPr>
            <w:r>
              <w:rPr>
                <w:bCs/>
                <w:sz w:val="24"/>
                <w:szCs w:val="24"/>
              </w:rPr>
              <w:t xml:space="preserve"> 铜合金</w:t>
            </w:r>
          </w:p>
        </w:tc>
      </w:tr>
      <w:tr w14:paraId="07296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noWrap w:val="0"/>
            <w:vAlign w:val="center"/>
          </w:tcPr>
          <w:p w14:paraId="196F02C9">
            <w:pPr>
              <w:spacing w:line="360" w:lineRule="auto"/>
              <w:jc w:val="center"/>
              <w:rPr>
                <w:sz w:val="24"/>
                <w:szCs w:val="24"/>
              </w:rPr>
            </w:pPr>
            <w:r>
              <w:rPr>
                <w:bCs/>
                <w:sz w:val="24"/>
                <w:szCs w:val="24"/>
              </w:rPr>
              <w:t>10</w:t>
            </w:r>
          </w:p>
        </w:tc>
        <w:tc>
          <w:tcPr>
            <w:tcW w:w="1980" w:type="dxa"/>
            <w:noWrap w:val="0"/>
            <w:vAlign w:val="center"/>
          </w:tcPr>
          <w:p w14:paraId="76E5A03C">
            <w:pPr>
              <w:spacing w:line="360" w:lineRule="auto"/>
              <w:jc w:val="center"/>
              <w:rPr>
                <w:sz w:val="24"/>
                <w:szCs w:val="24"/>
              </w:rPr>
            </w:pPr>
            <w:r>
              <w:rPr>
                <w:bCs/>
                <w:sz w:val="24"/>
                <w:szCs w:val="24"/>
              </w:rPr>
              <w:t>控制管路</w:t>
            </w:r>
          </w:p>
        </w:tc>
        <w:tc>
          <w:tcPr>
            <w:tcW w:w="4800" w:type="dxa"/>
            <w:noWrap w:val="0"/>
            <w:vAlign w:val="center"/>
          </w:tcPr>
          <w:p w14:paraId="0430920D">
            <w:pPr>
              <w:spacing w:line="360" w:lineRule="auto"/>
              <w:jc w:val="center"/>
              <w:rPr>
                <w:sz w:val="24"/>
                <w:szCs w:val="24"/>
              </w:rPr>
            </w:pPr>
            <w:r>
              <w:rPr>
                <w:rFonts w:hint="eastAsia"/>
                <w:bCs/>
                <w:sz w:val="24"/>
                <w:szCs w:val="24"/>
              </w:rPr>
              <w:t>3</w:t>
            </w:r>
            <w:r>
              <w:rPr>
                <w:bCs/>
                <w:sz w:val="24"/>
                <w:szCs w:val="24"/>
              </w:rPr>
              <w:t>04</w:t>
            </w:r>
          </w:p>
        </w:tc>
      </w:tr>
      <w:tr w14:paraId="771E8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noWrap w:val="0"/>
            <w:vAlign w:val="center"/>
          </w:tcPr>
          <w:p w14:paraId="42300982">
            <w:pPr>
              <w:spacing w:line="360" w:lineRule="auto"/>
              <w:jc w:val="center"/>
              <w:rPr>
                <w:bCs/>
                <w:sz w:val="24"/>
                <w:szCs w:val="24"/>
              </w:rPr>
            </w:pPr>
            <w:r>
              <w:rPr>
                <w:sz w:val="24"/>
                <w:szCs w:val="24"/>
              </w:rPr>
              <w:t>11</w:t>
            </w:r>
          </w:p>
        </w:tc>
        <w:tc>
          <w:tcPr>
            <w:tcW w:w="1980" w:type="dxa"/>
            <w:noWrap w:val="0"/>
            <w:vAlign w:val="center"/>
          </w:tcPr>
          <w:p w14:paraId="60144AC0">
            <w:pPr>
              <w:spacing w:line="360" w:lineRule="auto"/>
              <w:jc w:val="center"/>
              <w:rPr>
                <w:bCs/>
                <w:sz w:val="24"/>
                <w:szCs w:val="24"/>
              </w:rPr>
            </w:pPr>
            <w:r>
              <w:rPr>
                <w:sz w:val="24"/>
                <w:szCs w:val="24"/>
              </w:rPr>
              <w:t>支座</w:t>
            </w:r>
          </w:p>
        </w:tc>
        <w:tc>
          <w:tcPr>
            <w:tcW w:w="4800" w:type="dxa"/>
            <w:noWrap w:val="0"/>
            <w:vAlign w:val="center"/>
          </w:tcPr>
          <w:p w14:paraId="58518146">
            <w:pPr>
              <w:spacing w:line="360" w:lineRule="auto"/>
              <w:jc w:val="center"/>
              <w:rPr>
                <w:bCs/>
                <w:sz w:val="24"/>
                <w:szCs w:val="24"/>
              </w:rPr>
            </w:pPr>
            <w:r>
              <w:rPr>
                <w:rFonts w:hint="eastAsia"/>
                <w:sz w:val="24"/>
                <w:szCs w:val="24"/>
              </w:rPr>
              <w:t>球墨铸铁</w:t>
            </w:r>
          </w:p>
        </w:tc>
      </w:tr>
      <w:tr w14:paraId="6E717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noWrap w:val="0"/>
            <w:vAlign w:val="center"/>
          </w:tcPr>
          <w:p w14:paraId="3023F719">
            <w:pPr>
              <w:spacing w:line="360" w:lineRule="auto"/>
              <w:jc w:val="center"/>
              <w:rPr>
                <w:sz w:val="24"/>
                <w:szCs w:val="24"/>
              </w:rPr>
            </w:pPr>
            <w:r>
              <w:rPr>
                <w:sz w:val="24"/>
                <w:szCs w:val="24"/>
              </w:rPr>
              <w:t>12</w:t>
            </w:r>
          </w:p>
        </w:tc>
        <w:tc>
          <w:tcPr>
            <w:tcW w:w="1980" w:type="dxa"/>
            <w:noWrap w:val="0"/>
            <w:vAlign w:val="center"/>
          </w:tcPr>
          <w:p w14:paraId="218B032C">
            <w:pPr>
              <w:spacing w:line="360" w:lineRule="auto"/>
              <w:jc w:val="center"/>
              <w:rPr>
                <w:sz w:val="24"/>
                <w:szCs w:val="24"/>
              </w:rPr>
            </w:pPr>
            <w:r>
              <w:rPr>
                <w:sz w:val="24"/>
                <w:szCs w:val="24"/>
              </w:rPr>
              <w:t xml:space="preserve">密封面   </w:t>
            </w:r>
          </w:p>
        </w:tc>
        <w:tc>
          <w:tcPr>
            <w:tcW w:w="4800" w:type="dxa"/>
            <w:noWrap w:val="0"/>
            <w:vAlign w:val="center"/>
          </w:tcPr>
          <w:p w14:paraId="537A3ACE">
            <w:pPr>
              <w:spacing w:line="360" w:lineRule="auto"/>
              <w:jc w:val="center"/>
              <w:rPr>
                <w:sz w:val="24"/>
                <w:szCs w:val="24"/>
              </w:rPr>
            </w:pPr>
            <w:r>
              <w:rPr>
                <w:rFonts w:hint="eastAsia"/>
                <w:sz w:val="24"/>
                <w:szCs w:val="24"/>
              </w:rPr>
              <w:t>丁腈橡胶</w:t>
            </w:r>
          </w:p>
        </w:tc>
      </w:tr>
    </w:tbl>
    <w:p w14:paraId="14F128B2">
      <w:pPr>
        <w:keepNext w:val="0"/>
        <w:keepLines w:val="0"/>
        <w:widowControl/>
        <w:suppressLineNumbers w:val="0"/>
        <w:ind w:firstLine="560" w:firstLineChars="200"/>
        <w:jc w:val="left"/>
      </w:pPr>
      <w:r>
        <w:rPr>
          <w:rFonts w:hint="eastAsia" w:ascii="仿宋_GB2312" w:hAnsi="仿宋_GB2312" w:eastAsia="仿宋_GB2312" w:cs="仿宋_GB2312"/>
          <w:color w:val="000000"/>
          <w:kern w:val="1"/>
          <w:sz w:val="28"/>
          <w:szCs w:val="28"/>
          <w:lang w:val="en-US" w:eastAsia="zh-CN" w:bidi="ar-SA"/>
        </w:rPr>
        <w:t>3.2阀门需满足CJ/T 167-2016等现行相关标准，报价人需提供第三方权威检测机构出具的全项型式试验报告。</w:t>
      </w:r>
    </w:p>
    <w:p w14:paraId="405CBC7B">
      <w:pPr>
        <w:spacing w:line="360" w:lineRule="auto"/>
        <w:ind w:firstLine="560" w:firstLineChars="200"/>
        <w:jc w:val="left"/>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3.3 阀门加工完毕后，应在其法兰密封面上涂防锈剂，并用采取密封面保护措施，防止划伤和撞击。</w:t>
      </w:r>
    </w:p>
    <w:p w14:paraId="0FA2C496">
      <w:pPr>
        <w:spacing w:line="360" w:lineRule="auto"/>
        <w:ind w:firstLine="560" w:firstLineChars="200"/>
        <w:jc w:val="left"/>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3.4 交货附合格证、质量证明文件、压力试验报告等，装箱清单位于包装箱明显位置，包装箱内按使用部门分类摆放。</w:t>
      </w:r>
    </w:p>
    <w:p w14:paraId="20752E21">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4.评审流程：</w:t>
      </w:r>
    </w:p>
    <w:p w14:paraId="58D398FF">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4.1在能够满足公开采购人技术要求及供货期要求的报价人中选择总报价最低的一家报价方作为中选候选人。</w:t>
      </w:r>
    </w:p>
    <w:p w14:paraId="7BC51D42">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4.2请各报价方保持通讯畅通，便于评审小组在评审现场电话联系。</w:t>
      </w:r>
    </w:p>
    <w:p w14:paraId="475E77E5">
      <w:pPr>
        <w:pStyle w:val="5"/>
        <w:spacing w:line="360" w:lineRule="auto"/>
        <w:ind w:firstLine="480"/>
        <w:outlineLvl w:val="9"/>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color w:val="000000"/>
          <w:kern w:val="1"/>
          <w:sz w:val="28"/>
          <w:szCs w:val="28"/>
          <w:lang w:val="en-US" w:eastAsia="zh-CN" w:bidi="ar-SA"/>
        </w:rPr>
        <w:t>4.3评审小组不得泄露各</w:t>
      </w:r>
      <w:r>
        <w:rPr>
          <w:rFonts w:hint="eastAsia" w:ascii="仿宋_GB2312" w:hAnsi="仿宋_GB2312" w:eastAsia="仿宋_GB2312" w:cs="仿宋_GB2312"/>
          <w:sz w:val="28"/>
          <w:szCs w:val="28"/>
          <w:highlight w:val="none"/>
          <w:lang w:val="en-US" w:eastAsia="zh-CN"/>
        </w:rPr>
        <w:t>报价方的报价。</w:t>
      </w:r>
    </w:p>
    <w:p w14:paraId="47313324">
      <w:pPr>
        <w:spacing w:line="360" w:lineRule="auto"/>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5.其他注意事项：</w:t>
      </w:r>
    </w:p>
    <w:p w14:paraId="0106380B">
      <w:pPr>
        <w:spacing w:line="360" w:lineRule="auto"/>
        <w:ind w:firstLine="560" w:firstLineChars="200"/>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sz w:val="28"/>
          <w:szCs w:val="28"/>
          <w:highlight w:val="none"/>
          <w:lang w:val="en-US" w:eastAsia="zh-CN"/>
        </w:rPr>
        <w:t>5.1 中选人</w:t>
      </w:r>
      <w:r>
        <w:rPr>
          <w:rFonts w:hint="eastAsia" w:ascii="仿宋_GB2312" w:hAnsi="仿宋_GB2312" w:eastAsia="仿宋_GB2312" w:cs="仿宋_GB2312"/>
          <w:color w:val="auto"/>
          <w:kern w:val="1"/>
          <w:sz w:val="28"/>
          <w:szCs w:val="28"/>
        </w:rPr>
        <w:t>应保证产品各项指标符合国标</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无国标强制要求的应符合</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w:t>
      </w:r>
      <w:r>
        <w:rPr>
          <w:rFonts w:hint="eastAsia" w:ascii="仿宋_GB2312" w:hAnsi="仿宋_GB2312" w:eastAsia="仿宋_GB2312" w:cs="仿宋_GB2312"/>
          <w:b/>
          <w:bCs/>
          <w:color w:val="auto"/>
          <w:kern w:val="1"/>
          <w:sz w:val="28"/>
          <w:szCs w:val="28"/>
          <w:u w:val="single"/>
        </w:rPr>
        <w:t>3.</w:t>
      </w:r>
      <w:r>
        <w:rPr>
          <w:rFonts w:hint="eastAsia" w:ascii="仿宋_GB2312" w:hAnsi="仿宋_GB2312" w:eastAsia="仿宋_GB2312" w:cs="仿宋_GB2312"/>
          <w:b/>
          <w:bCs/>
          <w:sz w:val="28"/>
          <w:szCs w:val="28"/>
          <w:u w:val="single"/>
        </w:rPr>
        <w:t>报价货物清单及</w:t>
      </w:r>
      <w:r>
        <w:rPr>
          <w:rFonts w:hint="eastAsia" w:ascii="仿宋_GB2312" w:hAnsi="仿宋_GB2312" w:eastAsia="仿宋_GB2312" w:cs="仿宋_GB2312"/>
          <w:b/>
          <w:bCs/>
          <w:color w:val="auto"/>
          <w:kern w:val="1"/>
          <w:sz w:val="28"/>
          <w:szCs w:val="28"/>
          <w:u w:val="single"/>
        </w:rPr>
        <w:t>技术要求</w:t>
      </w:r>
      <w:r>
        <w:rPr>
          <w:rFonts w:hint="eastAsia" w:ascii="仿宋_GB2312" w:hAnsi="仿宋_GB2312" w:eastAsia="仿宋_GB2312" w:cs="仿宋_GB2312"/>
          <w:color w:val="auto"/>
          <w:kern w:val="1"/>
          <w:sz w:val="28"/>
          <w:szCs w:val="28"/>
        </w:rPr>
        <w:t>条款，否则应及时调换或退货处理。</w:t>
      </w:r>
    </w:p>
    <w:p w14:paraId="14E651F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5.1.1</w:t>
      </w:r>
      <w:r>
        <w:rPr>
          <w:rFonts w:hint="eastAsia" w:ascii="仿宋_GB2312" w:hAnsi="仿宋_GB2312" w:eastAsia="仿宋_GB2312" w:cs="仿宋_GB2312"/>
          <w:color w:val="auto"/>
          <w:kern w:val="1"/>
          <w:sz w:val="28"/>
          <w:szCs w:val="28"/>
          <w:lang w:val="en-US" w:eastAsia="zh-CN"/>
        </w:rPr>
        <w:t>中选</w:t>
      </w:r>
      <w:r>
        <w:rPr>
          <w:rFonts w:hint="eastAsia" w:ascii="仿宋_GB2312" w:hAnsi="仿宋_GB2312" w:eastAsia="仿宋_GB2312" w:cs="仿宋_GB2312"/>
          <w:color w:val="auto"/>
          <w:kern w:val="1"/>
          <w:sz w:val="28"/>
          <w:szCs w:val="28"/>
        </w:rPr>
        <w:t>物中需检验的品种，经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人检验部门检验合格后方能收货，否则做退、换货处理</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长期合约的</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人如出现</w:t>
      </w:r>
      <w:r>
        <w:rPr>
          <w:rFonts w:hint="eastAsia" w:ascii="仿宋_GB2312" w:hAnsi="仿宋_GB2312" w:eastAsia="仿宋_GB2312" w:cs="仿宋_GB2312"/>
          <w:color w:val="auto"/>
          <w:kern w:val="1"/>
          <w:sz w:val="28"/>
          <w:szCs w:val="28"/>
          <w:lang w:val="en-US" w:eastAsia="zh-CN"/>
        </w:rPr>
        <w:t>3</w:t>
      </w:r>
      <w:r>
        <w:rPr>
          <w:rFonts w:hint="eastAsia" w:ascii="仿宋_GB2312" w:hAnsi="仿宋_GB2312" w:eastAsia="仿宋_GB2312" w:cs="仿宋_GB2312"/>
          <w:color w:val="auto"/>
          <w:kern w:val="1"/>
          <w:sz w:val="28"/>
          <w:szCs w:val="28"/>
        </w:rPr>
        <w:t>次产品质量不合格的情况，视为</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人无能力保障产品质量，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人有权终止此次</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合同的执行。</w:t>
      </w:r>
    </w:p>
    <w:p w14:paraId="45601A3B">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5.1.2 不合格货品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人会及时通知</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人，如有异议双方协商解决。如需仲裁，应在</w:t>
      </w:r>
      <w:r>
        <w:rPr>
          <w:rFonts w:hint="eastAsia" w:ascii="仿宋_GB2312" w:hAnsi="仿宋_GB2312" w:eastAsia="仿宋_GB2312" w:cs="仿宋_GB2312"/>
          <w:kern w:val="1"/>
          <w:sz w:val="28"/>
          <w:szCs w:val="28"/>
          <w:lang w:val="en-US" w:eastAsia="zh-CN"/>
        </w:rPr>
        <w:t>7</w:t>
      </w:r>
      <w:r>
        <w:rPr>
          <w:rFonts w:hint="eastAsia" w:ascii="仿宋_GB2312" w:hAnsi="仿宋_GB2312" w:eastAsia="仿宋_GB2312" w:cs="仿宋_GB2312"/>
          <w:kern w:val="1"/>
          <w:sz w:val="28"/>
          <w:szCs w:val="28"/>
        </w:rPr>
        <w:t>个工作日内按《产品质量仲裁检验和产品质量鉴定管理办法》执行。仲裁期间</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人应保证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人供应，不影响</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人正常生产运行。</w:t>
      </w:r>
    </w:p>
    <w:p w14:paraId="3C3F192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凡对</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文件条款有疑义的，请在</w:t>
      </w:r>
      <w:r>
        <w:rPr>
          <w:rFonts w:hint="eastAsia" w:ascii="仿宋_GB2312" w:hAnsi="仿宋_GB2312" w:eastAsia="仿宋_GB2312" w:cs="仿宋_GB2312"/>
          <w:kern w:val="1"/>
          <w:sz w:val="28"/>
          <w:szCs w:val="28"/>
          <w:lang w:eastAsia="zh-CN"/>
        </w:rPr>
        <w:t>评审</w:t>
      </w:r>
      <w:r>
        <w:rPr>
          <w:rFonts w:hint="eastAsia" w:ascii="仿宋_GB2312" w:hAnsi="仿宋_GB2312" w:eastAsia="仿宋_GB2312" w:cs="仿宋_GB2312"/>
          <w:kern w:val="1"/>
          <w:sz w:val="28"/>
          <w:szCs w:val="28"/>
        </w:rPr>
        <w:t>前按以下方式联系：</w:t>
      </w:r>
    </w:p>
    <w:p w14:paraId="25CBB9EB">
      <w:pPr>
        <w:spacing w:line="360" w:lineRule="auto"/>
        <w:ind w:firstLine="1113" w:firstLineChars="396"/>
        <w:jc w:val="left"/>
        <w:rPr>
          <w:rFonts w:hint="eastAsia" w:ascii="仿宋_GB2312" w:hAnsi="仿宋_GB2312" w:eastAsia="仿宋_GB2312" w:cs="仿宋_GB2312"/>
          <w:b/>
          <w:color w:val="auto"/>
          <w:kern w:val="1"/>
          <w:sz w:val="28"/>
          <w:szCs w:val="28"/>
        </w:rPr>
      </w:pPr>
      <w:r>
        <w:rPr>
          <w:rFonts w:hint="eastAsia" w:ascii="仿宋_GB2312" w:hAnsi="仿宋_GB2312" w:eastAsia="仿宋_GB2312" w:cs="仿宋_GB2312"/>
          <w:b/>
          <w:color w:val="auto"/>
          <w:kern w:val="1"/>
          <w:sz w:val="28"/>
          <w:szCs w:val="28"/>
        </w:rPr>
        <w:t>地址：江苏省镇江市京口区</w:t>
      </w:r>
      <w:r>
        <w:rPr>
          <w:rFonts w:hint="eastAsia" w:ascii="仿宋_GB2312" w:hAnsi="仿宋_GB2312" w:eastAsia="仿宋_GB2312" w:cs="仿宋_GB2312"/>
          <w:b/>
          <w:color w:val="auto"/>
          <w:kern w:val="1"/>
          <w:sz w:val="28"/>
          <w:szCs w:val="28"/>
          <w:lang w:val="en-US" w:eastAsia="zh-CN"/>
        </w:rPr>
        <w:t>求索路101号</w:t>
      </w:r>
      <w:r>
        <w:rPr>
          <w:rFonts w:hint="eastAsia" w:ascii="仿宋_GB2312" w:hAnsi="仿宋_GB2312" w:eastAsia="仿宋_GB2312" w:cs="仿宋_GB2312"/>
          <w:b/>
          <w:color w:val="auto"/>
          <w:kern w:val="1"/>
          <w:sz w:val="28"/>
          <w:szCs w:val="28"/>
        </w:rPr>
        <w:t>，邮编：212006</w:t>
      </w:r>
    </w:p>
    <w:p w14:paraId="7A92F86B">
      <w:pPr>
        <w:spacing w:line="360" w:lineRule="auto"/>
        <w:ind w:firstLine="1113" w:firstLineChars="396"/>
        <w:jc w:val="left"/>
        <w:rPr>
          <w:rFonts w:hint="eastAsia" w:ascii="仿宋_GB2312" w:hAnsi="仿宋_GB2312" w:eastAsia="仿宋_GB2312" w:cs="仿宋_GB2312"/>
          <w:b/>
          <w:color w:val="auto"/>
          <w:kern w:val="1"/>
          <w:sz w:val="28"/>
          <w:szCs w:val="28"/>
          <w:lang w:val="en-US" w:eastAsia="zh-CN"/>
        </w:rPr>
      </w:pPr>
      <w:r>
        <w:rPr>
          <w:rFonts w:hint="eastAsia" w:ascii="仿宋_GB2312" w:hAnsi="仿宋_GB2312" w:eastAsia="仿宋_GB2312" w:cs="仿宋_GB2312"/>
          <w:b/>
          <w:color w:val="auto"/>
          <w:kern w:val="1"/>
          <w:sz w:val="28"/>
          <w:szCs w:val="28"/>
        </w:rPr>
        <w:t>联系人：</w:t>
      </w:r>
      <w:r>
        <w:rPr>
          <w:rFonts w:hint="eastAsia" w:ascii="仿宋_GB2312" w:hAnsi="仿宋_GB2312" w:eastAsia="仿宋_GB2312" w:cs="仿宋_GB2312"/>
          <w:b/>
          <w:color w:val="auto"/>
          <w:kern w:val="1"/>
          <w:sz w:val="28"/>
          <w:szCs w:val="28"/>
          <w:lang w:val="en-US" w:eastAsia="zh-CN"/>
        </w:rPr>
        <w:t>胡彪</w:t>
      </w:r>
      <w:r>
        <w:rPr>
          <w:rFonts w:hint="eastAsia" w:ascii="仿宋_GB2312" w:hAnsi="仿宋_GB2312" w:eastAsia="仿宋_GB2312" w:cs="仿宋_GB2312"/>
          <w:b/>
          <w:color w:val="auto"/>
          <w:kern w:val="1"/>
          <w:sz w:val="28"/>
          <w:szCs w:val="28"/>
        </w:rPr>
        <w:t>，</w:t>
      </w:r>
      <w:r>
        <w:rPr>
          <w:rFonts w:hint="eastAsia" w:ascii="仿宋_GB2312" w:hAnsi="仿宋_GB2312" w:eastAsia="仿宋_GB2312" w:cs="仿宋_GB2312"/>
          <w:b/>
          <w:color w:val="auto"/>
          <w:kern w:val="1"/>
          <w:sz w:val="28"/>
          <w:szCs w:val="28"/>
          <w:lang w:val="en-US" w:eastAsia="zh-CN"/>
        </w:rPr>
        <w:t xml:space="preserve">                   </w:t>
      </w:r>
      <w:r>
        <w:rPr>
          <w:rFonts w:hint="eastAsia" w:ascii="仿宋_GB2312" w:hAnsi="仿宋_GB2312" w:eastAsia="仿宋_GB2312" w:cs="仿宋_GB2312"/>
          <w:b/>
          <w:color w:val="auto"/>
          <w:kern w:val="1"/>
          <w:sz w:val="28"/>
          <w:szCs w:val="28"/>
        </w:rPr>
        <w:t>手机：</w:t>
      </w:r>
      <w:r>
        <w:rPr>
          <w:rFonts w:hint="eastAsia" w:ascii="仿宋_GB2312" w:hAnsi="仿宋_GB2312" w:eastAsia="仿宋_GB2312" w:cs="仿宋_GB2312"/>
          <w:b/>
          <w:color w:val="auto"/>
          <w:kern w:val="1"/>
          <w:sz w:val="28"/>
          <w:szCs w:val="28"/>
          <w:lang w:val="en-US" w:eastAsia="zh-CN"/>
        </w:rPr>
        <w:t>13511699695</w:t>
      </w:r>
    </w:p>
    <w:p w14:paraId="2BF663F3">
      <w:pPr>
        <w:numPr>
          <w:ilvl w:val="0"/>
          <w:numId w:val="0"/>
        </w:num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color w:val="auto"/>
          <w:kern w:val="1"/>
          <w:sz w:val="28"/>
          <w:szCs w:val="28"/>
          <w:lang w:val="en-US" w:eastAsia="zh-CN"/>
        </w:rPr>
        <w:t>6.</w:t>
      </w:r>
      <w:r>
        <w:rPr>
          <w:rFonts w:hint="eastAsia" w:ascii="仿宋_GB2312" w:hAnsi="仿宋_GB2312" w:eastAsia="仿宋_GB2312" w:cs="仿宋_GB2312"/>
          <w:color w:val="auto"/>
          <w:kern w:val="1"/>
          <w:sz w:val="28"/>
          <w:szCs w:val="28"/>
        </w:rPr>
        <w:t>请详细阅读本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书，参与报价</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视为对本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书所列之条款均</w:t>
      </w:r>
      <w:r>
        <w:rPr>
          <w:rFonts w:hint="eastAsia" w:ascii="仿宋_GB2312" w:hAnsi="仿宋_GB2312" w:eastAsia="仿宋_GB2312" w:cs="仿宋_GB2312"/>
          <w:kern w:val="1"/>
          <w:sz w:val="28"/>
          <w:szCs w:val="28"/>
        </w:rPr>
        <w:t>表示接受认可。本次</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解释权归江苏索普（集团）有限公司项目部所有。</w:t>
      </w:r>
    </w:p>
    <w:p w14:paraId="747DF3D5">
      <w:pPr>
        <w:pStyle w:val="2"/>
        <w:pageBreakBefore/>
        <w:spacing w:line="5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江苏索普</w:t>
      </w:r>
      <w:r>
        <w:rPr>
          <w:rFonts w:hint="eastAsia" w:ascii="仿宋_GB2312" w:hAnsi="仿宋_GB2312" w:eastAsia="仿宋_GB2312" w:cs="仿宋_GB2312"/>
          <w:kern w:val="1"/>
          <w:sz w:val="28"/>
          <w:szCs w:val="28"/>
          <w:lang w:val="en-US" w:eastAsia="zh-CN"/>
        </w:rPr>
        <w:t>新材料</w:t>
      </w:r>
      <w:r>
        <w:rPr>
          <w:rFonts w:hint="eastAsia" w:ascii="仿宋_GB2312" w:hAnsi="仿宋_GB2312" w:eastAsia="仿宋_GB2312" w:cs="仿宋_GB2312"/>
          <w:kern w:val="1"/>
          <w:sz w:val="28"/>
          <w:szCs w:val="28"/>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u w:val="single"/>
        </w:rPr>
        <w:t>(</w:t>
      </w:r>
      <w:r>
        <w:rPr>
          <w:rFonts w:hint="eastAsia" w:ascii="仿宋_GB2312" w:hAnsi="仿宋_GB2312" w:eastAsia="仿宋_GB2312" w:cs="仿宋_GB2312"/>
          <w:color w:val="auto"/>
          <w:kern w:val="1"/>
          <w:sz w:val="28"/>
          <w:szCs w:val="28"/>
          <w:u w:val="single"/>
          <w:lang w:val="en-US" w:eastAsia="zh-CN"/>
        </w:rPr>
        <w:t>报价</w:t>
      </w:r>
      <w:r>
        <w:rPr>
          <w:rFonts w:hint="eastAsia" w:ascii="仿宋_GB2312" w:hAnsi="仿宋_GB2312" w:eastAsia="仿宋_GB2312" w:cs="仿宋_GB2312"/>
          <w:color w:val="auto"/>
          <w:kern w:val="1"/>
          <w:sz w:val="28"/>
          <w:szCs w:val="28"/>
          <w:u w:val="single"/>
        </w:rPr>
        <w:t>单位全称)</w:t>
      </w:r>
      <w:r>
        <w:rPr>
          <w:rFonts w:hint="eastAsia" w:ascii="仿宋_GB2312" w:hAnsi="仿宋_GB2312" w:eastAsia="仿宋_GB2312" w:cs="仿宋_GB2312"/>
          <w:color w:val="auto"/>
          <w:kern w:val="1"/>
          <w:sz w:val="28"/>
          <w:szCs w:val="28"/>
        </w:rPr>
        <w:t>授权</w:t>
      </w:r>
      <w:r>
        <w:rPr>
          <w:rFonts w:hint="eastAsia" w:ascii="仿宋_GB2312" w:hAnsi="仿宋_GB2312" w:eastAsia="仿宋_GB2312" w:cs="仿宋_GB2312"/>
          <w:color w:val="auto"/>
          <w:kern w:val="1"/>
          <w:sz w:val="28"/>
          <w:szCs w:val="28"/>
          <w:u w:val="single"/>
        </w:rPr>
        <w:t>(全权代表姓名)(职务、职称)</w:t>
      </w:r>
      <w:r>
        <w:rPr>
          <w:rFonts w:hint="eastAsia" w:ascii="仿宋_GB2312" w:hAnsi="仿宋_GB2312" w:eastAsia="仿宋_GB2312" w:cs="仿宋_GB2312"/>
          <w:color w:val="auto"/>
          <w:kern w:val="1"/>
          <w:sz w:val="28"/>
          <w:szCs w:val="28"/>
        </w:rPr>
        <w:t>为全权代表，参加贵方组织的</w:t>
      </w:r>
      <w:r>
        <w:rPr>
          <w:rFonts w:hint="eastAsia" w:ascii="仿宋_GB2312" w:hAnsi="仿宋_GB2312" w:eastAsia="仿宋_GB2312" w:cs="仿宋_GB2312"/>
          <w:color w:val="auto"/>
          <w:kern w:val="1"/>
          <w:sz w:val="28"/>
          <w:szCs w:val="28"/>
          <w:lang w:eastAsia="zh-CN"/>
        </w:rPr>
        <w:t>公开采购</w:t>
      </w:r>
      <w:r>
        <w:rPr>
          <w:rFonts w:hint="eastAsia" w:ascii="仿宋_GB2312" w:hAnsi="仿宋_GB2312" w:eastAsia="仿宋_GB2312" w:cs="仿宋_GB2312"/>
          <w:color w:val="auto"/>
          <w:kern w:val="1"/>
          <w:sz w:val="28"/>
          <w:szCs w:val="28"/>
        </w:rPr>
        <w:t>有关活动，并对该项目进行</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w:t>
      </w:r>
    </w:p>
    <w:p w14:paraId="09260335">
      <w:pPr>
        <w:keepNext w:val="0"/>
        <w:keepLines w:val="0"/>
        <w:pageBreakBefore w:val="0"/>
        <w:widowControl w:val="0"/>
        <w:numPr>
          <w:ilvl w:val="0"/>
          <w:numId w:val="1"/>
        </w:numPr>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项目的总</w:t>
      </w:r>
      <w:r>
        <w:rPr>
          <w:rFonts w:hint="eastAsia" w:ascii="仿宋_GB2312" w:hAnsi="仿宋_GB2312" w:eastAsia="仿宋_GB2312" w:cs="仿宋_GB2312"/>
          <w:color w:val="auto"/>
          <w:kern w:val="1"/>
          <w:sz w:val="28"/>
          <w:szCs w:val="28"/>
          <w:lang w:val="en-US" w:eastAsia="zh-CN"/>
        </w:rPr>
        <w:t>报</w:t>
      </w:r>
      <w:r>
        <w:rPr>
          <w:rFonts w:hint="eastAsia" w:ascii="仿宋_GB2312" w:hAnsi="仿宋_GB2312" w:eastAsia="仿宋_GB2312" w:cs="仿宋_GB2312"/>
          <w:color w:val="auto"/>
          <w:kern w:val="1"/>
          <w:sz w:val="28"/>
          <w:szCs w:val="28"/>
        </w:rPr>
        <w:t>价（含税）为</w:t>
      </w:r>
      <w:r>
        <w:rPr>
          <w:rFonts w:hint="eastAsia" w:ascii="仿宋_GB2312" w:hAnsi="仿宋_GB2312" w:eastAsia="仿宋_GB2312" w:cs="仿宋_GB2312"/>
          <w:color w:val="auto"/>
          <w:kern w:val="1"/>
          <w:sz w:val="28"/>
          <w:szCs w:val="28"/>
          <w:u w:val="single"/>
        </w:rPr>
        <w:softHyphen/>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(大写)：</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u w:val="single"/>
          <w:lang w:val="en-US" w:eastAsia="zh-CN"/>
        </w:rPr>
        <w:t xml:space="preserve"> </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元人民币；税率</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w:t>
      </w:r>
    </w:p>
    <w:p w14:paraId="62FCCF4B">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i w:val="0"/>
          <w:iCs w:val="0"/>
          <w:color w:val="000000"/>
          <w:kern w:val="0"/>
          <w:sz w:val="28"/>
          <w:szCs w:val="28"/>
          <w:u w:val="none"/>
          <w:lang w:val="en-US" w:eastAsia="zh-CN" w:bidi="ar"/>
        </w:rPr>
      </w:pPr>
    </w:p>
    <w:tbl>
      <w:tblPr>
        <w:tblStyle w:val="10"/>
        <w:tblW w:w="1055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2"/>
        <w:gridCol w:w="1526"/>
        <w:gridCol w:w="4877"/>
        <w:gridCol w:w="850"/>
        <w:gridCol w:w="852"/>
        <w:gridCol w:w="852"/>
        <w:gridCol w:w="852"/>
      </w:tblGrid>
      <w:tr w14:paraId="1004C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3EB95207">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14:paraId="0DE6C6F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物料名称</w:t>
            </w:r>
          </w:p>
        </w:tc>
        <w:tc>
          <w:tcPr>
            <w:tcW w:w="4877" w:type="dxa"/>
            <w:tcBorders>
              <w:top w:val="single" w:color="000000" w:sz="4" w:space="0"/>
              <w:left w:val="single" w:color="000000" w:sz="4" w:space="0"/>
              <w:bottom w:val="single" w:color="000000" w:sz="4" w:space="0"/>
              <w:right w:val="single" w:color="000000" w:sz="4" w:space="0"/>
            </w:tcBorders>
            <w:noWrap w:val="0"/>
            <w:vAlign w:val="center"/>
          </w:tcPr>
          <w:p w14:paraId="74F64BB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型号规格</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7E67D70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单位</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0A39F56C">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数量</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10CEBA6D">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单价（元）</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18FF1CA3">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总价（元）</w:t>
            </w:r>
          </w:p>
        </w:tc>
      </w:tr>
      <w:tr w14:paraId="6D4A1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03E92FF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14:paraId="2BE6796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多功能水泵控制阀124X05A~D</w:t>
            </w:r>
          </w:p>
        </w:tc>
        <w:tc>
          <w:tcPr>
            <w:tcW w:w="4877" w:type="dxa"/>
            <w:tcBorders>
              <w:top w:val="single" w:color="000000" w:sz="4" w:space="0"/>
              <w:left w:val="single" w:color="000000" w:sz="4" w:space="0"/>
              <w:bottom w:val="single" w:color="000000" w:sz="4" w:space="0"/>
              <w:right w:val="single" w:color="000000" w:sz="4" w:space="0"/>
            </w:tcBorders>
            <w:noWrap w:val="0"/>
            <w:vAlign w:val="center"/>
          </w:tcPr>
          <w:p w14:paraId="4A0D55D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DN350 PN16bar RF；法兰标准：HG/T20592；标准：CJ/T 167-2016</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41C3F74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台</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1821120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4D9F45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70EFAB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F606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4"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544D2A0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14:paraId="2934390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多功能水泵控制阀124X08</w:t>
            </w:r>
          </w:p>
        </w:tc>
        <w:tc>
          <w:tcPr>
            <w:tcW w:w="4877" w:type="dxa"/>
            <w:tcBorders>
              <w:top w:val="single" w:color="000000" w:sz="4" w:space="0"/>
              <w:left w:val="single" w:color="000000" w:sz="4" w:space="0"/>
              <w:bottom w:val="single" w:color="000000" w:sz="4" w:space="0"/>
              <w:right w:val="single" w:color="000000" w:sz="4" w:space="0"/>
            </w:tcBorders>
            <w:noWrap w:val="0"/>
            <w:vAlign w:val="center"/>
          </w:tcPr>
          <w:p w14:paraId="4EAD981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DN700 PN10bar RF；法兰标准：HG/T20592；标准：CJ/T 167-2016</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28A4ABF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台</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11A71F2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5212652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3A76BB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0863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4D2A230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14:paraId="1DCB29D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多功能水泵控制阀124X07</w:t>
            </w:r>
          </w:p>
        </w:tc>
        <w:tc>
          <w:tcPr>
            <w:tcW w:w="4877" w:type="dxa"/>
            <w:tcBorders>
              <w:top w:val="single" w:color="000000" w:sz="4" w:space="0"/>
              <w:left w:val="single" w:color="000000" w:sz="4" w:space="0"/>
              <w:bottom w:val="single" w:color="000000" w:sz="4" w:space="0"/>
              <w:right w:val="single" w:color="000000" w:sz="4" w:space="0"/>
            </w:tcBorders>
            <w:noWrap w:val="0"/>
            <w:vAlign w:val="center"/>
          </w:tcPr>
          <w:p w14:paraId="3C287B2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DN1000 PN10bar RF；法兰标准：HG/T20592；标准：CJ/T 167-2016</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14819CE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台</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47A2A1E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77F9AD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5F3C71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3EC4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8847" w:type="dxa"/>
            <w:gridSpan w:val="5"/>
            <w:tcBorders>
              <w:top w:val="single" w:color="000000" w:sz="4" w:space="0"/>
              <w:left w:val="single" w:color="000000" w:sz="4" w:space="0"/>
              <w:bottom w:val="single" w:color="000000" w:sz="4" w:space="0"/>
              <w:right w:val="single" w:color="000000" w:sz="4" w:space="0"/>
            </w:tcBorders>
            <w:noWrap/>
            <w:vAlign w:val="center"/>
          </w:tcPr>
          <w:p w14:paraId="7303568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合计：</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353673C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012B6A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bl>
    <w:p w14:paraId="4292E228">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ind w:firstLine="480" w:firstLineChars="200"/>
        <w:jc w:val="left"/>
        <w:textAlignment w:val="auto"/>
        <w:rPr>
          <w:rFonts w:hint="eastAsia" w:ascii="仿宋_GB2312" w:hAnsi="仿宋_GB2312" w:eastAsia="仿宋_GB2312" w:cs="仿宋_GB2312"/>
          <w:i w:val="0"/>
          <w:iCs w:val="0"/>
          <w:color w:val="000000"/>
          <w:kern w:val="0"/>
          <w:sz w:val="24"/>
          <w:szCs w:val="24"/>
          <w:u w:val="none"/>
          <w:lang w:val="en-US" w:eastAsia="zh-CN" w:bidi="ar"/>
        </w:rPr>
      </w:pPr>
    </w:p>
    <w:p w14:paraId="7FC7BC2E">
      <w:pPr>
        <w:keepNext w:val="0"/>
        <w:keepLines w:val="0"/>
        <w:pageBreakBefore w:val="0"/>
        <w:widowControl w:val="0"/>
        <w:kinsoku/>
        <w:wordWrap w:val="0"/>
        <w:overflowPunct/>
        <w:topLinePunct w:val="0"/>
        <w:autoSpaceDE/>
        <w:autoSpaceDN/>
        <w:bidi w:val="0"/>
        <w:adjustRightInd w:val="0"/>
        <w:snapToGrid w:val="0"/>
        <w:spacing w:line="120" w:lineRule="exact"/>
        <w:ind w:firstLine="560" w:firstLineChars="200"/>
        <w:jc w:val="left"/>
        <w:textAlignment w:val="auto"/>
        <w:rPr>
          <w:rFonts w:hint="eastAsia" w:ascii="仿宋_GB2312" w:hAnsi="仿宋_GB2312" w:eastAsia="仿宋_GB2312" w:cs="仿宋_GB2312"/>
          <w:color w:val="auto"/>
          <w:kern w:val="1"/>
          <w:sz w:val="28"/>
          <w:szCs w:val="28"/>
        </w:rPr>
      </w:pPr>
    </w:p>
    <w:p w14:paraId="2DFB2BA2">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2、我方保证遵守</w:t>
      </w:r>
      <w:r>
        <w:rPr>
          <w:rFonts w:hint="eastAsia" w:ascii="仿宋_GB2312" w:hAnsi="仿宋_GB2312" w:eastAsia="仿宋_GB2312" w:cs="仿宋_GB2312"/>
          <w:color w:val="auto"/>
          <w:kern w:val="1"/>
          <w:sz w:val="28"/>
          <w:szCs w:val="28"/>
          <w:lang w:eastAsia="zh-CN"/>
        </w:rPr>
        <w:t>公开采购文件</w:t>
      </w:r>
      <w:r>
        <w:rPr>
          <w:rFonts w:hint="eastAsia" w:ascii="仿宋_GB2312" w:hAnsi="仿宋_GB2312" w:eastAsia="仿宋_GB2312" w:cs="仿宋_GB2312"/>
          <w:color w:val="auto"/>
          <w:kern w:val="1"/>
          <w:sz w:val="28"/>
          <w:szCs w:val="28"/>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bCs/>
          <w:color w:val="auto"/>
          <w:kern w:val="1"/>
          <w:sz w:val="28"/>
          <w:szCs w:val="28"/>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color w:val="auto"/>
          <w:sz w:val="28"/>
          <w:szCs w:val="28"/>
          <w:shd w:val="clear" w:color="auto" w:fill="FFFFFF"/>
        </w:rPr>
        <w:t>4、我方已详细审查全部</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，包括</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的补充文件（如有）。我方完全理解并同意放弃对这方面有不明及误解的权力，同时完全接受</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所有条款。如果</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有相互矛盾之处，我方同意按</w:t>
      </w:r>
      <w:r>
        <w:rPr>
          <w:rFonts w:hint="eastAsia" w:ascii="仿宋_GB2312" w:hAnsi="仿宋_GB2312" w:eastAsia="仿宋_GB2312" w:cs="仿宋_GB2312"/>
          <w:color w:val="auto"/>
          <w:sz w:val="28"/>
          <w:szCs w:val="28"/>
          <w:shd w:val="clear" w:color="auto" w:fill="FFFFFF"/>
          <w:lang w:eastAsia="zh-CN"/>
        </w:rPr>
        <w:t>公开采购</w:t>
      </w:r>
      <w:r>
        <w:rPr>
          <w:rFonts w:hint="eastAsia" w:ascii="仿宋_GB2312" w:hAnsi="仿宋_GB2312" w:eastAsia="仿宋_GB2312" w:cs="仿宋_GB2312"/>
          <w:color w:val="auto"/>
          <w:sz w:val="28"/>
          <w:szCs w:val="28"/>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bCs/>
          <w:color w:val="auto"/>
          <w:kern w:val="1"/>
          <w:sz w:val="28"/>
          <w:szCs w:val="28"/>
        </w:rPr>
        <w:t>5、愿意向贵方提供任何与该项</w:t>
      </w:r>
      <w:r>
        <w:rPr>
          <w:rFonts w:hint="eastAsia" w:ascii="仿宋_GB2312" w:hAnsi="仿宋_GB2312" w:eastAsia="仿宋_GB2312" w:cs="仿宋_GB2312"/>
          <w:bCs/>
          <w:color w:val="auto"/>
          <w:kern w:val="1"/>
          <w:sz w:val="28"/>
          <w:szCs w:val="28"/>
          <w:lang w:eastAsia="zh-CN"/>
        </w:rPr>
        <w:t>报价</w:t>
      </w:r>
      <w:r>
        <w:rPr>
          <w:rFonts w:hint="eastAsia" w:ascii="仿宋_GB2312" w:hAnsi="仿宋_GB2312" w:eastAsia="仿宋_GB2312" w:cs="仿宋_GB2312"/>
          <w:bCs/>
          <w:color w:val="auto"/>
          <w:kern w:val="1"/>
          <w:sz w:val="28"/>
          <w:szCs w:val="28"/>
        </w:rPr>
        <w:t>有关的数据、情况和技术资料，</w:t>
      </w:r>
      <w:r>
        <w:rPr>
          <w:rFonts w:hint="eastAsia" w:ascii="仿宋_GB2312" w:hAnsi="仿宋_GB2312" w:eastAsia="仿宋_GB2312" w:cs="仿宋_GB2312"/>
          <w:color w:val="auto"/>
          <w:sz w:val="28"/>
          <w:szCs w:val="28"/>
          <w:shd w:val="clear" w:color="auto" w:fill="FFFFFF"/>
        </w:rPr>
        <w:t>完全理解贵方不一定接受最低价的报价或收到的任何报价。</w:t>
      </w:r>
    </w:p>
    <w:p w14:paraId="57286046">
      <w:pPr>
        <w:pStyle w:val="4"/>
        <w:keepNext w:val="0"/>
        <w:keepLines w:val="0"/>
        <w:pageBreakBefore w:val="0"/>
        <w:widowControl w:val="0"/>
        <w:kinsoku/>
        <w:overflowPunct/>
        <w:topLinePunct w:val="0"/>
        <w:autoSpaceDE/>
        <w:autoSpaceDN/>
        <w:bidi w:val="0"/>
        <w:adjustRightInd w:val="0"/>
        <w:snapToGrid w:val="0"/>
        <w:spacing w:after="0" w:line="360" w:lineRule="auto"/>
        <w:ind w:firstLine="560" w:firstLineChars="200"/>
        <w:textAlignment w:val="auto"/>
        <w:rPr>
          <w:rFonts w:hint="eastAsia" w:ascii="仿宋_GB2312" w:hAnsi="仿宋_GB2312" w:eastAsia="仿宋_GB2312" w:cs="仿宋_GB2312"/>
          <w:color w:val="auto"/>
          <w:kern w:val="1"/>
          <w:sz w:val="28"/>
          <w:szCs w:val="28"/>
          <w:u w:val="single"/>
        </w:rPr>
      </w:pPr>
      <w:r>
        <w:rPr>
          <w:rFonts w:hint="eastAsia" w:ascii="仿宋_GB2312" w:hAnsi="仿宋_GB2312" w:eastAsia="仿宋_GB2312" w:cs="仿宋_GB2312"/>
          <w:color w:val="auto"/>
          <w:sz w:val="28"/>
          <w:szCs w:val="28"/>
          <w:shd w:val="clear" w:color="auto" w:fill="FFFFFF"/>
        </w:rPr>
        <w:t>6、</w:t>
      </w:r>
      <w:r>
        <w:rPr>
          <w:rFonts w:hint="eastAsia" w:ascii="仿宋_GB2312" w:hAnsi="仿宋_GB2312" w:eastAsia="仿宋_GB2312" w:cs="仿宋_GB2312"/>
          <w:bCs/>
          <w:color w:val="auto"/>
          <w:kern w:val="1"/>
          <w:sz w:val="28"/>
          <w:szCs w:val="28"/>
        </w:rPr>
        <w:t>对</w:t>
      </w:r>
      <w:r>
        <w:rPr>
          <w:rFonts w:hint="eastAsia" w:ascii="仿宋_GB2312" w:hAnsi="仿宋_GB2312" w:eastAsia="仿宋_GB2312" w:cs="仿宋_GB2312"/>
          <w:color w:val="auto"/>
          <w:sz w:val="28"/>
          <w:szCs w:val="28"/>
          <w:shd w:val="clear" w:color="auto" w:fill="FFFFFF"/>
        </w:rPr>
        <w:t>自主公开</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bCs/>
          <w:color w:val="auto"/>
          <w:kern w:val="1"/>
          <w:sz w:val="28"/>
          <w:szCs w:val="28"/>
        </w:rPr>
        <w:t>的不接受项：</w:t>
      </w:r>
      <w:r>
        <w:rPr>
          <w:rFonts w:hint="eastAsia" w:ascii="仿宋_GB2312" w:hAnsi="仿宋_GB2312" w:eastAsia="仿宋_GB2312" w:cs="仿宋_GB2312"/>
          <w:color w:val="auto"/>
          <w:kern w:val="1"/>
          <w:sz w:val="28"/>
          <w:szCs w:val="28"/>
          <w:u w:val="single"/>
        </w:rPr>
        <w:t xml:space="preserve">                                              </w:t>
      </w:r>
    </w:p>
    <w:p w14:paraId="12D477DA">
      <w:pPr>
        <w:pStyle w:val="4"/>
        <w:keepNext w:val="0"/>
        <w:keepLines w:val="0"/>
        <w:pageBreakBefore w:val="0"/>
        <w:widowControl w:val="0"/>
        <w:kinsoku/>
        <w:overflowPunct/>
        <w:topLinePunct w:val="0"/>
        <w:autoSpaceDE/>
        <w:autoSpaceDN/>
        <w:bidi w:val="0"/>
        <w:adjustRightInd w:val="0"/>
        <w:snapToGrid w:val="0"/>
        <w:spacing w:after="0"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1"/>
          <w:sz w:val="28"/>
          <w:szCs w:val="28"/>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单位（盖章）：</w:t>
      </w:r>
    </w:p>
    <w:p w14:paraId="2AAC52E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日期：</w:t>
      </w:r>
    </w:p>
    <w:p w14:paraId="00ED1EA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7D90096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6597FE5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AEC8327">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05452D2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1C858E59">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3846C816">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F050191">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4A711B7">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08BEE34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033EB86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3AC6ABEE">
      <w:pPr>
        <w:pStyle w:val="2"/>
        <w:pageBreakBefore w:val="0"/>
        <w:kinsoku/>
        <w:wordWrap/>
        <w:overflowPunct/>
        <w:autoSpaceDE/>
        <w:autoSpaceDN/>
        <w:bidi w:val="0"/>
        <w:spacing w:before="0" w:after="0" w:line="360" w:lineRule="auto"/>
        <w:jc w:val="left"/>
        <w:rPr>
          <w:rFonts w:hint="eastAsia" w:ascii="仿宋_GB2312" w:hAnsi="仿宋_GB2312" w:eastAsia="仿宋_GB2312" w:cs="仿宋_GB2312"/>
          <w:color w:val="000000"/>
          <w:sz w:val="28"/>
          <w:szCs w:val="28"/>
          <w:highlight w:val="none"/>
          <w:lang w:val="en-US" w:eastAsia="zh-CN"/>
        </w:rPr>
      </w:pPr>
    </w:p>
    <w:p w14:paraId="1676A894">
      <w:pPr>
        <w:rPr>
          <w:rFonts w:hint="eastAsia"/>
          <w:lang w:val="en-US" w:eastAsia="zh-CN"/>
        </w:rPr>
      </w:pPr>
    </w:p>
    <w:p w14:paraId="743D9AB4">
      <w:pPr>
        <w:pStyle w:val="2"/>
        <w:pageBreakBefore w:val="0"/>
        <w:kinsoku/>
        <w:wordWrap/>
        <w:overflowPunct/>
        <w:autoSpaceDE/>
        <w:autoSpaceDN/>
        <w:bidi w:val="0"/>
        <w:spacing w:before="0" w:after="0" w:line="360" w:lineRule="auto"/>
        <w:jc w:val="left"/>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附件：</w:t>
      </w:r>
    </w:p>
    <w:p w14:paraId="17C066BF">
      <w:pPr>
        <w:pStyle w:val="2"/>
        <w:pageBreakBefore w:val="0"/>
        <w:kinsoku/>
        <w:wordWrap/>
        <w:overflowPunct/>
        <w:autoSpaceDE/>
        <w:autoSpaceDN/>
        <w:bidi w:val="0"/>
        <w:spacing w:before="0" w:after="0" w:line="360" w:lineRule="auto"/>
        <w:jc w:val="center"/>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数字化交付要求</w:t>
      </w:r>
    </w:p>
    <w:p w14:paraId="489C5803">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1.交付总体要求</w:t>
      </w:r>
    </w:p>
    <w:p w14:paraId="181D05E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在合同签订后，报价方需向采购方提交相关数字化人员信息，由采购方授予该报价方本项目数字化交付平台的录入权限。报价方需根据所提供物资的实际生产进度及时间节点，依据采购方发布的数字化交付统一规定在数字化交付平台上交付所要求的各项数字化成果，交付的成果必须满足数字化相关的规定，该部分要求作为验收、付款的重要考核依据。</w:t>
      </w:r>
    </w:p>
    <w:p w14:paraId="167F388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2.数字化交付范围</w:t>
      </w:r>
    </w:p>
    <w:p w14:paraId="49322C5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报价方的交付内容职责范围如下：</w:t>
      </w:r>
    </w:p>
    <w:p w14:paraId="74F83F0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负责按照数字化交付统一规定范围、内容、进度和质量要求，整理供货范围内的对象清单及对象属性数据、三维模型（包括原始数据库和元件库文件）、智能P&amp;ID（包括项目原始的备份文件）、工程文档和文档属性，以及上述内容的关联关系。</w:t>
      </w:r>
    </w:p>
    <w:p w14:paraId="412D84D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2）负责将内控合格的上述内容上载整合到数字化交付平台中。</w:t>
      </w:r>
    </w:p>
    <w:p w14:paraId="7D7A7BA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3）负责按照校验、数据检查、验收等要求，对交付的成果进行完善，直至验收通过。</w:t>
      </w:r>
    </w:p>
    <w:p w14:paraId="50AF42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3.数字化交付的内容及要求</w:t>
      </w:r>
    </w:p>
    <w:p w14:paraId="0AE2F60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3.1.1工厂对象清单内容</w:t>
      </w:r>
    </w:p>
    <w:p w14:paraId="59B7986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报价方按照采购方后续发布的数字化交付统一规定并提交其合同范围内的工厂对象清单，包含工厂对象位号、名称以及分类。</w:t>
      </w:r>
    </w:p>
    <w:p w14:paraId="2F7FCA2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对于包设备（包括大型机组、成套设备、撬装设备等），由报价方按照采购方发布的相关规范要求对包设备进行拆分，并按照设计总体院发布的编码规定编制子设备位号，形成包设备拆分清单，内容包括成套设备位号、子设备位号、子设备名称、子设备分类等。</w:t>
      </w:r>
    </w:p>
    <w:p w14:paraId="352E1CC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采购方负责审核工厂对象清单中的位号和分类是否满足相关编码规则和分类标准，经确认后由报价方据此开展工厂对象属性和关联性资料的交付工作。</w:t>
      </w:r>
    </w:p>
    <w:p w14:paraId="6C683D3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3.1.2工厂对象属性数据交付</w:t>
      </w:r>
    </w:p>
    <w:p w14:paraId="5F37409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应按照项目数字化交付统一规定中工厂对象分类及属性内容交付的要求，以及数字化交付平台提供的工厂对象属性数据模板，填报供货范围内工厂对象的属性数据（信息来源为P的部分），并导入到数字化交付平台实现属性数据的存储。</w:t>
      </w:r>
    </w:p>
    <w:p w14:paraId="4202D0F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属性数据交付说明：</w:t>
      </w:r>
    </w:p>
    <w:p w14:paraId="76A699C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1）工厂对象应对应到数字化交付规定中对象分类的叶子节点。</w:t>
      </w:r>
    </w:p>
    <w:p w14:paraId="1B1F56E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2）移交属性数据的工厂对象应与实际供货范围，以及供货清单保持一致。</w:t>
      </w:r>
    </w:p>
    <w:p w14:paraId="3CAE76D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3.1.3三维模型交付内容</w:t>
      </w:r>
    </w:p>
    <w:p w14:paraId="15E5139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针对业主方确定的重点设备，需要按照数字化交付统一规定的要求进行建模，建模内容、深度，以及交付物需要满足业主方发布的数字化交付统一规定的要求，以下为典型的模型交付要求：</w:t>
      </w:r>
    </w:p>
    <w:p w14:paraId="0C5A02A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a)设备建模要求</w:t>
      </w:r>
    </w:p>
    <w:p w14:paraId="13EB82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1)设备供应商应根据业主的要求提供准确的、与实际设备外形尺寸一致的设备模型。</w:t>
      </w:r>
    </w:p>
    <w:p w14:paraId="5EF7F65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2)模型外观形状、内部结构、零部件规格型号与设备图纸等参考资料一致。</w:t>
      </w:r>
    </w:p>
    <w:p w14:paraId="05FE22B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3)模型外观颜色、内部零部件颜色和实物照片与设备图纸等参考资料一致。</w:t>
      </w:r>
    </w:p>
    <w:p w14:paraId="0FB7417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4)针对有对象分类的三维模型中的工程对象应按照业主发布的数字化交付统一规定中的要求进行编码并附加工程数据信息，包括位号、名称等内容。</w:t>
      </w:r>
    </w:p>
    <w:p w14:paraId="1ACB9B9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5)模型输出类型必须是“实体几何面”，不允许输出“抽壳”“线框”或者“3D曲线”。</w:t>
      </w:r>
    </w:p>
    <w:p w14:paraId="166110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6)应采用装配体建模，零部件装配由内向外按层级组装，如果多台设备是总体装配在一起的，要提交总体装配模型，以每台设备为单位装配，各设备分支独立，不能混合装配。</w:t>
      </w:r>
    </w:p>
    <w:p w14:paraId="64F6CC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b)交付物要求</w:t>
      </w:r>
    </w:p>
    <w:p w14:paraId="6D25A5E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供应商应交付模型文件、数据库备份文件，同时提供所使用建模软件的名称、版本。</w:t>
      </w:r>
    </w:p>
    <w:p w14:paraId="21E0A17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c)建模软件要求</w:t>
      </w:r>
    </w:p>
    <w:p w14:paraId="0E71114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精细化三维模型应采用主流设计软件，采用统一的定位基准、单位和方位，按照与实体工厂1∶1的比例建模，模型定位应与真实工程坐标一致或具备映射关系。三维模型的软件范围及其输出的格式和要求应从下表中进行选择：</w:t>
      </w:r>
    </w:p>
    <w:tbl>
      <w:tblPr>
        <w:tblStyle w:val="10"/>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1"/>
        <w:gridCol w:w="1540"/>
        <w:gridCol w:w="3591"/>
        <w:gridCol w:w="1785"/>
      </w:tblGrid>
      <w:tr w14:paraId="6A04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1601" w:type="dxa"/>
            <w:noWrap w:val="0"/>
            <w:vAlign w:val="center"/>
          </w:tcPr>
          <w:p w14:paraId="6E5E56B1">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模型类型</w:t>
            </w:r>
          </w:p>
        </w:tc>
        <w:tc>
          <w:tcPr>
            <w:tcW w:w="1540" w:type="dxa"/>
            <w:noWrap w:val="0"/>
            <w:vAlign w:val="center"/>
          </w:tcPr>
          <w:p w14:paraId="5E35A1BD">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软件名称</w:t>
            </w:r>
          </w:p>
        </w:tc>
        <w:tc>
          <w:tcPr>
            <w:tcW w:w="3591" w:type="dxa"/>
            <w:noWrap w:val="0"/>
            <w:vAlign w:val="center"/>
          </w:tcPr>
          <w:p w14:paraId="0139779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输出格式</w:t>
            </w:r>
          </w:p>
        </w:tc>
        <w:tc>
          <w:tcPr>
            <w:tcW w:w="1785" w:type="dxa"/>
            <w:noWrap w:val="0"/>
            <w:vAlign w:val="center"/>
          </w:tcPr>
          <w:p w14:paraId="5089D6A3">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备注</w:t>
            </w:r>
          </w:p>
        </w:tc>
      </w:tr>
      <w:tr w14:paraId="7673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601" w:type="dxa"/>
            <w:vMerge w:val="restart"/>
            <w:noWrap w:val="0"/>
            <w:vAlign w:val="center"/>
          </w:tcPr>
          <w:p w14:paraId="540F56FC">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精细化模型</w:t>
            </w:r>
          </w:p>
        </w:tc>
        <w:tc>
          <w:tcPr>
            <w:tcW w:w="1540" w:type="dxa"/>
            <w:vMerge w:val="restart"/>
            <w:noWrap w:val="0"/>
            <w:vAlign w:val="center"/>
          </w:tcPr>
          <w:p w14:paraId="46BA3126">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Pro/E</w:t>
            </w:r>
          </w:p>
        </w:tc>
        <w:tc>
          <w:tcPr>
            <w:tcW w:w="3591" w:type="dxa"/>
            <w:noWrap w:val="0"/>
            <w:vAlign w:val="center"/>
          </w:tcPr>
          <w:p w14:paraId="365B5E1E">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.asm+.prt</w:t>
            </w:r>
          </w:p>
        </w:tc>
        <w:tc>
          <w:tcPr>
            <w:tcW w:w="1785" w:type="dxa"/>
            <w:vMerge w:val="restart"/>
            <w:noWrap w:val="0"/>
            <w:vAlign w:val="center"/>
          </w:tcPr>
          <w:p w14:paraId="5A7EFB2E">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5B0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67984C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7960EA1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521FDF9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37B9002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24AB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72710E0">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restart"/>
            <w:noWrap w:val="0"/>
            <w:vAlign w:val="center"/>
          </w:tcPr>
          <w:p w14:paraId="039D7489">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SolidWorks</w:t>
            </w:r>
          </w:p>
        </w:tc>
        <w:tc>
          <w:tcPr>
            <w:tcW w:w="3591" w:type="dxa"/>
            <w:noWrap w:val="0"/>
            <w:vAlign w:val="center"/>
          </w:tcPr>
          <w:p w14:paraId="052C39AF">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.sldasm+.sldprt</w:t>
            </w:r>
          </w:p>
        </w:tc>
        <w:tc>
          <w:tcPr>
            <w:tcW w:w="1785" w:type="dxa"/>
            <w:vMerge w:val="restart"/>
            <w:noWrap w:val="0"/>
            <w:vAlign w:val="center"/>
          </w:tcPr>
          <w:p w14:paraId="0891CD02">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A56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7EE3C1C">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378180A2">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4737189F">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0D9963AA">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7AAD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74E79434">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E91CA0B">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INVENTOR</w:t>
            </w:r>
          </w:p>
        </w:tc>
        <w:tc>
          <w:tcPr>
            <w:tcW w:w="3591" w:type="dxa"/>
            <w:noWrap w:val="0"/>
            <w:vAlign w:val="center"/>
          </w:tcPr>
          <w:p w14:paraId="1048F75D">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4D615D8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30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2B4B3C8C">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B9FB4C9">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CATIA</w:t>
            </w:r>
          </w:p>
        </w:tc>
        <w:tc>
          <w:tcPr>
            <w:tcW w:w="3591" w:type="dxa"/>
            <w:noWrap w:val="0"/>
            <w:vAlign w:val="center"/>
          </w:tcPr>
          <w:p w14:paraId="77D8E07E">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223B7273">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6EFA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688C8F6">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36D31DF7">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其他机械设计3D模型</w:t>
            </w:r>
          </w:p>
        </w:tc>
        <w:tc>
          <w:tcPr>
            <w:tcW w:w="3591" w:type="dxa"/>
            <w:noWrap w:val="0"/>
            <w:vAlign w:val="center"/>
          </w:tcPr>
          <w:p w14:paraId="5213E01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6DEE81A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bl>
    <w:p w14:paraId="1016BD9E">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3.1.4智能P&amp;ID交付内容</w:t>
      </w:r>
    </w:p>
    <w:p w14:paraId="2B31E4F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针对成套设备，需要移交智能P&amp;ID文件，原则上智能P&amp;ID软件的选择应符合下表的要求。</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2353"/>
        <w:gridCol w:w="3035"/>
        <w:gridCol w:w="2205"/>
      </w:tblGrid>
      <w:tr w14:paraId="1BB2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noWrap w:val="0"/>
            <w:vAlign w:val="center"/>
          </w:tcPr>
          <w:p w14:paraId="4DE27B5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软件类型</w:t>
            </w:r>
          </w:p>
        </w:tc>
        <w:tc>
          <w:tcPr>
            <w:tcW w:w="2353" w:type="dxa"/>
            <w:noWrap w:val="0"/>
            <w:vAlign w:val="center"/>
          </w:tcPr>
          <w:p w14:paraId="00879D2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软件推荐</w:t>
            </w:r>
          </w:p>
        </w:tc>
        <w:tc>
          <w:tcPr>
            <w:tcW w:w="3035" w:type="dxa"/>
            <w:noWrap w:val="0"/>
            <w:vAlign w:val="center"/>
          </w:tcPr>
          <w:p w14:paraId="37E5E4C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交付输出格式</w:t>
            </w:r>
          </w:p>
        </w:tc>
        <w:tc>
          <w:tcPr>
            <w:tcW w:w="2205" w:type="dxa"/>
            <w:noWrap w:val="0"/>
            <w:vAlign w:val="center"/>
          </w:tcPr>
          <w:p w14:paraId="7B8FF31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备注</w:t>
            </w:r>
          </w:p>
        </w:tc>
      </w:tr>
      <w:tr w14:paraId="1116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restart"/>
            <w:noWrap w:val="0"/>
            <w:vAlign w:val="center"/>
          </w:tcPr>
          <w:p w14:paraId="6AB452C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智能P&amp;ID</w:t>
            </w:r>
          </w:p>
        </w:tc>
        <w:tc>
          <w:tcPr>
            <w:tcW w:w="2353" w:type="dxa"/>
            <w:noWrap w:val="0"/>
            <w:vAlign w:val="center"/>
          </w:tcPr>
          <w:p w14:paraId="13D6D7C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AVEVA Diagram</w:t>
            </w:r>
          </w:p>
        </w:tc>
        <w:tc>
          <w:tcPr>
            <w:tcW w:w="3035" w:type="dxa"/>
            <w:noWrap w:val="0"/>
            <w:vAlign w:val="center"/>
          </w:tcPr>
          <w:p w14:paraId="2908E28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.svg+.xml</w:t>
            </w:r>
          </w:p>
        </w:tc>
        <w:tc>
          <w:tcPr>
            <w:tcW w:w="2205" w:type="dxa"/>
            <w:noWrap w:val="0"/>
            <w:vAlign w:val="center"/>
          </w:tcPr>
          <w:p w14:paraId="61ADB4A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r w14:paraId="6092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3AC23D7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4E8B197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SmartPlant P&amp;ID</w:t>
            </w:r>
          </w:p>
        </w:tc>
        <w:tc>
          <w:tcPr>
            <w:tcW w:w="3035" w:type="dxa"/>
            <w:noWrap w:val="0"/>
            <w:vAlign w:val="center"/>
          </w:tcPr>
          <w:p w14:paraId="702A2A4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.pid+.xml+EFSchema.cmf</w:t>
            </w:r>
          </w:p>
        </w:tc>
        <w:tc>
          <w:tcPr>
            <w:tcW w:w="2205" w:type="dxa"/>
            <w:noWrap w:val="0"/>
            <w:vAlign w:val="center"/>
          </w:tcPr>
          <w:p w14:paraId="1E69E454">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Schema 文件如未</w:t>
            </w:r>
          </w:p>
          <w:p w14:paraId="67D7D262">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修改，可不提供</w:t>
            </w:r>
          </w:p>
        </w:tc>
      </w:tr>
      <w:tr w14:paraId="1ED5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7F5B13A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0952CE5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AutoCAD</w:t>
            </w:r>
            <w:r>
              <w:rPr>
                <w:rFonts w:hint="eastAsia" w:ascii="仿宋_GB2312" w:hAnsi="仿宋_GB2312" w:eastAsia="仿宋_GB2312" w:cs="仿宋_GB2312"/>
                <w:color w:val="auto"/>
                <w:spacing w:val="-4"/>
                <w:sz w:val="28"/>
                <w:szCs w:val="28"/>
                <w:highlight w:val="none"/>
              </w:rPr>
              <w:t xml:space="preserve"> </w:t>
            </w:r>
            <w:r>
              <w:rPr>
                <w:rFonts w:hint="eastAsia" w:ascii="仿宋_GB2312" w:hAnsi="仿宋_GB2312" w:eastAsia="仿宋_GB2312" w:cs="仿宋_GB2312"/>
                <w:color w:val="auto"/>
                <w:kern w:val="0"/>
                <w:sz w:val="28"/>
                <w:szCs w:val="28"/>
                <w:highlight w:val="none"/>
              </w:rPr>
              <w:t>P&amp;ID</w:t>
            </w:r>
          </w:p>
        </w:tc>
        <w:tc>
          <w:tcPr>
            <w:tcW w:w="3035" w:type="dxa"/>
            <w:noWrap w:val="0"/>
            <w:vAlign w:val="center"/>
          </w:tcPr>
          <w:p w14:paraId="362904E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.dwg+项目文件</w:t>
            </w:r>
          </w:p>
        </w:tc>
        <w:tc>
          <w:tcPr>
            <w:tcW w:w="2205" w:type="dxa"/>
            <w:noWrap w:val="0"/>
            <w:vAlign w:val="center"/>
          </w:tcPr>
          <w:p w14:paraId="0251265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bl>
    <w:p w14:paraId="619941F0">
      <w:pPr>
        <w:pStyle w:val="24"/>
        <w:keepNext w:val="0"/>
        <w:keepLines w:val="0"/>
        <w:pageBreakBefore w:val="0"/>
        <w:widowControl w:val="0"/>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color w:val="auto"/>
          <w:sz w:val="28"/>
          <w:szCs w:val="28"/>
          <w:highlight w:val="none"/>
          <w:lang w:val="en-US" w:eastAsia="zh-CN"/>
        </w:rPr>
      </w:pPr>
    </w:p>
    <w:p w14:paraId="29765B7E">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智能P&amp;ID的文档命名和编码、图例、属性、图框、质量等应满足采购方发布的数字化交付统一规定的要求。</w:t>
      </w:r>
    </w:p>
    <w:p w14:paraId="0F87E7BC">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3.1.5工程文档交付</w:t>
      </w:r>
    </w:p>
    <w:p w14:paraId="367FF0D5">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采购方发布的数字化交付统一规定的要求，移交设备随机文件（如合格证、图纸、检验报告、操作/维护说明、备品备件清单、零部件清单等），文件的编码、目录结构、属性、质量等应符合规定的要求。</w:t>
      </w:r>
    </w:p>
    <w:p w14:paraId="3A09ECD5">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原则上移交的文档为带签章的PDF文件，针对数据表、备品备件清单、零部件清单等文件，还需同时移交可编辑版本，需要移交可编辑版的文件范围、文件格式以发布的统一规定为准。</w:t>
      </w:r>
    </w:p>
    <w:p w14:paraId="2A7D1CBC">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3.1.6工厂对象与文档的关联关系</w:t>
      </w:r>
    </w:p>
    <w:p w14:paraId="19225DF9">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供应商应按照项目数字化交付统一规定的要求，以及数字化交付平台提供的关联关系模板，移交对象与文档的关联关系。</w:t>
      </w:r>
    </w:p>
    <w:p w14:paraId="18760A2E">
      <w:pPr>
        <w:keepNext w:val="0"/>
        <w:keepLines w:val="0"/>
        <w:pageBreakBefore w:val="0"/>
        <w:kinsoku/>
        <w:wordWrap/>
        <w:overflowPunct/>
        <w:autoSpaceDE/>
        <w:autoSpaceDN/>
        <w:bidi w:val="0"/>
        <w:spacing w:line="240" w:lineRule="auto"/>
        <w:rPr>
          <w:rFonts w:hint="eastAsia" w:ascii="宋体" w:hAnsi="宋体" w:eastAsia="宋体" w:cs="宋体"/>
          <w:sz w:val="22"/>
          <w:szCs w:val="22"/>
        </w:rPr>
      </w:pPr>
    </w:p>
    <w:p w14:paraId="5E7BD175">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color w:val="auto"/>
          <w:kern w:val="0"/>
          <w:sz w:val="24"/>
          <w:szCs w:val="24"/>
          <w:lang w:val="en-US" w:eastAsia="zh-CN"/>
        </w:rPr>
      </w:pP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00447B"/>
    <w:multiLevelType w:val="singleLevel"/>
    <w:tmpl w:val="3B00447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E87FD8"/>
    <w:rsid w:val="018342DF"/>
    <w:rsid w:val="049A1BA3"/>
    <w:rsid w:val="05537C91"/>
    <w:rsid w:val="068A242D"/>
    <w:rsid w:val="068E5CAD"/>
    <w:rsid w:val="07184E4C"/>
    <w:rsid w:val="07424D15"/>
    <w:rsid w:val="08110CB7"/>
    <w:rsid w:val="0855653B"/>
    <w:rsid w:val="089D102A"/>
    <w:rsid w:val="099A19B7"/>
    <w:rsid w:val="09FE63A9"/>
    <w:rsid w:val="0A9C3C10"/>
    <w:rsid w:val="0AA82ADC"/>
    <w:rsid w:val="0C566AD6"/>
    <w:rsid w:val="0D075905"/>
    <w:rsid w:val="0D307F6B"/>
    <w:rsid w:val="0D945B5C"/>
    <w:rsid w:val="0E0E6DB4"/>
    <w:rsid w:val="0F875418"/>
    <w:rsid w:val="11213F47"/>
    <w:rsid w:val="12244F80"/>
    <w:rsid w:val="12B146A8"/>
    <w:rsid w:val="133D6635"/>
    <w:rsid w:val="13EB585D"/>
    <w:rsid w:val="1486627C"/>
    <w:rsid w:val="1489454D"/>
    <w:rsid w:val="158E1579"/>
    <w:rsid w:val="15D63EB8"/>
    <w:rsid w:val="15EC6658"/>
    <w:rsid w:val="167A7865"/>
    <w:rsid w:val="17922879"/>
    <w:rsid w:val="17BE143C"/>
    <w:rsid w:val="18123DEA"/>
    <w:rsid w:val="191B14FB"/>
    <w:rsid w:val="19D3125A"/>
    <w:rsid w:val="1AC066E3"/>
    <w:rsid w:val="1B9405AB"/>
    <w:rsid w:val="1BD306B5"/>
    <w:rsid w:val="1C282778"/>
    <w:rsid w:val="1C6B4BBD"/>
    <w:rsid w:val="1CF9004F"/>
    <w:rsid w:val="1D406D29"/>
    <w:rsid w:val="1D61265F"/>
    <w:rsid w:val="1D77045C"/>
    <w:rsid w:val="1DA0537D"/>
    <w:rsid w:val="1E0A79E5"/>
    <w:rsid w:val="1E12411C"/>
    <w:rsid w:val="1E210886"/>
    <w:rsid w:val="1E6E6AEF"/>
    <w:rsid w:val="1F2678E9"/>
    <w:rsid w:val="1F6B79D8"/>
    <w:rsid w:val="1F7E35D3"/>
    <w:rsid w:val="1F9245AF"/>
    <w:rsid w:val="21112BD3"/>
    <w:rsid w:val="21933ED0"/>
    <w:rsid w:val="2225022C"/>
    <w:rsid w:val="22334287"/>
    <w:rsid w:val="23CF0F9F"/>
    <w:rsid w:val="23FC6252"/>
    <w:rsid w:val="25F658BE"/>
    <w:rsid w:val="26A27C21"/>
    <w:rsid w:val="280A4C5F"/>
    <w:rsid w:val="298A418F"/>
    <w:rsid w:val="29EC4F1D"/>
    <w:rsid w:val="2AA7564C"/>
    <w:rsid w:val="2AB873E6"/>
    <w:rsid w:val="2B263D2B"/>
    <w:rsid w:val="2B7969FB"/>
    <w:rsid w:val="2BA23352"/>
    <w:rsid w:val="2BB463C2"/>
    <w:rsid w:val="2D711326"/>
    <w:rsid w:val="2DCD459B"/>
    <w:rsid w:val="2E29640B"/>
    <w:rsid w:val="2F552E82"/>
    <w:rsid w:val="2F5A2F6A"/>
    <w:rsid w:val="306A72AD"/>
    <w:rsid w:val="307C7118"/>
    <w:rsid w:val="33604F9A"/>
    <w:rsid w:val="341252C0"/>
    <w:rsid w:val="358C362F"/>
    <w:rsid w:val="359A6B07"/>
    <w:rsid w:val="35B841ED"/>
    <w:rsid w:val="36783E04"/>
    <w:rsid w:val="36CC7FE0"/>
    <w:rsid w:val="37321293"/>
    <w:rsid w:val="375211E9"/>
    <w:rsid w:val="3797278D"/>
    <w:rsid w:val="3A1C3FA6"/>
    <w:rsid w:val="3A260472"/>
    <w:rsid w:val="3A3D3E1C"/>
    <w:rsid w:val="3AD73DE7"/>
    <w:rsid w:val="3B741D0B"/>
    <w:rsid w:val="3B8E1539"/>
    <w:rsid w:val="3BD8475C"/>
    <w:rsid w:val="3C633297"/>
    <w:rsid w:val="3E8B6D79"/>
    <w:rsid w:val="40E424A8"/>
    <w:rsid w:val="413403E0"/>
    <w:rsid w:val="41923A7A"/>
    <w:rsid w:val="4286740D"/>
    <w:rsid w:val="42E66EDA"/>
    <w:rsid w:val="431A73EB"/>
    <w:rsid w:val="43301127"/>
    <w:rsid w:val="446A2417"/>
    <w:rsid w:val="44D30FCF"/>
    <w:rsid w:val="45201FAC"/>
    <w:rsid w:val="45CE6B57"/>
    <w:rsid w:val="46271989"/>
    <w:rsid w:val="465A0D1A"/>
    <w:rsid w:val="46885DF8"/>
    <w:rsid w:val="47276D0E"/>
    <w:rsid w:val="475F1FDB"/>
    <w:rsid w:val="483056E3"/>
    <w:rsid w:val="48F071BE"/>
    <w:rsid w:val="49480DF6"/>
    <w:rsid w:val="4A052FB9"/>
    <w:rsid w:val="4A2C20B8"/>
    <w:rsid w:val="4AEC2C1A"/>
    <w:rsid w:val="4B663938"/>
    <w:rsid w:val="4BC06CFF"/>
    <w:rsid w:val="4C6726AF"/>
    <w:rsid w:val="4CAE01A9"/>
    <w:rsid w:val="4CCC1EC1"/>
    <w:rsid w:val="4D9E2555"/>
    <w:rsid w:val="4DC75912"/>
    <w:rsid w:val="4ECC5A50"/>
    <w:rsid w:val="503045D8"/>
    <w:rsid w:val="503F3393"/>
    <w:rsid w:val="507C7259"/>
    <w:rsid w:val="509007D0"/>
    <w:rsid w:val="50A618CB"/>
    <w:rsid w:val="51FC55C8"/>
    <w:rsid w:val="521E5249"/>
    <w:rsid w:val="528F250F"/>
    <w:rsid w:val="53B67FCD"/>
    <w:rsid w:val="53C47D96"/>
    <w:rsid w:val="543B4165"/>
    <w:rsid w:val="54750A52"/>
    <w:rsid w:val="549E18C1"/>
    <w:rsid w:val="55115289"/>
    <w:rsid w:val="55431F02"/>
    <w:rsid w:val="55C3235D"/>
    <w:rsid w:val="56A56E83"/>
    <w:rsid w:val="56D44020"/>
    <w:rsid w:val="57AE7C02"/>
    <w:rsid w:val="58DF219E"/>
    <w:rsid w:val="58FB2325"/>
    <w:rsid w:val="5A7C589A"/>
    <w:rsid w:val="5AB04526"/>
    <w:rsid w:val="5AFA7489"/>
    <w:rsid w:val="5B9635CE"/>
    <w:rsid w:val="5C665C12"/>
    <w:rsid w:val="5C6B12A1"/>
    <w:rsid w:val="5CFA6687"/>
    <w:rsid w:val="5D002BB2"/>
    <w:rsid w:val="5D871862"/>
    <w:rsid w:val="5E482FBE"/>
    <w:rsid w:val="5F2142EE"/>
    <w:rsid w:val="5F7F0578"/>
    <w:rsid w:val="6035490C"/>
    <w:rsid w:val="6068125C"/>
    <w:rsid w:val="60B63E78"/>
    <w:rsid w:val="61045892"/>
    <w:rsid w:val="6185469D"/>
    <w:rsid w:val="61B678E7"/>
    <w:rsid w:val="63D041C3"/>
    <w:rsid w:val="643A2B26"/>
    <w:rsid w:val="64D43BB1"/>
    <w:rsid w:val="65660A5B"/>
    <w:rsid w:val="65BD7565"/>
    <w:rsid w:val="67192FCC"/>
    <w:rsid w:val="682C5A95"/>
    <w:rsid w:val="6922313D"/>
    <w:rsid w:val="694E1960"/>
    <w:rsid w:val="698768BA"/>
    <w:rsid w:val="69EF47E9"/>
    <w:rsid w:val="6A9E4352"/>
    <w:rsid w:val="6B1078B7"/>
    <w:rsid w:val="6B152869"/>
    <w:rsid w:val="6BC120DD"/>
    <w:rsid w:val="6C4E17FE"/>
    <w:rsid w:val="6CAF1558"/>
    <w:rsid w:val="6DD528D6"/>
    <w:rsid w:val="6E360072"/>
    <w:rsid w:val="6EF6477A"/>
    <w:rsid w:val="6F55602D"/>
    <w:rsid w:val="6F59261E"/>
    <w:rsid w:val="6FFD6C0D"/>
    <w:rsid w:val="70774E35"/>
    <w:rsid w:val="708A46FF"/>
    <w:rsid w:val="70BE516F"/>
    <w:rsid w:val="70CF12D0"/>
    <w:rsid w:val="70D55500"/>
    <w:rsid w:val="71324FB4"/>
    <w:rsid w:val="72B74A56"/>
    <w:rsid w:val="72D03514"/>
    <w:rsid w:val="7384380F"/>
    <w:rsid w:val="7501432B"/>
    <w:rsid w:val="75984F94"/>
    <w:rsid w:val="759F5809"/>
    <w:rsid w:val="769C41EB"/>
    <w:rsid w:val="76F12773"/>
    <w:rsid w:val="773530B4"/>
    <w:rsid w:val="77747526"/>
    <w:rsid w:val="77856C0D"/>
    <w:rsid w:val="78537116"/>
    <w:rsid w:val="788649E0"/>
    <w:rsid w:val="788A7BFB"/>
    <w:rsid w:val="78F96AB1"/>
    <w:rsid w:val="7943704C"/>
    <w:rsid w:val="79B32F02"/>
    <w:rsid w:val="7A030E1C"/>
    <w:rsid w:val="7A9556EA"/>
    <w:rsid w:val="7AEA5601"/>
    <w:rsid w:val="7B3E09E5"/>
    <w:rsid w:val="7C4245A7"/>
    <w:rsid w:val="7C98024C"/>
    <w:rsid w:val="7CBF19A2"/>
    <w:rsid w:val="7DBC0EEE"/>
    <w:rsid w:val="7F250077"/>
    <w:rsid w:val="7F782F8B"/>
    <w:rsid w:val="7F8A2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99"/>
    <w:pPr>
      <w:spacing w:after="120"/>
    </w:pPr>
  </w:style>
  <w:style w:type="paragraph" w:styleId="5">
    <w:name w:val="Plain Text"/>
    <w:basedOn w:val="1"/>
    <w:unhideWhenUsed/>
    <w:qFormat/>
    <w:uiPriority w:val="99"/>
    <w:rPr>
      <w:rFonts w:ascii="宋体" w:hAnsi="Courier New"/>
      <w:sz w:val="20"/>
      <w:szCs w:val="20"/>
    </w:rPr>
  </w:style>
  <w:style w:type="paragraph" w:styleId="6">
    <w:name w:val="List 2"/>
    <w:basedOn w:val="1"/>
    <w:qFormat/>
    <w:uiPriority w:val="0"/>
    <w:pPr>
      <w:widowControl/>
      <w:ind w:left="840" w:hanging="420"/>
      <w:jc w:val="left"/>
    </w:pPr>
    <w:rPr>
      <w:rFonts w:ascii="宋体"/>
      <w:kern w:val="0"/>
      <w:sz w:val="22"/>
      <w:szCs w:val="20"/>
    </w:rPr>
  </w:style>
  <w:style w:type="paragraph" w:styleId="7">
    <w:name w:val="Date"/>
    <w:basedOn w:val="1"/>
    <w:next w:val="1"/>
    <w:qFormat/>
    <w:uiPriority w:val="0"/>
    <w:rPr>
      <w:rFonts w:ascii="宋体" w:hAnsi="宋体" w:cs="Times New Roman"/>
      <w:sz w:val="24"/>
      <w:szCs w:val="2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Hyperlink"/>
    <w:basedOn w:val="12"/>
    <w:qFormat/>
    <w:uiPriority w:val="0"/>
    <w:rPr>
      <w:color w:val="0000FF"/>
      <w:u w:val="single"/>
    </w:rPr>
  </w:style>
  <w:style w:type="paragraph" w:customStyle="1" w:styleId="16">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7">
    <w:name w:val="font31"/>
    <w:basedOn w:val="12"/>
    <w:qFormat/>
    <w:uiPriority w:val="0"/>
    <w:rPr>
      <w:rFonts w:hint="default" w:ascii="Times New Roman" w:hAnsi="Times New Roman" w:cs="Times New Roman"/>
      <w:color w:val="000000"/>
      <w:sz w:val="20"/>
      <w:szCs w:val="20"/>
      <w:u w:val="none"/>
    </w:rPr>
  </w:style>
  <w:style w:type="character" w:customStyle="1" w:styleId="18">
    <w:name w:val="font41"/>
    <w:basedOn w:val="12"/>
    <w:qFormat/>
    <w:uiPriority w:val="0"/>
    <w:rPr>
      <w:rFonts w:hint="eastAsia" w:ascii="宋体" w:hAnsi="宋体" w:eastAsia="宋体" w:cs="宋体"/>
      <w:color w:val="000000"/>
      <w:sz w:val="20"/>
      <w:szCs w:val="20"/>
      <w:u w:val="none"/>
    </w:rPr>
  </w:style>
  <w:style w:type="character" w:customStyle="1" w:styleId="19">
    <w:name w:val="font21"/>
    <w:basedOn w:val="12"/>
    <w:qFormat/>
    <w:uiPriority w:val="0"/>
    <w:rPr>
      <w:rFonts w:hint="eastAsia" w:ascii="宋体" w:hAnsi="宋体" w:eastAsia="宋体" w:cs="宋体"/>
      <w:color w:val="000000"/>
      <w:sz w:val="20"/>
      <w:szCs w:val="20"/>
      <w:u w:val="none"/>
    </w:rPr>
  </w:style>
  <w:style w:type="character" w:customStyle="1" w:styleId="20">
    <w:name w:val="font11"/>
    <w:basedOn w:val="12"/>
    <w:qFormat/>
    <w:uiPriority w:val="0"/>
    <w:rPr>
      <w:rFonts w:hint="eastAsia" w:ascii="仿宋_GB2312" w:eastAsia="仿宋_GB2312" w:cs="仿宋_GB2312"/>
      <w:color w:val="000000"/>
      <w:sz w:val="18"/>
      <w:szCs w:val="18"/>
      <w:u w:val="none"/>
    </w:rPr>
  </w:style>
  <w:style w:type="character" w:customStyle="1" w:styleId="21">
    <w:name w:val="font51"/>
    <w:basedOn w:val="12"/>
    <w:qFormat/>
    <w:uiPriority w:val="0"/>
    <w:rPr>
      <w:rFonts w:ascii="Calibri" w:hAnsi="Calibri" w:cs="Calibri"/>
      <w:color w:val="000000"/>
      <w:sz w:val="18"/>
      <w:szCs w:val="18"/>
      <w:u w:val="none"/>
    </w:rPr>
  </w:style>
  <w:style w:type="character" w:customStyle="1" w:styleId="22">
    <w:name w:val="font61"/>
    <w:basedOn w:val="12"/>
    <w:qFormat/>
    <w:uiPriority w:val="0"/>
    <w:rPr>
      <w:rFonts w:ascii="Arial" w:hAnsi="Arial" w:cs="Arial"/>
      <w:b/>
      <w:bCs/>
      <w:color w:val="FF0000"/>
      <w:sz w:val="18"/>
      <w:szCs w:val="18"/>
      <w:u w:val="none"/>
    </w:rPr>
  </w:style>
  <w:style w:type="character" w:customStyle="1" w:styleId="23">
    <w:name w:val="font71"/>
    <w:basedOn w:val="12"/>
    <w:qFormat/>
    <w:uiPriority w:val="0"/>
    <w:rPr>
      <w:rFonts w:ascii="Arial" w:hAnsi="Arial" w:cs="Arial"/>
      <w:color w:val="000000"/>
      <w:sz w:val="18"/>
      <w:szCs w:val="18"/>
      <w:u w:val="none"/>
    </w:rPr>
  </w:style>
  <w:style w:type="paragraph" w:customStyle="1" w:styleId="24">
    <w:name w:val="小于节标题"/>
    <w:basedOn w:val="25"/>
    <w:qFormat/>
    <w:uiPriority w:val="0"/>
    <w:pPr>
      <w:tabs>
        <w:tab w:val="left" w:pos="567"/>
      </w:tabs>
      <w:ind w:firstLine="0" w:firstLineChars="0"/>
    </w:pPr>
  </w:style>
  <w:style w:type="paragraph" w:customStyle="1" w:styleId="25">
    <w:name w:val="新正文样式"/>
    <w:basedOn w:val="1"/>
    <w:qFormat/>
    <w:uiPriority w:val="0"/>
    <w:pPr>
      <w:tabs>
        <w:tab w:val="left" w:pos="567"/>
      </w:tabs>
      <w:spacing w:line="360" w:lineRule="auto"/>
      <w:ind w:firstLine="200" w:firstLineChars="200"/>
    </w:pPr>
    <w:rPr>
      <w:spacing w:val="0"/>
      <w:szCs w:val="24"/>
    </w:rPr>
  </w:style>
  <w:style w:type="paragraph" w:customStyle="1" w:styleId="26">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7">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4001</Words>
  <Characters>4450</Characters>
  <Lines>0</Lines>
  <Paragraphs>0</Paragraphs>
  <TotalTime>3</TotalTime>
  <ScaleCrop>false</ScaleCrop>
  <LinksUpToDate>false</LinksUpToDate>
  <CharactersWithSpaces>4634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彪</cp:lastModifiedBy>
  <cp:lastPrinted>2020-05-11T01:13:00Z</cp:lastPrinted>
  <dcterms:modified xsi:type="dcterms:W3CDTF">2026-08-26T06:35:47Z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DAC5A51C15E842838B0D6C304F2A59DD_13</vt:lpwstr>
  </property>
  <property fmtid="{D5CDD505-2E9C-101B-9397-08002B2CF9AE}" pid="4" name="KSOTemplateDocerSaveRecord">
    <vt:lpwstr>eyJoZGlkIjoiZjI0MzAxOTExYzllNWViYjA1MTgzZTA1ZGIwZDZiYWMiLCJ1c2VySWQiOiI0NDY5MTgxMzcifQ==</vt:lpwstr>
  </property>
</Properties>
</file>