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E368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方正小标宋简体" w:hAnsi="方正小标宋简体" w:eastAsia="方正小标宋简体" w:cs="方正小标宋简体"/>
          <w:b/>
          <w:sz w:val="44"/>
          <w:szCs w:val="44"/>
          <w:highlight w:val="none"/>
          <w:lang w:val="en-US"/>
        </w:rPr>
      </w:pPr>
      <w:r>
        <w:rPr>
          <w:rFonts w:hint="eastAsia" w:ascii="方正小标宋简体" w:hAnsi="方正小标宋简体" w:eastAsia="方正小标宋简体" w:cs="方正小标宋简体"/>
          <w:b/>
          <w:sz w:val="44"/>
          <w:szCs w:val="44"/>
          <w:highlight w:val="none"/>
          <w:lang w:val="en-US" w:eastAsia="zh-CN"/>
        </w:rPr>
        <w:t>管道项目生态</w:t>
      </w:r>
      <w:r>
        <w:rPr>
          <w:rFonts w:hint="eastAsia" w:ascii="方正小标宋简体" w:hAnsi="方正小标宋简体" w:eastAsia="方正小标宋简体" w:cs="方正小标宋简体"/>
          <w:b/>
          <w:sz w:val="44"/>
          <w:szCs w:val="44"/>
          <w:highlight w:val="none"/>
        </w:rPr>
        <w:t>环境影响评价</w:t>
      </w:r>
      <w:r>
        <w:rPr>
          <w:rFonts w:hint="eastAsia" w:ascii="方正小标宋简体" w:hAnsi="方正小标宋简体" w:eastAsia="方正小标宋简体" w:cs="方正小标宋简体"/>
          <w:b/>
          <w:sz w:val="44"/>
          <w:szCs w:val="44"/>
          <w:highlight w:val="none"/>
          <w:lang w:val="en-US" w:eastAsia="zh-CN"/>
        </w:rPr>
        <w:t>服务公开采购文件</w:t>
      </w:r>
    </w:p>
    <w:p w14:paraId="1210580F">
      <w:pPr>
        <w:keepNext w:val="0"/>
        <w:keepLines w:val="0"/>
        <w:pageBreakBefore w:val="0"/>
        <w:widowControl w:val="0"/>
        <w:kinsoku/>
        <w:overflowPunct/>
        <w:topLinePunct w:val="0"/>
        <w:autoSpaceDE/>
        <w:autoSpaceDN/>
        <w:bidi w:val="0"/>
        <w:adjustRightInd w:val="0"/>
        <w:snapToGrid w:val="0"/>
        <w:spacing w:line="600" w:lineRule="exact"/>
        <w:ind w:right="0" w:rightChars="0" w:firstLine="600" w:firstLineChars="200"/>
        <w:jc w:val="left"/>
        <w:textAlignment w:val="auto"/>
        <w:outlineLvl w:val="9"/>
        <w:rPr>
          <w:rFonts w:hint="eastAsia" w:ascii="仿宋" w:hAnsi="仿宋" w:eastAsia="仿宋" w:cs="仿宋"/>
          <w:bCs/>
          <w:color w:val="auto"/>
          <w:kern w:val="1"/>
          <w:sz w:val="30"/>
          <w:szCs w:val="30"/>
          <w:highlight w:val="none"/>
        </w:rPr>
      </w:pPr>
    </w:p>
    <w:p w14:paraId="14CA596F">
      <w:pPr>
        <w:pStyle w:val="6"/>
        <w:keepNext w:val="0"/>
        <w:keepLines w:val="0"/>
        <w:pageBreakBefore w:val="0"/>
        <w:widowControl w:val="0"/>
        <w:kinsoku/>
        <w:wordWrap/>
        <w:overflowPunct/>
        <w:topLinePunct w:val="0"/>
        <w:autoSpaceDE/>
        <w:autoSpaceDN/>
        <w:bidi w:val="0"/>
        <w:spacing w:after="0" w:line="560" w:lineRule="exact"/>
        <w:ind w:firstLine="600" w:firstLineChars="200"/>
        <w:textAlignment w:val="auto"/>
        <w:rPr>
          <w:rFonts w:hint="eastAsia" w:ascii="仿宋_GB2312" w:hAnsi="仿宋_GB2312" w:eastAsia="仿宋_GB2312" w:cs="仿宋_GB2312"/>
          <w:bCs/>
          <w:color w:val="auto"/>
          <w:sz w:val="30"/>
          <w:szCs w:val="30"/>
          <w:highlight w:val="none"/>
          <w:lang w:val="en-US" w:eastAsia="zh-CN"/>
        </w:rPr>
      </w:pPr>
      <w:r>
        <w:rPr>
          <w:rFonts w:hint="eastAsia" w:ascii="仿宋_GB2312" w:hAnsi="仿宋_GB2312" w:eastAsia="仿宋_GB2312" w:cs="仿宋_GB2312"/>
          <w:bCs/>
          <w:color w:val="auto"/>
          <w:sz w:val="30"/>
          <w:szCs w:val="30"/>
          <w:highlight w:val="none"/>
          <w:lang w:val="en-US" w:eastAsia="zh-CN"/>
        </w:rPr>
        <w:t>我公司现需对</w:t>
      </w:r>
      <w:r>
        <w:rPr>
          <w:rFonts w:hint="eastAsia" w:ascii="仿宋_GB2312" w:hAnsi="仿宋_GB2312" w:eastAsia="仿宋_GB2312" w:cs="仿宋_GB2312"/>
          <w:bCs/>
          <w:color w:val="auto"/>
          <w:sz w:val="30"/>
          <w:szCs w:val="30"/>
          <w:highlight w:val="none"/>
          <w:u w:val="single"/>
          <w:lang w:val="en-US" w:eastAsia="zh-CN"/>
        </w:rPr>
        <w:t>管道项目</w:t>
      </w:r>
      <w:r>
        <w:rPr>
          <w:rFonts w:hint="eastAsia" w:ascii="仿宋_GB2312" w:hAnsi="仿宋_GB2312" w:eastAsia="仿宋_GB2312" w:cs="仿宋_GB2312"/>
          <w:bCs/>
          <w:color w:val="auto"/>
          <w:kern w:val="2"/>
          <w:sz w:val="30"/>
          <w:szCs w:val="30"/>
          <w:highlight w:val="none"/>
          <w:u w:val="single"/>
          <w:lang w:val="en-US" w:eastAsia="zh-CN" w:bidi="ar-SA"/>
        </w:rPr>
        <w:t>生态</w:t>
      </w:r>
      <w:r>
        <w:rPr>
          <w:rFonts w:hint="eastAsia" w:ascii="仿宋_GB2312" w:hAnsi="仿宋_GB2312" w:eastAsia="仿宋_GB2312" w:cs="仿宋_GB2312"/>
          <w:bCs/>
          <w:color w:val="auto"/>
          <w:sz w:val="30"/>
          <w:szCs w:val="30"/>
          <w:highlight w:val="none"/>
          <w:u w:val="single"/>
          <w:lang w:val="en-US" w:eastAsia="zh-CN"/>
        </w:rPr>
        <w:t>环境影响评价</w:t>
      </w:r>
      <w:r>
        <w:rPr>
          <w:rFonts w:hint="eastAsia" w:ascii="仿宋_GB2312" w:hAnsi="仿宋_GB2312" w:eastAsia="仿宋_GB2312" w:cs="仿宋_GB2312"/>
          <w:bCs/>
          <w:color w:val="auto"/>
          <w:sz w:val="30"/>
          <w:szCs w:val="30"/>
          <w:highlight w:val="none"/>
          <w:lang w:val="en-US" w:eastAsia="zh-CN"/>
        </w:rPr>
        <w:t>服务采购，采用公开采购方式选定供应商，特邀请贵单位参与报价。</w:t>
      </w:r>
    </w:p>
    <w:p w14:paraId="1ED1818F">
      <w:pPr>
        <w:pStyle w:val="10"/>
        <w:keepNext w:val="0"/>
        <w:keepLines w:val="0"/>
        <w:pageBreakBefore w:val="0"/>
        <w:widowControl w:val="0"/>
        <w:kinsoku/>
        <w:wordWrap/>
        <w:overflowPunct/>
        <w:topLinePunct w:val="0"/>
        <w:autoSpaceDE/>
        <w:autoSpaceDN/>
        <w:bidi w:val="0"/>
        <w:spacing w:beforeLines="0" w:after="93" w:afterLines="30" w:line="560" w:lineRule="exact"/>
        <w:ind w:firstLine="561" w:firstLineChars="0"/>
        <w:textAlignment w:val="auto"/>
        <w:rPr>
          <w:rFonts w:ascii="黑体" w:hAnsi="黑体" w:eastAsia="黑体" w:cs="黑体"/>
          <w:color w:val="auto"/>
          <w:sz w:val="28"/>
          <w:highlight w:val="none"/>
        </w:rPr>
      </w:pPr>
      <w:r>
        <w:rPr>
          <w:rFonts w:hint="eastAsia" w:ascii="黑体" w:hAnsi="黑体" w:eastAsia="黑体" w:cs="黑体"/>
          <w:color w:val="auto"/>
          <w:sz w:val="28"/>
          <w:highlight w:val="none"/>
        </w:rPr>
        <w:t>一、</w:t>
      </w:r>
      <w:r>
        <w:rPr>
          <w:rFonts w:hint="eastAsia" w:ascii="黑体" w:hAnsi="黑体" w:eastAsia="黑体" w:cs="黑体"/>
          <w:color w:val="auto"/>
          <w:sz w:val="28"/>
          <w:highlight w:val="none"/>
          <w:lang w:val="en-US" w:eastAsia="zh-CN"/>
        </w:rPr>
        <w:t>采购</w:t>
      </w:r>
      <w:r>
        <w:rPr>
          <w:rFonts w:hint="eastAsia" w:ascii="黑体" w:hAnsi="黑体" w:eastAsia="黑体" w:cs="黑体"/>
          <w:color w:val="auto"/>
          <w:sz w:val="28"/>
          <w:highlight w:val="none"/>
        </w:rPr>
        <w:t>概况</w:t>
      </w:r>
    </w:p>
    <w:p w14:paraId="2DC0A3E1">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highlight w:val="yellow"/>
          <w:lang w:eastAsia="zh-CN"/>
        </w:rPr>
      </w:pPr>
      <w:r>
        <w:rPr>
          <w:rFonts w:hint="eastAsia" w:ascii="仿宋_GB2312" w:hAnsi="仿宋_GB2312" w:eastAsia="仿宋_GB2312" w:cs="仿宋_GB2312"/>
          <w:bCs/>
          <w:color w:val="auto"/>
          <w:sz w:val="30"/>
          <w:szCs w:val="30"/>
        </w:rPr>
        <w:t>（一）项目名称</w:t>
      </w:r>
      <w:r>
        <w:rPr>
          <w:rFonts w:hint="eastAsia" w:ascii="仿宋_GB2312" w:hAnsi="仿宋_GB2312" w:eastAsia="仿宋_GB2312" w:cs="仿宋_GB2312"/>
          <w:bCs/>
          <w:color w:val="auto"/>
          <w:sz w:val="30"/>
          <w:szCs w:val="30"/>
          <w:lang w:val="en-US" w:eastAsia="zh-CN"/>
        </w:rPr>
        <w:t>：管道项目</w:t>
      </w:r>
      <w:r>
        <w:rPr>
          <w:rFonts w:hint="eastAsia" w:ascii="仿宋_GB2312" w:hAnsi="仿宋_GB2312" w:eastAsia="仿宋_GB2312" w:cs="仿宋_GB2312"/>
          <w:bCs/>
          <w:color w:val="auto"/>
          <w:kern w:val="2"/>
          <w:sz w:val="30"/>
          <w:szCs w:val="30"/>
          <w:highlight w:val="none"/>
          <w:lang w:val="en-US" w:eastAsia="zh-CN" w:bidi="ar-SA"/>
        </w:rPr>
        <w:t>生态</w:t>
      </w:r>
      <w:r>
        <w:rPr>
          <w:rFonts w:hint="eastAsia" w:ascii="仿宋_GB2312" w:hAnsi="仿宋_GB2312" w:eastAsia="仿宋_GB2312" w:cs="仿宋_GB2312"/>
          <w:bCs/>
          <w:color w:val="auto"/>
          <w:sz w:val="30"/>
          <w:szCs w:val="30"/>
          <w:lang w:val="en-US" w:eastAsia="zh-CN"/>
        </w:rPr>
        <w:t>环境影响评价服务采购；</w:t>
      </w:r>
    </w:p>
    <w:p w14:paraId="10AA8FED">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（二）主要工作：根据建设单位进度要求完成报告和评审工作；</w:t>
      </w:r>
    </w:p>
    <w:p w14:paraId="74D62ED4">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highlight w:val="none"/>
          <w:lang w:val="en-US" w:eastAsia="zh-CN"/>
        </w:rPr>
      </w:pPr>
      <w:r>
        <w:rPr>
          <w:rFonts w:hint="eastAsia" w:ascii="仿宋_GB2312" w:hAnsi="仿宋_GB2312" w:eastAsia="仿宋_GB2312" w:cs="仿宋_GB2312"/>
          <w:bCs/>
          <w:color w:val="auto"/>
          <w:sz w:val="30"/>
          <w:szCs w:val="30"/>
          <w:lang w:val="en-US" w:eastAsia="zh-CN"/>
        </w:rPr>
        <w:t>（三）合同执</w:t>
      </w:r>
      <w:r>
        <w:rPr>
          <w:rFonts w:hint="eastAsia" w:ascii="仿宋_GB2312" w:hAnsi="仿宋_GB2312" w:eastAsia="仿宋_GB2312" w:cs="仿宋_GB2312"/>
          <w:bCs/>
          <w:color w:val="auto"/>
          <w:sz w:val="30"/>
          <w:szCs w:val="30"/>
          <w:highlight w:val="none"/>
          <w:lang w:val="en-US" w:eastAsia="zh-CN"/>
        </w:rPr>
        <w:t>行期限：2026年9月-12月；</w:t>
      </w:r>
    </w:p>
    <w:p w14:paraId="71E23B94">
      <w:pPr>
        <w:pStyle w:val="6"/>
        <w:keepNext w:val="0"/>
        <w:keepLines w:val="0"/>
        <w:pageBreakBefore w:val="0"/>
        <w:widowControl w:val="0"/>
        <w:kinsoku/>
        <w:wordWrap/>
        <w:overflowPunct/>
        <w:topLinePunct w:val="0"/>
        <w:autoSpaceDE/>
        <w:autoSpaceDN/>
        <w:bidi w:val="0"/>
        <w:spacing w:after="0" w:line="560" w:lineRule="exact"/>
        <w:ind w:firstLine="600" w:firstLineChars="200"/>
        <w:textAlignment w:val="auto"/>
        <w:rPr>
          <w:rFonts w:hint="eastAsia" w:ascii="仿宋_GB2312" w:hAnsi="仿宋_GB2312" w:eastAsia="仿宋_GB2312" w:cs="仿宋_GB2312"/>
          <w:bCs/>
          <w:color w:val="auto"/>
          <w:sz w:val="30"/>
          <w:szCs w:val="30"/>
          <w:highlight w:val="none"/>
          <w:lang w:val="en-US" w:eastAsia="zh-CN"/>
        </w:rPr>
      </w:pPr>
      <w:r>
        <w:rPr>
          <w:rFonts w:hint="eastAsia" w:ascii="仿宋_GB2312" w:hAnsi="仿宋_GB2312" w:eastAsia="仿宋_GB2312" w:cs="仿宋_GB2312"/>
          <w:bCs/>
          <w:color w:val="auto"/>
          <w:sz w:val="30"/>
          <w:szCs w:val="30"/>
          <w:highlight w:val="none"/>
          <w:lang w:val="en-US" w:eastAsia="zh-CN"/>
        </w:rPr>
        <w:t>（四）报价单位必须现场踏勘，否则不具备报价资格，踏勘时间为2026年9月8日上午10:00；</w:t>
      </w:r>
    </w:p>
    <w:p w14:paraId="01B01F5A">
      <w:pPr>
        <w:pStyle w:val="6"/>
        <w:keepNext w:val="0"/>
        <w:keepLines w:val="0"/>
        <w:pageBreakBefore w:val="0"/>
        <w:widowControl w:val="0"/>
        <w:kinsoku/>
        <w:wordWrap/>
        <w:overflowPunct/>
        <w:topLinePunct w:val="0"/>
        <w:autoSpaceDE/>
        <w:autoSpaceDN/>
        <w:bidi w:val="0"/>
        <w:spacing w:after="0" w:line="560" w:lineRule="exact"/>
        <w:ind w:firstLine="600" w:firstLineChars="200"/>
        <w:textAlignment w:val="auto"/>
        <w:rPr>
          <w:rFonts w:hint="eastAsia" w:ascii="仿宋_GB2312" w:hAnsi="仿宋_GB2312" w:eastAsia="仿宋_GB2312" w:cs="仿宋_GB2312"/>
          <w:bCs/>
          <w:color w:val="auto"/>
          <w:sz w:val="30"/>
          <w:szCs w:val="30"/>
          <w:highlight w:val="none"/>
          <w:lang w:val="en-US" w:eastAsia="zh-CN"/>
        </w:rPr>
      </w:pPr>
      <w:r>
        <w:rPr>
          <w:rFonts w:hint="eastAsia" w:ascii="仿宋_GB2312" w:hAnsi="仿宋_GB2312" w:eastAsia="仿宋_GB2312" w:cs="仿宋_GB2312"/>
          <w:bCs/>
          <w:color w:val="auto"/>
          <w:sz w:val="30"/>
          <w:szCs w:val="30"/>
          <w:highlight w:val="none"/>
          <w:lang w:val="en-US" w:eastAsia="zh-CN"/>
        </w:rPr>
        <w:t>（五）交货地点：江苏索普（集团）有限公司；</w:t>
      </w:r>
    </w:p>
    <w:p w14:paraId="0CB75A49">
      <w:pPr>
        <w:pStyle w:val="6"/>
        <w:keepNext w:val="0"/>
        <w:keepLines w:val="0"/>
        <w:pageBreakBefore w:val="0"/>
        <w:widowControl w:val="0"/>
        <w:kinsoku/>
        <w:wordWrap/>
        <w:overflowPunct/>
        <w:topLinePunct w:val="0"/>
        <w:autoSpaceDE/>
        <w:autoSpaceDN/>
        <w:bidi w:val="0"/>
        <w:spacing w:after="0" w:line="560" w:lineRule="exact"/>
        <w:ind w:firstLine="600" w:firstLineChars="200"/>
        <w:textAlignment w:val="auto"/>
        <w:rPr>
          <w:rFonts w:hint="eastAsia" w:ascii="仿宋_GB2312" w:hAnsi="仿宋_GB2312" w:eastAsia="仿宋_GB2312" w:cs="仿宋_GB2312"/>
          <w:bCs/>
          <w:color w:val="auto"/>
          <w:sz w:val="30"/>
          <w:szCs w:val="30"/>
          <w:highlight w:val="none"/>
          <w:lang w:val="en-US" w:eastAsia="zh-CN"/>
        </w:rPr>
      </w:pPr>
      <w:r>
        <w:rPr>
          <w:rFonts w:hint="eastAsia" w:ascii="仿宋_GB2312" w:hAnsi="仿宋_GB2312" w:eastAsia="仿宋_GB2312" w:cs="仿宋_GB2312"/>
          <w:bCs/>
          <w:color w:val="auto"/>
          <w:sz w:val="30"/>
          <w:szCs w:val="30"/>
          <w:highlight w:val="none"/>
          <w:lang w:val="en-US" w:eastAsia="zh-CN"/>
        </w:rPr>
        <w:t>（六）报价截止和评审时间：2026年9月11日14时（北京时间）；</w:t>
      </w:r>
    </w:p>
    <w:p w14:paraId="4D183A07">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 w:hAnsi="仿宋" w:eastAsia="仿宋" w:cs="仿宋"/>
          <w:bCs/>
          <w:color w:val="auto"/>
          <w:kern w:val="1"/>
          <w:sz w:val="30"/>
          <w:szCs w:val="30"/>
          <w:highlight w:val="none"/>
          <w:lang w:eastAsia="zh-CN"/>
        </w:rPr>
      </w:pPr>
      <w:r>
        <w:rPr>
          <w:rFonts w:hint="eastAsia" w:ascii="仿宋_GB2312" w:hAnsi="仿宋_GB2312" w:eastAsia="仿宋_GB2312" w:cs="仿宋_GB2312"/>
          <w:bCs/>
          <w:color w:val="auto"/>
          <w:sz w:val="30"/>
          <w:szCs w:val="30"/>
          <w:lang w:val="en-US" w:eastAsia="zh-CN"/>
        </w:rPr>
        <w:t>（七）评审地点：江苏索普(集团)有限公司评审中心。</w:t>
      </w:r>
    </w:p>
    <w:p w14:paraId="6D197CE3">
      <w:pPr>
        <w:pStyle w:val="10"/>
        <w:keepNext w:val="0"/>
        <w:keepLines w:val="0"/>
        <w:pageBreakBefore w:val="0"/>
        <w:widowControl w:val="0"/>
        <w:kinsoku/>
        <w:wordWrap/>
        <w:overflowPunct/>
        <w:topLinePunct w:val="0"/>
        <w:autoSpaceDE/>
        <w:autoSpaceDN/>
        <w:bidi w:val="0"/>
        <w:spacing w:beforeLines="0" w:after="93" w:afterLines="30" w:line="560" w:lineRule="exact"/>
        <w:ind w:firstLine="561" w:firstLineChars="0"/>
        <w:textAlignment w:val="auto"/>
        <w:rPr>
          <w:rFonts w:hint="default" w:ascii="黑体" w:hAnsi="黑体" w:eastAsia="黑体" w:cs="黑体"/>
          <w:color w:val="auto"/>
          <w:sz w:val="28"/>
          <w:highlight w:val="none"/>
          <w:lang w:val="en-US"/>
        </w:rPr>
      </w:pPr>
      <w:r>
        <w:rPr>
          <w:rFonts w:hint="eastAsia" w:ascii="黑体" w:hAnsi="黑体" w:eastAsia="黑体" w:cs="黑体"/>
          <w:color w:val="auto"/>
          <w:sz w:val="28"/>
          <w:highlight w:val="none"/>
          <w:lang w:val="en-US" w:eastAsia="zh-CN"/>
        </w:rPr>
        <w:t>二</w:t>
      </w:r>
      <w:r>
        <w:rPr>
          <w:rFonts w:hint="eastAsia" w:ascii="黑体" w:hAnsi="黑体" w:eastAsia="黑体" w:cs="黑体"/>
          <w:color w:val="auto"/>
          <w:sz w:val="28"/>
          <w:highlight w:val="none"/>
        </w:rPr>
        <w:t>、</w:t>
      </w:r>
      <w:r>
        <w:rPr>
          <w:rFonts w:hint="eastAsia" w:ascii="黑体" w:hAnsi="黑体" w:eastAsia="黑体" w:cs="黑体"/>
          <w:color w:val="auto"/>
          <w:sz w:val="28"/>
          <w:highlight w:val="none"/>
          <w:lang w:val="en-US" w:eastAsia="zh-CN"/>
        </w:rPr>
        <w:t>采购项目内容</w:t>
      </w:r>
    </w:p>
    <w:p w14:paraId="16F7C308">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（一）项目基本情况：通过对现有装置内氧气、甲醇、一氧化碳原料管道，以及蒸汽、循环水、除盐水、冷凝液等公用工程管道进行技改，为公司项目提供生产原料和公用工程。</w:t>
      </w:r>
    </w:p>
    <w:p w14:paraId="45604D43">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二）技术要求：报价人应根据相关法律、法规以及项目本身的特性，开展项目生态环境影响评价报告书编制，以及风险评估专项，确保报告书内容符合法律法规和政府主管部门的要求，报告编制时间应该在30天内完成。报告上报生态环境管理部门审批，并取得批复。</w:t>
      </w:r>
    </w:p>
    <w:p w14:paraId="4EB328FE">
      <w:pPr>
        <w:pStyle w:val="10"/>
        <w:keepNext w:val="0"/>
        <w:keepLines w:val="0"/>
        <w:pageBreakBefore w:val="0"/>
        <w:widowControl w:val="0"/>
        <w:kinsoku/>
        <w:wordWrap/>
        <w:overflowPunct/>
        <w:topLinePunct w:val="0"/>
        <w:autoSpaceDE/>
        <w:autoSpaceDN/>
        <w:bidi w:val="0"/>
        <w:spacing w:beforeLines="0" w:after="93" w:afterLines="30" w:line="560" w:lineRule="exact"/>
        <w:ind w:firstLine="561" w:firstLineChars="0"/>
        <w:textAlignment w:val="auto"/>
        <w:rPr>
          <w:rFonts w:hint="eastAsia" w:ascii="仿宋" w:hAnsi="仿宋" w:eastAsia="仿宋" w:cs="仿宋"/>
          <w:b/>
          <w:color w:val="auto"/>
          <w:sz w:val="30"/>
          <w:szCs w:val="30"/>
          <w:highlight w:val="none"/>
        </w:rPr>
      </w:pPr>
      <w:bookmarkStart w:id="0" w:name="_Hlk74154727"/>
      <w:r>
        <w:rPr>
          <w:rFonts w:hint="eastAsia" w:ascii="黑体" w:hAnsi="黑体" w:eastAsia="黑体" w:cs="黑体"/>
          <w:color w:val="auto"/>
          <w:sz w:val="28"/>
          <w:highlight w:val="none"/>
          <w:lang w:val="en-US" w:eastAsia="zh-CN"/>
        </w:rPr>
        <w:t>三</w:t>
      </w:r>
      <w:r>
        <w:rPr>
          <w:rFonts w:hint="eastAsia" w:ascii="黑体" w:hAnsi="黑体" w:eastAsia="黑体" w:cs="黑体"/>
          <w:color w:val="auto"/>
          <w:sz w:val="28"/>
          <w:highlight w:val="none"/>
        </w:rPr>
        <w:t>、</w:t>
      </w:r>
      <w:bookmarkEnd w:id="0"/>
      <w:r>
        <w:rPr>
          <w:rFonts w:hint="eastAsia" w:ascii="仿宋" w:hAnsi="仿宋" w:eastAsia="仿宋" w:cs="仿宋"/>
          <w:b/>
          <w:color w:val="auto"/>
          <w:sz w:val="30"/>
          <w:szCs w:val="30"/>
          <w:highlight w:val="none"/>
          <w:lang w:val="en-US" w:eastAsia="zh-CN"/>
        </w:rPr>
        <w:t>报价</w:t>
      </w:r>
      <w:r>
        <w:rPr>
          <w:rFonts w:hint="eastAsia" w:ascii="仿宋" w:hAnsi="仿宋" w:eastAsia="仿宋" w:cs="仿宋"/>
          <w:b/>
          <w:color w:val="auto"/>
          <w:sz w:val="30"/>
          <w:szCs w:val="30"/>
          <w:highlight w:val="none"/>
        </w:rPr>
        <w:t>人资质与要求：</w:t>
      </w:r>
    </w:p>
    <w:p w14:paraId="4B2E1A40">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（一）报价人必须具备中华人民共和国境内生产或经营应具备的合法资质；</w:t>
      </w:r>
    </w:p>
    <w:p w14:paraId="236453F3">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（二）不接受被列入失信被执行人、重大违法案件当事人报价；</w:t>
      </w:r>
    </w:p>
    <w:p w14:paraId="6D602E36">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zh-CN" w:eastAsia="zh-CN"/>
        </w:rPr>
      </w:pPr>
      <w:r>
        <w:rPr>
          <w:rFonts w:hint="eastAsia" w:ascii="仿宋_GB2312" w:hAnsi="仿宋_GB2312" w:eastAsia="仿宋_GB2312" w:cs="仿宋_GB2312"/>
          <w:bCs/>
          <w:color w:val="auto"/>
          <w:sz w:val="30"/>
          <w:szCs w:val="30"/>
          <w:lang w:val="en-US" w:eastAsia="zh-CN"/>
        </w:rPr>
        <w:t>（三）报价人</w:t>
      </w:r>
      <w:r>
        <w:rPr>
          <w:rFonts w:hint="eastAsia" w:ascii="仿宋_GB2312" w:hAnsi="仿宋_GB2312" w:eastAsia="仿宋_GB2312" w:cs="仿宋_GB2312"/>
          <w:bCs/>
          <w:color w:val="auto"/>
          <w:sz w:val="30"/>
          <w:szCs w:val="30"/>
          <w:lang w:val="zh-CN" w:eastAsia="zh-CN"/>
        </w:rPr>
        <w:t>必须为江</w:t>
      </w:r>
      <w:r>
        <w:rPr>
          <w:rFonts w:hint="eastAsia" w:ascii="仿宋_GB2312" w:hAnsi="仿宋_GB2312" w:eastAsia="仿宋_GB2312" w:cs="仿宋_GB2312"/>
          <w:bCs/>
          <w:color w:val="auto"/>
          <w:sz w:val="30"/>
          <w:szCs w:val="30"/>
          <w:lang w:val="en-US" w:eastAsia="zh-CN"/>
        </w:rPr>
        <w:t>苏省内</w:t>
      </w:r>
      <w:r>
        <w:rPr>
          <w:rFonts w:hint="eastAsia" w:ascii="仿宋_GB2312" w:hAnsi="仿宋_GB2312" w:eastAsia="仿宋_GB2312" w:cs="仿宋_GB2312"/>
          <w:bCs/>
          <w:color w:val="auto"/>
          <w:sz w:val="30"/>
          <w:szCs w:val="30"/>
          <w:lang w:val="zh-CN" w:eastAsia="zh-CN"/>
        </w:rPr>
        <w:t>注册的法人，具有合法的营业执照</w:t>
      </w:r>
      <w:r>
        <w:rPr>
          <w:rFonts w:hint="eastAsia" w:ascii="仿宋_GB2312" w:hAnsi="仿宋_GB2312" w:eastAsia="仿宋_GB2312" w:cs="仿宋_GB2312"/>
          <w:bCs/>
          <w:color w:val="auto"/>
          <w:sz w:val="30"/>
          <w:szCs w:val="30"/>
          <w:lang w:val="en-US" w:eastAsia="zh-CN"/>
        </w:rPr>
        <w:t>，经营业务</w:t>
      </w:r>
      <w:r>
        <w:rPr>
          <w:rFonts w:hint="eastAsia" w:ascii="仿宋_GB2312" w:hAnsi="仿宋_GB2312" w:eastAsia="仿宋_GB2312" w:cs="仿宋_GB2312"/>
          <w:bCs/>
          <w:color w:val="auto"/>
          <w:sz w:val="30"/>
          <w:szCs w:val="30"/>
          <w:lang w:val="zh-CN" w:eastAsia="zh-CN"/>
        </w:rPr>
        <w:t>范围</w:t>
      </w:r>
      <w:r>
        <w:rPr>
          <w:rFonts w:hint="eastAsia" w:ascii="仿宋_GB2312" w:hAnsi="仿宋_GB2312" w:eastAsia="仿宋_GB2312" w:cs="仿宋_GB2312"/>
          <w:bCs/>
          <w:color w:val="auto"/>
          <w:sz w:val="30"/>
          <w:szCs w:val="30"/>
          <w:lang w:val="en-US" w:eastAsia="zh-CN"/>
        </w:rPr>
        <w:t>必</w:t>
      </w:r>
      <w:r>
        <w:rPr>
          <w:rFonts w:hint="eastAsia" w:ascii="仿宋_GB2312" w:hAnsi="仿宋_GB2312" w:eastAsia="仿宋_GB2312" w:cs="仿宋_GB2312"/>
          <w:bCs/>
          <w:color w:val="auto"/>
          <w:sz w:val="30"/>
          <w:szCs w:val="30"/>
          <w:lang w:val="zh-CN" w:eastAsia="zh-CN"/>
        </w:rPr>
        <w:t>须</w:t>
      </w:r>
      <w:r>
        <w:rPr>
          <w:rFonts w:hint="eastAsia" w:ascii="仿宋_GB2312" w:hAnsi="仿宋_GB2312" w:eastAsia="仿宋_GB2312" w:cs="仿宋_GB2312"/>
          <w:bCs/>
          <w:color w:val="auto"/>
          <w:sz w:val="30"/>
          <w:szCs w:val="30"/>
          <w:lang w:val="en-US" w:eastAsia="zh-CN"/>
        </w:rPr>
        <w:t>含化工、石化及医药等本项目行业领域</w:t>
      </w:r>
      <w:r>
        <w:rPr>
          <w:rFonts w:hint="eastAsia" w:ascii="仿宋_GB2312" w:hAnsi="仿宋_GB2312" w:eastAsia="仿宋_GB2312" w:cs="仿宋_GB2312"/>
          <w:bCs/>
          <w:color w:val="auto"/>
          <w:sz w:val="30"/>
          <w:szCs w:val="30"/>
          <w:lang w:val="zh-CN" w:eastAsia="zh-CN"/>
        </w:rPr>
        <w:t>；</w:t>
      </w:r>
    </w:p>
    <w:p w14:paraId="47065950">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（四）具有良好的商业信誉，报价人在近三年内没有受到行政处罚；</w:t>
      </w:r>
    </w:p>
    <w:p w14:paraId="5C0BCED8">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（五）不接受被列入索普集团供应商负面清单中的单位报价；</w:t>
      </w:r>
    </w:p>
    <w:p w14:paraId="43B8F5A2">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（六）</w:t>
      </w:r>
      <w:r>
        <w:rPr>
          <w:rFonts w:hint="eastAsia" w:ascii="仿宋_GB2312" w:hAnsi="仿宋_GB2312" w:eastAsia="仿宋_GB2312" w:cs="仿宋_GB2312"/>
          <w:bCs/>
          <w:color w:val="auto"/>
          <w:sz w:val="30"/>
          <w:szCs w:val="30"/>
          <w:lang w:val="zh-CN" w:eastAsia="zh-CN"/>
        </w:rPr>
        <w:t>本项目不接受联合体报价。</w:t>
      </w:r>
    </w:p>
    <w:p w14:paraId="36A4FFE5">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00" w:firstLineChars="200"/>
        <w:jc w:val="left"/>
        <w:textAlignment w:val="auto"/>
        <w:outlineLvl w:val="9"/>
        <w:rPr>
          <w:rFonts w:hint="eastAsia" w:ascii="仿宋_GB2312" w:hAnsi="仿宋_GB2312" w:eastAsia="仿宋_GB2312" w:cs="仿宋_GB2312"/>
          <w:bCs/>
          <w:color w:val="auto"/>
          <w:sz w:val="30"/>
          <w:szCs w:val="30"/>
          <w:lang w:val="en-US" w:eastAsia="zh-CN"/>
        </w:rPr>
      </w:pPr>
      <w:r>
        <w:rPr>
          <w:rFonts w:hint="eastAsia" w:ascii="仿宋_GB2312" w:hAnsi="仿宋_GB2312" w:eastAsia="仿宋_GB2312" w:cs="仿宋_GB2312"/>
          <w:bCs/>
          <w:color w:val="auto"/>
          <w:sz w:val="30"/>
          <w:szCs w:val="30"/>
          <w:lang w:val="en-US" w:eastAsia="zh-CN"/>
        </w:rPr>
        <w:t>（七）评审采用综合评分法，具体内容如下表：</w:t>
      </w:r>
    </w:p>
    <w:tbl>
      <w:tblPr>
        <w:tblStyle w:val="28"/>
        <w:tblW w:w="494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4"/>
        <w:gridCol w:w="1010"/>
        <w:gridCol w:w="5885"/>
        <w:gridCol w:w="738"/>
      </w:tblGrid>
      <w:tr w14:paraId="63C94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471" w:type="pct"/>
            <w:vAlign w:val="center"/>
          </w:tcPr>
          <w:p w14:paraId="29723EC3">
            <w:pPr>
              <w:adjustRightInd w:val="0"/>
              <w:snapToGrid w:val="0"/>
              <w:spacing w:line="240" w:lineRule="auto"/>
              <w:ind w:left="0" w:leftChars="0" w:firstLine="0" w:firstLineChars="0"/>
              <w:jc w:val="both"/>
              <w:rPr>
                <w:rFonts w:ascii="Times New Roman" w:hAnsi="Times New Roman" w:eastAsia="仿宋_GB2312" w:cs="Times New Roman"/>
                <w:b/>
                <w:bCs/>
                <w:color w:val="auto"/>
                <w:kern w:val="0"/>
                <w:sz w:val="21"/>
                <w:szCs w:val="28"/>
                <w:highlight w:val="none"/>
                <w:lang w:val="en-US" w:eastAsia="zh-CN" w:bidi="ar-SA"/>
              </w:rPr>
            </w:pPr>
            <w:r>
              <w:rPr>
                <w:rFonts w:hint="eastAsia" w:ascii="Times New Roman" w:hAnsi="Times New Roman" w:eastAsia="仿宋_GB2312" w:cs="Times New Roman"/>
                <w:b/>
                <w:bCs/>
                <w:color w:val="auto"/>
                <w:kern w:val="0"/>
                <w:sz w:val="21"/>
                <w:szCs w:val="28"/>
                <w:highlight w:val="none"/>
                <w:lang w:val="en-US" w:eastAsia="zh-CN" w:bidi="ar-SA"/>
              </w:rPr>
              <w:t>序号</w:t>
            </w:r>
          </w:p>
        </w:tc>
        <w:tc>
          <w:tcPr>
            <w:tcW w:w="599" w:type="pct"/>
            <w:vAlign w:val="center"/>
          </w:tcPr>
          <w:p w14:paraId="05104FB0">
            <w:pPr>
              <w:adjustRightInd w:val="0"/>
              <w:snapToGrid w:val="0"/>
              <w:spacing w:line="240" w:lineRule="auto"/>
              <w:ind w:left="0" w:leftChars="0" w:firstLine="0" w:firstLineChars="0"/>
              <w:jc w:val="both"/>
              <w:rPr>
                <w:rFonts w:ascii="Times New Roman" w:hAnsi="Times New Roman" w:eastAsia="仿宋_GB2312" w:cs="Times New Roman"/>
                <w:b/>
                <w:bCs/>
                <w:color w:val="auto"/>
                <w:kern w:val="0"/>
                <w:sz w:val="21"/>
                <w:szCs w:val="28"/>
                <w:highlight w:val="none"/>
                <w:lang w:val="en-US" w:eastAsia="zh-CN" w:bidi="ar-SA"/>
              </w:rPr>
            </w:pPr>
            <w:r>
              <w:rPr>
                <w:rFonts w:hint="eastAsia" w:ascii="Times New Roman" w:hAnsi="Times New Roman" w:eastAsia="仿宋_GB2312" w:cs="Times New Roman"/>
                <w:b/>
                <w:bCs/>
                <w:color w:val="auto"/>
                <w:kern w:val="0"/>
                <w:sz w:val="21"/>
                <w:szCs w:val="28"/>
                <w:highlight w:val="none"/>
                <w:lang w:val="en-US" w:eastAsia="zh-CN" w:bidi="ar-SA"/>
              </w:rPr>
              <w:t>评分因素</w:t>
            </w:r>
          </w:p>
        </w:tc>
        <w:tc>
          <w:tcPr>
            <w:tcW w:w="3492" w:type="pct"/>
            <w:vAlign w:val="center"/>
          </w:tcPr>
          <w:p w14:paraId="5B3ED0A6">
            <w:pPr>
              <w:adjustRightInd w:val="0"/>
              <w:snapToGrid w:val="0"/>
              <w:spacing w:line="240" w:lineRule="auto"/>
              <w:jc w:val="center"/>
              <w:rPr>
                <w:rFonts w:ascii="Times New Roman" w:hAnsi="Times New Roman" w:eastAsia="仿宋_GB2312" w:cs="Times New Roman"/>
                <w:b/>
                <w:bCs/>
                <w:color w:val="auto"/>
                <w:kern w:val="0"/>
                <w:sz w:val="21"/>
                <w:szCs w:val="28"/>
                <w:highlight w:val="none"/>
                <w:lang w:val="en-US" w:eastAsia="zh-CN" w:bidi="ar-SA"/>
              </w:rPr>
            </w:pPr>
            <w:r>
              <w:rPr>
                <w:rFonts w:hint="eastAsia" w:ascii="Times New Roman" w:hAnsi="Times New Roman" w:eastAsia="仿宋_GB2312" w:cs="Times New Roman"/>
                <w:b/>
                <w:bCs/>
                <w:color w:val="auto"/>
                <w:kern w:val="0"/>
                <w:sz w:val="21"/>
                <w:szCs w:val="28"/>
                <w:highlight w:val="none"/>
                <w:lang w:val="en-US" w:eastAsia="zh-CN" w:bidi="ar-SA"/>
              </w:rPr>
              <w:t>评分内容</w:t>
            </w:r>
          </w:p>
        </w:tc>
        <w:tc>
          <w:tcPr>
            <w:tcW w:w="436" w:type="pct"/>
            <w:vAlign w:val="center"/>
          </w:tcPr>
          <w:p w14:paraId="2E3C7CF8">
            <w:pPr>
              <w:adjustRightInd w:val="0"/>
              <w:snapToGrid w:val="0"/>
              <w:spacing w:line="240" w:lineRule="auto"/>
              <w:ind w:left="0" w:leftChars="0" w:firstLine="0" w:firstLineChars="0"/>
              <w:jc w:val="both"/>
              <w:rPr>
                <w:rFonts w:ascii="Times New Roman" w:hAnsi="Times New Roman" w:eastAsia="仿宋_GB2312" w:cs="Times New Roman"/>
                <w:b/>
                <w:bCs/>
                <w:color w:val="auto"/>
                <w:kern w:val="0"/>
                <w:sz w:val="21"/>
                <w:szCs w:val="28"/>
                <w:highlight w:val="none"/>
                <w:lang w:val="en-US" w:eastAsia="zh-CN" w:bidi="ar-SA"/>
              </w:rPr>
            </w:pPr>
            <w:r>
              <w:rPr>
                <w:rFonts w:hint="eastAsia" w:ascii="Times New Roman" w:hAnsi="Times New Roman" w:eastAsia="仿宋_GB2312" w:cs="Times New Roman"/>
                <w:b/>
                <w:bCs/>
                <w:color w:val="auto"/>
                <w:kern w:val="0"/>
                <w:sz w:val="21"/>
                <w:szCs w:val="28"/>
                <w:highlight w:val="none"/>
                <w:lang w:val="en-US" w:eastAsia="zh-CN" w:bidi="ar-SA"/>
              </w:rPr>
              <w:t>满分</w:t>
            </w:r>
          </w:p>
        </w:tc>
      </w:tr>
      <w:tr w14:paraId="5C6AF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4"/>
            <w:vAlign w:val="center"/>
          </w:tcPr>
          <w:p w14:paraId="0D89FD39">
            <w:pPr>
              <w:adjustRightInd w:val="0"/>
              <w:snapToGrid w:val="0"/>
              <w:spacing w:line="240" w:lineRule="auto"/>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一、价格F1（</w:t>
            </w:r>
            <w:r>
              <w:rPr>
                <w:rFonts w:hint="eastAsia" w:eastAsia="仿宋_GB2312" w:cs="Times New Roman"/>
                <w:color w:val="auto"/>
                <w:kern w:val="0"/>
                <w:sz w:val="21"/>
                <w:szCs w:val="28"/>
                <w:highlight w:val="none"/>
                <w:lang w:val="en-US" w:eastAsia="zh-CN" w:bidi="ar-SA"/>
              </w:rPr>
              <w:t>40</w:t>
            </w:r>
            <w:r>
              <w:rPr>
                <w:rFonts w:hint="eastAsia" w:ascii="Times New Roman" w:hAnsi="Times New Roman" w:eastAsia="仿宋_GB2312" w:cs="Times New Roman"/>
                <w:color w:val="auto"/>
                <w:kern w:val="0"/>
                <w:sz w:val="21"/>
                <w:szCs w:val="28"/>
                <w:highlight w:val="none"/>
                <w:lang w:val="en-US" w:eastAsia="zh-CN" w:bidi="ar-SA"/>
              </w:rPr>
              <w:t>分）</w:t>
            </w:r>
          </w:p>
        </w:tc>
      </w:tr>
      <w:tr w14:paraId="2D5E6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71" w:type="pct"/>
            <w:vAlign w:val="center"/>
          </w:tcPr>
          <w:p w14:paraId="5780A589">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1</w:t>
            </w:r>
          </w:p>
        </w:tc>
        <w:tc>
          <w:tcPr>
            <w:tcW w:w="599" w:type="pct"/>
            <w:vAlign w:val="center"/>
          </w:tcPr>
          <w:p w14:paraId="4C4E57CE">
            <w:pPr>
              <w:adjustRightInd w:val="0"/>
              <w:snapToGrid w:val="0"/>
              <w:spacing w:line="240" w:lineRule="auto"/>
              <w:ind w:left="0" w:leftChars="0" w:firstLine="0" w:firstLineChars="0"/>
              <w:jc w:val="both"/>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价格</w:t>
            </w:r>
          </w:p>
        </w:tc>
        <w:tc>
          <w:tcPr>
            <w:tcW w:w="3492" w:type="pct"/>
            <w:vAlign w:val="center"/>
          </w:tcPr>
          <w:p w14:paraId="1019A475">
            <w:pPr>
              <w:adjustRightInd w:val="0"/>
              <w:snapToGrid w:val="0"/>
              <w:spacing w:line="240" w:lineRule="auto"/>
              <w:ind w:left="0" w:leftChars="0" w:firstLine="0" w:firstLineChars="0"/>
              <w:jc w:val="left"/>
              <w:rPr>
                <w:rFonts w:hint="default" w:ascii="Times New Roman" w:hAnsi="Times New Roman" w:eastAsia="仿宋_GB2312" w:cs="Times New Roman"/>
                <w:color w:val="auto"/>
                <w:kern w:val="0"/>
                <w:sz w:val="21"/>
                <w:szCs w:val="28"/>
                <w:highlight w:val="none"/>
                <w:lang w:val="en-US" w:eastAsia="zh-CN" w:bidi="ar-SA"/>
              </w:rPr>
            </w:pPr>
            <w:r>
              <w:rPr>
                <w:rFonts w:hint="default" w:ascii="Times New Roman" w:hAnsi="Times New Roman" w:eastAsia="仿宋_GB2312" w:cs="Times New Roman"/>
                <w:color w:val="auto"/>
                <w:kern w:val="0"/>
                <w:sz w:val="21"/>
                <w:szCs w:val="28"/>
                <w:highlight w:val="none"/>
                <w:lang w:val="en-US" w:eastAsia="zh-CN" w:bidi="ar-SA"/>
              </w:rPr>
              <w:t>评</w:t>
            </w:r>
            <w:r>
              <w:rPr>
                <w:rFonts w:hint="eastAsia" w:eastAsia="仿宋_GB2312" w:cs="Times New Roman"/>
                <w:color w:val="auto"/>
                <w:kern w:val="0"/>
                <w:sz w:val="21"/>
                <w:szCs w:val="28"/>
                <w:highlight w:val="none"/>
                <w:lang w:val="en-US" w:eastAsia="zh-CN" w:bidi="ar-SA"/>
              </w:rPr>
              <w:t>审</w:t>
            </w:r>
            <w:r>
              <w:rPr>
                <w:rFonts w:hint="default" w:ascii="Times New Roman" w:hAnsi="Times New Roman" w:eastAsia="仿宋_GB2312" w:cs="Times New Roman"/>
                <w:color w:val="auto"/>
                <w:kern w:val="0"/>
                <w:sz w:val="21"/>
                <w:szCs w:val="28"/>
                <w:highlight w:val="none"/>
                <w:lang w:val="en-US" w:eastAsia="zh-CN" w:bidi="ar-SA"/>
              </w:rPr>
              <w:t>基准价：所有有效</w:t>
            </w:r>
            <w:r>
              <w:rPr>
                <w:rFonts w:hint="eastAsia" w:eastAsia="仿宋_GB2312" w:cs="Times New Roman"/>
                <w:color w:val="auto"/>
                <w:kern w:val="0"/>
                <w:sz w:val="21"/>
                <w:szCs w:val="28"/>
                <w:highlight w:val="none"/>
                <w:lang w:val="en-US" w:eastAsia="zh-CN" w:bidi="ar-SA"/>
              </w:rPr>
              <w:t>报价</w:t>
            </w:r>
            <w:r>
              <w:rPr>
                <w:rFonts w:hint="default" w:ascii="Times New Roman" w:hAnsi="Times New Roman" w:eastAsia="仿宋_GB2312" w:cs="Times New Roman"/>
                <w:color w:val="auto"/>
                <w:kern w:val="0"/>
                <w:sz w:val="21"/>
                <w:szCs w:val="28"/>
                <w:highlight w:val="none"/>
                <w:lang w:val="en-US" w:eastAsia="zh-CN" w:bidi="ar-SA"/>
              </w:rPr>
              <w:t>单位的</w:t>
            </w:r>
            <w:r>
              <w:rPr>
                <w:rFonts w:hint="eastAsia" w:eastAsia="仿宋_GB2312" w:cs="Times New Roman"/>
                <w:color w:val="auto"/>
                <w:kern w:val="0"/>
                <w:sz w:val="21"/>
                <w:szCs w:val="28"/>
                <w:highlight w:val="none"/>
                <w:lang w:val="en-US" w:eastAsia="zh-CN" w:bidi="ar-SA"/>
              </w:rPr>
              <w:t>报</w:t>
            </w:r>
            <w:r>
              <w:rPr>
                <w:rFonts w:hint="default" w:ascii="Times New Roman" w:hAnsi="Times New Roman" w:eastAsia="仿宋_GB2312" w:cs="Times New Roman"/>
                <w:color w:val="auto"/>
                <w:kern w:val="0"/>
                <w:sz w:val="21"/>
                <w:szCs w:val="28"/>
                <w:highlight w:val="none"/>
                <w:lang w:val="en-US" w:eastAsia="zh-CN" w:bidi="ar-SA"/>
              </w:rPr>
              <w:t>价的算术平均值。</w:t>
            </w:r>
          </w:p>
          <w:p w14:paraId="1C1B4461">
            <w:pPr>
              <w:adjustRightInd w:val="0"/>
              <w:snapToGrid w:val="0"/>
              <w:spacing w:line="240" w:lineRule="auto"/>
              <w:ind w:left="0" w:leftChars="0" w:firstLine="0" w:firstLineChars="0"/>
              <w:jc w:val="left"/>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评审</w:t>
            </w:r>
            <w:r>
              <w:rPr>
                <w:rFonts w:hint="default" w:ascii="Times New Roman" w:hAnsi="Times New Roman" w:eastAsia="仿宋_GB2312" w:cs="Times New Roman"/>
                <w:color w:val="auto"/>
                <w:kern w:val="0"/>
                <w:sz w:val="21"/>
                <w:szCs w:val="28"/>
                <w:highlight w:val="none"/>
                <w:lang w:val="en-US" w:eastAsia="zh-CN" w:bidi="ar-SA"/>
              </w:rPr>
              <w:t>人评</w:t>
            </w:r>
            <w:r>
              <w:rPr>
                <w:rFonts w:hint="eastAsia" w:eastAsia="仿宋_GB2312" w:cs="Times New Roman"/>
                <w:color w:val="auto"/>
                <w:kern w:val="0"/>
                <w:sz w:val="21"/>
                <w:szCs w:val="28"/>
                <w:highlight w:val="none"/>
                <w:lang w:val="en-US" w:eastAsia="zh-CN" w:bidi="ar-SA"/>
              </w:rPr>
              <w:t>审</w:t>
            </w:r>
            <w:r>
              <w:rPr>
                <w:rFonts w:hint="default" w:ascii="Times New Roman" w:hAnsi="Times New Roman" w:eastAsia="仿宋_GB2312" w:cs="Times New Roman"/>
                <w:color w:val="auto"/>
                <w:kern w:val="0"/>
                <w:sz w:val="21"/>
                <w:szCs w:val="28"/>
                <w:highlight w:val="none"/>
                <w:lang w:val="en-US" w:eastAsia="zh-CN" w:bidi="ar-SA"/>
              </w:rPr>
              <w:t>报价与评</w:t>
            </w:r>
            <w:r>
              <w:rPr>
                <w:rFonts w:hint="eastAsia" w:eastAsia="仿宋_GB2312" w:cs="Times New Roman"/>
                <w:color w:val="auto"/>
                <w:kern w:val="0"/>
                <w:sz w:val="21"/>
                <w:szCs w:val="28"/>
                <w:highlight w:val="none"/>
                <w:lang w:val="en-US" w:eastAsia="zh-CN" w:bidi="ar-SA"/>
              </w:rPr>
              <w:t>审</w:t>
            </w:r>
            <w:r>
              <w:rPr>
                <w:rFonts w:hint="default" w:ascii="Times New Roman" w:hAnsi="Times New Roman" w:eastAsia="仿宋_GB2312" w:cs="Times New Roman"/>
                <w:color w:val="auto"/>
                <w:kern w:val="0"/>
                <w:sz w:val="21"/>
                <w:szCs w:val="28"/>
                <w:highlight w:val="none"/>
                <w:lang w:val="en-US" w:eastAsia="zh-CN" w:bidi="ar-SA"/>
              </w:rPr>
              <w:t>基准价相等者得基本分</w:t>
            </w:r>
            <w:r>
              <w:rPr>
                <w:rFonts w:hint="eastAsia" w:eastAsia="仿宋_GB2312" w:cs="Times New Roman"/>
                <w:color w:val="auto"/>
                <w:kern w:val="0"/>
                <w:sz w:val="21"/>
                <w:szCs w:val="28"/>
                <w:highlight w:val="none"/>
                <w:lang w:val="en-US" w:eastAsia="zh-CN" w:bidi="ar-SA"/>
              </w:rPr>
              <w:t>30</w:t>
            </w:r>
            <w:r>
              <w:rPr>
                <w:rFonts w:hint="default" w:ascii="Times New Roman" w:hAnsi="Times New Roman" w:eastAsia="仿宋_GB2312" w:cs="Times New Roman"/>
                <w:color w:val="auto"/>
                <w:kern w:val="0"/>
                <w:sz w:val="21"/>
                <w:szCs w:val="28"/>
                <w:highlight w:val="none"/>
                <w:lang w:val="en-US" w:eastAsia="zh-CN" w:bidi="ar-SA"/>
              </w:rPr>
              <w:t>分。</w:t>
            </w:r>
            <w:r>
              <w:rPr>
                <w:rFonts w:hint="eastAsia" w:eastAsia="仿宋_GB2312" w:cs="Times New Roman"/>
                <w:color w:val="auto"/>
                <w:kern w:val="0"/>
                <w:sz w:val="21"/>
                <w:szCs w:val="28"/>
                <w:highlight w:val="none"/>
                <w:lang w:val="en-US" w:eastAsia="zh-CN" w:bidi="ar-SA"/>
              </w:rPr>
              <w:t>报价</w:t>
            </w:r>
            <w:r>
              <w:rPr>
                <w:rFonts w:hint="default" w:ascii="Times New Roman" w:hAnsi="Times New Roman" w:eastAsia="仿宋_GB2312" w:cs="Times New Roman"/>
                <w:color w:val="auto"/>
                <w:kern w:val="0"/>
                <w:sz w:val="21"/>
                <w:szCs w:val="28"/>
                <w:highlight w:val="none"/>
                <w:lang w:val="en-US" w:eastAsia="zh-CN" w:bidi="ar-SA"/>
              </w:rPr>
              <w:t>人报价高于评</w:t>
            </w:r>
            <w:r>
              <w:rPr>
                <w:rFonts w:hint="eastAsia" w:eastAsia="仿宋_GB2312" w:cs="Times New Roman"/>
                <w:color w:val="auto"/>
                <w:kern w:val="0"/>
                <w:sz w:val="21"/>
                <w:szCs w:val="28"/>
                <w:highlight w:val="none"/>
                <w:lang w:val="en-US" w:eastAsia="zh-CN" w:bidi="ar-SA"/>
              </w:rPr>
              <w:t>审</w:t>
            </w:r>
            <w:r>
              <w:rPr>
                <w:rFonts w:hint="default" w:ascii="Times New Roman" w:hAnsi="Times New Roman" w:eastAsia="仿宋_GB2312" w:cs="Times New Roman"/>
                <w:color w:val="auto"/>
                <w:kern w:val="0"/>
                <w:sz w:val="21"/>
                <w:szCs w:val="28"/>
                <w:highlight w:val="none"/>
                <w:lang w:val="en-US" w:eastAsia="zh-CN" w:bidi="ar-SA"/>
              </w:rPr>
              <w:t>基准</w:t>
            </w:r>
            <w:r>
              <w:rPr>
                <w:rFonts w:hint="eastAsia" w:eastAsia="仿宋_GB2312" w:cs="Times New Roman"/>
                <w:color w:val="auto"/>
                <w:kern w:val="0"/>
                <w:sz w:val="21"/>
                <w:szCs w:val="28"/>
                <w:highlight w:val="none"/>
                <w:lang w:val="en-US" w:eastAsia="zh-CN" w:bidi="ar-SA"/>
              </w:rPr>
              <w:t>价</w:t>
            </w:r>
            <w:r>
              <w:rPr>
                <w:rFonts w:hint="default" w:ascii="Times New Roman" w:hAnsi="Times New Roman" w:eastAsia="仿宋_GB2312" w:cs="Times New Roman"/>
                <w:color w:val="auto"/>
                <w:kern w:val="0"/>
                <w:sz w:val="21"/>
                <w:szCs w:val="28"/>
                <w:highlight w:val="none"/>
                <w:lang w:val="en-US" w:eastAsia="zh-CN" w:bidi="ar-SA"/>
              </w:rPr>
              <w:t>的，按每高于评</w:t>
            </w:r>
            <w:r>
              <w:rPr>
                <w:rFonts w:hint="eastAsia" w:eastAsia="仿宋_GB2312" w:cs="Times New Roman"/>
                <w:color w:val="auto"/>
                <w:kern w:val="0"/>
                <w:sz w:val="21"/>
                <w:szCs w:val="28"/>
                <w:highlight w:val="none"/>
                <w:lang w:val="en-US" w:eastAsia="zh-CN" w:bidi="ar-SA"/>
              </w:rPr>
              <w:t>审</w:t>
            </w:r>
            <w:r>
              <w:rPr>
                <w:rFonts w:hint="default" w:ascii="Times New Roman" w:hAnsi="Times New Roman" w:eastAsia="仿宋_GB2312" w:cs="Times New Roman"/>
                <w:color w:val="auto"/>
                <w:kern w:val="0"/>
                <w:sz w:val="21"/>
                <w:szCs w:val="28"/>
                <w:highlight w:val="none"/>
                <w:lang w:val="en-US" w:eastAsia="zh-CN" w:bidi="ar-SA"/>
              </w:rPr>
              <w:t>基准价</w:t>
            </w:r>
            <w:r>
              <w:rPr>
                <w:rFonts w:hint="eastAsia" w:eastAsia="仿宋_GB2312" w:cs="Times New Roman"/>
                <w:color w:val="auto"/>
                <w:kern w:val="0"/>
                <w:sz w:val="21"/>
                <w:szCs w:val="28"/>
                <w:highlight w:val="none"/>
                <w:lang w:val="en-US" w:eastAsia="zh-CN" w:bidi="ar-SA"/>
              </w:rPr>
              <w:t>5</w:t>
            </w:r>
            <w:r>
              <w:rPr>
                <w:rFonts w:hint="default" w:ascii="Times New Roman" w:hAnsi="Times New Roman" w:eastAsia="仿宋_GB2312" w:cs="Times New Roman"/>
                <w:color w:val="auto"/>
                <w:kern w:val="0"/>
                <w:sz w:val="21"/>
                <w:szCs w:val="28"/>
                <w:highlight w:val="none"/>
                <w:lang w:val="en-US" w:eastAsia="zh-CN" w:bidi="ar-SA"/>
              </w:rPr>
              <w:t>%扣</w:t>
            </w:r>
            <w:r>
              <w:rPr>
                <w:rFonts w:hint="eastAsia" w:eastAsia="仿宋_GB2312" w:cs="Times New Roman"/>
                <w:color w:val="auto"/>
                <w:kern w:val="0"/>
                <w:sz w:val="21"/>
                <w:szCs w:val="28"/>
                <w:highlight w:val="none"/>
                <w:lang w:val="en-US" w:eastAsia="zh-CN" w:bidi="ar-SA"/>
              </w:rPr>
              <w:t>1</w:t>
            </w:r>
            <w:r>
              <w:rPr>
                <w:rFonts w:hint="default" w:ascii="Times New Roman" w:hAnsi="Times New Roman" w:eastAsia="仿宋_GB2312" w:cs="Times New Roman"/>
                <w:color w:val="auto"/>
                <w:kern w:val="0"/>
                <w:sz w:val="21"/>
                <w:szCs w:val="28"/>
                <w:highlight w:val="none"/>
                <w:lang w:val="en-US" w:eastAsia="zh-CN" w:bidi="ar-SA"/>
              </w:rPr>
              <w:t>分，最多扣</w:t>
            </w:r>
            <w:r>
              <w:rPr>
                <w:rFonts w:hint="eastAsia" w:eastAsia="仿宋_GB2312" w:cs="Times New Roman"/>
                <w:color w:val="auto"/>
                <w:kern w:val="0"/>
                <w:sz w:val="21"/>
                <w:szCs w:val="28"/>
                <w:highlight w:val="none"/>
                <w:lang w:val="en-US" w:eastAsia="zh-CN" w:bidi="ar-SA"/>
              </w:rPr>
              <w:t>10</w:t>
            </w:r>
            <w:r>
              <w:rPr>
                <w:rFonts w:hint="default" w:ascii="Times New Roman" w:hAnsi="Times New Roman" w:eastAsia="仿宋_GB2312" w:cs="Times New Roman"/>
                <w:color w:val="auto"/>
                <w:kern w:val="0"/>
                <w:sz w:val="21"/>
                <w:szCs w:val="28"/>
                <w:highlight w:val="none"/>
                <w:lang w:val="en-US" w:eastAsia="zh-CN" w:bidi="ar-SA"/>
              </w:rPr>
              <w:t>分；</w:t>
            </w:r>
            <w:r>
              <w:rPr>
                <w:rFonts w:hint="eastAsia" w:eastAsia="仿宋_GB2312" w:cs="Times New Roman"/>
                <w:color w:val="auto"/>
                <w:kern w:val="0"/>
                <w:sz w:val="21"/>
                <w:szCs w:val="28"/>
                <w:highlight w:val="none"/>
                <w:lang w:val="en-US" w:eastAsia="zh-CN" w:bidi="ar-SA"/>
              </w:rPr>
              <w:t>报价</w:t>
            </w:r>
            <w:r>
              <w:rPr>
                <w:rFonts w:hint="default" w:ascii="Times New Roman" w:hAnsi="Times New Roman" w:eastAsia="仿宋_GB2312" w:cs="Times New Roman"/>
                <w:color w:val="auto"/>
                <w:kern w:val="0"/>
                <w:sz w:val="21"/>
                <w:szCs w:val="28"/>
                <w:highlight w:val="none"/>
                <w:lang w:val="en-US" w:eastAsia="zh-CN" w:bidi="ar-SA"/>
              </w:rPr>
              <w:t>人报价低于评</w:t>
            </w:r>
            <w:r>
              <w:rPr>
                <w:rFonts w:hint="eastAsia" w:eastAsia="仿宋_GB2312" w:cs="Times New Roman"/>
                <w:color w:val="auto"/>
                <w:kern w:val="0"/>
                <w:sz w:val="21"/>
                <w:szCs w:val="28"/>
                <w:highlight w:val="none"/>
                <w:lang w:val="en-US" w:eastAsia="zh-CN" w:bidi="ar-SA"/>
              </w:rPr>
              <w:t>审</w:t>
            </w:r>
            <w:r>
              <w:rPr>
                <w:rFonts w:hint="default" w:ascii="Times New Roman" w:hAnsi="Times New Roman" w:eastAsia="仿宋_GB2312" w:cs="Times New Roman"/>
                <w:color w:val="auto"/>
                <w:kern w:val="0"/>
                <w:sz w:val="21"/>
                <w:szCs w:val="28"/>
                <w:highlight w:val="none"/>
                <w:lang w:val="en-US" w:eastAsia="zh-CN" w:bidi="ar-SA"/>
              </w:rPr>
              <w:t>基准</w:t>
            </w:r>
            <w:r>
              <w:rPr>
                <w:rFonts w:hint="eastAsia" w:eastAsia="仿宋_GB2312" w:cs="Times New Roman"/>
                <w:color w:val="auto"/>
                <w:kern w:val="0"/>
                <w:sz w:val="21"/>
                <w:szCs w:val="28"/>
                <w:highlight w:val="none"/>
                <w:lang w:val="en-US" w:eastAsia="zh-CN" w:bidi="ar-SA"/>
              </w:rPr>
              <w:t>价</w:t>
            </w:r>
            <w:r>
              <w:rPr>
                <w:rFonts w:hint="default" w:ascii="Times New Roman" w:hAnsi="Times New Roman" w:eastAsia="仿宋_GB2312" w:cs="Times New Roman"/>
                <w:color w:val="auto"/>
                <w:kern w:val="0"/>
                <w:sz w:val="21"/>
                <w:szCs w:val="28"/>
                <w:highlight w:val="none"/>
                <w:lang w:val="en-US" w:eastAsia="zh-CN" w:bidi="ar-SA"/>
              </w:rPr>
              <w:t>的，按每低于评</w:t>
            </w:r>
            <w:r>
              <w:rPr>
                <w:rFonts w:hint="eastAsia" w:eastAsia="仿宋_GB2312" w:cs="Times New Roman"/>
                <w:color w:val="auto"/>
                <w:kern w:val="0"/>
                <w:sz w:val="21"/>
                <w:szCs w:val="28"/>
                <w:highlight w:val="none"/>
                <w:lang w:val="en-US" w:eastAsia="zh-CN" w:bidi="ar-SA"/>
              </w:rPr>
              <w:t>审</w:t>
            </w:r>
            <w:r>
              <w:rPr>
                <w:rFonts w:hint="default" w:ascii="Times New Roman" w:hAnsi="Times New Roman" w:eastAsia="仿宋_GB2312" w:cs="Times New Roman"/>
                <w:color w:val="auto"/>
                <w:kern w:val="0"/>
                <w:sz w:val="21"/>
                <w:szCs w:val="28"/>
                <w:highlight w:val="none"/>
                <w:lang w:val="en-US" w:eastAsia="zh-CN" w:bidi="ar-SA"/>
              </w:rPr>
              <w:t>基准价</w:t>
            </w:r>
            <w:r>
              <w:rPr>
                <w:rFonts w:hint="eastAsia" w:eastAsia="仿宋_GB2312" w:cs="Times New Roman"/>
                <w:color w:val="auto"/>
                <w:kern w:val="0"/>
                <w:sz w:val="21"/>
                <w:szCs w:val="28"/>
                <w:highlight w:val="none"/>
                <w:lang w:val="en-US" w:eastAsia="zh-CN" w:bidi="ar-SA"/>
              </w:rPr>
              <w:t>5</w:t>
            </w:r>
            <w:r>
              <w:rPr>
                <w:rFonts w:hint="default" w:ascii="Times New Roman" w:hAnsi="Times New Roman" w:eastAsia="仿宋_GB2312" w:cs="Times New Roman"/>
                <w:color w:val="auto"/>
                <w:kern w:val="0"/>
                <w:sz w:val="21"/>
                <w:szCs w:val="28"/>
                <w:highlight w:val="none"/>
                <w:lang w:val="en-US" w:eastAsia="zh-CN" w:bidi="ar-SA"/>
              </w:rPr>
              <w:t>%加</w:t>
            </w:r>
            <w:r>
              <w:rPr>
                <w:rFonts w:hint="eastAsia" w:eastAsia="仿宋_GB2312" w:cs="Times New Roman"/>
                <w:color w:val="auto"/>
                <w:kern w:val="0"/>
                <w:sz w:val="21"/>
                <w:szCs w:val="28"/>
                <w:highlight w:val="none"/>
                <w:lang w:val="en-US" w:eastAsia="zh-CN" w:bidi="ar-SA"/>
              </w:rPr>
              <w:t>1</w:t>
            </w:r>
            <w:r>
              <w:rPr>
                <w:rFonts w:hint="default" w:ascii="Times New Roman" w:hAnsi="Times New Roman" w:eastAsia="仿宋_GB2312" w:cs="Times New Roman"/>
                <w:color w:val="auto"/>
                <w:kern w:val="0"/>
                <w:sz w:val="21"/>
                <w:szCs w:val="28"/>
                <w:highlight w:val="none"/>
                <w:lang w:val="en-US" w:eastAsia="zh-CN" w:bidi="ar-SA"/>
              </w:rPr>
              <w:t>分，最多加</w:t>
            </w:r>
            <w:r>
              <w:rPr>
                <w:rFonts w:hint="eastAsia" w:eastAsia="仿宋_GB2312" w:cs="Times New Roman"/>
                <w:color w:val="auto"/>
                <w:kern w:val="0"/>
                <w:sz w:val="21"/>
                <w:szCs w:val="28"/>
                <w:highlight w:val="none"/>
                <w:lang w:val="en-US" w:eastAsia="zh-CN" w:bidi="ar-SA"/>
              </w:rPr>
              <w:t>10</w:t>
            </w:r>
            <w:r>
              <w:rPr>
                <w:rFonts w:hint="default" w:ascii="Times New Roman" w:hAnsi="Times New Roman" w:eastAsia="仿宋_GB2312" w:cs="Times New Roman"/>
                <w:color w:val="auto"/>
                <w:kern w:val="0"/>
                <w:sz w:val="21"/>
                <w:szCs w:val="28"/>
                <w:highlight w:val="none"/>
                <w:lang w:val="en-US" w:eastAsia="zh-CN" w:bidi="ar-SA"/>
              </w:rPr>
              <w:t>分。偏离不足1%的，按照插入法计算得分</w:t>
            </w:r>
            <w:r>
              <w:rPr>
                <w:rFonts w:hint="eastAsia" w:eastAsia="仿宋_GB2312" w:cs="Times New Roman"/>
                <w:color w:val="auto"/>
                <w:kern w:val="0"/>
                <w:sz w:val="21"/>
                <w:szCs w:val="28"/>
                <w:highlight w:val="none"/>
                <w:lang w:val="en-US" w:eastAsia="zh-CN" w:bidi="ar-SA"/>
              </w:rPr>
              <w:t>。</w:t>
            </w:r>
          </w:p>
        </w:tc>
        <w:tc>
          <w:tcPr>
            <w:tcW w:w="436" w:type="pct"/>
            <w:vAlign w:val="center"/>
          </w:tcPr>
          <w:p w14:paraId="32167C8C">
            <w:pPr>
              <w:adjustRightInd w:val="0"/>
              <w:snapToGrid w:val="0"/>
              <w:spacing w:line="240" w:lineRule="auto"/>
              <w:ind w:left="0" w:leftChars="0" w:firstLine="0" w:firstLineChars="0"/>
              <w:jc w:val="center"/>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40</w:t>
            </w:r>
          </w:p>
        </w:tc>
      </w:tr>
      <w:tr w14:paraId="47821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4"/>
            <w:vAlign w:val="center"/>
          </w:tcPr>
          <w:p w14:paraId="6BBB2A6D">
            <w:pPr>
              <w:adjustRightInd w:val="0"/>
              <w:snapToGrid w:val="0"/>
              <w:spacing w:line="240" w:lineRule="auto"/>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二、供应商的综合实力F2（</w:t>
            </w:r>
            <w:r>
              <w:rPr>
                <w:rFonts w:hint="eastAsia" w:eastAsia="仿宋_GB2312" w:cs="Times New Roman"/>
                <w:color w:val="auto"/>
                <w:kern w:val="0"/>
                <w:sz w:val="21"/>
                <w:szCs w:val="28"/>
                <w:highlight w:val="none"/>
                <w:lang w:val="en-US" w:eastAsia="zh-CN" w:bidi="ar-SA"/>
              </w:rPr>
              <w:t>45</w:t>
            </w:r>
            <w:r>
              <w:rPr>
                <w:rFonts w:hint="eastAsia" w:ascii="Times New Roman" w:hAnsi="Times New Roman" w:eastAsia="仿宋_GB2312" w:cs="Times New Roman"/>
                <w:color w:val="auto"/>
                <w:kern w:val="0"/>
                <w:sz w:val="21"/>
                <w:szCs w:val="28"/>
                <w:highlight w:val="none"/>
                <w:lang w:val="en-US" w:eastAsia="zh-CN" w:bidi="ar-SA"/>
              </w:rPr>
              <w:t>分）</w:t>
            </w:r>
          </w:p>
        </w:tc>
      </w:tr>
      <w:tr w14:paraId="1C6E7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1" w:type="pct"/>
            <w:vMerge w:val="restart"/>
            <w:vAlign w:val="center"/>
          </w:tcPr>
          <w:p w14:paraId="6F8F6F2A">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1</w:t>
            </w:r>
          </w:p>
        </w:tc>
        <w:tc>
          <w:tcPr>
            <w:tcW w:w="599" w:type="pct"/>
            <w:vMerge w:val="restart"/>
            <w:vAlign w:val="center"/>
          </w:tcPr>
          <w:p w14:paraId="426EB59A">
            <w:pPr>
              <w:adjustRightInd w:val="0"/>
              <w:snapToGrid w:val="0"/>
              <w:spacing w:line="240" w:lineRule="auto"/>
              <w:ind w:left="0" w:leftChars="0" w:firstLine="0" w:firstLineChars="0"/>
              <w:jc w:val="both"/>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资质能力</w:t>
            </w:r>
          </w:p>
        </w:tc>
        <w:tc>
          <w:tcPr>
            <w:tcW w:w="3492" w:type="pct"/>
            <w:vAlign w:val="center"/>
          </w:tcPr>
          <w:p w14:paraId="4ECF4BAB">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1、供应商具备AAA级信用等级证书的得</w:t>
            </w: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分：具备AA级信用等级证书的得</w:t>
            </w:r>
            <w:r>
              <w:rPr>
                <w:rFonts w:hint="eastAsia" w:eastAsia="仿宋_GB2312" w:cs="Times New Roman"/>
                <w:color w:val="auto"/>
                <w:kern w:val="0"/>
                <w:sz w:val="21"/>
                <w:szCs w:val="28"/>
                <w:highlight w:val="none"/>
                <w:lang w:val="en-US" w:eastAsia="zh-CN" w:bidi="ar-SA"/>
              </w:rPr>
              <w:t>2</w:t>
            </w:r>
            <w:r>
              <w:rPr>
                <w:rFonts w:hint="eastAsia" w:ascii="Times New Roman" w:hAnsi="Times New Roman" w:eastAsia="仿宋_GB2312" w:cs="Times New Roman"/>
                <w:color w:val="auto"/>
                <w:kern w:val="0"/>
                <w:sz w:val="21"/>
                <w:szCs w:val="28"/>
                <w:highlight w:val="none"/>
                <w:lang w:val="en-US" w:eastAsia="zh-CN" w:bidi="ar-SA"/>
              </w:rPr>
              <w:t>分；具备A级信用等级证书的得1分，本项最高得</w:t>
            </w: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分。注：需提供证书复印件并加盖</w:t>
            </w:r>
            <w:r>
              <w:rPr>
                <w:rFonts w:hint="eastAsia" w:eastAsia="仿宋_GB2312" w:cs="Times New Roman"/>
                <w:color w:val="auto"/>
                <w:kern w:val="0"/>
                <w:sz w:val="21"/>
                <w:szCs w:val="28"/>
                <w:highlight w:val="none"/>
                <w:lang w:val="en-US" w:eastAsia="zh-CN" w:bidi="ar-SA"/>
              </w:rPr>
              <w:t>报价</w:t>
            </w:r>
            <w:r>
              <w:rPr>
                <w:rFonts w:hint="eastAsia" w:ascii="Times New Roman" w:hAnsi="Times New Roman" w:eastAsia="仿宋_GB2312" w:cs="Times New Roman"/>
                <w:color w:val="auto"/>
                <w:kern w:val="0"/>
                <w:sz w:val="21"/>
                <w:szCs w:val="28"/>
                <w:highlight w:val="none"/>
                <w:lang w:val="en-US" w:eastAsia="zh-CN" w:bidi="ar-SA"/>
              </w:rPr>
              <w:t>单位公章。</w:t>
            </w:r>
          </w:p>
        </w:tc>
        <w:tc>
          <w:tcPr>
            <w:tcW w:w="436" w:type="pct"/>
            <w:vMerge w:val="restart"/>
            <w:vAlign w:val="center"/>
          </w:tcPr>
          <w:p w14:paraId="29C0B25D">
            <w:pPr>
              <w:adjustRightInd w:val="0"/>
              <w:snapToGrid w:val="0"/>
              <w:spacing w:line="240" w:lineRule="auto"/>
              <w:ind w:left="0" w:leftChars="0" w:firstLine="0" w:firstLineChars="0"/>
              <w:jc w:val="center"/>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15</w:t>
            </w:r>
          </w:p>
        </w:tc>
      </w:tr>
      <w:tr w14:paraId="39A20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1" w:type="pct"/>
            <w:vMerge w:val="continue"/>
            <w:vAlign w:val="center"/>
          </w:tcPr>
          <w:p w14:paraId="18C88626">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599" w:type="pct"/>
            <w:vMerge w:val="continue"/>
            <w:vAlign w:val="center"/>
          </w:tcPr>
          <w:p w14:paraId="682B7F5A">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3492" w:type="pct"/>
            <w:vAlign w:val="center"/>
          </w:tcPr>
          <w:p w14:paraId="0CF32BF4">
            <w:pPr>
              <w:adjustRightInd w:val="0"/>
              <w:snapToGrid w:val="0"/>
              <w:spacing w:line="240" w:lineRule="auto"/>
              <w:ind w:left="0" w:leftChars="0" w:firstLine="0" w:firstLineChars="0"/>
              <w:jc w:val="left"/>
              <w:rPr>
                <w:rFonts w:hint="eastAsia"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2</w:t>
            </w:r>
            <w:r>
              <w:rPr>
                <w:rFonts w:hint="eastAsia" w:ascii="Times New Roman" w:hAnsi="Times New Roman" w:eastAsia="仿宋_GB2312" w:cs="Times New Roman"/>
                <w:color w:val="auto"/>
                <w:kern w:val="0"/>
                <w:sz w:val="21"/>
                <w:szCs w:val="28"/>
                <w:highlight w:val="none"/>
                <w:lang w:val="en-US" w:eastAsia="zh-CN" w:bidi="ar-SA"/>
              </w:rPr>
              <w:t>、供应商</w:t>
            </w:r>
            <w:r>
              <w:rPr>
                <w:rFonts w:hint="eastAsia" w:eastAsia="仿宋_GB2312" w:cs="Times New Roman"/>
                <w:color w:val="auto"/>
                <w:kern w:val="0"/>
                <w:sz w:val="21"/>
                <w:szCs w:val="28"/>
                <w:highlight w:val="none"/>
                <w:lang w:val="en-US" w:eastAsia="zh-CN" w:bidi="ar-SA"/>
              </w:rPr>
              <w:t>原生态环境部</w:t>
            </w:r>
            <w:r>
              <w:rPr>
                <w:rFonts w:hint="eastAsia" w:ascii="Times New Roman" w:hAnsi="Times New Roman" w:eastAsia="仿宋_GB2312" w:cs="Times New Roman"/>
                <w:color w:val="auto"/>
                <w:kern w:val="0"/>
                <w:sz w:val="21"/>
                <w:szCs w:val="28"/>
                <w:highlight w:val="none"/>
                <w:lang w:val="en-US" w:eastAsia="zh-CN" w:bidi="ar-SA"/>
              </w:rPr>
              <w:t>颁发的环境</w:t>
            </w:r>
            <w:r>
              <w:rPr>
                <w:rFonts w:hint="eastAsia" w:eastAsia="仿宋_GB2312" w:cs="Times New Roman"/>
                <w:color w:val="auto"/>
                <w:kern w:val="0"/>
                <w:sz w:val="21"/>
                <w:szCs w:val="28"/>
                <w:highlight w:val="none"/>
                <w:lang w:val="en-US" w:eastAsia="zh-CN" w:bidi="ar-SA"/>
              </w:rPr>
              <w:t>评价</w:t>
            </w:r>
            <w:r>
              <w:rPr>
                <w:rFonts w:hint="eastAsia" w:ascii="Times New Roman" w:hAnsi="Times New Roman" w:eastAsia="仿宋_GB2312" w:cs="Times New Roman"/>
                <w:color w:val="auto"/>
                <w:kern w:val="0"/>
                <w:sz w:val="21"/>
                <w:szCs w:val="28"/>
                <w:highlight w:val="none"/>
                <w:lang w:val="en-US" w:eastAsia="zh-CN" w:bidi="ar-SA"/>
              </w:rPr>
              <w:t>资质甲级资质证书的得</w:t>
            </w:r>
            <w:r>
              <w:rPr>
                <w:rFonts w:hint="eastAsia" w:eastAsia="仿宋_GB2312" w:cs="Times New Roman"/>
                <w:color w:val="auto"/>
                <w:kern w:val="0"/>
                <w:sz w:val="21"/>
                <w:szCs w:val="28"/>
                <w:highlight w:val="none"/>
                <w:lang w:val="en-US" w:eastAsia="zh-CN" w:bidi="ar-SA"/>
              </w:rPr>
              <w:t>6</w:t>
            </w:r>
            <w:r>
              <w:rPr>
                <w:rFonts w:hint="eastAsia" w:ascii="Times New Roman" w:hAnsi="Times New Roman" w:eastAsia="仿宋_GB2312" w:cs="Times New Roman"/>
                <w:color w:val="auto"/>
                <w:kern w:val="0"/>
                <w:sz w:val="21"/>
                <w:szCs w:val="28"/>
                <w:highlight w:val="none"/>
                <w:lang w:val="en-US" w:eastAsia="zh-CN" w:bidi="ar-SA"/>
              </w:rPr>
              <w:t>分，乙级资质证书得</w:t>
            </w: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分，没有的不得分。</w:t>
            </w:r>
          </w:p>
          <w:p w14:paraId="1348A104">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注：需提供证书复印件或四库一平台上有效期内的截图并加盖</w:t>
            </w:r>
            <w:r>
              <w:rPr>
                <w:rFonts w:hint="eastAsia" w:eastAsia="仿宋_GB2312" w:cs="Times New Roman"/>
                <w:color w:val="auto"/>
                <w:kern w:val="0"/>
                <w:sz w:val="21"/>
                <w:szCs w:val="28"/>
                <w:highlight w:val="none"/>
                <w:lang w:val="en-US" w:eastAsia="zh-CN" w:bidi="ar-SA"/>
              </w:rPr>
              <w:t>报价</w:t>
            </w:r>
            <w:r>
              <w:rPr>
                <w:rFonts w:hint="eastAsia" w:ascii="Times New Roman" w:hAnsi="Times New Roman" w:eastAsia="仿宋_GB2312" w:cs="Times New Roman"/>
                <w:color w:val="auto"/>
                <w:kern w:val="0"/>
                <w:sz w:val="21"/>
                <w:szCs w:val="28"/>
                <w:highlight w:val="none"/>
                <w:lang w:val="en-US" w:eastAsia="zh-CN" w:bidi="ar-SA"/>
              </w:rPr>
              <w:t>单位公章。</w:t>
            </w:r>
            <w:bookmarkStart w:id="1" w:name="_GoBack"/>
            <w:bookmarkEnd w:id="1"/>
          </w:p>
        </w:tc>
        <w:tc>
          <w:tcPr>
            <w:tcW w:w="436" w:type="pct"/>
            <w:vMerge w:val="continue"/>
            <w:vAlign w:val="center"/>
          </w:tcPr>
          <w:p w14:paraId="2256BFA5">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r>
      <w:tr w14:paraId="403EA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1" w:type="pct"/>
            <w:vMerge w:val="continue"/>
            <w:vAlign w:val="center"/>
          </w:tcPr>
          <w:p w14:paraId="493B1A80">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599" w:type="pct"/>
            <w:vMerge w:val="continue"/>
            <w:vAlign w:val="center"/>
          </w:tcPr>
          <w:p w14:paraId="5B591744">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3492" w:type="pct"/>
            <w:vAlign w:val="center"/>
          </w:tcPr>
          <w:p w14:paraId="143B0FE3">
            <w:pPr>
              <w:adjustRightInd w:val="0"/>
              <w:snapToGrid w:val="0"/>
              <w:spacing w:line="240" w:lineRule="auto"/>
              <w:ind w:left="0" w:leftChars="0" w:firstLine="0" w:firstLineChars="0"/>
              <w:jc w:val="left"/>
              <w:rPr>
                <w:rFonts w:hint="eastAsia"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、供应商持证环评工程师数量在10人及以下得</w:t>
            </w:r>
            <w:r>
              <w:rPr>
                <w:rFonts w:hint="eastAsia" w:eastAsia="仿宋_GB2312" w:cs="Times New Roman"/>
                <w:color w:val="auto"/>
                <w:kern w:val="0"/>
                <w:sz w:val="21"/>
                <w:szCs w:val="28"/>
                <w:highlight w:val="none"/>
                <w:lang w:val="en-US" w:eastAsia="zh-CN" w:bidi="ar-SA"/>
              </w:rPr>
              <w:t>2</w:t>
            </w:r>
            <w:r>
              <w:rPr>
                <w:rFonts w:hint="eastAsia" w:ascii="Times New Roman" w:hAnsi="Times New Roman" w:eastAsia="仿宋_GB2312" w:cs="Times New Roman"/>
                <w:color w:val="auto"/>
                <w:kern w:val="0"/>
                <w:sz w:val="21"/>
                <w:szCs w:val="28"/>
                <w:highlight w:val="none"/>
                <w:lang w:val="en-US" w:eastAsia="zh-CN" w:bidi="ar-SA"/>
              </w:rPr>
              <w:t>分，10人以上30人及以下得</w:t>
            </w:r>
            <w:r>
              <w:rPr>
                <w:rFonts w:hint="eastAsia" w:eastAsia="仿宋_GB2312" w:cs="Times New Roman"/>
                <w:color w:val="auto"/>
                <w:kern w:val="0"/>
                <w:sz w:val="21"/>
                <w:szCs w:val="28"/>
                <w:highlight w:val="none"/>
                <w:lang w:val="en-US" w:eastAsia="zh-CN" w:bidi="ar-SA"/>
              </w:rPr>
              <w:t>4</w:t>
            </w:r>
            <w:r>
              <w:rPr>
                <w:rFonts w:hint="eastAsia" w:ascii="Times New Roman" w:hAnsi="Times New Roman" w:eastAsia="仿宋_GB2312" w:cs="Times New Roman"/>
                <w:color w:val="auto"/>
                <w:kern w:val="0"/>
                <w:sz w:val="21"/>
                <w:szCs w:val="28"/>
                <w:highlight w:val="none"/>
                <w:lang w:val="en-US" w:eastAsia="zh-CN" w:bidi="ar-SA"/>
              </w:rPr>
              <w:t>分，30以上得</w:t>
            </w:r>
            <w:r>
              <w:rPr>
                <w:rFonts w:hint="eastAsia" w:eastAsia="仿宋_GB2312" w:cs="Times New Roman"/>
                <w:color w:val="auto"/>
                <w:kern w:val="0"/>
                <w:sz w:val="21"/>
                <w:szCs w:val="28"/>
                <w:highlight w:val="none"/>
                <w:lang w:val="en-US" w:eastAsia="zh-CN" w:bidi="ar-SA"/>
              </w:rPr>
              <w:t>6</w:t>
            </w:r>
            <w:r>
              <w:rPr>
                <w:rFonts w:hint="eastAsia" w:ascii="Times New Roman" w:hAnsi="Times New Roman" w:eastAsia="仿宋_GB2312" w:cs="Times New Roman"/>
                <w:color w:val="auto"/>
                <w:kern w:val="0"/>
                <w:sz w:val="21"/>
                <w:szCs w:val="28"/>
                <w:highlight w:val="none"/>
                <w:lang w:val="en-US" w:eastAsia="zh-CN" w:bidi="ar-SA"/>
              </w:rPr>
              <w:t>分。</w:t>
            </w:r>
          </w:p>
          <w:p w14:paraId="287CBA34">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注：环评工程师数量提供</w:t>
            </w:r>
            <w:r>
              <w:rPr>
                <w:rFonts w:hint="eastAsia" w:eastAsia="仿宋_GB2312" w:cs="Times New Roman"/>
                <w:color w:val="auto"/>
                <w:kern w:val="0"/>
                <w:sz w:val="21"/>
                <w:szCs w:val="28"/>
                <w:highlight w:val="none"/>
                <w:lang w:val="en-US" w:eastAsia="zh-CN" w:bidi="ar-SA"/>
              </w:rPr>
              <w:t>采购</w:t>
            </w:r>
            <w:r>
              <w:rPr>
                <w:rFonts w:hint="eastAsia" w:ascii="Times New Roman" w:hAnsi="Times New Roman" w:eastAsia="仿宋_GB2312" w:cs="Times New Roman"/>
                <w:color w:val="auto"/>
                <w:kern w:val="0"/>
                <w:sz w:val="21"/>
                <w:szCs w:val="28"/>
                <w:highlight w:val="none"/>
                <w:lang w:val="en-US" w:eastAsia="zh-CN" w:bidi="ar-SA"/>
              </w:rPr>
              <w:t>文件发布日后的全国环境影响评价信用平台截图，不提供的不得分。</w:t>
            </w:r>
          </w:p>
        </w:tc>
        <w:tc>
          <w:tcPr>
            <w:tcW w:w="436" w:type="pct"/>
            <w:vMerge w:val="continue"/>
            <w:vAlign w:val="center"/>
          </w:tcPr>
          <w:p w14:paraId="1D88BE4C">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r>
      <w:tr w14:paraId="3DB29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471" w:type="pct"/>
            <w:vMerge w:val="restart"/>
            <w:vAlign w:val="center"/>
          </w:tcPr>
          <w:p w14:paraId="70DA7DD8">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2</w:t>
            </w:r>
          </w:p>
        </w:tc>
        <w:tc>
          <w:tcPr>
            <w:tcW w:w="599" w:type="pct"/>
            <w:vMerge w:val="restart"/>
            <w:vAlign w:val="center"/>
          </w:tcPr>
          <w:p w14:paraId="56EB6709">
            <w:pPr>
              <w:adjustRightInd w:val="0"/>
              <w:snapToGrid w:val="0"/>
              <w:spacing w:line="240" w:lineRule="auto"/>
              <w:ind w:left="0" w:leftChars="0" w:firstLine="0" w:firstLineChars="0"/>
              <w:jc w:val="both"/>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项目负责人及项目组成员</w:t>
            </w:r>
          </w:p>
        </w:tc>
        <w:tc>
          <w:tcPr>
            <w:tcW w:w="3492" w:type="pct"/>
            <w:vAlign w:val="center"/>
          </w:tcPr>
          <w:p w14:paraId="241A999B">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1、项目负责人具有环境保护类高级工程师职称证书的，得</w:t>
            </w:r>
            <w:r>
              <w:rPr>
                <w:rFonts w:hint="eastAsia" w:eastAsia="仿宋_GB2312" w:cs="Times New Roman"/>
                <w:color w:val="auto"/>
                <w:kern w:val="0"/>
                <w:sz w:val="21"/>
                <w:szCs w:val="28"/>
                <w:highlight w:val="none"/>
                <w:lang w:val="en-US" w:eastAsia="zh-CN" w:bidi="ar-SA"/>
              </w:rPr>
              <w:t>5</w:t>
            </w:r>
            <w:r>
              <w:rPr>
                <w:rFonts w:hint="eastAsia" w:ascii="Times New Roman" w:hAnsi="Times New Roman" w:eastAsia="仿宋_GB2312" w:cs="Times New Roman"/>
                <w:color w:val="auto"/>
                <w:kern w:val="0"/>
                <w:sz w:val="21"/>
                <w:szCs w:val="28"/>
                <w:highlight w:val="none"/>
                <w:lang w:val="en-US" w:eastAsia="zh-CN" w:bidi="ar-SA"/>
              </w:rPr>
              <w:t>分，</w:t>
            </w:r>
            <w:r>
              <w:rPr>
                <w:rFonts w:hint="eastAsia" w:eastAsia="仿宋_GB2312" w:cs="Times New Roman"/>
                <w:color w:val="auto"/>
                <w:kern w:val="0"/>
                <w:sz w:val="21"/>
                <w:szCs w:val="28"/>
                <w:highlight w:val="none"/>
                <w:lang w:val="en-US" w:eastAsia="zh-CN" w:bidi="ar-SA"/>
              </w:rPr>
              <w:t>没有本项不得分。</w:t>
            </w:r>
            <w:r>
              <w:rPr>
                <w:rFonts w:hint="eastAsia" w:ascii="Times New Roman" w:hAnsi="Times New Roman" w:eastAsia="仿宋_GB2312" w:cs="Times New Roman"/>
                <w:color w:val="auto"/>
                <w:kern w:val="0"/>
                <w:sz w:val="21"/>
                <w:szCs w:val="28"/>
                <w:highlight w:val="none"/>
                <w:lang w:val="en-US" w:eastAsia="zh-CN" w:bidi="ar-SA"/>
              </w:rPr>
              <w:t>本项最高得</w:t>
            </w:r>
            <w:r>
              <w:rPr>
                <w:rFonts w:hint="eastAsia" w:eastAsia="仿宋_GB2312" w:cs="Times New Roman"/>
                <w:color w:val="auto"/>
                <w:kern w:val="0"/>
                <w:sz w:val="21"/>
                <w:szCs w:val="28"/>
                <w:highlight w:val="none"/>
                <w:lang w:val="en-US" w:eastAsia="zh-CN" w:bidi="ar-SA"/>
              </w:rPr>
              <w:t>5</w:t>
            </w:r>
            <w:r>
              <w:rPr>
                <w:rFonts w:hint="eastAsia" w:ascii="Times New Roman" w:hAnsi="Times New Roman" w:eastAsia="仿宋_GB2312" w:cs="Times New Roman"/>
                <w:color w:val="auto"/>
                <w:kern w:val="0"/>
                <w:sz w:val="21"/>
                <w:szCs w:val="28"/>
                <w:highlight w:val="none"/>
                <w:lang w:val="en-US" w:eastAsia="zh-CN" w:bidi="ar-SA"/>
              </w:rPr>
              <w:t>分。</w:t>
            </w:r>
          </w:p>
        </w:tc>
        <w:tc>
          <w:tcPr>
            <w:tcW w:w="436" w:type="pct"/>
            <w:vMerge w:val="restart"/>
            <w:vAlign w:val="center"/>
          </w:tcPr>
          <w:p w14:paraId="7998686A">
            <w:pPr>
              <w:adjustRightInd w:val="0"/>
              <w:snapToGrid w:val="0"/>
              <w:spacing w:line="240" w:lineRule="auto"/>
              <w:ind w:left="0" w:leftChars="0" w:firstLine="0" w:firstLineChars="0"/>
              <w:jc w:val="center"/>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10</w:t>
            </w:r>
          </w:p>
        </w:tc>
      </w:tr>
      <w:tr w14:paraId="2FE20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1" w:hRule="atLeast"/>
          <w:jc w:val="center"/>
        </w:trPr>
        <w:tc>
          <w:tcPr>
            <w:tcW w:w="471" w:type="pct"/>
            <w:vMerge w:val="continue"/>
            <w:vAlign w:val="center"/>
          </w:tcPr>
          <w:p w14:paraId="7F9B4D16">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599" w:type="pct"/>
            <w:vMerge w:val="continue"/>
            <w:vAlign w:val="center"/>
          </w:tcPr>
          <w:p w14:paraId="6C3C2572">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3492" w:type="pct"/>
            <w:vAlign w:val="center"/>
          </w:tcPr>
          <w:p w14:paraId="333601DC">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2、项目组成员（除项目负责人外）具有环境保护类高级工程师及以上职称证书的，每有1人得1分</w:t>
            </w:r>
            <w:r>
              <w:rPr>
                <w:rFonts w:hint="eastAsia" w:eastAsia="仿宋_GB2312" w:cs="Times New Roman"/>
                <w:color w:val="auto"/>
                <w:kern w:val="0"/>
                <w:sz w:val="21"/>
                <w:szCs w:val="28"/>
                <w:highlight w:val="none"/>
                <w:lang w:val="en-US" w:eastAsia="zh-CN" w:bidi="ar-SA"/>
              </w:rPr>
              <w:t>。</w:t>
            </w:r>
            <w:r>
              <w:rPr>
                <w:rFonts w:hint="eastAsia" w:ascii="Times New Roman" w:hAnsi="Times New Roman" w:eastAsia="仿宋_GB2312" w:cs="Times New Roman"/>
                <w:color w:val="auto"/>
                <w:kern w:val="0"/>
                <w:sz w:val="21"/>
                <w:szCs w:val="28"/>
                <w:highlight w:val="none"/>
                <w:lang w:val="en-US" w:eastAsia="zh-CN" w:bidi="ar-SA"/>
              </w:rPr>
              <w:t>本项最高得</w:t>
            </w:r>
            <w:r>
              <w:rPr>
                <w:rFonts w:hint="eastAsia" w:eastAsia="仿宋_GB2312" w:cs="Times New Roman"/>
                <w:color w:val="auto"/>
                <w:kern w:val="0"/>
                <w:sz w:val="21"/>
                <w:szCs w:val="28"/>
                <w:highlight w:val="none"/>
                <w:lang w:val="en-US" w:eastAsia="zh-CN" w:bidi="ar-SA"/>
              </w:rPr>
              <w:t>5</w:t>
            </w:r>
            <w:r>
              <w:rPr>
                <w:rFonts w:hint="eastAsia" w:ascii="Times New Roman" w:hAnsi="Times New Roman" w:eastAsia="仿宋_GB2312" w:cs="Times New Roman"/>
                <w:color w:val="auto"/>
                <w:kern w:val="0"/>
                <w:sz w:val="21"/>
                <w:szCs w:val="28"/>
                <w:highlight w:val="none"/>
                <w:lang w:val="en-US" w:eastAsia="zh-CN" w:bidi="ar-SA"/>
              </w:rPr>
              <w:t>分。</w:t>
            </w:r>
          </w:p>
        </w:tc>
        <w:tc>
          <w:tcPr>
            <w:tcW w:w="436" w:type="pct"/>
            <w:vMerge w:val="continue"/>
            <w:vAlign w:val="center"/>
          </w:tcPr>
          <w:p w14:paraId="077918C0">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r>
      <w:tr w14:paraId="2CBFB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1" w:type="pct"/>
            <w:vMerge w:val="continue"/>
            <w:vAlign w:val="center"/>
          </w:tcPr>
          <w:p w14:paraId="555E0FC3">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599" w:type="pct"/>
            <w:vMerge w:val="continue"/>
            <w:vAlign w:val="center"/>
          </w:tcPr>
          <w:p w14:paraId="20098C9D">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3492" w:type="pct"/>
            <w:vAlign w:val="center"/>
          </w:tcPr>
          <w:p w14:paraId="01EEA07C">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注：需提供证书复印件，以及社保机构出具的</w:t>
            </w:r>
            <w:r>
              <w:rPr>
                <w:rFonts w:hint="eastAsia" w:eastAsia="仿宋_GB2312" w:cs="Times New Roman"/>
                <w:color w:val="auto"/>
                <w:kern w:val="0"/>
                <w:sz w:val="21"/>
                <w:szCs w:val="28"/>
                <w:highlight w:val="none"/>
                <w:lang w:val="en-US" w:eastAsia="zh-CN" w:bidi="ar-SA"/>
              </w:rPr>
              <w:t>报价</w:t>
            </w:r>
            <w:r>
              <w:rPr>
                <w:rFonts w:hint="eastAsia" w:ascii="Times New Roman" w:hAnsi="Times New Roman" w:eastAsia="仿宋_GB2312" w:cs="Times New Roman"/>
                <w:color w:val="auto"/>
                <w:kern w:val="0"/>
                <w:sz w:val="21"/>
                <w:szCs w:val="28"/>
                <w:highlight w:val="none"/>
                <w:lang w:val="en-US" w:eastAsia="zh-CN" w:bidi="ar-SA"/>
              </w:rPr>
              <w:t>企业为其缴纳的社会保险清单证明（</w:t>
            </w:r>
            <w:r>
              <w:rPr>
                <w:rFonts w:hint="eastAsia" w:eastAsia="仿宋_GB2312" w:cs="Times New Roman"/>
                <w:color w:val="auto"/>
                <w:kern w:val="0"/>
                <w:sz w:val="21"/>
                <w:szCs w:val="28"/>
                <w:highlight w:val="none"/>
                <w:lang w:val="en-US" w:eastAsia="zh-CN" w:bidi="ar-SA"/>
              </w:rPr>
              <w:t>评审前</w:t>
            </w:r>
            <w:r>
              <w:rPr>
                <w:rFonts w:hint="eastAsia" w:ascii="Times New Roman" w:hAnsi="Times New Roman" w:eastAsia="仿宋_GB2312" w:cs="Times New Roman"/>
                <w:color w:val="auto"/>
                <w:kern w:val="0"/>
                <w:sz w:val="21"/>
                <w:szCs w:val="28"/>
                <w:highlight w:val="none"/>
                <w:lang w:val="en-US" w:eastAsia="zh-CN" w:bidi="ar-SA"/>
              </w:rPr>
              <w:t>半年内任一个月），并加盖</w:t>
            </w:r>
            <w:r>
              <w:rPr>
                <w:rFonts w:hint="eastAsia" w:eastAsia="仿宋_GB2312" w:cs="Times New Roman"/>
                <w:color w:val="auto"/>
                <w:kern w:val="0"/>
                <w:sz w:val="21"/>
                <w:szCs w:val="28"/>
                <w:highlight w:val="none"/>
                <w:lang w:val="en-US" w:eastAsia="zh-CN" w:bidi="ar-SA"/>
              </w:rPr>
              <w:t>报价</w:t>
            </w:r>
            <w:r>
              <w:rPr>
                <w:rFonts w:hint="eastAsia" w:ascii="Times New Roman" w:hAnsi="Times New Roman" w:eastAsia="仿宋_GB2312" w:cs="Times New Roman"/>
                <w:color w:val="auto"/>
                <w:kern w:val="0"/>
                <w:sz w:val="21"/>
                <w:szCs w:val="28"/>
                <w:highlight w:val="none"/>
                <w:lang w:val="en-US" w:eastAsia="zh-CN" w:bidi="ar-SA"/>
              </w:rPr>
              <w:t>单位公章。</w:t>
            </w:r>
          </w:p>
        </w:tc>
        <w:tc>
          <w:tcPr>
            <w:tcW w:w="436" w:type="pct"/>
            <w:vMerge w:val="continue"/>
            <w:vAlign w:val="center"/>
          </w:tcPr>
          <w:p w14:paraId="6FEAE8B8">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r>
      <w:tr w14:paraId="13B3D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9" w:hRule="atLeast"/>
          <w:jc w:val="center"/>
        </w:trPr>
        <w:tc>
          <w:tcPr>
            <w:tcW w:w="471" w:type="pct"/>
            <w:vMerge w:val="restart"/>
            <w:vAlign w:val="center"/>
          </w:tcPr>
          <w:p w14:paraId="6C1C3253">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3</w:t>
            </w:r>
          </w:p>
        </w:tc>
        <w:tc>
          <w:tcPr>
            <w:tcW w:w="599" w:type="pct"/>
            <w:vMerge w:val="restart"/>
            <w:vAlign w:val="center"/>
          </w:tcPr>
          <w:p w14:paraId="3EBCBC1D">
            <w:pPr>
              <w:adjustRightInd w:val="0"/>
              <w:snapToGrid w:val="0"/>
              <w:spacing w:line="240" w:lineRule="auto"/>
              <w:ind w:left="0" w:leftChars="0" w:firstLine="0" w:firstLineChars="0"/>
              <w:jc w:val="both"/>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类似业绩</w:t>
            </w:r>
          </w:p>
        </w:tc>
        <w:tc>
          <w:tcPr>
            <w:tcW w:w="3492" w:type="pct"/>
            <w:vAlign w:val="center"/>
          </w:tcPr>
          <w:p w14:paraId="35496273">
            <w:pPr>
              <w:adjustRightInd w:val="0"/>
              <w:snapToGrid w:val="0"/>
              <w:spacing w:line="240" w:lineRule="auto"/>
              <w:ind w:left="0" w:leftChars="0" w:firstLine="0" w:firstLineChars="0"/>
              <w:jc w:val="left"/>
              <w:rPr>
                <w:rFonts w:hint="eastAsia" w:ascii="Times New Roman" w:hAnsi="Times New Roman" w:eastAsia="仿宋_GB2312" w:cs="Times New Roman"/>
                <w:color w:val="auto"/>
                <w:kern w:val="0"/>
                <w:sz w:val="21"/>
                <w:szCs w:val="28"/>
                <w:highlight w:val="none"/>
                <w:lang w:val="en-US" w:eastAsia="zh-CN" w:bidi="ar-SA"/>
              </w:rPr>
            </w:pPr>
            <w:r>
              <w:rPr>
                <w:rFonts w:ascii="Times New Roman" w:hAnsi="Times New Roman" w:eastAsia="仿宋_GB2312" w:cs="Times New Roman"/>
                <w:color w:val="auto"/>
                <w:kern w:val="0"/>
                <w:sz w:val="21"/>
                <w:szCs w:val="28"/>
                <w:highlight w:val="none"/>
                <w:lang w:val="en-US" w:eastAsia="zh-CN" w:bidi="ar-SA"/>
              </w:rPr>
              <w:t>1、20</w:t>
            </w:r>
            <w:r>
              <w:rPr>
                <w:rFonts w:hint="eastAsia" w:eastAsia="仿宋_GB2312" w:cs="Times New Roman"/>
                <w:color w:val="auto"/>
                <w:kern w:val="0"/>
                <w:sz w:val="21"/>
                <w:szCs w:val="28"/>
                <w:highlight w:val="none"/>
                <w:lang w:val="en-US" w:eastAsia="zh-CN" w:bidi="ar-SA"/>
              </w:rPr>
              <w:t>21</w:t>
            </w:r>
            <w:r>
              <w:rPr>
                <w:rFonts w:ascii="Times New Roman" w:hAnsi="Times New Roman" w:eastAsia="仿宋_GB2312" w:cs="Times New Roman"/>
                <w:color w:val="auto"/>
                <w:kern w:val="0"/>
                <w:sz w:val="21"/>
                <w:szCs w:val="28"/>
                <w:highlight w:val="none"/>
                <w:lang w:val="en-US" w:eastAsia="zh-CN" w:bidi="ar-SA"/>
              </w:rPr>
              <w:t>年1月1日以来（以合同签订时间为准</w:t>
            </w:r>
            <w:r>
              <w:rPr>
                <w:rFonts w:hint="eastAsia" w:ascii="Times New Roman" w:hAnsi="Times New Roman" w:eastAsia="仿宋_GB2312" w:cs="Times New Roman"/>
                <w:color w:val="auto"/>
                <w:kern w:val="0"/>
                <w:sz w:val="21"/>
                <w:szCs w:val="28"/>
                <w:highlight w:val="none"/>
                <w:lang w:val="en-US" w:eastAsia="zh-CN" w:bidi="ar-SA"/>
              </w:rPr>
              <w:t>）</w:t>
            </w:r>
            <w:r>
              <w:rPr>
                <w:rFonts w:ascii="Times New Roman" w:hAnsi="Times New Roman" w:eastAsia="仿宋_GB2312" w:cs="Times New Roman"/>
                <w:color w:val="auto"/>
                <w:kern w:val="0"/>
                <w:sz w:val="21"/>
                <w:szCs w:val="28"/>
                <w:highlight w:val="none"/>
                <w:lang w:val="en-US" w:eastAsia="zh-CN" w:bidi="ar-SA"/>
              </w:rPr>
              <w:t>，供应商承担过</w:t>
            </w:r>
            <w:r>
              <w:rPr>
                <w:rFonts w:hint="eastAsia" w:eastAsia="仿宋_GB2312" w:cs="Times New Roman"/>
                <w:color w:val="auto"/>
                <w:kern w:val="0"/>
                <w:sz w:val="21"/>
                <w:szCs w:val="28"/>
                <w:highlight w:val="none"/>
                <w:lang w:val="en-US" w:eastAsia="zh-CN" w:bidi="ar-SA"/>
              </w:rPr>
              <w:t>的</w:t>
            </w:r>
            <w:r>
              <w:rPr>
                <w:rFonts w:ascii="Times New Roman" w:hAnsi="Times New Roman" w:eastAsia="仿宋_GB2312" w:cs="Times New Roman"/>
                <w:color w:val="auto"/>
                <w:kern w:val="0"/>
                <w:sz w:val="21"/>
                <w:szCs w:val="28"/>
                <w:highlight w:val="none"/>
                <w:lang w:val="en-US" w:eastAsia="zh-CN" w:bidi="ar-SA"/>
              </w:rPr>
              <w:t>化工环评项目</w:t>
            </w:r>
            <w:r>
              <w:rPr>
                <w:rFonts w:hint="eastAsia" w:eastAsia="仿宋_GB2312" w:cs="Times New Roman"/>
                <w:color w:val="auto"/>
                <w:kern w:val="0"/>
                <w:sz w:val="21"/>
                <w:szCs w:val="28"/>
                <w:highlight w:val="none"/>
                <w:lang w:val="en-US" w:eastAsia="zh-CN" w:bidi="ar-SA"/>
              </w:rPr>
              <w:t>。其中单个</w:t>
            </w:r>
            <w:r>
              <w:rPr>
                <w:rFonts w:ascii="Times New Roman" w:hAnsi="Times New Roman" w:eastAsia="仿宋_GB2312" w:cs="Times New Roman"/>
                <w:color w:val="auto"/>
                <w:kern w:val="0"/>
                <w:sz w:val="21"/>
                <w:szCs w:val="28"/>
                <w:highlight w:val="none"/>
                <w:lang w:val="en-US" w:eastAsia="zh-CN" w:bidi="ar-SA"/>
              </w:rPr>
              <w:t>项目投资额</w:t>
            </w:r>
            <w:r>
              <w:rPr>
                <w:rFonts w:hint="eastAsia" w:eastAsia="仿宋_GB2312" w:cs="Times New Roman"/>
                <w:color w:val="auto"/>
                <w:kern w:val="0"/>
                <w:sz w:val="21"/>
                <w:szCs w:val="28"/>
                <w:highlight w:val="none"/>
                <w:lang w:val="en-US" w:eastAsia="zh-CN" w:bidi="ar-SA"/>
              </w:rPr>
              <w:t>高于</w:t>
            </w:r>
            <w:r>
              <w:rPr>
                <w:rFonts w:hint="eastAsia" w:ascii="Times New Roman" w:hAnsi="Times New Roman" w:eastAsia="仿宋_GB2312" w:cs="Times New Roman"/>
                <w:color w:val="auto"/>
                <w:kern w:val="0"/>
                <w:sz w:val="21"/>
                <w:szCs w:val="28"/>
                <w:highlight w:val="none"/>
                <w:lang w:val="en-US" w:eastAsia="zh-CN" w:bidi="ar-SA"/>
              </w:rPr>
              <w:t>5</w:t>
            </w:r>
            <w:r>
              <w:rPr>
                <w:rFonts w:ascii="Times New Roman" w:hAnsi="Times New Roman" w:eastAsia="仿宋_GB2312" w:cs="Times New Roman"/>
                <w:color w:val="auto"/>
                <w:kern w:val="0"/>
                <w:sz w:val="21"/>
                <w:szCs w:val="28"/>
                <w:highlight w:val="none"/>
                <w:lang w:val="en-US" w:eastAsia="zh-CN" w:bidi="ar-SA"/>
              </w:rPr>
              <w:t>亿元，每有一个得</w:t>
            </w:r>
            <w:r>
              <w:rPr>
                <w:rFonts w:hint="eastAsia" w:eastAsia="仿宋_GB2312" w:cs="Times New Roman"/>
                <w:color w:val="auto"/>
                <w:kern w:val="0"/>
                <w:sz w:val="21"/>
                <w:szCs w:val="28"/>
                <w:highlight w:val="none"/>
                <w:lang w:val="en-US" w:eastAsia="zh-CN" w:bidi="ar-SA"/>
              </w:rPr>
              <w:t>2.5</w:t>
            </w:r>
            <w:r>
              <w:rPr>
                <w:rFonts w:ascii="Times New Roman" w:hAnsi="Times New Roman" w:eastAsia="仿宋_GB2312" w:cs="Times New Roman"/>
                <w:color w:val="auto"/>
                <w:kern w:val="0"/>
                <w:sz w:val="21"/>
                <w:szCs w:val="28"/>
                <w:highlight w:val="none"/>
                <w:lang w:val="en-US" w:eastAsia="zh-CN" w:bidi="ar-SA"/>
              </w:rPr>
              <w:t>分</w:t>
            </w:r>
            <w:r>
              <w:rPr>
                <w:rFonts w:hint="eastAsia" w:ascii="Times New Roman" w:hAnsi="Times New Roman" w:eastAsia="仿宋_GB2312" w:cs="Times New Roman"/>
                <w:color w:val="auto"/>
                <w:kern w:val="0"/>
                <w:sz w:val="21"/>
                <w:szCs w:val="28"/>
                <w:highlight w:val="none"/>
                <w:lang w:val="en-US" w:eastAsia="zh-CN" w:bidi="ar-SA"/>
              </w:rPr>
              <w:t>，</w:t>
            </w:r>
            <w:r>
              <w:rPr>
                <w:rFonts w:ascii="Times New Roman" w:hAnsi="Times New Roman" w:eastAsia="仿宋_GB2312" w:cs="Times New Roman"/>
                <w:color w:val="auto"/>
                <w:kern w:val="0"/>
                <w:sz w:val="21"/>
                <w:szCs w:val="28"/>
                <w:highlight w:val="none"/>
                <w:lang w:val="en-US" w:eastAsia="zh-CN" w:bidi="ar-SA"/>
              </w:rPr>
              <w:t>最高得</w:t>
            </w:r>
            <w:r>
              <w:rPr>
                <w:rFonts w:hint="eastAsia" w:eastAsia="仿宋_GB2312" w:cs="Times New Roman"/>
                <w:color w:val="auto"/>
                <w:kern w:val="0"/>
                <w:sz w:val="21"/>
                <w:szCs w:val="28"/>
                <w:highlight w:val="none"/>
                <w:lang w:val="en-US" w:eastAsia="zh-CN" w:bidi="ar-SA"/>
              </w:rPr>
              <w:t>10</w:t>
            </w:r>
            <w:r>
              <w:rPr>
                <w:rFonts w:ascii="Times New Roman" w:hAnsi="Times New Roman" w:eastAsia="仿宋_GB2312" w:cs="Times New Roman"/>
                <w:color w:val="auto"/>
                <w:kern w:val="0"/>
                <w:sz w:val="21"/>
                <w:szCs w:val="28"/>
                <w:highlight w:val="none"/>
                <w:lang w:val="en-US" w:eastAsia="zh-CN" w:bidi="ar-SA"/>
              </w:rPr>
              <w:t>分</w:t>
            </w:r>
            <w:r>
              <w:rPr>
                <w:rFonts w:hint="eastAsia" w:ascii="Times New Roman" w:hAnsi="Times New Roman" w:eastAsia="仿宋_GB2312" w:cs="Times New Roman"/>
                <w:color w:val="auto"/>
                <w:kern w:val="0"/>
                <w:sz w:val="21"/>
                <w:szCs w:val="28"/>
                <w:highlight w:val="none"/>
                <w:lang w:val="en-US" w:eastAsia="zh-CN" w:bidi="ar-SA"/>
              </w:rPr>
              <w:t>；</w:t>
            </w:r>
          </w:p>
          <w:p w14:paraId="701AFF1B">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2、</w:t>
            </w:r>
            <w:r>
              <w:rPr>
                <w:rFonts w:ascii="Times New Roman" w:hAnsi="Times New Roman" w:eastAsia="仿宋_GB2312" w:cs="Times New Roman"/>
                <w:color w:val="auto"/>
                <w:kern w:val="0"/>
                <w:sz w:val="21"/>
                <w:szCs w:val="28"/>
                <w:highlight w:val="none"/>
                <w:lang w:val="en-US" w:eastAsia="zh-CN" w:bidi="ar-SA"/>
              </w:rPr>
              <w:t>承担</w:t>
            </w:r>
            <w:r>
              <w:rPr>
                <w:rFonts w:hint="eastAsia" w:eastAsia="仿宋_GB2312" w:cs="Times New Roman"/>
                <w:color w:val="auto"/>
                <w:kern w:val="0"/>
                <w:sz w:val="21"/>
                <w:szCs w:val="28"/>
                <w:highlight w:val="none"/>
                <w:lang w:val="en-US" w:eastAsia="zh-CN" w:bidi="ar-SA"/>
              </w:rPr>
              <w:t>单个</w:t>
            </w:r>
            <w:r>
              <w:rPr>
                <w:rFonts w:ascii="Times New Roman" w:hAnsi="Times New Roman" w:eastAsia="仿宋_GB2312" w:cs="Times New Roman"/>
                <w:color w:val="auto"/>
                <w:kern w:val="0"/>
                <w:sz w:val="21"/>
                <w:szCs w:val="28"/>
                <w:highlight w:val="none"/>
                <w:lang w:val="en-US" w:eastAsia="zh-CN" w:bidi="ar-SA"/>
              </w:rPr>
              <w:t>项目投资额</w:t>
            </w:r>
            <w:r>
              <w:rPr>
                <w:rFonts w:hint="eastAsia" w:eastAsia="仿宋_GB2312" w:cs="Times New Roman"/>
                <w:color w:val="auto"/>
                <w:kern w:val="0"/>
                <w:sz w:val="21"/>
                <w:szCs w:val="28"/>
                <w:highlight w:val="none"/>
                <w:lang w:val="en-US" w:eastAsia="zh-CN" w:bidi="ar-SA"/>
              </w:rPr>
              <w:t>高于1</w:t>
            </w:r>
            <w:r>
              <w:rPr>
                <w:rFonts w:ascii="Times New Roman" w:hAnsi="Times New Roman" w:eastAsia="仿宋_GB2312" w:cs="Times New Roman"/>
                <w:color w:val="auto"/>
                <w:kern w:val="0"/>
                <w:sz w:val="21"/>
                <w:szCs w:val="28"/>
                <w:highlight w:val="none"/>
                <w:lang w:val="en-US" w:eastAsia="zh-CN" w:bidi="ar-SA"/>
              </w:rPr>
              <w:t>亿元，每有一个得</w:t>
            </w:r>
            <w:r>
              <w:rPr>
                <w:rFonts w:hint="eastAsia" w:eastAsia="仿宋_GB2312" w:cs="Times New Roman"/>
                <w:color w:val="auto"/>
                <w:kern w:val="0"/>
                <w:sz w:val="21"/>
                <w:szCs w:val="28"/>
                <w:highlight w:val="none"/>
                <w:lang w:val="en-US" w:eastAsia="zh-CN" w:bidi="ar-SA"/>
              </w:rPr>
              <w:t>2</w:t>
            </w:r>
            <w:r>
              <w:rPr>
                <w:rFonts w:ascii="Times New Roman" w:hAnsi="Times New Roman" w:eastAsia="仿宋_GB2312" w:cs="Times New Roman"/>
                <w:color w:val="auto"/>
                <w:kern w:val="0"/>
                <w:sz w:val="21"/>
                <w:szCs w:val="28"/>
                <w:highlight w:val="none"/>
                <w:lang w:val="en-US" w:eastAsia="zh-CN" w:bidi="ar-SA"/>
              </w:rPr>
              <w:t>分，最高得</w:t>
            </w:r>
            <w:r>
              <w:rPr>
                <w:rFonts w:hint="eastAsia" w:eastAsia="仿宋_GB2312" w:cs="Times New Roman"/>
                <w:color w:val="auto"/>
                <w:kern w:val="0"/>
                <w:sz w:val="21"/>
                <w:szCs w:val="28"/>
                <w:highlight w:val="none"/>
                <w:lang w:val="en-US" w:eastAsia="zh-CN" w:bidi="ar-SA"/>
              </w:rPr>
              <w:t>4</w:t>
            </w:r>
            <w:r>
              <w:rPr>
                <w:rFonts w:ascii="Times New Roman" w:hAnsi="Times New Roman" w:eastAsia="仿宋_GB2312" w:cs="Times New Roman"/>
                <w:color w:val="auto"/>
                <w:kern w:val="0"/>
                <w:sz w:val="21"/>
                <w:szCs w:val="28"/>
                <w:highlight w:val="none"/>
                <w:lang w:val="en-US" w:eastAsia="zh-CN" w:bidi="ar-SA"/>
              </w:rPr>
              <w:t>分</w:t>
            </w:r>
            <w:r>
              <w:rPr>
                <w:rFonts w:hint="eastAsia" w:eastAsia="仿宋_GB2312" w:cs="Times New Roman"/>
                <w:color w:val="auto"/>
                <w:kern w:val="0"/>
                <w:sz w:val="21"/>
                <w:szCs w:val="28"/>
                <w:highlight w:val="none"/>
                <w:lang w:val="en-US" w:eastAsia="zh-CN" w:bidi="ar-SA"/>
              </w:rPr>
              <w:t>；</w:t>
            </w:r>
          </w:p>
          <w:p w14:paraId="13BA0F24">
            <w:pPr>
              <w:adjustRightInd w:val="0"/>
              <w:snapToGrid w:val="0"/>
              <w:spacing w:line="240" w:lineRule="auto"/>
              <w:ind w:left="0" w:leftChars="0" w:firstLine="0" w:firstLineChars="0"/>
              <w:jc w:val="left"/>
              <w:rPr>
                <w:rFonts w:hint="eastAsia" w:ascii="Times New Roman" w:hAnsi="Times New Roman" w:eastAsia="仿宋_GB2312" w:cs="Times New Roman"/>
                <w:color w:val="auto"/>
                <w:kern w:val="0"/>
                <w:sz w:val="21"/>
                <w:szCs w:val="28"/>
                <w:highlight w:val="none"/>
                <w:lang w:val="en-US" w:eastAsia="zh-CN" w:bidi="ar-SA"/>
              </w:rPr>
            </w:pPr>
            <w:r>
              <w:rPr>
                <w:rFonts w:ascii="Times New Roman" w:hAnsi="Times New Roman" w:eastAsia="仿宋_GB2312" w:cs="Times New Roman"/>
                <w:color w:val="auto"/>
                <w:kern w:val="0"/>
                <w:sz w:val="21"/>
                <w:szCs w:val="28"/>
                <w:highlight w:val="none"/>
                <w:lang w:val="en-US" w:eastAsia="zh-CN" w:bidi="ar-SA"/>
              </w:rPr>
              <w:t>注：</w:t>
            </w:r>
            <w:r>
              <w:rPr>
                <w:rFonts w:hint="eastAsia" w:eastAsia="仿宋_GB2312" w:cs="Times New Roman"/>
                <w:color w:val="auto"/>
                <w:kern w:val="0"/>
                <w:sz w:val="21"/>
                <w:szCs w:val="28"/>
                <w:highlight w:val="none"/>
                <w:lang w:val="en-US" w:eastAsia="zh-CN" w:bidi="ar-SA"/>
              </w:rPr>
              <w:t>报价</w:t>
            </w:r>
            <w:r>
              <w:rPr>
                <w:rFonts w:ascii="Times New Roman" w:hAnsi="Times New Roman" w:eastAsia="仿宋_GB2312" w:cs="Times New Roman"/>
                <w:color w:val="auto"/>
                <w:kern w:val="0"/>
                <w:sz w:val="21"/>
                <w:szCs w:val="28"/>
                <w:highlight w:val="none"/>
                <w:lang w:val="en-US" w:eastAsia="zh-CN" w:bidi="ar-SA"/>
              </w:rPr>
              <w:t>文件中需提供合同复印件</w:t>
            </w:r>
            <w:r>
              <w:rPr>
                <w:rFonts w:hint="eastAsia" w:ascii="Times New Roman" w:hAnsi="Times New Roman" w:eastAsia="仿宋_GB2312" w:cs="Times New Roman"/>
                <w:color w:val="auto"/>
                <w:kern w:val="0"/>
                <w:sz w:val="21"/>
                <w:szCs w:val="28"/>
                <w:highlight w:val="none"/>
                <w:lang w:val="en-US" w:eastAsia="zh-CN" w:bidi="ar-SA"/>
              </w:rPr>
              <w:t>及相关证明</w:t>
            </w:r>
            <w:r>
              <w:rPr>
                <w:rFonts w:ascii="Times New Roman" w:hAnsi="Times New Roman" w:eastAsia="仿宋_GB2312" w:cs="Times New Roman"/>
                <w:color w:val="auto"/>
                <w:kern w:val="0"/>
                <w:sz w:val="21"/>
                <w:szCs w:val="28"/>
                <w:highlight w:val="none"/>
                <w:lang w:val="en-US" w:eastAsia="zh-CN" w:bidi="ar-SA"/>
              </w:rPr>
              <w:t>并加盖</w:t>
            </w:r>
            <w:r>
              <w:rPr>
                <w:rFonts w:hint="eastAsia" w:eastAsia="仿宋_GB2312" w:cs="Times New Roman"/>
                <w:color w:val="auto"/>
                <w:kern w:val="0"/>
                <w:sz w:val="21"/>
                <w:szCs w:val="28"/>
                <w:highlight w:val="none"/>
                <w:lang w:val="en-US" w:eastAsia="zh-CN" w:bidi="ar-SA"/>
              </w:rPr>
              <w:t>报价</w:t>
            </w:r>
            <w:r>
              <w:rPr>
                <w:rFonts w:ascii="Times New Roman" w:hAnsi="Times New Roman" w:eastAsia="仿宋_GB2312" w:cs="Times New Roman"/>
                <w:color w:val="auto"/>
                <w:kern w:val="0"/>
                <w:sz w:val="21"/>
                <w:szCs w:val="28"/>
                <w:highlight w:val="none"/>
                <w:lang w:val="en-US" w:eastAsia="zh-CN" w:bidi="ar-SA"/>
              </w:rPr>
              <w:t>单位公章。</w:t>
            </w:r>
          </w:p>
        </w:tc>
        <w:tc>
          <w:tcPr>
            <w:tcW w:w="436" w:type="pct"/>
            <w:vAlign w:val="center"/>
          </w:tcPr>
          <w:p w14:paraId="3F3963BB">
            <w:pPr>
              <w:adjustRightInd w:val="0"/>
              <w:snapToGrid w:val="0"/>
              <w:spacing w:line="240" w:lineRule="auto"/>
              <w:ind w:left="0" w:leftChars="0" w:firstLine="0" w:firstLineChars="0"/>
              <w:jc w:val="center"/>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14</w:t>
            </w:r>
          </w:p>
        </w:tc>
      </w:tr>
      <w:tr w14:paraId="0D9BC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1" w:hRule="atLeast"/>
          <w:jc w:val="center"/>
        </w:trPr>
        <w:tc>
          <w:tcPr>
            <w:tcW w:w="471" w:type="pct"/>
            <w:vMerge w:val="continue"/>
            <w:vAlign w:val="center"/>
          </w:tcPr>
          <w:p w14:paraId="7D012D4E">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599" w:type="pct"/>
            <w:vMerge w:val="continue"/>
            <w:vAlign w:val="center"/>
          </w:tcPr>
          <w:p w14:paraId="1CA1EBFA">
            <w:pPr>
              <w:adjustRightInd w:val="0"/>
              <w:snapToGrid w:val="0"/>
              <w:spacing w:line="240" w:lineRule="auto"/>
              <w:jc w:val="center"/>
              <w:rPr>
                <w:rFonts w:ascii="Times New Roman" w:hAnsi="Times New Roman" w:eastAsia="仿宋_GB2312" w:cs="Times New Roman"/>
                <w:color w:val="auto"/>
                <w:kern w:val="0"/>
                <w:sz w:val="21"/>
                <w:szCs w:val="28"/>
                <w:highlight w:val="none"/>
                <w:lang w:val="en-US" w:eastAsia="zh-CN" w:bidi="ar-SA"/>
              </w:rPr>
            </w:pPr>
          </w:p>
        </w:tc>
        <w:tc>
          <w:tcPr>
            <w:tcW w:w="3492" w:type="pct"/>
            <w:vAlign w:val="center"/>
          </w:tcPr>
          <w:p w14:paraId="53084657">
            <w:pPr>
              <w:adjustRightInd w:val="0"/>
              <w:snapToGrid w:val="0"/>
              <w:spacing w:line="240" w:lineRule="auto"/>
              <w:ind w:left="0" w:leftChars="0" w:firstLine="0" w:firstLineChars="0"/>
              <w:jc w:val="left"/>
              <w:rPr>
                <w:rFonts w:hint="eastAsia"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、供应商承担的环境影响评价项目获得过省</w:t>
            </w:r>
            <w:r>
              <w:rPr>
                <w:rFonts w:hint="eastAsia" w:eastAsia="仿宋_GB2312" w:cs="Times New Roman"/>
                <w:color w:val="auto"/>
                <w:kern w:val="0"/>
                <w:sz w:val="21"/>
                <w:szCs w:val="28"/>
                <w:highlight w:val="none"/>
                <w:lang w:val="en-US" w:eastAsia="zh-CN" w:bidi="ar-SA"/>
              </w:rPr>
              <w:t>级</w:t>
            </w:r>
            <w:r>
              <w:rPr>
                <w:rFonts w:hint="eastAsia" w:ascii="Times New Roman" w:hAnsi="Times New Roman" w:eastAsia="仿宋_GB2312" w:cs="Times New Roman"/>
                <w:color w:val="auto"/>
                <w:kern w:val="0"/>
                <w:sz w:val="21"/>
                <w:szCs w:val="28"/>
                <w:highlight w:val="none"/>
                <w:lang w:val="en-US" w:eastAsia="zh-CN" w:bidi="ar-SA"/>
              </w:rPr>
              <w:t>环境影响评价优秀报告书成果奖，一等奖每提供1个得2分；二等奖每提供1个得1分；三等奖每提供1个得0.5分。本项最高得</w:t>
            </w:r>
            <w:r>
              <w:rPr>
                <w:rFonts w:hint="eastAsia" w:eastAsia="仿宋_GB2312" w:cs="Times New Roman"/>
                <w:color w:val="auto"/>
                <w:kern w:val="0"/>
                <w:sz w:val="21"/>
                <w:szCs w:val="28"/>
                <w:highlight w:val="none"/>
                <w:lang w:val="en-US" w:eastAsia="zh-CN" w:bidi="ar-SA"/>
              </w:rPr>
              <w:t>6</w:t>
            </w:r>
            <w:r>
              <w:rPr>
                <w:rFonts w:hint="eastAsia" w:ascii="Times New Roman" w:hAnsi="Times New Roman" w:eastAsia="仿宋_GB2312" w:cs="Times New Roman"/>
                <w:color w:val="auto"/>
                <w:kern w:val="0"/>
                <w:sz w:val="21"/>
                <w:szCs w:val="28"/>
                <w:highlight w:val="none"/>
                <w:lang w:val="en-US" w:eastAsia="zh-CN" w:bidi="ar-SA"/>
              </w:rPr>
              <w:t>分。</w:t>
            </w:r>
          </w:p>
          <w:p w14:paraId="5452D860">
            <w:pPr>
              <w:adjustRightInd w:val="0"/>
              <w:snapToGrid w:val="0"/>
              <w:spacing w:line="240" w:lineRule="auto"/>
              <w:ind w:left="0" w:leftChars="0" w:firstLine="0" w:firstLineChars="0"/>
              <w:jc w:val="left"/>
              <w:rPr>
                <w:rFonts w:hint="eastAsia"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注：</w:t>
            </w:r>
            <w:r>
              <w:rPr>
                <w:rFonts w:hint="eastAsia" w:eastAsia="仿宋_GB2312" w:cs="Times New Roman"/>
                <w:color w:val="auto"/>
                <w:kern w:val="0"/>
                <w:sz w:val="21"/>
                <w:szCs w:val="28"/>
                <w:highlight w:val="none"/>
                <w:lang w:val="en-US" w:eastAsia="zh-CN" w:bidi="ar-SA"/>
              </w:rPr>
              <w:t>报价</w:t>
            </w:r>
            <w:r>
              <w:rPr>
                <w:rFonts w:hint="eastAsia" w:ascii="Times New Roman" w:hAnsi="Times New Roman" w:eastAsia="仿宋_GB2312" w:cs="Times New Roman"/>
                <w:color w:val="auto"/>
                <w:kern w:val="0"/>
                <w:sz w:val="21"/>
                <w:szCs w:val="28"/>
                <w:highlight w:val="none"/>
                <w:lang w:val="en-US" w:eastAsia="zh-CN" w:bidi="ar-SA"/>
              </w:rPr>
              <w:t>文件中需提供获奖证明并加盖</w:t>
            </w:r>
            <w:r>
              <w:rPr>
                <w:rFonts w:hint="eastAsia" w:eastAsia="仿宋_GB2312" w:cs="Times New Roman"/>
                <w:color w:val="auto"/>
                <w:kern w:val="0"/>
                <w:sz w:val="21"/>
                <w:szCs w:val="28"/>
                <w:highlight w:val="none"/>
                <w:lang w:val="en-US" w:eastAsia="zh-CN" w:bidi="ar-SA"/>
              </w:rPr>
              <w:t>报价</w:t>
            </w:r>
            <w:r>
              <w:rPr>
                <w:rFonts w:hint="eastAsia" w:ascii="Times New Roman" w:hAnsi="Times New Roman" w:eastAsia="仿宋_GB2312" w:cs="Times New Roman"/>
                <w:color w:val="auto"/>
                <w:kern w:val="0"/>
                <w:sz w:val="21"/>
                <w:szCs w:val="28"/>
                <w:highlight w:val="none"/>
                <w:lang w:val="en-US" w:eastAsia="zh-CN" w:bidi="ar-SA"/>
              </w:rPr>
              <w:t>单位公章。</w:t>
            </w:r>
          </w:p>
        </w:tc>
        <w:tc>
          <w:tcPr>
            <w:tcW w:w="436" w:type="pct"/>
            <w:vAlign w:val="center"/>
          </w:tcPr>
          <w:p w14:paraId="6526D20B">
            <w:pPr>
              <w:adjustRightInd w:val="0"/>
              <w:snapToGrid w:val="0"/>
              <w:spacing w:line="240" w:lineRule="auto"/>
              <w:ind w:left="0" w:leftChars="0" w:firstLine="0" w:firstLineChars="0"/>
              <w:jc w:val="center"/>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6</w:t>
            </w:r>
          </w:p>
        </w:tc>
      </w:tr>
      <w:tr w14:paraId="35093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5000" w:type="pct"/>
            <w:gridSpan w:val="4"/>
            <w:vAlign w:val="center"/>
          </w:tcPr>
          <w:p w14:paraId="64D0C819">
            <w:pPr>
              <w:adjustRightInd w:val="0"/>
              <w:snapToGrid w:val="0"/>
              <w:spacing w:line="240" w:lineRule="auto"/>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三、技术方案F3（</w:t>
            </w:r>
            <w:r>
              <w:rPr>
                <w:rFonts w:hint="eastAsia" w:eastAsia="仿宋_GB2312" w:cs="Times New Roman"/>
                <w:color w:val="auto"/>
                <w:kern w:val="0"/>
                <w:sz w:val="21"/>
                <w:szCs w:val="28"/>
                <w:highlight w:val="none"/>
                <w:lang w:val="en-US" w:eastAsia="zh-CN" w:bidi="ar-SA"/>
              </w:rPr>
              <w:t>15</w:t>
            </w:r>
            <w:r>
              <w:rPr>
                <w:rFonts w:hint="eastAsia" w:ascii="Times New Roman" w:hAnsi="Times New Roman" w:eastAsia="仿宋_GB2312" w:cs="Times New Roman"/>
                <w:color w:val="auto"/>
                <w:kern w:val="0"/>
                <w:sz w:val="21"/>
                <w:szCs w:val="28"/>
                <w:highlight w:val="none"/>
                <w:lang w:val="en-US" w:eastAsia="zh-CN" w:bidi="ar-SA"/>
              </w:rPr>
              <w:t>分）</w:t>
            </w:r>
          </w:p>
        </w:tc>
      </w:tr>
      <w:tr w14:paraId="2C9C0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471" w:type="pct"/>
            <w:vAlign w:val="center"/>
          </w:tcPr>
          <w:p w14:paraId="6FC4D7E5">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1</w:t>
            </w:r>
          </w:p>
        </w:tc>
        <w:tc>
          <w:tcPr>
            <w:tcW w:w="599" w:type="pct"/>
            <w:vAlign w:val="center"/>
          </w:tcPr>
          <w:p w14:paraId="7710407B">
            <w:pPr>
              <w:adjustRightInd w:val="0"/>
              <w:snapToGrid w:val="0"/>
              <w:spacing w:line="240" w:lineRule="auto"/>
              <w:ind w:left="0" w:leftChars="0" w:firstLine="0" w:firstLineChars="0"/>
              <w:jc w:val="center"/>
              <w:rPr>
                <w:rFonts w:hint="eastAsia"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项目</w:t>
            </w:r>
          </w:p>
          <w:p w14:paraId="15316EFA">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理解</w:t>
            </w:r>
          </w:p>
        </w:tc>
        <w:tc>
          <w:tcPr>
            <w:tcW w:w="3492" w:type="pct"/>
            <w:vAlign w:val="center"/>
          </w:tcPr>
          <w:p w14:paraId="66E879B0">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供应商对本项目主要工作内容的认识、工作重难点的分析，根据材料的完整性，分为</w:t>
            </w: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分、2分、1分。</w:t>
            </w:r>
          </w:p>
        </w:tc>
        <w:tc>
          <w:tcPr>
            <w:tcW w:w="436" w:type="pct"/>
            <w:vAlign w:val="center"/>
          </w:tcPr>
          <w:p w14:paraId="4AAFF520">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3</w:t>
            </w:r>
          </w:p>
        </w:tc>
      </w:tr>
      <w:tr w14:paraId="76874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1" w:type="pct"/>
            <w:vAlign w:val="center"/>
          </w:tcPr>
          <w:p w14:paraId="5D44E9F5">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2</w:t>
            </w:r>
          </w:p>
        </w:tc>
        <w:tc>
          <w:tcPr>
            <w:tcW w:w="599" w:type="pct"/>
            <w:vAlign w:val="center"/>
          </w:tcPr>
          <w:p w14:paraId="7AA453EE">
            <w:pPr>
              <w:adjustRightInd w:val="0"/>
              <w:snapToGrid w:val="0"/>
              <w:spacing w:line="240" w:lineRule="auto"/>
              <w:ind w:left="0" w:leftChars="0" w:firstLine="0" w:firstLineChars="0"/>
              <w:jc w:val="center"/>
              <w:rPr>
                <w:rFonts w:hint="eastAsia"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技术</w:t>
            </w:r>
          </w:p>
          <w:p w14:paraId="7BDD062A">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方案</w:t>
            </w:r>
          </w:p>
        </w:tc>
        <w:tc>
          <w:tcPr>
            <w:tcW w:w="3492" w:type="pct"/>
            <w:vAlign w:val="center"/>
          </w:tcPr>
          <w:p w14:paraId="1EFC0191">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技术方案的明晰程度、符合性、合理性、可行性</w:t>
            </w:r>
            <w:r>
              <w:rPr>
                <w:rFonts w:hint="eastAsia" w:eastAsia="仿宋_GB2312" w:cs="Times New Roman"/>
                <w:color w:val="auto"/>
                <w:kern w:val="0"/>
                <w:sz w:val="21"/>
                <w:szCs w:val="28"/>
                <w:highlight w:val="none"/>
                <w:lang w:val="en-US" w:eastAsia="zh-CN" w:bidi="ar-SA"/>
              </w:rPr>
              <w:t>和可</w:t>
            </w:r>
            <w:r>
              <w:rPr>
                <w:rFonts w:hint="eastAsia" w:ascii="Times New Roman" w:hAnsi="Times New Roman" w:eastAsia="仿宋_GB2312" w:cs="Times New Roman"/>
                <w:color w:val="auto"/>
                <w:kern w:val="0"/>
                <w:sz w:val="21"/>
                <w:szCs w:val="28"/>
                <w:highlight w:val="none"/>
                <w:lang w:val="en-US" w:eastAsia="zh-CN" w:bidi="ar-SA"/>
              </w:rPr>
              <w:t>操作性等方面的内容综合评审，根据材料的完整性，分为</w:t>
            </w:r>
            <w:r>
              <w:rPr>
                <w:rFonts w:hint="eastAsia" w:eastAsia="仿宋_GB2312" w:cs="Times New Roman"/>
                <w:color w:val="auto"/>
                <w:kern w:val="0"/>
                <w:sz w:val="21"/>
                <w:szCs w:val="28"/>
                <w:highlight w:val="none"/>
                <w:lang w:val="en-US" w:eastAsia="zh-CN" w:bidi="ar-SA"/>
              </w:rPr>
              <w:t>4分</w:t>
            </w:r>
            <w:r>
              <w:rPr>
                <w:rFonts w:hint="eastAsia" w:ascii="Times New Roman" w:hAnsi="Times New Roman" w:eastAsia="仿宋_GB2312" w:cs="Times New Roman"/>
                <w:color w:val="auto"/>
                <w:kern w:val="0"/>
                <w:sz w:val="21"/>
                <w:szCs w:val="28"/>
                <w:highlight w:val="none"/>
                <w:lang w:val="en-US" w:eastAsia="zh-CN" w:bidi="ar-SA"/>
              </w:rPr>
              <w:t>、</w:t>
            </w:r>
            <w:r>
              <w:rPr>
                <w:rFonts w:hint="eastAsia" w:eastAsia="仿宋_GB2312" w:cs="Times New Roman"/>
                <w:color w:val="auto"/>
                <w:kern w:val="0"/>
                <w:sz w:val="21"/>
                <w:szCs w:val="28"/>
                <w:highlight w:val="none"/>
                <w:lang w:val="en-US" w:eastAsia="zh-CN" w:bidi="ar-SA"/>
              </w:rPr>
              <w:t>2</w:t>
            </w:r>
            <w:r>
              <w:rPr>
                <w:rFonts w:hint="eastAsia" w:ascii="Times New Roman" w:hAnsi="Times New Roman" w:eastAsia="仿宋_GB2312" w:cs="Times New Roman"/>
                <w:color w:val="auto"/>
                <w:kern w:val="0"/>
                <w:sz w:val="21"/>
                <w:szCs w:val="28"/>
                <w:highlight w:val="none"/>
                <w:lang w:val="en-US" w:eastAsia="zh-CN" w:bidi="ar-SA"/>
              </w:rPr>
              <w:t>分、</w:t>
            </w:r>
            <w:r>
              <w:rPr>
                <w:rFonts w:hint="eastAsia" w:eastAsia="仿宋_GB2312" w:cs="Times New Roman"/>
                <w:color w:val="auto"/>
                <w:kern w:val="0"/>
                <w:sz w:val="21"/>
                <w:szCs w:val="28"/>
                <w:highlight w:val="none"/>
                <w:lang w:val="en-US" w:eastAsia="zh-CN" w:bidi="ar-SA"/>
              </w:rPr>
              <w:t>1</w:t>
            </w:r>
            <w:r>
              <w:rPr>
                <w:rFonts w:hint="eastAsia" w:ascii="Times New Roman" w:hAnsi="Times New Roman" w:eastAsia="仿宋_GB2312" w:cs="Times New Roman"/>
                <w:color w:val="auto"/>
                <w:kern w:val="0"/>
                <w:sz w:val="21"/>
                <w:szCs w:val="28"/>
                <w:highlight w:val="none"/>
                <w:lang w:val="en-US" w:eastAsia="zh-CN" w:bidi="ar-SA"/>
              </w:rPr>
              <w:t>分。</w:t>
            </w:r>
          </w:p>
        </w:tc>
        <w:tc>
          <w:tcPr>
            <w:tcW w:w="436" w:type="pct"/>
            <w:vAlign w:val="center"/>
          </w:tcPr>
          <w:p w14:paraId="6BF88C56">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4</w:t>
            </w:r>
          </w:p>
        </w:tc>
      </w:tr>
      <w:tr w14:paraId="79C71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jc w:val="center"/>
        </w:trPr>
        <w:tc>
          <w:tcPr>
            <w:tcW w:w="471" w:type="pct"/>
            <w:vAlign w:val="center"/>
          </w:tcPr>
          <w:p w14:paraId="2C7CD7A2">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3</w:t>
            </w:r>
          </w:p>
        </w:tc>
        <w:tc>
          <w:tcPr>
            <w:tcW w:w="599" w:type="pct"/>
            <w:vAlign w:val="center"/>
          </w:tcPr>
          <w:p w14:paraId="21B934D1">
            <w:pPr>
              <w:adjustRightInd w:val="0"/>
              <w:snapToGrid w:val="0"/>
              <w:spacing w:line="240" w:lineRule="auto"/>
              <w:ind w:left="0" w:leftChars="0" w:firstLine="0" w:firstLineChars="0"/>
              <w:jc w:val="center"/>
              <w:rPr>
                <w:rFonts w:hint="eastAsia"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进度</w:t>
            </w:r>
          </w:p>
          <w:p w14:paraId="6561749F">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计划</w:t>
            </w:r>
          </w:p>
        </w:tc>
        <w:tc>
          <w:tcPr>
            <w:tcW w:w="3492" w:type="pct"/>
            <w:vAlign w:val="center"/>
          </w:tcPr>
          <w:p w14:paraId="75C35AE4">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供应商能够按照</w:t>
            </w:r>
            <w:r>
              <w:rPr>
                <w:rFonts w:hint="eastAsia" w:eastAsia="仿宋_GB2312" w:cs="Times New Roman"/>
                <w:color w:val="auto"/>
                <w:kern w:val="0"/>
                <w:sz w:val="21"/>
                <w:szCs w:val="28"/>
                <w:highlight w:val="none"/>
                <w:lang w:val="en-US" w:eastAsia="zh-CN" w:bidi="ar-SA"/>
              </w:rPr>
              <w:t>采购</w:t>
            </w:r>
            <w:r>
              <w:rPr>
                <w:rFonts w:hint="eastAsia" w:ascii="Times New Roman" w:hAnsi="Times New Roman" w:eastAsia="仿宋_GB2312" w:cs="Times New Roman"/>
                <w:color w:val="auto"/>
                <w:kern w:val="0"/>
                <w:sz w:val="21"/>
                <w:szCs w:val="28"/>
                <w:highlight w:val="none"/>
                <w:lang w:val="en-US" w:eastAsia="zh-CN" w:bidi="ar-SA"/>
              </w:rPr>
              <w:t>文件关于成果提交要求完成且形成内容完整、科学可行、进度安排合理的</w:t>
            </w:r>
            <w:r>
              <w:rPr>
                <w:rFonts w:hint="eastAsia" w:eastAsia="仿宋_GB2312" w:cs="Times New Roman"/>
                <w:color w:val="auto"/>
                <w:kern w:val="0"/>
                <w:sz w:val="21"/>
                <w:szCs w:val="28"/>
                <w:highlight w:val="none"/>
                <w:lang w:val="en-US" w:eastAsia="zh-CN" w:bidi="ar-SA"/>
              </w:rPr>
              <w:t>，根</w:t>
            </w:r>
            <w:r>
              <w:rPr>
                <w:rFonts w:hint="eastAsia" w:ascii="Times New Roman" w:hAnsi="Times New Roman" w:eastAsia="仿宋_GB2312" w:cs="Times New Roman"/>
                <w:color w:val="auto"/>
                <w:kern w:val="0"/>
                <w:sz w:val="21"/>
                <w:szCs w:val="28"/>
                <w:highlight w:val="none"/>
                <w:lang w:val="en-US" w:eastAsia="zh-CN" w:bidi="ar-SA"/>
              </w:rPr>
              <w:t>据材料的完整性，分为</w:t>
            </w: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分、2分、1分。</w:t>
            </w:r>
          </w:p>
        </w:tc>
        <w:tc>
          <w:tcPr>
            <w:tcW w:w="436" w:type="pct"/>
            <w:vAlign w:val="center"/>
          </w:tcPr>
          <w:p w14:paraId="46F135B1">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3</w:t>
            </w:r>
          </w:p>
        </w:tc>
      </w:tr>
      <w:tr w14:paraId="06270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8" w:hRule="atLeast"/>
          <w:jc w:val="center"/>
        </w:trPr>
        <w:tc>
          <w:tcPr>
            <w:tcW w:w="471" w:type="pct"/>
            <w:vAlign w:val="center"/>
          </w:tcPr>
          <w:p w14:paraId="61794CB8">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4</w:t>
            </w:r>
          </w:p>
        </w:tc>
        <w:tc>
          <w:tcPr>
            <w:tcW w:w="599" w:type="pct"/>
            <w:vAlign w:val="center"/>
          </w:tcPr>
          <w:p w14:paraId="63A90B39">
            <w:pPr>
              <w:adjustRightInd w:val="0"/>
              <w:snapToGrid w:val="0"/>
              <w:spacing w:line="240" w:lineRule="auto"/>
              <w:ind w:left="0" w:leftChars="0" w:firstLine="0" w:firstLineChars="0"/>
              <w:jc w:val="center"/>
              <w:rPr>
                <w:rFonts w:hint="eastAsia"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保障</w:t>
            </w:r>
          </w:p>
          <w:p w14:paraId="6124C670">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措施</w:t>
            </w:r>
          </w:p>
        </w:tc>
        <w:tc>
          <w:tcPr>
            <w:tcW w:w="3492" w:type="pct"/>
            <w:vAlign w:val="center"/>
          </w:tcPr>
          <w:p w14:paraId="7C72FFED">
            <w:pPr>
              <w:adjustRightInd w:val="0"/>
              <w:snapToGrid w:val="0"/>
              <w:spacing w:line="240" w:lineRule="auto"/>
              <w:ind w:left="0" w:leftChars="0" w:firstLine="0" w:firstLineChars="0"/>
              <w:jc w:val="left"/>
              <w:rPr>
                <w:rFonts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供应商组建工作团队，且明确人员的职责，建立有内部进度和质量管控制度的</w:t>
            </w:r>
            <w:r>
              <w:rPr>
                <w:rFonts w:hint="eastAsia" w:eastAsia="仿宋_GB2312" w:cs="Times New Roman"/>
                <w:color w:val="auto"/>
                <w:kern w:val="0"/>
                <w:sz w:val="21"/>
                <w:szCs w:val="28"/>
                <w:highlight w:val="none"/>
                <w:lang w:val="en-US" w:eastAsia="zh-CN" w:bidi="ar-SA"/>
              </w:rPr>
              <w:t>，根</w:t>
            </w:r>
            <w:r>
              <w:rPr>
                <w:rFonts w:hint="eastAsia" w:ascii="Times New Roman" w:hAnsi="Times New Roman" w:eastAsia="仿宋_GB2312" w:cs="Times New Roman"/>
                <w:color w:val="auto"/>
                <w:kern w:val="0"/>
                <w:sz w:val="21"/>
                <w:szCs w:val="28"/>
                <w:highlight w:val="none"/>
                <w:lang w:val="en-US" w:eastAsia="zh-CN" w:bidi="ar-SA"/>
              </w:rPr>
              <w:t>据材料的完整性，分为</w:t>
            </w:r>
            <w:r>
              <w:rPr>
                <w:rFonts w:hint="eastAsia" w:eastAsia="仿宋_GB2312" w:cs="Times New Roman"/>
                <w:color w:val="auto"/>
                <w:kern w:val="0"/>
                <w:sz w:val="21"/>
                <w:szCs w:val="28"/>
                <w:highlight w:val="none"/>
                <w:lang w:val="en-US" w:eastAsia="zh-CN" w:bidi="ar-SA"/>
              </w:rPr>
              <w:t>3</w:t>
            </w:r>
            <w:r>
              <w:rPr>
                <w:rFonts w:hint="eastAsia" w:ascii="Times New Roman" w:hAnsi="Times New Roman" w:eastAsia="仿宋_GB2312" w:cs="Times New Roman"/>
                <w:color w:val="auto"/>
                <w:kern w:val="0"/>
                <w:sz w:val="21"/>
                <w:szCs w:val="28"/>
                <w:highlight w:val="none"/>
                <w:lang w:val="en-US" w:eastAsia="zh-CN" w:bidi="ar-SA"/>
              </w:rPr>
              <w:t>分、2分、1分。</w:t>
            </w:r>
          </w:p>
        </w:tc>
        <w:tc>
          <w:tcPr>
            <w:tcW w:w="436" w:type="pct"/>
            <w:vAlign w:val="center"/>
          </w:tcPr>
          <w:p w14:paraId="74DD1D64">
            <w:pPr>
              <w:adjustRightInd w:val="0"/>
              <w:snapToGrid w:val="0"/>
              <w:spacing w:line="240" w:lineRule="auto"/>
              <w:ind w:left="0" w:leftChars="0" w:firstLine="0" w:firstLineChars="0"/>
              <w:jc w:val="center"/>
              <w:rPr>
                <w:rFonts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3</w:t>
            </w:r>
          </w:p>
        </w:tc>
      </w:tr>
      <w:tr w14:paraId="44C37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471" w:type="pct"/>
            <w:vAlign w:val="center"/>
          </w:tcPr>
          <w:p w14:paraId="242C4CBA">
            <w:pPr>
              <w:adjustRightInd w:val="0"/>
              <w:snapToGrid w:val="0"/>
              <w:spacing w:line="240" w:lineRule="auto"/>
              <w:ind w:left="0" w:leftChars="0" w:firstLine="0" w:firstLineChars="0"/>
              <w:jc w:val="center"/>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5</w:t>
            </w:r>
          </w:p>
        </w:tc>
        <w:tc>
          <w:tcPr>
            <w:tcW w:w="599" w:type="pct"/>
            <w:vAlign w:val="center"/>
          </w:tcPr>
          <w:p w14:paraId="7968E742">
            <w:pPr>
              <w:adjustRightInd w:val="0"/>
              <w:snapToGrid w:val="0"/>
              <w:spacing w:line="240" w:lineRule="auto"/>
              <w:ind w:left="0" w:leftChars="0" w:firstLine="0" w:firstLineChars="0"/>
              <w:jc w:val="center"/>
              <w:rPr>
                <w:rFonts w:hint="eastAsia" w:ascii="Times New Roman" w:hAnsi="Times New Roman" w:eastAsia="仿宋_GB2312" w:cs="Times New Roman"/>
                <w:color w:val="auto"/>
                <w:kern w:val="0"/>
                <w:sz w:val="21"/>
                <w:szCs w:val="28"/>
                <w:highlight w:val="none"/>
                <w:lang w:val="en-US" w:eastAsia="zh-CN" w:bidi="ar-SA"/>
              </w:rPr>
            </w:pPr>
            <w:r>
              <w:rPr>
                <w:rFonts w:hint="eastAsia" w:ascii="Times New Roman" w:hAnsi="Times New Roman" w:eastAsia="仿宋_GB2312" w:cs="Times New Roman"/>
                <w:color w:val="auto"/>
                <w:kern w:val="0"/>
                <w:sz w:val="21"/>
                <w:szCs w:val="28"/>
                <w:highlight w:val="none"/>
                <w:lang w:val="en-US" w:eastAsia="zh-CN" w:bidi="ar-SA"/>
              </w:rPr>
              <w:t>响应</w:t>
            </w:r>
          </w:p>
          <w:p w14:paraId="78D4B9F8">
            <w:pPr>
              <w:adjustRightInd w:val="0"/>
              <w:snapToGrid w:val="0"/>
              <w:spacing w:line="240" w:lineRule="auto"/>
              <w:ind w:left="0" w:leftChars="0" w:firstLine="0" w:firstLineChars="0"/>
              <w:jc w:val="center"/>
              <w:rPr>
                <w:rFonts w:hint="default"/>
                <w:color w:val="auto"/>
                <w:lang w:val="en-US" w:eastAsia="zh-CN"/>
              </w:rPr>
            </w:pPr>
            <w:r>
              <w:rPr>
                <w:rFonts w:hint="eastAsia" w:ascii="Times New Roman" w:hAnsi="Times New Roman" w:eastAsia="仿宋_GB2312" w:cs="Times New Roman"/>
                <w:color w:val="auto"/>
                <w:kern w:val="0"/>
                <w:sz w:val="21"/>
                <w:szCs w:val="28"/>
                <w:highlight w:val="none"/>
                <w:lang w:val="en-US" w:eastAsia="zh-CN" w:bidi="ar-SA"/>
              </w:rPr>
              <w:t>情况</w:t>
            </w:r>
          </w:p>
        </w:tc>
        <w:tc>
          <w:tcPr>
            <w:tcW w:w="3492" w:type="pct"/>
            <w:vAlign w:val="center"/>
          </w:tcPr>
          <w:p w14:paraId="5AF5861C">
            <w:pPr>
              <w:adjustRightInd w:val="0"/>
              <w:snapToGrid w:val="0"/>
              <w:spacing w:line="240" w:lineRule="auto"/>
              <w:ind w:left="0" w:leftChars="0" w:firstLine="0" w:firstLineChars="0"/>
              <w:jc w:val="left"/>
              <w:rPr>
                <w:rFonts w:hint="default" w:ascii="Times New Roman" w:hAnsi="Times New Roman"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有一条不响应的扣1分（需要提供充分理由），最多扣2分。</w:t>
            </w:r>
          </w:p>
        </w:tc>
        <w:tc>
          <w:tcPr>
            <w:tcW w:w="436" w:type="pct"/>
            <w:vAlign w:val="center"/>
          </w:tcPr>
          <w:p w14:paraId="4845D6B4">
            <w:pPr>
              <w:adjustRightInd w:val="0"/>
              <w:snapToGrid w:val="0"/>
              <w:spacing w:line="240" w:lineRule="auto"/>
              <w:ind w:left="0" w:leftChars="0" w:firstLine="0" w:firstLineChars="0"/>
              <w:jc w:val="center"/>
              <w:rPr>
                <w:rFonts w:hint="default" w:eastAsia="仿宋_GB2312" w:cs="Times New Roman"/>
                <w:color w:val="auto"/>
                <w:kern w:val="0"/>
                <w:sz w:val="21"/>
                <w:szCs w:val="28"/>
                <w:highlight w:val="none"/>
                <w:lang w:val="en-US" w:eastAsia="zh-CN" w:bidi="ar-SA"/>
              </w:rPr>
            </w:pPr>
            <w:r>
              <w:rPr>
                <w:rFonts w:hint="eastAsia" w:eastAsia="仿宋_GB2312" w:cs="Times New Roman"/>
                <w:color w:val="auto"/>
                <w:kern w:val="0"/>
                <w:sz w:val="21"/>
                <w:szCs w:val="28"/>
                <w:highlight w:val="none"/>
                <w:lang w:val="en-US" w:eastAsia="zh-CN" w:bidi="ar-SA"/>
              </w:rPr>
              <w:t>2</w:t>
            </w:r>
          </w:p>
        </w:tc>
      </w:tr>
    </w:tbl>
    <w:p w14:paraId="29C5A25E">
      <w:pPr>
        <w:pStyle w:val="10"/>
        <w:keepNext w:val="0"/>
        <w:keepLines w:val="0"/>
        <w:pageBreakBefore w:val="0"/>
        <w:widowControl w:val="0"/>
        <w:kinsoku/>
        <w:overflowPunct/>
        <w:topLinePunct w:val="0"/>
        <w:bidi w:val="0"/>
        <w:spacing w:beforeLines="0" w:after="93" w:afterLines="30" w:line="560" w:lineRule="exact"/>
        <w:ind w:firstLine="561" w:firstLineChars="0"/>
        <w:textAlignment w:val="auto"/>
        <w:rPr>
          <w:rFonts w:ascii="黑体" w:hAnsi="黑体" w:eastAsia="黑体" w:cs="黑体"/>
          <w:sz w:val="28"/>
          <w:highlight w:val="none"/>
        </w:rPr>
      </w:pPr>
      <w:r>
        <w:rPr>
          <w:rFonts w:hint="eastAsia" w:ascii="黑体" w:hAnsi="黑体" w:eastAsia="黑体" w:cs="黑体"/>
          <w:sz w:val="28"/>
          <w:highlight w:val="none"/>
          <w:lang w:val="en-US" w:eastAsia="zh-CN"/>
        </w:rPr>
        <w:t>四</w:t>
      </w:r>
      <w:r>
        <w:rPr>
          <w:rFonts w:hint="eastAsia" w:ascii="黑体" w:hAnsi="黑体" w:eastAsia="黑体" w:cs="黑体"/>
          <w:sz w:val="28"/>
          <w:highlight w:val="none"/>
        </w:rPr>
        <w:t>、</w:t>
      </w:r>
      <w:r>
        <w:rPr>
          <w:rFonts w:hint="eastAsia" w:ascii="黑体" w:hAnsi="黑体" w:eastAsia="黑体" w:cs="黑体"/>
          <w:sz w:val="28"/>
          <w:highlight w:val="none"/>
          <w:lang w:eastAsia="zh-CN"/>
        </w:rPr>
        <w:t>报价</w:t>
      </w:r>
      <w:r>
        <w:rPr>
          <w:rFonts w:hint="eastAsia" w:ascii="黑体" w:hAnsi="黑体" w:eastAsia="黑体" w:cs="黑体"/>
          <w:sz w:val="28"/>
          <w:highlight w:val="none"/>
        </w:rPr>
        <w:t>文件的组成及要求</w:t>
      </w:r>
    </w:p>
    <w:p w14:paraId="2CEFA24D">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eastAsia="zh-CN"/>
        </w:rPr>
      </w:pPr>
      <w:r>
        <w:rPr>
          <w:rFonts w:hint="eastAsia" w:ascii="仿宋_GB2312" w:hAnsi="仿宋_GB2312" w:eastAsia="仿宋_GB2312" w:cs="仿宋_GB2312"/>
          <w:bCs/>
          <w:kern w:val="1"/>
          <w:sz w:val="30"/>
          <w:szCs w:val="30"/>
          <w:highlight w:val="none"/>
          <w:lang w:eastAsia="zh-CN"/>
        </w:rPr>
        <w:t>（</w:t>
      </w:r>
      <w:r>
        <w:rPr>
          <w:rFonts w:hint="eastAsia" w:ascii="仿宋_GB2312" w:hAnsi="仿宋_GB2312" w:eastAsia="仿宋_GB2312" w:cs="仿宋_GB2312"/>
          <w:bCs/>
          <w:kern w:val="1"/>
          <w:sz w:val="30"/>
          <w:szCs w:val="30"/>
          <w:highlight w:val="none"/>
          <w:lang w:val="en-US" w:eastAsia="zh-CN"/>
        </w:rPr>
        <w:t>一</w:t>
      </w:r>
      <w:r>
        <w:rPr>
          <w:rFonts w:hint="eastAsia" w:ascii="仿宋_GB2312" w:hAnsi="仿宋_GB2312" w:eastAsia="仿宋_GB2312" w:cs="仿宋_GB2312"/>
          <w:bCs/>
          <w:kern w:val="1"/>
          <w:sz w:val="30"/>
          <w:szCs w:val="30"/>
          <w:highlight w:val="none"/>
          <w:lang w:eastAsia="zh-CN"/>
        </w:rPr>
        <w:t>）公司营业执照复印件、报价授权人证明、高级工程师职称（提供项目负责人</w:t>
      </w:r>
      <w:r>
        <w:rPr>
          <w:rFonts w:hint="eastAsia" w:ascii="仿宋_GB2312" w:hAnsi="仿宋_GB2312" w:eastAsia="仿宋_GB2312" w:cs="仿宋_GB2312"/>
          <w:bCs/>
          <w:kern w:val="1"/>
          <w:sz w:val="30"/>
          <w:szCs w:val="30"/>
          <w:highlight w:val="none"/>
          <w:lang w:val="en-US" w:eastAsia="zh-CN"/>
        </w:rPr>
        <w:t>环境保护类</w:t>
      </w:r>
      <w:r>
        <w:rPr>
          <w:rFonts w:hint="eastAsia" w:ascii="仿宋_GB2312" w:hAnsi="仿宋_GB2312" w:eastAsia="仿宋_GB2312" w:cs="仿宋_GB2312"/>
          <w:bCs/>
          <w:kern w:val="1"/>
          <w:sz w:val="30"/>
          <w:szCs w:val="30"/>
          <w:highlight w:val="none"/>
          <w:lang w:eastAsia="zh-CN"/>
        </w:rPr>
        <w:t>高级工程师职称证书、法定的社保收缴部门出具由供应商本企业为项目负责人依法缴纳的近3月的社会保障资金的相关材料复印件）、化工环评业绩</w:t>
      </w:r>
      <w:r>
        <w:rPr>
          <w:rFonts w:hint="eastAsia" w:ascii="仿宋_GB2312" w:hAnsi="仿宋_GB2312" w:eastAsia="仿宋_GB2312" w:cs="仿宋_GB2312"/>
          <w:bCs/>
          <w:kern w:val="1"/>
          <w:sz w:val="30"/>
          <w:szCs w:val="30"/>
          <w:highlight w:val="none"/>
          <w:lang w:val="en-US" w:eastAsia="zh-CN"/>
        </w:rPr>
        <w:t>等</w:t>
      </w:r>
      <w:r>
        <w:rPr>
          <w:rFonts w:hint="eastAsia" w:ascii="仿宋_GB2312" w:hAnsi="仿宋_GB2312" w:eastAsia="仿宋_GB2312" w:cs="仿宋_GB2312"/>
          <w:bCs/>
          <w:kern w:val="1"/>
          <w:sz w:val="30"/>
          <w:szCs w:val="30"/>
          <w:highlight w:val="none"/>
          <w:lang w:eastAsia="zh-CN"/>
        </w:rPr>
        <w:t>。</w:t>
      </w:r>
    </w:p>
    <w:p w14:paraId="5C42140D">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eastAsia="zh-CN"/>
        </w:rPr>
      </w:pPr>
      <w:r>
        <w:rPr>
          <w:rFonts w:hint="eastAsia" w:ascii="仿宋_GB2312" w:hAnsi="仿宋_GB2312" w:eastAsia="仿宋_GB2312" w:cs="仿宋_GB2312"/>
          <w:bCs/>
          <w:kern w:val="1"/>
          <w:sz w:val="30"/>
          <w:szCs w:val="30"/>
          <w:highlight w:val="none"/>
          <w:lang w:eastAsia="zh-CN"/>
        </w:rPr>
        <w:t>（</w:t>
      </w:r>
      <w:r>
        <w:rPr>
          <w:rFonts w:hint="eastAsia" w:ascii="仿宋_GB2312" w:hAnsi="仿宋_GB2312" w:eastAsia="仿宋_GB2312" w:cs="仿宋_GB2312"/>
          <w:bCs/>
          <w:kern w:val="1"/>
          <w:sz w:val="30"/>
          <w:szCs w:val="30"/>
          <w:highlight w:val="none"/>
          <w:lang w:val="en-US" w:eastAsia="zh-CN"/>
        </w:rPr>
        <w:t>二</w:t>
      </w:r>
      <w:r>
        <w:rPr>
          <w:rFonts w:hint="eastAsia" w:ascii="仿宋_GB2312" w:hAnsi="仿宋_GB2312" w:eastAsia="仿宋_GB2312" w:cs="仿宋_GB2312"/>
          <w:bCs/>
          <w:kern w:val="1"/>
          <w:sz w:val="30"/>
          <w:szCs w:val="30"/>
          <w:highlight w:val="none"/>
          <w:lang w:eastAsia="zh-CN"/>
        </w:rPr>
        <w:t>）报价方式：报价为含增值税价。如国家税率调整，按合同含税价格/（1+合同约定税率）*（1+国家规定的新税率）调整合同价格开具发票；</w:t>
      </w:r>
    </w:p>
    <w:p w14:paraId="738C961A">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eastAsia="zh-CN"/>
        </w:rPr>
      </w:pPr>
      <w:r>
        <w:rPr>
          <w:rFonts w:hint="eastAsia" w:ascii="仿宋_GB2312" w:hAnsi="仿宋_GB2312" w:eastAsia="仿宋_GB2312" w:cs="仿宋_GB2312"/>
          <w:bCs/>
          <w:kern w:val="1"/>
          <w:sz w:val="30"/>
          <w:szCs w:val="30"/>
          <w:highlight w:val="none"/>
          <w:lang w:eastAsia="zh-CN"/>
        </w:rPr>
        <w:t>付款方式：</w:t>
      </w:r>
      <w:r>
        <w:rPr>
          <w:rFonts w:hint="eastAsia" w:ascii="仿宋_GB2312" w:hAnsi="仿宋_GB2312" w:eastAsia="仿宋_GB2312" w:cs="仿宋_GB2312"/>
          <w:bCs/>
          <w:kern w:val="1"/>
          <w:sz w:val="30"/>
          <w:szCs w:val="30"/>
          <w:highlight w:val="none"/>
          <w:lang w:val="en-US" w:eastAsia="zh-CN"/>
        </w:rPr>
        <w:t>环境影响报告表上报行政审批部门</w:t>
      </w:r>
      <w:r>
        <w:rPr>
          <w:rFonts w:hint="eastAsia" w:ascii="仿宋_GB2312" w:hAnsi="仿宋_GB2312" w:eastAsia="仿宋_GB2312" w:cs="仿宋_GB2312"/>
          <w:bCs/>
          <w:kern w:val="1"/>
          <w:sz w:val="30"/>
          <w:szCs w:val="30"/>
          <w:highlight w:val="none"/>
          <w:lang w:eastAsia="zh-CN"/>
        </w:rPr>
        <w:t>，</w:t>
      </w:r>
      <w:r>
        <w:rPr>
          <w:rFonts w:hint="eastAsia" w:ascii="仿宋_GB2312" w:hAnsi="仿宋_GB2312" w:eastAsia="仿宋_GB2312" w:cs="仿宋_GB2312"/>
          <w:bCs/>
          <w:kern w:val="1"/>
          <w:sz w:val="30"/>
          <w:szCs w:val="30"/>
          <w:highlight w:val="none"/>
          <w:lang w:val="en-US" w:eastAsia="zh-CN"/>
        </w:rPr>
        <w:t>完成行政审批后，提供</w:t>
      </w:r>
      <w:r>
        <w:rPr>
          <w:rFonts w:hint="eastAsia" w:ascii="仿宋_GB2312" w:hAnsi="仿宋_GB2312" w:eastAsia="仿宋_GB2312" w:cs="仿宋_GB2312"/>
          <w:bCs/>
          <w:kern w:val="1"/>
          <w:sz w:val="30"/>
          <w:szCs w:val="30"/>
          <w:highlight w:val="none"/>
          <w:lang w:eastAsia="zh-CN"/>
        </w:rPr>
        <w:t>增值税专用发票</w:t>
      </w:r>
      <w:r>
        <w:rPr>
          <w:rFonts w:hint="eastAsia" w:ascii="仿宋_GB2312" w:hAnsi="仿宋_GB2312" w:eastAsia="仿宋_GB2312" w:cs="仿宋_GB2312"/>
          <w:bCs/>
          <w:kern w:val="1"/>
          <w:sz w:val="30"/>
          <w:szCs w:val="30"/>
          <w:highlight w:val="none"/>
          <w:lang w:val="en-US" w:eastAsia="zh-CN"/>
        </w:rPr>
        <w:t>后</w:t>
      </w:r>
      <w:r>
        <w:rPr>
          <w:rFonts w:hint="eastAsia" w:ascii="仿宋_GB2312" w:hAnsi="仿宋_GB2312" w:eastAsia="仿宋_GB2312" w:cs="仿宋_GB2312"/>
          <w:bCs/>
          <w:kern w:val="1"/>
          <w:sz w:val="30"/>
          <w:szCs w:val="30"/>
          <w:highlight w:val="none"/>
          <w:u w:val="single"/>
          <w:lang w:val="en-US" w:eastAsia="zh-CN"/>
        </w:rPr>
        <w:t>60天</w:t>
      </w:r>
      <w:r>
        <w:rPr>
          <w:rFonts w:hint="eastAsia" w:ascii="仿宋_GB2312" w:hAnsi="仿宋_GB2312" w:eastAsia="仿宋_GB2312" w:cs="仿宋_GB2312"/>
          <w:bCs/>
          <w:kern w:val="1"/>
          <w:sz w:val="30"/>
          <w:szCs w:val="30"/>
          <w:highlight w:val="none"/>
          <w:lang w:val="en-US" w:eastAsia="zh-CN"/>
        </w:rPr>
        <w:t>内</w:t>
      </w:r>
      <w:r>
        <w:rPr>
          <w:rFonts w:hint="eastAsia" w:ascii="仿宋_GB2312" w:hAnsi="仿宋_GB2312" w:eastAsia="仿宋_GB2312" w:cs="仿宋_GB2312"/>
          <w:bCs/>
          <w:kern w:val="1"/>
          <w:sz w:val="30"/>
          <w:szCs w:val="30"/>
          <w:highlight w:val="none"/>
          <w:lang w:eastAsia="zh-CN"/>
        </w:rPr>
        <w:t>付款，付款方式为</w:t>
      </w:r>
      <w:r>
        <w:rPr>
          <w:rFonts w:hint="eastAsia" w:ascii="仿宋_GB2312" w:hAnsi="仿宋_GB2312" w:eastAsia="仿宋_GB2312" w:cs="仿宋_GB2312"/>
          <w:bCs/>
          <w:kern w:val="1"/>
          <w:sz w:val="30"/>
          <w:szCs w:val="30"/>
          <w:highlight w:val="none"/>
          <w:u w:val="single"/>
          <w:lang w:eastAsia="zh-CN"/>
        </w:rPr>
        <w:t xml:space="preserve"> </w:t>
      </w:r>
      <w:r>
        <w:rPr>
          <w:rFonts w:hint="eastAsia" w:ascii="仿宋_GB2312" w:hAnsi="仿宋_GB2312" w:eastAsia="仿宋_GB2312" w:cs="仿宋_GB2312"/>
          <w:bCs/>
          <w:kern w:val="1"/>
          <w:sz w:val="30"/>
          <w:szCs w:val="30"/>
          <w:highlight w:val="none"/>
          <w:u w:val="single"/>
          <w:lang w:val="en-US" w:eastAsia="zh-CN"/>
        </w:rPr>
        <w:t>现汇</w:t>
      </w:r>
      <w:r>
        <w:rPr>
          <w:rFonts w:hint="eastAsia" w:ascii="仿宋_GB2312" w:hAnsi="仿宋_GB2312" w:eastAsia="仿宋_GB2312" w:cs="仿宋_GB2312"/>
          <w:bCs/>
          <w:kern w:val="1"/>
          <w:sz w:val="30"/>
          <w:szCs w:val="30"/>
          <w:highlight w:val="none"/>
          <w:u w:val="single"/>
          <w:lang w:eastAsia="zh-CN"/>
        </w:rPr>
        <w:t xml:space="preserve"> </w:t>
      </w:r>
      <w:r>
        <w:rPr>
          <w:rFonts w:hint="eastAsia" w:ascii="仿宋_GB2312" w:hAnsi="仿宋_GB2312" w:eastAsia="仿宋_GB2312" w:cs="仿宋_GB2312"/>
          <w:bCs/>
          <w:kern w:val="1"/>
          <w:sz w:val="30"/>
          <w:szCs w:val="30"/>
          <w:highlight w:val="none"/>
          <w:lang w:eastAsia="zh-CN"/>
        </w:rPr>
        <w:t>。如报价人不接受采购人提出的付款方式，可在报价书中明确能够接受的付款方式及付款时间，评审时作为参考。报价为含税价，如有不同请注明；</w:t>
      </w:r>
    </w:p>
    <w:p w14:paraId="64A55154">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eastAsia="zh-CN"/>
        </w:rPr>
      </w:pPr>
      <w:r>
        <w:rPr>
          <w:rFonts w:hint="eastAsia" w:ascii="仿宋_GB2312" w:hAnsi="仿宋_GB2312" w:eastAsia="仿宋_GB2312" w:cs="仿宋_GB2312"/>
          <w:bCs/>
          <w:kern w:val="1"/>
          <w:sz w:val="30"/>
          <w:szCs w:val="30"/>
          <w:highlight w:val="none"/>
          <w:lang w:eastAsia="zh-CN"/>
        </w:rPr>
        <w:t>（</w:t>
      </w:r>
      <w:r>
        <w:rPr>
          <w:rFonts w:hint="eastAsia" w:ascii="仿宋_GB2312" w:hAnsi="仿宋_GB2312" w:eastAsia="仿宋_GB2312" w:cs="仿宋_GB2312"/>
          <w:bCs/>
          <w:kern w:val="1"/>
          <w:sz w:val="30"/>
          <w:szCs w:val="30"/>
          <w:highlight w:val="none"/>
          <w:lang w:val="en-US" w:eastAsia="zh-CN"/>
        </w:rPr>
        <w:t>三</w:t>
      </w:r>
      <w:r>
        <w:rPr>
          <w:rFonts w:hint="eastAsia" w:ascii="仿宋_GB2312" w:hAnsi="仿宋_GB2312" w:eastAsia="仿宋_GB2312" w:cs="仿宋_GB2312"/>
          <w:bCs/>
          <w:kern w:val="1"/>
          <w:sz w:val="30"/>
          <w:szCs w:val="30"/>
          <w:highlight w:val="none"/>
          <w:lang w:eastAsia="zh-CN"/>
        </w:rPr>
        <w:t>）法定代表人授权委托书、法定代表人身份证复印件、委托代理人身份证复印件（如为委托）；</w:t>
      </w:r>
    </w:p>
    <w:p w14:paraId="0D6FEDB3">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eastAsia="zh-CN"/>
        </w:rPr>
      </w:pPr>
      <w:r>
        <w:rPr>
          <w:rFonts w:hint="eastAsia" w:ascii="仿宋_GB2312" w:hAnsi="仿宋_GB2312" w:eastAsia="仿宋_GB2312" w:cs="仿宋_GB2312"/>
          <w:bCs/>
          <w:kern w:val="1"/>
          <w:sz w:val="30"/>
          <w:szCs w:val="30"/>
          <w:highlight w:val="none"/>
          <w:lang w:eastAsia="zh-CN"/>
        </w:rPr>
        <w:t>（</w:t>
      </w:r>
      <w:r>
        <w:rPr>
          <w:rFonts w:hint="eastAsia" w:ascii="仿宋_GB2312" w:hAnsi="仿宋_GB2312" w:eastAsia="仿宋_GB2312" w:cs="仿宋_GB2312"/>
          <w:bCs/>
          <w:kern w:val="1"/>
          <w:sz w:val="30"/>
          <w:szCs w:val="30"/>
          <w:highlight w:val="none"/>
          <w:lang w:val="en-US" w:eastAsia="zh-CN"/>
        </w:rPr>
        <w:t>四</w:t>
      </w:r>
      <w:r>
        <w:rPr>
          <w:rFonts w:hint="eastAsia" w:ascii="仿宋_GB2312" w:hAnsi="仿宋_GB2312" w:eastAsia="仿宋_GB2312" w:cs="仿宋_GB2312"/>
          <w:bCs/>
          <w:kern w:val="1"/>
          <w:sz w:val="30"/>
          <w:szCs w:val="30"/>
          <w:highlight w:val="none"/>
          <w:lang w:eastAsia="zh-CN"/>
        </w:rPr>
        <w:t>）资格条件证明材料；</w:t>
      </w:r>
    </w:p>
    <w:p w14:paraId="50BD0434">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eastAsia="zh-CN"/>
        </w:rPr>
      </w:pPr>
      <w:r>
        <w:rPr>
          <w:rFonts w:hint="eastAsia" w:ascii="仿宋_GB2312" w:hAnsi="仿宋_GB2312" w:eastAsia="仿宋_GB2312" w:cs="仿宋_GB2312"/>
          <w:bCs/>
          <w:kern w:val="1"/>
          <w:sz w:val="30"/>
          <w:szCs w:val="30"/>
          <w:highlight w:val="none"/>
          <w:lang w:eastAsia="zh-CN"/>
        </w:rPr>
        <w:t>（</w:t>
      </w:r>
      <w:r>
        <w:rPr>
          <w:rFonts w:hint="eastAsia" w:ascii="仿宋_GB2312" w:hAnsi="仿宋_GB2312" w:eastAsia="仿宋_GB2312" w:cs="仿宋_GB2312"/>
          <w:bCs/>
          <w:kern w:val="1"/>
          <w:sz w:val="30"/>
          <w:szCs w:val="30"/>
          <w:highlight w:val="none"/>
          <w:lang w:val="en-US" w:eastAsia="zh-CN"/>
        </w:rPr>
        <w:t>五</w:t>
      </w:r>
      <w:r>
        <w:rPr>
          <w:rFonts w:hint="eastAsia" w:ascii="仿宋_GB2312" w:hAnsi="仿宋_GB2312" w:eastAsia="仿宋_GB2312" w:cs="仿宋_GB2312"/>
          <w:bCs/>
          <w:kern w:val="1"/>
          <w:sz w:val="30"/>
          <w:szCs w:val="30"/>
          <w:highlight w:val="none"/>
          <w:lang w:eastAsia="zh-CN"/>
        </w:rPr>
        <w:t>）信用查询证明：信用中国（www.creditchina.gov.cn）和国家企业信用信息公示系统”网（www.gsxt.gov.cn）的查询结果截图（盖章）。</w:t>
      </w:r>
    </w:p>
    <w:p w14:paraId="2CBB09B6">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default"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（六）报价文件格式见附录1。</w:t>
      </w:r>
    </w:p>
    <w:p w14:paraId="3F64F948">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七）报价人应准备报价文件正本一份、副本一份，每套报价文件须清楚地标明“正本”或“副本”。若正本和副本不符，以正本为准；不能区分正、副本的报价文件，按作废报价处理。报价文件的正本应打印或用不褪色墨水书写，并由报价人的法定代表人或经正式授权的代表签字，如为授权代表签字的应附“法定代表人授权委托书”（原件），正本必须为原件，但报价人的相关资格证明文件可采用复印件。报价文件的副本可打印或用不褪色墨水书写，也可采用正本的复印件。报价文件不应有涂改、增删之处，但如有错误必须修改时，修改处必须由报价文件签字人在旁边签字才有效。</w:t>
      </w:r>
    </w:p>
    <w:p w14:paraId="6174141C">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八）采用线下报价应将报价书及相关资料以文件袋形式送达，文件袋外包装必须用“封条”密封，封条“格式自定”，另需加盖公章、法人章，填写密封日期；在文件袋封面上需注明“报价项目名称，报价方名称、地址、联系人、联系电话”等；报价文件还应包括正副本各</w:t>
      </w:r>
      <w:r>
        <w:rPr>
          <w:rFonts w:hint="eastAsia" w:ascii="仿宋_GB2312" w:hAnsi="仿宋_GB2312" w:eastAsia="仿宋_GB2312" w:cs="仿宋_GB2312"/>
          <w:bCs/>
          <w:kern w:val="1"/>
          <w:sz w:val="30"/>
          <w:szCs w:val="30"/>
          <w:highlight w:val="none"/>
          <w:u w:val="single"/>
          <w:lang w:val="en-US" w:eastAsia="zh-CN"/>
        </w:rPr>
        <w:t xml:space="preserve"> 1 </w:t>
      </w:r>
      <w:r>
        <w:rPr>
          <w:rFonts w:hint="eastAsia" w:ascii="仿宋_GB2312" w:hAnsi="仿宋_GB2312" w:eastAsia="仿宋_GB2312" w:cs="仿宋_GB2312"/>
          <w:bCs/>
          <w:kern w:val="1"/>
          <w:sz w:val="30"/>
          <w:szCs w:val="30"/>
          <w:highlight w:val="none"/>
          <w:lang w:val="en-US" w:eastAsia="zh-CN"/>
        </w:rPr>
        <w:t>份，并要求在报价截止日之前送达，逾期将作为无效报价处理。</w:t>
      </w:r>
    </w:p>
    <w:p w14:paraId="067D11A6">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（九）与本报价有关的一切往来通讯请密封寄：</w:t>
      </w:r>
    </w:p>
    <w:p w14:paraId="37E4195E">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公司：江苏索普（集团）有限公司</w:t>
      </w:r>
    </w:p>
    <w:p w14:paraId="1BD65717">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地址：江苏省镇江市京口区求索路101号</w:t>
      </w:r>
    </w:p>
    <w:p w14:paraId="7A9F0A5E">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邮编：212006</w:t>
      </w:r>
    </w:p>
    <w:p w14:paraId="0FF6D716">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default"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联系人：范工</w:t>
      </w:r>
    </w:p>
    <w:p w14:paraId="307089B0">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联系电话：0511--88995862</w:t>
      </w:r>
    </w:p>
    <w:p w14:paraId="17E90341">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（十）凡对采购文件条款有疑义的，请在评审前按以下方式联系：</w:t>
      </w:r>
    </w:p>
    <w:p w14:paraId="27F01E62">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default"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联系单位：江苏索普集团有限公司</w:t>
      </w:r>
    </w:p>
    <w:p w14:paraId="0DB7C85F">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地址：江苏省镇江市京口区求索路101号，邮编：212006</w:t>
      </w:r>
    </w:p>
    <w:p w14:paraId="4F22148D">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联系人：王工</w:t>
      </w:r>
    </w:p>
    <w:p w14:paraId="112E96BF">
      <w:pPr>
        <w:keepNext w:val="0"/>
        <w:keepLines w:val="0"/>
        <w:pageBreakBefore w:val="0"/>
        <w:widowControl w:val="0"/>
        <w:kinsoku/>
        <w:overflowPunct/>
        <w:topLinePunct w:val="0"/>
        <w:autoSpaceDE/>
        <w:autoSpaceDN/>
        <w:bidi w:val="0"/>
        <w:adjustRightInd w:val="0"/>
        <w:snapToGrid w:val="0"/>
        <w:spacing w:line="560" w:lineRule="exact"/>
        <w:ind w:left="0" w:firstLine="600" w:firstLineChars="200"/>
        <w:jc w:val="left"/>
        <w:textAlignment w:val="auto"/>
        <w:rPr>
          <w:rFonts w:hint="eastAsia" w:ascii="仿宋_GB2312" w:hAnsi="仿宋_GB2312" w:eastAsia="仿宋_GB2312" w:cs="仿宋_GB2312"/>
          <w:bCs/>
          <w:kern w:val="1"/>
          <w:sz w:val="30"/>
          <w:szCs w:val="30"/>
          <w:highlight w:val="none"/>
          <w:lang w:val="en-US" w:eastAsia="zh-CN"/>
        </w:rPr>
      </w:pPr>
      <w:r>
        <w:rPr>
          <w:rFonts w:hint="eastAsia" w:ascii="仿宋_GB2312" w:hAnsi="仿宋_GB2312" w:eastAsia="仿宋_GB2312" w:cs="仿宋_GB2312"/>
          <w:bCs/>
          <w:kern w:val="1"/>
          <w:sz w:val="30"/>
          <w:szCs w:val="30"/>
          <w:highlight w:val="none"/>
          <w:lang w:val="en-US" w:eastAsia="zh-CN"/>
        </w:rPr>
        <w:t>负责人：13615287365（工作时间：9:00-17:00）</w:t>
      </w:r>
    </w:p>
    <w:p w14:paraId="1AF83802">
      <w:pPr>
        <w:pStyle w:val="10"/>
        <w:keepNext w:val="0"/>
        <w:keepLines w:val="0"/>
        <w:pageBreakBefore w:val="0"/>
        <w:widowControl w:val="0"/>
        <w:numPr>
          <w:ilvl w:val="0"/>
          <w:numId w:val="0"/>
        </w:numPr>
        <w:kinsoku/>
        <w:overflowPunct/>
        <w:topLinePunct w:val="0"/>
        <w:bidi w:val="0"/>
        <w:spacing w:beforeLines="0" w:after="93" w:afterLines="30" w:line="560" w:lineRule="exact"/>
        <w:textAlignment w:val="auto"/>
        <w:rPr>
          <w:rFonts w:hint="eastAsia" w:ascii="黑体" w:hAnsi="黑体" w:eastAsia="黑体" w:cs="黑体"/>
          <w:b/>
          <w:color w:val="auto"/>
          <w:kern w:val="1"/>
          <w:sz w:val="30"/>
          <w:szCs w:val="30"/>
          <w:highlight w:val="none"/>
        </w:rPr>
      </w:pPr>
      <w:r>
        <w:rPr>
          <w:rFonts w:hint="eastAsia" w:ascii="黑体" w:hAnsi="黑体" w:eastAsia="黑体" w:cs="黑体"/>
          <w:sz w:val="28"/>
          <w:highlight w:val="none"/>
          <w:lang w:val="en-US" w:eastAsia="zh-CN"/>
        </w:rPr>
        <w:t>五、</w:t>
      </w:r>
      <w:r>
        <w:rPr>
          <w:rFonts w:hint="eastAsia" w:ascii="黑体" w:hAnsi="黑体" w:eastAsia="黑体" w:cs="黑体"/>
          <w:b w:val="0"/>
          <w:bCs w:val="0"/>
          <w:color w:val="auto"/>
          <w:kern w:val="1"/>
          <w:sz w:val="30"/>
          <w:szCs w:val="30"/>
          <w:highlight w:val="none"/>
          <w:lang w:val="en-US" w:eastAsia="zh-CN"/>
        </w:rPr>
        <w:t>评审流程</w:t>
      </w:r>
      <w:r>
        <w:rPr>
          <w:rFonts w:hint="eastAsia" w:ascii="黑体" w:hAnsi="黑体" w:eastAsia="黑体" w:cs="黑体"/>
          <w:b w:val="0"/>
          <w:bCs w:val="0"/>
          <w:color w:val="auto"/>
          <w:kern w:val="1"/>
          <w:sz w:val="30"/>
          <w:szCs w:val="30"/>
          <w:highlight w:val="none"/>
        </w:rPr>
        <w:t>：</w:t>
      </w:r>
    </w:p>
    <w:p w14:paraId="0C4EFAB5">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（一）评审</w:t>
      </w:r>
    </w:p>
    <w:p w14:paraId="75C9F6AC">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本项目由采购人组织评审小组负责评审工作，确定最终中选人。</w:t>
      </w:r>
    </w:p>
    <w:p w14:paraId="6E0EFA58">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（二）评定</w:t>
      </w:r>
    </w:p>
    <w:p w14:paraId="78C93766">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1、评审小组本着公平、公正的原则进行评定，按照百分制对报价人价格、供应商的综合实力、技术方案进行综合评分，得分最高的报价人作为中选人。</w:t>
      </w:r>
    </w:p>
    <w:p w14:paraId="6DCFBA49">
      <w:pPr>
        <w:keepNext w:val="0"/>
        <w:keepLines w:val="0"/>
        <w:pageBreakBefore w:val="0"/>
        <w:widowControl w:val="0"/>
        <w:kinsoku w:val="0"/>
        <w:wordWrap/>
        <w:overflowPunct w:val="0"/>
        <w:topLinePunct w:val="0"/>
        <w:autoSpaceDE w:val="0"/>
        <w:autoSpaceDN w:val="0"/>
        <w:bidi w:val="0"/>
        <w:adjustRightInd/>
        <w:snapToGrid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2、请各报价人保持通讯畅通，便于评审小组在评审现场电话联系。</w:t>
      </w:r>
    </w:p>
    <w:p w14:paraId="3FAA0278">
      <w:pPr>
        <w:keepNext w:val="0"/>
        <w:keepLines w:val="0"/>
        <w:pageBreakBefore w:val="0"/>
        <w:widowControl w:val="0"/>
        <w:kinsoku w:val="0"/>
        <w:wordWrap/>
        <w:overflowPunct w:val="0"/>
        <w:topLinePunct w:val="0"/>
        <w:autoSpaceDE w:val="0"/>
        <w:autoSpaceDN w:val="0"/>
        <w:bidi w:val="0"/>
        <w:adjustRightInd/>
        <w:snapToGrid w:val="0"/>
        <w:spacing w:line="560" w:lineRule="exact"/>
        <w:ind w:left="0" w:firstLine="600" w:firstLineChars="200"/>
        <w:jc w:val="left"/>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3、评审小组不得泄露各报价人的报价。                                 </w:t>
      </w:r>
    </w:p>
    <w:p w14:paraId="5C899493">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（三）无效报价</w:t>
      </w:r>
    </w:p>
    <w:p w14:paraId="6D8B0304">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1、采购人如发现采购过程中如有任何试图通过不正当手段影响比价结果的行为（如报价人之间私下协商报价、与采购方串通等扰乱采购人经营秩序的恶劣情况，经评审小组评定可作无效报价处理，并可将相关报价方列入供应商负面清单，一年内不再接受参与报价。</w:t>
      </w:r>
    </w:p>
    <w:p w14:paraId="57CFB9E6">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2、凡报价人不具备生产经营资质的，或报价文件填写不完整、报价有空项的，或不符合技术要求条款的，或者存在其他不符合采购人有关要求的问题，经评审小组评定，可作无效报价处理。</w:t>
      </w:r>
    </w:p>
    <w:p w14:paraId="4E893D2A">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b/>
          <w:kern w:val="1"/>
          <w:sz w:val="30"/>
          <w:szCs w:val="30"/>
          <w:highlight w:val="none"/>
        </w:rPr>
      </w:pPr>
      <w:r>
        <w:rPr>
          <w:rFonts w:hint="eastAsia" w:ascii="仿宋_GB2312" w:hAnsi="仿宋_GB2312" w:eastAsia="仿宋_GB2312" w:cs="仿宋_GB2312"/>
          <w:sz w:val="30"/>
          <w:szCs w:val="30"/>
          <w:highlight w:val="none"/>
          <w:lang w:val="en-US" w:eastAsia="zh-CN"/>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511A1AEF">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黑体" w:hAnsi="黑体" w:eastAsia="黑体" w:cs="黑体"/>
          <w:b w:val="0"/>
          <w:bCs w:val="0"/>
          <w:sz w:val="30"/>
          <w:szCs w:val="30"/>
          <w:highlight w:val="none"/>
          <w:lang w:val="en-US" w:eastAsia="zh-CN"/>
        </w:rPr>
      </w:pPr>
      <w:r>
        <w:rPr>
          <w:rFonts w:hint="eastAsia" w:ascii="黑体" w:hAnsi="黑体" w:eastAsia="黑体" w:cs="黑体"/>
          <w:b w:val="0"/>
          <w:bCs w:val="0"/>
          <w:sz w:val="30"/>
          <w:szCs w:val="30"/>
          <w:highlight w:val="none"/>
          <w:lang w:val="en-US" w:eastAsia="zh-CN"/>
        </w:rPr>
        <w:t>六、其他注意事项：　　</w:t>
      </w:r>
    </w:p>
    <w:p w14:paraId="0544059D">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（一）违约责任：</w:t>
      </w:r>
    </w:p>
    <w:p w14:paraId="02F25F6F">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1、如中选人没有按照规定的时间提供完整的服务，中选人将支付违约金，每逾期一天，按服务费用总额的 0.5% 支付违约金，逾期超过 10 日的，采购人有权解除合同。</w:t>
      </w:r>
    </w:p>
    <w:p w14:paraId="4EA51E6A">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p>
    <w:p w14:paraId="16DB9DD7">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2、如中选人在服务过程中提供的生态环境影响评价报告出现质量问题、中选人有徇私舞弊等违反职业道德规范的行为，采购人可选择解除合同并就所受损失要求中选人赔偿损失。</w:t>
      </w:r>
    </w:p>
    <w:p w14:paraId="24FCA94D">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（二）中选人应严格按照询价文件约定与采购人签订合同，并按合同约定提供服务工作。对中选人所有违背询价文件及合同约定的行为，采购人均可持续保留与中选人终止合作的一切权利。　</w:t>
      </w:r>
    </w:p>
    <w:p w14:paraId="6EA63F31">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（三）中选人无正当理由不与采购人签订合同的，将承担违约责任，列入采购人供应商负面清单。</w:t>
      </w:r>
    </w:p>
    <w:p w14:paraId="34BC0553">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四）如报价人不能正常履约，对采购人生产经营活动造成影响的，根据《索普集团供应商负面清单管理规定（2025年修订版）》（详见附件2），采购人有权对违反规定的报价人进行考核扣分，对列入负面清单的供应商，索普集团本部及各分子公司将不接受其报价，产生严重影响的，采购人将依法追究报价人法律责任。索普集团供应商负面清单的公示地址为：www.sopo.com.cn。</w:t>
      </w:r>
    </w:p>
    <w:p w14:paraId="2173D732">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（五）采购人对所供产品所引起的知识产权方面的纠纷，由报价人承担一切后果，采购人不承担任何责任。</w:t>
      </w:r>
    </w:p>
    <w:p w14:paraId="3326AC6A">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（六）报价人应详细阅读本采购文件，参与报价即视为对本采购文件所列之条款均表示接受。</w:t>
      </w:r>
    </w:p>
    <w:p w14:paraId="63D247EE">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（七）本次采购解释权归江苏索普（集团）有限公司商务合作部所有。</w:t>
      </w:r>
    </w:p>
    <w:p w14:paraId="7B20CBCB">
      <w:pPr>
        <w:keepNext w:val="0"/>
        <w:keepLines w:val="0"/>
        <w:pageBreakBefore w:val="0"/>
        <w:widowControl w:val="0"/>
        <w:kinsoku/>
        <w:wordWrap/>
        <w:overflowPunct/>
        <w:topLinePunct w:val="0"/>
        <w:autoSpaceDE/>
        <w:autoSpaceDN/>
        <w:bidi w:val="0"/>
        <w:spacing w:line="560" w:lineRule="exact"/>
        <w:ind w:left="0"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（八）本次采购中选信息公示网址：http://www.sopo.com.cn/info/91-92-18258-1.html。</w:t>
      </w:r>
    </w:p>
    <w:p w14:paraId="319AF250">
      <w:pPr>
        <w:tabs>
          <w:tab w:val="left" w:pos="2565"/>
        </w:tabs>
        <w:spacing w:line="600" w:lineRule="exact"/>
        <w:ind w:left="0" w:leftChars="0" w:firstLine="0" w:firstLineChars="0"/>
        <w:jc w:val="both"/>
        <w:rPr>
          <w:rFonts w:hint="eastAsia" w:ascii="黑体" w:hAnsi="黑体" w:eastAsia="黑体" w:cs="黑体"/>
          <w:b w:val="0"/>
          <w:bCs/>
          <w:color w:val="auto"/>
          <w:kern w:val="0"/>
          <w:sz w:val="34"/>
          <w:szCs w:val="34"/>
          <w:highlight w:val="none"/>
          <w:lang w:val="en-US" w:eastAsia="zh-CN" w:bidi="ar-SA"/>
        </w:rPr>
        <w:sectPr>
          <w:headerReference r:id="rId5" w:type="default"/>
          <w:footerReference r:id="rId6" w:type="default"/>
          <w:pgSz w:w="11906" w:h="16838"/>
          <w:pgMar w:top="1440" w:right="1800" w:bottom="1440" w:left="1800" w:header="851" w:footer="992" w:gutter="0"/>
          <w:cols w:space="720" w:num="1"/>
          <w:docGrid w:type="lines" w:linePitch="312" w:charSpace="0"/>
        </w:sectPr>
      </w:pPr>
    </w:p>
    <w:p w14:paraId="69417CF7">
      <w:pPr>
        <w:tabs>
          <w:tab w:val="left" w:pos="2565"/>
        </w:tabs>
        <w:spacing w:line="600" w:lineRule="exact"/>
        <w:ind w:left="0" w:leftChars="0" w:firstLine="0" w:firstLineChars="0"/>
        <w:jc w:val="both"/>
        <w:rPr>
          <w:rFonts w:hint="eastAsia" w:ascii="黑体" w:hAnsi="黑体" w:eastAsia="黑体" w:cs="黑体"/>
          <w:b w:val="0"/>
          <w:bCs/>
          <w:color w:val="auto"/>
          <w:kern w:val="0"/>
          <w:sz w:val="34"/>
          <w:szCs w:val="34"/>
          <w:highlight w:val="none"/>
          <w:lang w:val="en-US" w:eastAsia="zh-CN" w:bidi="ar-SA"/>
        </w:rPr>
      </w:pPr>
      <w:r>
        <w:rPr>
          <w:rFonts w:hint="eastAsia" w:ascii="黑体" w:hAnsi="黑体" w:eastAsia="黑体" w:cs="黑体"/>
          <w:b w:val="0"/>
          <w:bCs/>
          <w:color w:val="auto"/>
          <w:kern w:val="0"/>
          <w:sz w:val="34"/>
          <w:szCs w:val="34"/>
          <w:highlight w:val="none"/>
          <w:lang w:val="en-US" w:eastAsia="zh-CN" w:bidi="ar-SA"/>
        </w:rPr>
        <w:t>附件1</w:t>
      </w:r>
    </w:p>
    <w:p w14:paraId="7888546C">
      <w:pPr>
        <w:tabs>
          <w:tab w:val="left" w:pos="2565"/>
        </w:tabs>
        <w:spacing w:line="600" w:lineRule="exact"/>
        <w:ind w:left="0" w:leftChars="0" w:firstLine="0" w:firstLineChars="0"/>
        <w:jc w:val="center"/>
        <w:rPr>
          <w:rFonts w:hint="eastAsia" w:ascii="黑体" w:hAnsi="黑体" w:eastAsia="黑体" w:cs="黑体"/>
          <w:color w:val="000000"/>
          <w:sz w:val="44"/>
          <w:szCs w:val="44"/>
        </w:rPr>
      </w:pPr>
      <w:r>
        <w:rPr>
          <w:rFonts w:hint="eastAsia" w:ascii="黑体" w:hAnsi="黑体" w:eastAsia="黑体" w:cs="黑体"/>
          <w:color w:val="000000"/>
          <w:sz w:val="44"/>
          <w:szCs w:val="44"/>
        </w:rPr>
        <w:t>报价函</w:t>
      </w:r>
    </w:p>
    <w:p w14:paraId="16F63785">
      <w:pPr>
        <w:keepNext w:val="0"/>
        <w:keepLines w:val="0"/>
        <w:pageBreakBefore w:val="0"/>
        <w:widowControl w:val="0"/>
        <w:tabs>
          <w:tab w:val="left" w:pos="180"/>
        </w:tabs>
        <w:kinsoku/>
        <w:wordWrap w:val="0"/>
        <w:overflowPunct/>
        <w:topLinePunct w:val="0"/>
        <w:autoSpaceDE/>
        <w:autoSpaceDN/>
        <w:bidi w:val="0"/>
        <w:adjustRightInd w:val="0"/>
        <w:snapToGrid w:val="0"/>
        <w:spacing w:line="600" w:lineRule="exact"/>
        <w:ind w:left="0" w:leftChars="0" w:right="0" w:rightChars="0" w:firstLine="0" w:firstLineChars="0"/>
        <w:textAlignment w:val="auto"/>
        <w:outlineLvl w:val="9"/>
        <w:rPr>
          <w:rFonts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江苏索普（集团）有限公司：</w:t>
      </w:r>
    </w:p>
    <w:p w14:paraId="297D54ED">
      <w:pPr>
        <w:keepNext w:val="0"/>
        <w:keepLines w:val="0"/>
        <w:pageBreakBefore w:val="0"/>
        <w:widowControl w:val="0"/>
        <w:kinsoku/>
        <w:wordWrap w:val="0"/>
        <w:overflowPunct/>
        <w:topLinePunct w:val="0"/>
        <w:autoSpaceDE/>
        <w:autoSpaceDN/>
        <w:bidi w:val="0"/>
        <w:adjustRightInd w:val="0"/>
        <w:snapToGrid w:val="0"/>
        <w:spacing w:line="540" w:lineRule="exact"/>
        <w:ind w:left="0" w:leftChars="0" w:right="0" w:rightChars="0" w:firstLine="600" w:firstLineChars="200"/>
        <w:jc w:val="left"/>
        <w:textAlignment w:val="auto"/>
        <w:outlineLvl w:val="9"/>
        <w:rPr>
          <w:rFonts w:hint="eastAsia" w:ascii="仿宋_GB2312" w:hAnsi="仿宋_GB2312" w:eastAsia="仿宋_GB2312" w:cs="仿宋_GB2312"/>
          <w:color w:val="auto"/>
          <w:kern w:val="1"/>
          <w:sz w:val="30"/>
          <w:szCs w:val="30"/>
        </w:rPr>
      </w:pPr>
      <w:r>
        <w:rPr>
          <w:rFonts w:hint="eastAsia" w:ascii="仿宋_GB2312" w:hAnsi="仿宋_GB2312" w:eastAsia="仿宋_GB2312" w:cs="仿宋_GB2312"/>
          <w:color w:val="auto"/>
          <w:kern w:val="1"/>
          <w:sz w:val="30"/>
          <w:szCs w:val="30"/>
          <w:u w:val="single"/>
        </w:rPr>
        <w:t>(</w:t>
      </w:r>
      <w:r>
        <w:rPr>
          <w:rFonts w:hint="eastAsia" w:ascii="仿宋_GB2312" w:hAnsi="仿宋_GB2312" w:eastAsia="仿宋_GB2312" w:cs="仿宋_GB2312"/>
          <w:color w:val="auto"/>
          <w:kern w:val="1"/>
          <w:sz w:val="30"/>
          <w:szCs w:val="30"/>
          <w:u w:val="single"/>
          <w:lang w:eastAsia="zh-CN"/>
        </w:rPr>
        <w:t>报价</w:t>
      </w:r>
      <w:r>
        <w:rPr>
          <w:rFonts w:hint="eastAsia" w:ascii="仿宋_GB2312" w:hAnsi="仿宋_GB2312" w:eastAsia="仿宋_GB2312" w:cs="仿宋_GB2312"/>
          <w:color w:val="auto"/>
          <w:kern w:val="1"/>
          <w:sz w:val="30"/>
          <w:szCs w:val="30"/>
          <w:u w:val="single"/>
        </w:rPr>
        <w:t>单位全称)</w:t>
      </w:r>
      <w:r>
        <w:rPr>
          <w:rFonts w:hint="eastAsia" w:ascii="仿宋_GB2312" w:hAnsi="仿宋_GB2312" w:eastAsia="仿宋_GB2312" w:cs="仿宋_GB2312"/>
          <w:color w:val="auto"/>
          <w:kern w:val="1"/>
          <w:sz w:val="30"/>
          <w:szCs w:val="30"/>
        </w:rPr>
        <w:t>授权</w:t>
      </w:r>
      <w:r>
        <w:rPr>
          <w:rFonts w:hint="eastAsia" w:ascii="仿宋_GB2312" w:hAnsi="仿宋_GB2312" w:eastAsia="仿宋_GB2312" w:cs="仿宋_GB2312"/>
          <w:color w:val="auto"/>
          <w:kern w:val="1"/>
          <w:sz w:val="30"/>
          <w:szCs w:val="30"/>
          <w:u w:val="single"/>
        </w:rPr>
        <w:t>(全权代表姓名)(职务、职称)</w:t>
      </w:r>
      <w:r>
        <w:rPr>
          <w:rFonts w:hint="eastAsia" w:ascii="仿宋_GB2312" w:hAnsi="仿宋_GB2312" w:eastAsia="仿宋_GB2312" w:cs="仿宋_GB2312"/>
          <w:color w:val="auto"/>
          <w:kern w:val="1"/>
          <w:sz w:val="30"/>
          <w:szCs w:val="30"/>
        </w:rPr>
        <w:t>为全权代表，参加贵方组织的</w:t>
      </w:r>
      <w:r>
        <w:rPr>
          <w:rFonts w:hint="eastAsia" w:ascii="仿宋_GB2312" w:hAnsi="仿宋_GB2312" w:eastAsia="仿宋_GB2312" w:cs="仿宋_GB2312"/>
          <w:color w:val="auto"/>
          <w:kern w:val="1"/>
          <w:sz w:val="30"/>
          <w:szCs w:val="30"/>
          <w:lang w:eastAsia="zh-CN"/>
        </w:rPr>
        <w:t>采购</w:t>
      </w:r>
      <w:r>
        <w:rPr>
          <w:rFonts w:hint="eastAsia" w:ascii="仿宋_GB2312" w:hAnsi="仿宋_GB2312" w:eastAsia="仿宋_GB2312" w:cs="仿宋_GB2312"/>
          <w:color w:val="auto"/>
          <w:kern w:val="1"/>
          <w:sz w:val="30"/>
          <w:szCs w:val="30"/>
        </w:rPr>
        <w:t>有关活动，并对该项目进行</w:t>
      </w:r>
      <w:r>
        <w:rPr>
          <w:rFonts w:hint="eastAsia" w:ascii="仿宋_GB2312" w:hAnsi="仿宋_GB2312" w:eastAsia="仿宋_GB2312" w:cs="仿宋_GB2312"/>
          <w:color w:val="auto"/>
          <w:kern w:val="1"/>
          <w:sz w:val="30"/>
          <w:szCs w:val="30"/>
          <w:lang w:eastAsia="zh-CN"/>
        </w:rPr>
        <w:t>报价</w:t>
      </w:r>
      <w:r>
        <w:rPr>
          <w:rFonts w:hint="eastAsia" w:ascii="仿宋_GB2312" w:hAnsi="仿宋_GB2312" w:eastAsia="仿宋_GB2312" w:cs="仿宋_GB2312"/>
          <w:color w:val="auto"/>
          <w:kern w:val="1"/>
          <w:sz w:val="30"/>
          <w:szCs w:val="30"/>
        </w:rPr>
        <w:t>。</w:t>
      </w:r>
    </w:p>
    <w:p w14:paraId="135BCBA2">
      <w:pPr>
        <w:numPr>
          <w:ilvl w:val="0"/>
          <w:numId w:val="0"/>
        </w:numPr>
        <w:wordWrap w:val="0"/>
        <w:spacing w:line="360" w:lineRule="auto"/>
        <w:ind w:left="30" w:leftChars="0" w:firstLine="600" w:firstLineChars="200"/>
        <w:jc w:val="left"/>
        <w:rPr>
          <w:rFonts w:hint="eastAsia" w:ascii="仿宋_GB2312" w:hAnsi="仿宋_GB2312" w:eastAsia="仿宋_GB2312" w:cs="仿宋_GB2312"/>
          <w:b/>
          <w:bCs/>
          <w:kern w:val="1"/>
          <w:sz w:val="30"/>
          <w:szCs w:val="30"/>
        </w:rPr>
      </w:pPr>
      <w:r>
        <w:rPr>
          <w:rFonts w:hint="eastAsia" w:ascii="仿宋_GB2312" w:hAnsi="仿宋_GB2312" w:eastAsia="仿宋_GB2312" w:cs="仿宋_GB2312"/>
          <w:kern w:val="1"/>
          <w:sz w:val="30"/>
          <w:szCs w:val="30"/>
          <w:highlight w:val="none"/>
          <w:lang w:val="en-US" w:eastAsia="zh-CN"/>
        </w:rPr>
        <w:t>1、</w:t>
      </w:r>
      <w:r>
        <w:rPr>
          <w:rFonts w:hint="eastAsia" w:ascii="仿宋_GB2312" w:hAnsi="仿宋_GB2312" w:eastAsia="仿宋_GB2312" w:cs="仿宋_GB2312"/>
          <w:bCs/>
          <w:kern w:val="1"/>
          <w:sz w:val="30"/>
          <w:szCs w:val="30"/>
          <w:highlight w:val="none"/>
          <w:lang w:eastAsia="zh-CN"/>
        </w:rPr>
        <w:t>报</w:t>
      </w:r>
      <w:r>
        <w:rPr>
          <w:rFonts w:hint="eastAsia" w:ascii="仿宋_GB2312" w:hAnsi="仿宋_GB2312" w:eastAsia="仿宋_GB2312" w:cs="仿宋_GB2312"/>
          <w:kern w:val="1"/>
          <w:sz w:val="30"/>
          <w:szCs w:val="30"/>
          <w:lang w:eastAsia="zh-CN"/>
        </w:rPr>
        <w:t>价</w:t>
      </w:r>
      <w:r>
        <w:rPr>
          <w:rFonts w:hint="eastAsia" w:ascii="仿宋_GB2312" w:hAnsi="仿宋_GB2312" w:eastAsia="仿宋_GB2312" w:cs="仿宋_GB2312"/>
          <w:kern w:val="1"/>
          <w:sz w:val="30"/>
          <w:szCs w:val="30"/>
        </w:rPr>
        <w:t>项目的总</w:t>
      </w:r>
      <w:r>
        <w:rPr>
          <w:rFonts w:hint="eastAsia" w:ascii="仿宋_GB2312" w:hAnsi="仿宋_GB2312" w:eastAsia="仿宋_GB2312" w:cs="仿宋_GB2312"/>
          <w:kern w:val="1"/>
          <w:sz w:val="30"/>
          <w:szCs w:val="30"/>
          <w:lang w:eastAsia="zh-CN"/>
        </w:rPr>
        <w:t>报价</w:t>
      </w:r>
      <w:r>
        <w:rPr>
          <w:rFonts w:hint="eastAsia" w:ascii="仿宋_GB2312" w:hAnsi="仿宋_GB2312" w:eastAsia="仿宋_GB2312" w:cs="仿宋_GB2312"/>
          <w:kern w:val="1"/>
          <w:sz w:val="30"/>
          <w:szCs w:val="30"/>
        </w:rPr>
        <w:t>（含税）为</w:t>
      </w:r>
      <w:r>
        <w:rPr>
          <w:rFonts w:ascii="仿宋_GB2312" w:hAnsi="仿宋_GB2312" w:eastAsia="仿宋_GB2312" w:cs="仿宋_GB2312"/>
          <w:kern w:val="1"/>
          <w:sz w:val="30"/>
          <w:szCs w:val="30"/>
          <w:u w:val="single"/>
        </w:rPr>
        <w:softHyphen/>
      </w:r>
      <w:r>
        <w:rPr>
          <w:rFonts w:hint="eastAsia" w:ascii="仿宋_GB2312" w:hAnsi="仿宋_GB2312" w:eastAsia="仿宋_GB2312" w:cs="仿宋_GB2312"/>
          <w:kern w:val="1"/>
          <w:sz w:val="30"/>
          <w:szCs w:val="30"/>
          <w:u w:val="single"/>
        </w:rPr>
        <w:t xml:space="preserve">            </w:t>
      </w:r>
      <w:r>
        <w:rPr>
          <w:rFonts w:hint="eastAsia" w:ascii="仿宋_GB2312" w:hAnsi="仿宋_GB2312" w:eastAsia="仿宋_GB2312" w:cs="仿宋_GB2312"/>
          <w:kern w:val="1"/>
          <w:sz w:val="30"/>
          <w:szCs w:val="30"/>
        </w:rPr>
        <w:t>(大写)：</w:t>
      </w:r>
      <w:r>
        <w:rPr>
          <w:rFonts w:hint="eastAsia" w:ascii="仿宋_GB2312" w:hAnsi="仿宋_GB2312" w:eastAsia="仿宋_GB2312" w:cs="仿宋_GB2312"/>
          <w:kern w:val="1"/>
          <w:sz w:val="30"/>
          <w:szCs w:val="30"/>
          <w:u w:val="single"/>
        </w:rPr>
        <w:t xml:space="preserve">             </w:t>
      </w:r>
      <w:r>
        <w:rPr>
          <w:rFonts w:hint="eastAsia" w:ascii="仿宋_GB2312" w:hAnsi="仿宋_GB2312" w:eastAsia="仿宋_GB2312" w:cs="仿宋_GB2312"/>
          <w:kern w:val="1"/>
          <w:sz w:val="30"/>
          <w:szCs w:val="30"/>
        </w:rPr>
        <w:t>元人民币；税率</w:t>
      </w:r>
      <w:r>
        <w:rPr>
          <w:rFonts w:hint="eastAsia" w:ascii="仿宋_GB2312" w:hAnsi="仿宋_GB2312" w:eastAsia="仿宋_GB2312" w:cs="仿宋_GB2312"/>
          <w:kern w:val="1"/>
          <w:sz w:val="30"/>
          <w:szCs w:val="30"/>
          <w:u w:val="single"/>
        </w:rPr>
        <w:t xml:space="preserve">       </w:t>
      </w:r>
      <w:r>
        <w:rPr>
          <w:rFonts w:hint="eastAsia" w:ascii="仿宋_GB2312" w:hAnsi="仿宋_GB2312" w:eastAsia="仿宋_GB2312" w:cs="仿宋_GB2312"/>
          <w:kern w:val="1"/>
          <w:sz w:val="30"/>
          <w:szCs w:val="30"/>
        </w:rPr>
        <w:t>%</w:t>
      </w:r>
      <w:r>
        <w:rPr>
          <w:rFonts w:hint="eastAsia" w:ascii="仿宋_GB2312" w:hAnsi="仿宋_GB2312" w:eastAsia="仿宋_GB2312" w:cs="仿宋_GB2312"/>
          <w:kern w:val="1"/>
          <w:sz w:val="30"/>
          <w:szCs w:val="30"/>
          <w:lang w:val="en-US"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2210"/>
        <w:gridCol w:w="2235"/>
      </w:tblGrid>
      <w:tr w14:paraId="39AD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5" w:type="dxa"/>
            <w:noWrap w:val="0"/>
            <w:vAlign w:val="center"/>
          </w:tcPr>
          <w:p w14:paraId="7FF2EC62">
            <w:pPr>
              <w:pStyle w:val="6"/>
              <w:jc w:val="center"/>
              <w:rPr>
                <w:rFonts w:hint="eastAsia"/>
              </w:rPr>
            </w:pPr>
            <w:r>
              <w:rPr>
                <w:rFonts w:hint="eastAsia"/>
              </w:rPr>
              <w:t>单位</w:t>
            </w:r>
          </w:p>
        </w:tc>
        <w:tc>
          <w:tcPr>
            <w:tcW w:w="2254" w:type="dxa"/>
            <w:noWrap w:val="0"/>
            <w:vAlign w:val="center"/>
          </w:tcPr>
          <w:p w14:paraId="6DBB98F5">
            <w:pPr>
              <w:pStyle w:val="6"/>
              <w:jc w:val="center"/>
              <w:rPr>
                <w:rFonts w:hint="eastAsia"/>
              </w:rPr>
            </w:pPr>
            <w:r>
              <w:rPr>
                <w:rFonts w:hint="eastAsia"/>
                <w:lang w:eastAsia="zh-CN"/>
              </w:rPr>
              <w:t>报价</w:t>
            </w:r>
            <w:r>
              <w:rPr>
                <w:rFonts w:hint="eastAsia"/>
              </w:rPr>
              <w:t>（含税）</w:t>
            </w:r>
          </w:p>
        </w:tc>
        <w:tc>
          <w:tcPr>
            <w:tcW w:w="2280" w:type="dxa"/>
            <w:noWrap w:val="0"/>
            <w:vAlign w:val="center"/>
          </w:tcPr>
          <w:p w14:paraId="5B966E3D">
            <w:pPr>
              <w:pStyle w:val="6"/>
              <w:jc w:val="center"/>
              <w:rPr>
                <w:rFonts w:hint="eastAsia"/>
              </w:rPr>
            </w:pPr>
            <w:r>
              <w:rPr>
                <w:rFonts w:hint="eastAsia"/>
              </w:rPr>
              <w:t>税率（%）</w:t>
            </w:r>
          </w:p>
        </w:tc>
      </w:tr>
      <w:tr w14:paraId="58FE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185" w:type="dxa"/>
            <w:noWrap w:val="0"/>
            <w:vAlign w:val="center"/>
          </w:tcPr>
          <w:p w14:paraId="4A9817B2">
            <w:pPr>
              <w:pStyle w:val="6"/>
              <w:jc w:val="center"/>
              <w:rPr>
                <w:rFonts w:hint="eastAsia" w:ascii="仿宋_GB2312" w:hAnsi="仿宋_GB2312" w:eastAsia="仿宋_GB2312" w:cs="仿宋_GB2312"/>
                <w:sz w:val="24"/>
                <w:szCs w:val="24"/>
              </w:rPr>
            </w:pPr>
          </w:p>
        </w:tc>
        <w:tc>
          <w:tcPr>
            <w:tcW w:w="2254" w:type="dxa"/>
            <w:noWrap w:val="0"/>
            <w:vAlign w:val="center"/>
          </w:tcPr>
          <w:p w14:paraId="68EE9C0B">
            <w:pPr>
              <w:pStyle w:val="6"/>
              <w:jc w:val="center"/>
            </w:pPr>
          </w:p>
        </w:tc>
        <w:tc>
          <w:tcPr>
            <w:tcW w:w="2280" w:type="dxa"/>
            <w:noWrap w:val="0"/>
            <w:vAlign w:val="center"/>
          </w:tcPr>
          <w:p w14:paraId="364162CD">
            <w:pPr>
              <w:pStyle w:val="6"/>
              <w:jc w:val="center"/>
            </w:pPr>
          </w:p>
        </w:tc>
      </w:tr>
      <w:tr w14:paraId="40ED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185" w:type="dxa"/>
            <w:noWrap w:val="0"/>
            <w:vAlign w:val="center"/>
          </w:tcPr>
          <w:p w14:paraId="426DCA59">
            <w:pPr>
              <w:pStyle w:val="6"/>
              <w:jc w:val="center"/>
              <w:rPr>
                <w:rFonts w:hint="eastAsia" w:ascii="仿宋_GB2312" w:hAnsi="仿宋_GB2312" w:eastAsia="仿宋_GB2312" w:cs="仿宋_GB2312"/>
                <w:sz w:val="24"/>
                <w:szCs w:val="24"/>
              </w:rPr>
            </w:pPr>
          </w:p>
        </w:tc>
        <w:tc>
          <w:tcPr>
            <w:tcW w:w="2254" w:type="dxa"/>
            <w:noWrap w:val="0"/>
            <w:vAlign w:val="center"/>
          </w:tcPr>
          <w:p w14:paraId="595BE52A">
            <w:pPr>
              <w:pStyle w:val="6"/>
              <w:jc w:val="center"/>
            </w:pPr>
          </w:p>
        </w:tc>
        <w:tc>
          <w:tcPr>
            <w:tcW w:w="2280" w:type="dxa"/>
            <w:noWrap w:val="0"/>
            <w:vAlign w:val="center"/>
          </w:tcPr>
          <w:p w14:paraId="6EBB5189">
            <w:pPr>
              <w:pStyle w:val="6"/>
              <w:jc w:val="center"/>
            </w:pPr>
          </w:p>
        </w:tc>
      </w:tr>
      <w:tr w14:paraId="2753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4185" w:type="dxa"/>
            <w:noWrap w:val="0"/>
            <w:vAlign w:val="center"/>
          </w:tcPr>
          <w:p w14:paraId="4B46A2CB">
            <w:pPr>
              <w:pStyle w:val="6"/>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合计</w:t>
            </w:r>
          </w:p>
        </w:tc>
        <w:tc>
          <w:tcPr>
            <w:tcW w:w="2254" w:type="dxa"/>
            <w:noWrap w:val="0"/>
            <w:vAlign w:val="center"/>
          </w:tcPr>
          <w:p w14:paraId="4012D221">
            <w:pPr>
              <w:pStyle w:val="6"/>
              <w:jc w:val="center"/>
            </w:pPr>
          </w:p>
        </w:tc>
        <w:tc>
          <w:tcPr>
            <w:tcW w:w="2280" w:type="dxa"/>
            <w:noWrap w:val="0"/>
            <w:vAlign w:val="center"/>
          </w:tcPr>
          <w:p w14:paraId="23F907DB">
            <w:pPr>
              <w:pStyle w:val="6"/>
              <w:jc w:val="center"/>
            </w:pPr>
          </w:p>
        </w:tc>
      </w:tr>
    </w:tbl>
    <w:p w14:paraId="10FE42E4">
      <w:pPr>
        <w:pageBreakBefore w:val="0"/>
        <w:widowControl w:val="0"/>
        <w:kinsoku/>
        <w:overflowPunct/>
        <w:topLinePunct w:val="0"/>
        <w:autoSpaceDE/>
        <w:autoSpaceDN/>
        <w:bidi w:val="0"/>
        <w:adjustRightInd/>
        <w:spacing w:line="560" w:lineRule="exact"/>
        <w:ind w:firstLine="600" w:firstLineChars="200"/>
        <w:jc w:val="left"/>
        <w:textAlignment w:val="auto"/>
        <w:rPr>
          <w:rFonts w:hint="eastAsia" w:ascii="仿宋_GB2312" w:hAnsi="仿宋_GB2312" w:eastAsia="仿宋_GB2312" w:cs="仿宋_GB2312"/>
          <w:kern w:val="1"/>
          <w:sz w:val="30"/>
          <w:szCs w:val="30"/>
          <w:highlight w:val="none"/>
        </w:rPr>
      </w:pPr>
      <w:r>
        <w:rPr>
          <w:rFonts w:hint="eastAsia" w:ascii="仿宋_GB2312" w:hAnsi="仿宋_GB2312" w:eastAsia="仿宋_GB2312" w:cs="仿宋_GB2312"/>
          <w:kern w:val="1"/>
          <w:sz w:val="30"/>
          <w:szCs w:val="30"/>
          <w:highlight w:val="none"/>
        </w:rPr>
        <w:t>2、我方保证遵守</w:t>
      </w:r>
      <w:r>
        <w:rPr>
          <w:rFonts w:hint="eastAsia" w:ascii="仿宋_GB2312" w:hAnsi="仿宋_GB2312" w:eastAsia="仿宋_GB2312" w:cs="仿宋_GB2312"/>
          <w:kern w:val="1"/>
          <w:sz w:val="30"/>
          <w:szCs w:val="30"/>
          <w:highlight w:val="none"/>
          <w:lang w:eastAsia="zh-CN"/>
        </w:rPr>
        <w:t>采购</w:t>
      </w:r>
      <w:r>
        <w:rPr>
          <w:rFonts w:hint="eastAsia" w:ascii="仿宋_GB2312" w:hAnsi="仿宋_GB2312" w:eastAsia="仿宋_GB2312" w:cs="仿宋_GB2312"/>
          <w:kern w:val="1"/>
          <w:sz w:val="30"/>
          <w:szCs w:val="30"/>
          <w:highlight w:val="none"/>
        </w:rPr>
        <w:t>文件中的全部规定；</w:t>
      </w:r>
    </w:p>
    <w:p w14:paraId="2E3519AA">
      <w:pPr>
        <w:pageBreakBefore w:val="0"/>
        <w:widowControl w:val="0"/>
        <w:kinsoku/>
        <w:overflowPunct/>
        <w:topLinePunct w:val="0"/>
        <w:autoSpaceDE/>
        <w:autoSpaceDN/>
        <w:bidi w:val="0"/>
        <w:adjustRightInd/>
        <w:spacing w:line="560" w:lineRule="exact"/>
        <w:ind w:firstLine="600" w:firstLineChars="200"/>
        <w:jc w:val="left"/>
        <w:textAlignment w:val="auto"/>
        <w:rPr>
          <w:rFonts w:hint="eastAsia" w:ascii="仿宋_GB2312" w:hAnsi="仿宋_GB2312" w:eastAsia="仿宋_GB2312" w:cs="仿宋_GB2312"/>
          <w:bCs/>
          <w:kern w:val="1"/>
          <w:sz w:val="30"/>
          <w:szCs w:val="30"/>
          <w:highlight w:val="none"/>
        </w:rPr>
      </w:pPr>
      <w:r>
        <w:rPr>
          <w:rFonts w:hint="eastAsia" w:ascii="仿宋_GB2312" w:hAnsi="仿宋_GB2312" w:eastAsia="仿宋_GB2312" w:cs="仿宋_GB2312"/>
          <w:bCs/>
          <w:kern w:val="1"/>
          <w:sz w:val="30"/>
          <w:szCs w:val="30"/>
          <w:highlight w:val="none"/>
        </w:rPr>
        <w:t>3、我方保证忠实地执行双方签订的合同,并承担合同规定的责任义务；</w:t>
      </w:r>
    </w:p>
    <w:p w14:paraId="4D859414">
      <w:pPr>
        <w:pageBreakBefore w:val="0"/>
        <w:widowControl w:val="0"/>
        <w:kinsoku/>
        <w:overflowPunct/>
        <w:topLinePunct w:val="0"/>
        <w:autoSpaceDE/>
        <w:autoSpaceDN/>
        <w:bidi w:val="0"/>
        <w:adjustRightInd/>
        <w:spacing w:line="560" w:lineRule="exact"/>
        <w:ind w:firstLine="600" w:firstLineChars="200"/>
        <w:jc w:val="left"/>
        <w:textAlignment w:val="auto"/>
        <w:rPr>
          <w:rFonts w:hint="eastAsia" w:ascii="仿宋_GB2312" w:hAnsi="仿宋_GB2312" w:eastAsia="仿宋_GB2312" w:cs="仿宋_GB2312"/>
          <w:bCs/>
          <w:kern w:val="1"/>
          <w:sz w:val="30"/>
          <w:szCs w:val="30"/>
          <w:highlight w:val="none"/>
        </w:rPr>
      </w:pPr>
      <w:r>
        <w:rPr>
          <w:rFonts w:hint="eastAsia" w:ascii="仿宋_GB2312" w:hAnsi="仿宋_GB2312" w:eastAsia="仿宋_GB2312" w:cs="仿宋_GB2312"/>
          <w:kern w:val="0"/>
          <w:sz w:val="30"/>
          <w:szCs w:val="30"/>
          <w:highlight w:val="none"/>
          <w:shd w:val="clear" w:color="auto" w:fill="FFFFFF"/>
        </w:rPr>
        <w:t>4、我方已详细审查全部</w:t>
      </w:r>
      <w:r>
        <w:rPr>
          <w:rFonts w:hint="eastAsia" w:ascii="仿宋_GB2312" w:hAnsi="仿宋_GB2312" w:eastAsia="仿宋_GB2312" w:cs="仿宋_GB2312"/>
          <w:kern w:val="0"/>
          <w:sz w:val="30"/>
          <w:szCs w:val="30"/>
          <w:highlight w:val="none"/>
          <w:shd w:val="clear" w:color="auto" w:fill="FFFFFF"/>
          <w:lang w:eastAsia="zh-CN"/>
        </w:rPr>
        <w:t>采购</w:t>
      </w:r>
      <w:r>
        <w:rPr>
          <w:rFonts w:hint="eastAsia" w:ascii="仿宋_GB2312" w:hAnsi="仿宋_GB2312" w:eastAsia="仿宋_GB2312" w:cs="仿宋_GB2312"/>
          <w:kern w:val="0"/>
          <w:sz w:val="30"/>
          <w:szCs w:val="30"/>
          <w:highlight w:val="none"/>
          <w:shd w:val="clear" w:color="auto" w:fill="FFFFFF"/>
        </w:rPr>
        <w:t>文件，包括</w:t>
      </w:r>
      <w:r>
        <w:rPr>
          <w:rFonts w:hint="eastAsia" w:ascii="仿宋_GB2312" w:hAnsi="仿宋_GB2312" w:eastAsia="仿宋_GB2312" w:cs="仿宋_GB2312"/>
          <w:kern w:val="0"/>
          <w:sz w:val="30"/>
          <w:szCs w:val="30"/>
          <w:highlight w:val="none"/>
          <w:shd w:val="clear" w:color="auto" w:fill="FFFFFF"/>
          <w:lang w:eastAsia="zh-CN"/>
        </w:rPr>
        <w:t>采购</w:t>
      </w:r>
      <w:r>
        <w:rPr>
          <w:rFonts w:hint="eastAsia" w:ascii="仿宋_GB2312" w:hAnsi="仿宋_GB2312" w:eastAsia="仿宋_GB2312" w:cs="仿宋_GB2312"/>
          <w:kern w:val="0"/>
          <w:sz w:val="30"/>
          <w:szCs w:val="30"/>
          <w:highlight w:val="none"/>
          <w:shd w:val="clear" w:color="auto" w:fill="FFFFFF"/>
        </w:rPr>
        <w:t>文件的补充文件（如有）。我方完全理解并同意放弃对这方面有不明及误解的权力，同时完全接受</w:t>
      </w:r>
      <w:r>
        <w:rPr>
          <w:rFonts w:hint="eastAsia" w:ascii="仿宋_GB2312" w:hAnsi="仿宋_GB2312" w:eastAsia="仿宋_GB2312" w:cs="仿宋_GB2312"/>
          <w:kern w:val="0"/>
          <w:sz w:val="30"/>
          <w:szCs w:val="30"/>
          <w:highlight w:val="none"/>
          <w:shd w:val="clear" w:color="auto" w:fill="FFFFFF"/>
          <w:lang w:eastAsia="zh-CN"/>
        </w:rPr>
        <w:t>采购</w:t>
      </w:r>
      <w:r>
        <w:rPr>
          <w:rFonts w:hint="eastAsia" w:ascii="仿宋_GB2312" w:hAnsi="仿宋_GB2312" w:eastAsia="仿宋_GB2312" w:cs="仿宋_GB2312"/>
          <w:kern w:val="0"/>
          <w:sz w:val="30"/>
          <w:szCs w:val="30"/>
          <w:highlight w:val="none"/>
          <w:shd w:val="clear" w:color="auto" w:fill="FFFFFF"/>
        </w:rPr>
        <w:t>文件所有条款。如果</w:t>
      </w:r>
      <w:r>
        <w:rPr>
          <w:rFonts w:hint="eastAsia" w:ascii="仿宋_GB2312" w:hAnsi="仿宋_GB2312" w:eastAsia="仿宋_GB2312" w:cs="仿宋_GB2312"/>
          <w:kern w:val="0"/>
          <w:sz w:val="30"/>
          <w:szCs w:val="30"/>
          <w:highlight w:val="none"/>
          <w:shd w:val="clear" w:color="auto" w:fill="FFFFFF"/>
          <w:lang w:eastAsia="zh-CN"/>
        </w:rPr>
        <w:t>采购</w:t>
      </w:r>
      <w:r>
        <w:rPr>
          <w:rFonts w:hint="eastAsia" w:ascii="仿宋_GB2312" w:hAnsi="仿宋_GB2312" w:eastAsia="仿宋_GB2312" w:cs="仿宋_GB2312"/>
          <w:kern w:val="0"/>
          <w:sz w:val="30"/>
          <w:szCs w:val="30"/>
          <w:highlight w:val="none"/>
          <w:shd w:val="clear" w:color="auto" w:fill="FFFFFF"/>
        </w:rPr>
        <w:t>文件有相互矛盾之处，我方同意按</w:t>
      </w:r>
      <w:r>
        <w:rPr>
          <w:rFonts w:hint="eastAsia" w:ascii="仿宋_GB2312" w:hAnsi="仿宋_GB2312" w:eastAsia="仿宋_GB2312" w:cs="仿宋_GB2312"/>
          <w:kern w:val="0"/>
          <w:sz w:val="30"/>
          <w:szCs w:val="30"/>
          <w:highlight w:val="none"/>
          <w:shd w:val="clear" w:color="auto" w:fill="FFFFFF"/>
          <w:lang w:eastAsia="zh-CN"/>
        </w:rPr>
        <w:t>采购</w:t>
      </w:r>
      <w:r>
        <w:rPr>
          <w:rFonts w:hint="eastAsia" w:ascii="仿宋_GB2312" w:hAnsi="仿宋_GB2312" w:eastAsia="仿宋_GB2312" w:cs="仿宋_GB2312"/>
          <w:kern w:val="0"/>
          <w:sz w:val="30"/>
          <w:szCs w:val="30"/>
          <w:highlight w:val="none"/>
          <w:shd w:val="clear" w:color="auto" w:fill="FFFFFF"/>
        </w:rPr>
        <w:t>方的解释处理；</w:t>
      </w:r>
    </w:p>
    <w:p w14:paraId="649B5867">
      <w:pPr>
        <w:pageBreakBefore w:val="0"/>
        <w:widowControl w:val="0"/>
        <w:kinsoku/>
        <w:overflowPunct/>
        <w:topLinePunct w:val="0"/>
        <w:autoSpaceDE/>
        <w:autoSpaceDN/>
        <w:bidi w:val="0"/>
        <w:adjustRightInd/>
        <w:spacing w:line="560" w:lineRule="exact"/>
        <w:ind w:firstLine="600" w:firstLineChars="200"/>
        <w:jc w:val="left"/>
        <w:textAlignment w:val="auto"/>
        <w:rPr>
          <w:rFonts w:hint="eastAsia" w:ascii="仿宋_GB2312" w:hAnsi="仿宋_GB2312" w:eastAsia="仿宋_GB2312" w:cs="仿宋_GB2312"/>
          <w:color w:val="000000"/>
          <w:kern w:val="1"/>
          <w:sz w:val="30"/>
          <w:szCs w:val="30"/>
          <w:highlight w:val="none"/>
        </w:rPr>
      </w:pPr>
      <w:r>
        <w:rPr>
          <w:rFonts w:hint="eastAsia" w:ascii="仿宋_GB2312" w:hAnsi="仿宋_GB2312" w:eastAsia="仿宋_GB2312" w:cs="仿宋_GB2312"/>
          <w:bCs/>
          <w:kern w:val="1"/>
          <w:sz w:val="30"/>
          <w:szCs w:val="30"/>
          <w:highlight w:val="none"/>
        </w:rPr>
        <w:t>5、愿意向贵方提供任何与该项</w:t>
      </w:r>
      <w:r>
        <w:rPr>
          <w:rFonts w:hint="eastAsia" w:ascii="仿宋_GB2312" w:hAnsi="仿宋_GB2312" w:eastAsia="仿宋_GB2312" w:cs="仿宋_GB2312"/>
          <w:bCs/>
          <w:kern w:val="1"/>
          <w:sz w:val="30"/>
          <w:szCs w:val="30"/>
          <w:highlight w:val="none"/>
          <w:lang w:eastAsia="zh-CN"/>
        </w:rPr>
        <w:t>报价</w:t>
      </w:r>
      <w:r>
        <w:rPr>
          <w:rFonts w:hint="eastAsia" w:ascii="仿宋_GB2312" w:hAnsi="仿宋_GB2312" w:eastAsia="仿宋_GB2312" w:cs="仿宋_GB2312"/>
          <w:bCs/>
          <w:kern w:val="1"/>
          <w:sz w:val="30"/>
          <w:szCs w:val="30"/>
          <w:highlight w:val="none"/>
        </w:rPr>
        <w:t>有关的数据、情况和技术资料，</w:t>
      </w:r>
      <w:r>
        <w:rPr>
          <w:rFonts w:hint="eastAsia" w:ascii="仿宋_GB2312" w:hAnsi="仿宋_GB2312" w:eastAsia="仿宋_GB2312" w:cs="仿宋_GB2312"/>
          <w:kern w:val="0"/>
          <w:sz w:val="30"/>
          <w:szCs w:val="30"/>
          <w:highlight w:val="none"/>
          <w:shd w:val="clear" w:color="auto" w:fill="FFFFFF"/>
        </w:rPr>
        <w:t>完全理解贵方不一定接受最低价的报价或收到的任何报价。</w:t>
      </w:r>
    </w:p>
    <w:p w14:paraId="603608AE">
      <w:pPr>
        <w:pageBreakBefore w:val="0"/>
        <w:widowControl w:val="0"/>
        <w:kinsoku/>
        <w:overflowPunct/>
        <w:topLinePunct w:val="0"/>
        <w:autoSpaceDE/>
        <w:autoSpaceDN/>
        <w:bidi w:val="0"/>
        <w:adjustRightInd/>
        <w:spacing w:line="560" w:lineRule="exact"/>
        <w:ind w:firstLine="600" w:firstLineChars="200"/>
        <w:jc w:val="left"/>
        <w:textAlignment w:val="auto"/>
        <w:rPr>
          <w:rFonts w:hint="eastAsia" w:ascii="仿宋_GB2312" w:hAnsi="仿宋_GB2312" w:eastAsia="仿宋_GB2312" w:cs="仿宋_GB2312"/>
          <w:kern w:val="0"/>
          <w:sz w:val="30"/>
          <w:szCs w:val="30"/>
          <w:highlight w:val="none"/>
          <w:shd w:val="clear" w:color="auto" w:fill="FFFFFF"/>
        </w:rPr>
      </w:pPr>
      <w:r>
        <w:rPr>
          <w:rFonts w:hint="eastAsia" w:ascii="仿宋_GB2312" w:hAnsi="仿宋_GB2312" w:eastAsia="仿宋_GB2312" w:cs="仿宋_GB2312"/>
          <w:kern w:val="0"/>
          <w:sz w:val="30"/>
          <w:szCs w:val="30"/>
          <w:highlight w:val="none"/>
          <w:shd w:val="clear" w:color="auto" w:fill="FFFFFF"/>
        </w:rPr>
        <w:t>全权代表（签字）：</w:t>
      </w:r>
      <w:r>
        <w:rPr>
          <w:rFonts w:hint="eastAsia" w:ascii="仿宋_GB2312" w:hAnsi="仿宋_GB2312" w:eastAsia="仿宋_GB2312" w:cs="仿宋_GB2312"/>
          <w:kern w:val="0"/>
          <w:sz w:val="30"/>
          <w:szCs w:val="30"/>
          <w:highlight w:val="none"/>
          <w:shd w:val="clear" w:color="auto" w:fill="FFFFFF"/>
          <w:lang w:val="en-US" w:eastAsia="zh-CN"/>
        </w:rPr>
        <w:t xml:space="preserve">             </w:t>
      </w:r>
      <w:r>
        <w:rPr>
          <w:rFonts w:hint="eastAsia" w:ascii="仿宋_GB2312" w:hAnsi="仿宋_GB2312" w:eastAsia="仿宋_GB2312" w:cs="仿宋_GB2312"/>
          <w:kern w:val="0"/>
          <w:sz w:val="30"/>
          <w:szCs w:val="30"/>
          <w:highlight w:val="none"/>
          <w:shd w:val="clear" w:color="auto" w:fill="FFFFFF"/>
        </w:rPr>
        <w:t>联系电话：</w:t>
      </w:r>
    </w:p>
    <w:p w14:paraId="4F793B38">
      <w:pPr>
        <w:pageBreakBefore w:val="0"/>
        <w:widowControl w:val="0"/>
        <w:kinsoku/>
        <w:overflowPunct/>
        <w:topLinePunct w:val="0"/>
        <w:autoSpaceDE/>
        <w:autoSpaceDN/>
        <w:bidi w:val="0"/>
        <w:adjustRightInd/>
        <w:spacing w:line="560" w:lineRule="exact"/>
        <w:ind w:firstLine="600" w:firstLineChars="200"/>
        <w:jc w:val="left"/>
        <w:textAlignment w:val="auto"/>
        <w:rPr>
          <w:rFonts w:hint="eastAsia" w:ascii="仿宋_GB2312" w:hAnsi="仿宋_GB2312" w:eastAsia="仿宋_GB2312" w:cs="仿宋_GB2312"/>
          <w:kern w:val="0"/>
          <w:sz w:val="30"/>
          <w:szCs w:val="30"/>
          <w:highlight w:val="none"/>
          <w:shd w:val="clear" w:color="auto" w:fill="FFFFFF"/>
        </w:rPr>
      </w:pPr>
      <w:r>
        <w:rPr>
          <w:rFonts w:hint="eastAsia" w:ascii="仿宋_GB2312" w:hAnsi="仿宋_GB2312" w:eastAsia="仿宋_GB2312" w:cs="仿宋_GB2312"/>
          <w:kern w:val="0"/>
          <w:sz w:val="30"/>
          <w:szCs w:val="30"/>
          <w:highlight w:val="none"/>
          <w:shd w:val="clear" w:color="auto" w:fill="FFFFFF"/>
          <w:lang w:eastAsia="zh-CN"/>
        </w:rPr>
        <w:t>报价</w:t>
      </w:r>
      <w:r>
        <w:rPr>
          <w:rFonts w:hint="eastAsia" w:ascii="仿宋_GB2312" w:hAnsi="仿宋_GB2312" w:eastAsia="仿宋_GB2312" w:cs="仿宋_GB2312"/>
          <w:kern w:val="0"/>
          <w:sz w:val="30"/>
          <w:szCs w:val="30"/>
          <w:highlight w:val="none"/>
          <w:shd w:val="clear" w:color="auto" w:fill="FFFFFF"/>
        </w:rPr>
        <w:t>单位（盖章）：</w:t>
      </w:r>
    </w:p>
    <w:p w14:paraId="7F271DCD">
      <w:pPr>
        <w:pStyle w:val="24"/>
        <w:rPr>
          <w:highlight w:val="none"/>
        </w:rPr>
      </w:pPr>
      <w:r>
        <w:rPr>
          <w:highlight w:val="none"/>
        </w:rPr>
        <w:t>2</w:t>
      </w:r>
      <w:r>
        <w:rPr>
          <w:rFonts w:hint="eastAsia"/>
          <w:highlight w:val="none"/>
        </w:rPr>
        <w:t>.人员配备一览表</w:t>
      </w:r>
    </w:p>
    <w:p w14:paraId="4F5E9B77">
      <w:pPr>
        <w:ind w:firstLine="0" w:firstLineChars="0"/>
        <w:jc w:val="center"/>
        <w:rPr>
          <w:rFonts w:ascii="宋体" w:hAnsi="宋体" w:eastAsia="宋体"/>
          <w:bCs/>
          <w:highlight w:val="none"/>
        </w:rPr>
      </w:pPr>
      <w:r>
        <w:rPr>
          <w:rFonts w:hint="eastAsia" w:ascii="宋体" w:hAnsi="宋体" w:eastAsia="宋体"/>
          <w:bCs/>
          <w:highlight w:val="none"/>
        </w:rPr>
        <w:t>人员配备一览表</w:t>
      </w:r>
    </w:p>
    <w:tbl>
      <w:tblPr>
        <w:tblStyle w:val="14"/>
        <w:tblW w:w="939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1"/>
        <w:gridCol w:w="1255"/>
        <w:gridCol w:w="753"/>
        <w:gridCol w:w="1350"/>
        <w:gridCol w:w="1411"/>
        <w:gridCol w:w="2259"/>
        <w:gridCol w:w="1506"/>
      </w:tblGrid>
      <w:tr w14:paraId="5DF1F4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861" w:type="dxa"/>
            <w:tcBorders>
              <w:top w:val="single" w:color="auto" w:sz="4" w:space="0"/>
              <w:left w:val="single" w:color="auto" w:sz="4" w:space="0"/>
              <w:bottom w:val="single" w:color="auto" w:sz="4" w:space="0"/>
              <w:right w:val="single" w:color="auto" w:sz="4" w:space="0"/>
            </w:tcBorders>
            <w:vAlign w:val="center"/>
          </w:tcPr>
          <w:p w14:paraId="760F5317">
            <w:pPr>
              <w:ind w:firstLine="0" w:firstLineChars="0"/>
              <w:jc w:val="center"/>
              <w:rPr>
                <w:rFonts w:ascii="宋体" w:hAnsi="宋体" w:eastAsia="宋体"/>
                <w:bCs/>
                <w:highlight w:val="none"/>
              </w:rPr>
            </w:pPr>
            <w:r>
              <w:rPr>
                <w:rFonts w:hint="eastAsia" w:ascii="宋体" w:hAnsi="宋体" w:eastAsia="宋体"/>
                <w:bCs/>
                <w:highlight w:val="none"/>
              </w:rPr>
              <w:t>序号</w:t>
            </w:r>
          </w:p>
        </w:tc>
        <w:tc>
          <w:tcPr>
            <w:tcW w:w="1255" w:type="dxa"/>
            <w:tcBorders>
              <w:top w:val="single" w:color="auto" w:sz="4" w:space="0"/>
              <w:left w:val="single" w:color="auto" w:sz="4" w:space="0"/>
              <w:bottom w:val="single" w:color="auto" w:sz="4" w:space="0"/>
              <w:right w:val="single" w:color="auto" w:sz="4" w:space="0"/>
            </w:tcBorders>
            <w:vAlign w:val="center"/>
          </w:tcPr>
          <w:p w14:paraId="17171FA8">
            <w:pPr>
              <w:ind w:firstLine="0" w:firstLineChars="0"/>
              <w:jc w:val="center"/>
              <w:rPr>
                <w:rFonts w:ascii="宋体" w:hAnsi="宋体" w:eastAsia="宋体"/>
                <w:bCs/>
                <w:highlight w:val="none"/>
              </w:rPr>
            </w:pPr>
            <w:r>
              <w:rPr>
                <w:rFonts w:hint="eastAsia" w:ascii="宋体" w:hAnsi="宋体" w:eastAsia="宋体"/>
                <w:bCs/>
                <w:highlight w:val="none"/>
              </w:rPr>
              <w:t>岗位</w:t>
            </w:r>
          </w:p>
        </w:tc>
        <w:tc>
          <w:tcPr>
            <w:tcW w:w="753" w:type="dxa"/>
            <w:tcBorders>
              <w:top w:val="single" w:color="auto" w:sz="4" w:space="0"/>
              <w:left w:val="single" w:color="auto" w:sz="4" w:space="0"/>
              <w:bottom w:val="single" w:color="auto" w:sz="4" w:space="0"/>
              <w:right w:val="single" w:color="auto" w:sz="4" w:space="0"/>
            </w:tcBorders>
            <w:vAlign w:val="center"/>
          </w:tcPr>
          <w:p w14:paraId="58D0A060">
            <w:pPr>
              <w:ind w:firstLine="0" w:firstLineChars="0"/>
              <w:jc w:val="center"/>
              <w:rPr>
                <w:rFonts w:ascii="宋体" w:hAnsi="宋体" w:eastAsia="宋体"/>
                <w:bCs/>
                <w:highlight w:val="none"/>
              </w:rPr>
            </w:pPr>
            <w:r>
              <w:rPr>
                <w:rFonts w:hint="eastAsia" w:ascii="宋体" w:hAnsi="宋体" w:eastAsia="宋体"/>
                <w:bCs/>
                <w:highlight w:val="none"/>
              </w:rPr>
              <w:t>数量</w:t>
            </w:r>
          </w:p>
        </w:tc>
        <w:tc>
          <w:tcPr>
            <w:tcW w:w="1350" w:type="dxa"/>
            <w:tcBorders>
              <w:top w:val="single" w:color="auto" w:sz="4" w:space="0"/>
              <w:left w:val="single" w:color="auto" w:sz="4" w:space="0"/>
              <w:bottom w:val="single" w:color="auto" w:sz="4" w:space="0"/>
              <w:right w:val="single" w:color="auto" w:sz="4" w:space="0"/>
            </w:tcBorders>
            <w:vAlign w:val="center"/>
          </w:tcPr>
          <w:p w14:paraId="69C3110D">
            <w:pPr>
              <w:ind w:firstLine="0" w:firstLineChars="0"/>
              <w:jc w:val="center"/>
              <w:rPr>
                <w:rFonts w:ascii="宋体" w:hAnsi="宋体" w:eastAsia="宋体"/>
                <w:bCs/>
                <w:highlight w:val="none"/>
              </w:rPr>
            </w:pPr>
            <w:r>
              <w:rPr>
                <w:rFonts w:hint="eastAsia" w:ascii="宋体" w:hAnsi="宋体" w:eastAsia="宋体"/>
                <w:bCs/>
                <w:highlight w:val="none"/>
              </w:rPr>
              <w:t>年龄</w:t>
            </w:r>
          </w:p>
        </w:tc>
        <w:tc>
          <w:tcPr>
            <w:tcW w:w="1411" w:type="dxa"/>
            <w:tcBorders>
              <w:top w:val="single" w:color="auto" w:sz="4" w:space="0"/>
              <w:left w:val="single" w:color="auto" w:sz="4" w:space="0"/>
              <w:bottom w:val="single" w:color="auto" w:sz="4" w:space="0"/>
              <w:right w:val="single" w:color="auto" w:sz="4" w:space="0"/>
            </w:tcBorders>
            <w:vAlign w:val="center"/>
          </w:tcPr>
          <w:p w14:paraId="27C55D0D">
            <w:pPr>
              <w:ind w:firstLine="0" w:firstLineChars="0"/>
              <w:jc w:val="center"/>
              <w:rPr>
                <w:rFonts w:ascii="宋体" w:hAnsi="宋体" w:eastAsia="宋体"/>
                <w:bCs/>
                <w:highlight w:val="none"/>
              </w:rPr>
            </w:pPr>
            <w:r>
              <w:rPr>
                <w:rFonts w:hint="eastAsia" w:ascii="宋体" w:hAnsi="宋体" w:eastAsia="宋体"/>
                <w:bCs/>
                <w:highlight w:val="none"/>
              </w:rPr>
              <w:t>性别</w:t>
            </w:r>
          </w:p>
        </w:tc>
        <w:tc>
          <w:tcPr>
            <w:tcW w:w="2259" w:type="dxa"/>
            <w:tcBorders>
              <w:top w:val="single" w:color="auto" w:sz="4" w:space="0"/>
              <w:left w:val="single" w:color="auto" w:sz="4" w:space="0"/>
              <w:bottom w:val="single" w:color="auto" w:sz="4" w:space="0"/>
              <w:right w:val="single" w:color="auto" w:sz="4" w:space="0"/>
            </w:tcBorders>
            <w:vAlign w:val="center"/>
          </w:tcPr>
          <w:p w14:paraId="358C672B">
            <w:pPr>
              <w:ind w:firstLine="0" w:firstLineChars="0"/>
              <w:jc w:val="center"/>
              <w:rPr>
                <w:rFonts w:ascii="宋体" w:hAnsi="宋体" w:eastAsia="宋体"/>
                <w:bCs/>
                <w:highlight w:val="none"/>
              </w:rPr>
            </w:pPr>
            <w:r>
              <w:rPr>
                <w:rFonts w:hint="eastAsia" w:ascii="宋体" w:hAnsi="宋体" w:eastAsia="宋体"/>
                <w:bCs/>
                <w:highlight w:val="none"/>
              </w:rPr>
              <w:t>基本要求</w:t>
            </w:r>
          </w:p>
        </w:tc>
        <w:tc>
          <w:tcPr>
            <w:tcW w:w="1506" w:type="dxa"/>
            <w:tcBorders>
              <w:top w:val="single" w:color="auto" w:sz="4" w:space="0"/>
              <w:left w:val="single" w:color="auto" w:sz="4" w:space="0"/>
              <w:bottom w:val="single" w:color="auto" w:sz="4" w:space="0"/>
              <w:right w:val="single" w:color="auto" w:sz="4" w:space="0"/>
            </w:tcBorders>
            <w:vAlign w:val="center"/>
          </w:tcPr>
          <w:p w14:paraId="64685AA0">
            <w:pPr>
              <w:ind w:firstLine="0" w:firstLineChars="0"/>
              <w:jc w:val="center"/>
              <w:rPr>
                <w:rFonts w:ascii="宋体" w:hAnsi="宋体" w:eastAsia="宋体"/>
                <w:bCs/>
                <w:highlight w:val="none"/>
              </w:rPr>
            </w:pPr>
            <w:r>
              <w:rPr>
                <w:rFonts w:hint="eastAsia" w:ascii="宋体" w:hAnsi="宋体" w:eastAsia="宋体"/>
                <w:bCs/>
                <w:highlight w:val="none"/>
              </w:rPr>
              <w:t>备注</w:t>
            </w:r>
          </w:p>
        </w:tc>
      </w:tr>
      <w:tr w14:paraId="07BF7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1" w:type="dxa"/>
            <w:tcBorders>
              <w:top w:val="single" w:color="auto" w:sz="4" w:space="0"/>
              <w:left w:val="single" w:color="auto" w:sz="4" w:space="0"/>
              <w:bottom w:val="single" w:color="auto" w:sz="4" w:space="0"/>
              <w:right w:val="single" w:color="auto" w:sz="4" w:space="0"/>
            </w:tcBorders>
            <w:vAlign w:val="center"/>
          </w:tcPr>
          <w:p w14:paraId="0A437376">
            <w:pPr>
              <w:ind w:firstLine="0" w:firstLineChars="0"/>
              <w:jc w:val="center"/>
              <w:rPr>
                <w:rFonts w:ascii="宋体" w:hAnsi="宋体" w:eastAsia="宋体"/>
                <w:bCs/>
                <w:highlight w:val="none"/>
              </w:rPr>
            </w:pPr>
            <w:r>
              <w:rPr>
                <w:rFonts w:hint="eastAsia" w:ascii="宋体" w:hAnsi="宋体" w:eastAsia="宋体"/>
                <w:bCs/>
                <w:highlight w:val="none"/>
              </w:rPr>
              <w:t>1</w:t>
            </w:r>
          </w:p>
        </w:tc>
        <w:tc>
          <w:tcPr>
            <w:tcW w:w="1255" w:type="dxa"/>
            <w:tcBorders>
              <w:top w:val="single" w:color="auto" w:sz="4" w:space="0"/>
              <w:left w:val="single" w:color="auto" w:sz="4" w:space="0"/>
              <w:bottom w:val="single" w:color="auto" w:sz="4" w:space="0"/>
              <w:right w:val="single" w:color="auto" w:sz="4" w:space="0"/>
            </w:tcBorders>
            <w:vAlign w:val="center"/>
          </w:tcPr>
          <w:p w14:paraId="42C68C62">
            <w:pPr>
              <w:ind w:firstLine="0" w:firstLineChars="0"/>
              <w:jc w:val="center"/>
              <w:rPr>
                <w:rFonts w:ascii="宋体" w:hAnsi="宋体" w:eastAsia="宋体"/>
                <w:bCs/>
                <w:highlight w:val="none"/>
              </w:rPr>
            </w:pPr>
          </w:p>
        </w:tc>
        <w:tc>
          <w:tcPr>
            <w:tcW w:w="753" w:type="dxa"/>
            <w:tcBorders>
              <w:top w:val="single" w:color="auto" w:sz="4" w:space="0"/>
              <w:left w:val="single" w:color="auto" w:sz="4" w:space="0"/>
              <w:bottom w:val="single" w:color="auto" w:sz="4" w:space="0"/>
              <w:right w:val="single" w:color="auto" w:sz="4" w:space="0"/>
            </w:tcBorders>
            <w:vAlign w:val="center"/>
          </w:tcPr>
          <w:p w14:paraId="76BC8D61">
            <w:pPr>
              <w:ind w:firstLine="0" w:firstLineChars="0"/>
              <w:jc w:val="center"/>
              <w:rPr>
                <w:rFonts w:ascii="宋体" w:hAnsi="宋体" w:eastAsia="宋体"/>
                <w:bCs/>
                <w:highlight w:val="none"/>
              </w:rPr>
            </w:pPr>
          </w:p>
        </w:tc>
        <w:tc>
          <w:tcPr>
            <w:tcW w:w="1350" w:type="dxa"/>
            <w:tcBorders>
              <w:top w:val="single" w:color="auto" w:sz="4" w:space="0"/>
              <w:left w:val="single" w:color="auto" w:sz="4" w:space="0"/>
              <w:bottom w:val="single" w:color="auto" w:sz="4" w:space="0"/>
              <w:right w:val="single" w:color="auto" w:sz="4" w:space="0"/>
            </w:tcBorders>
            <w:vAlign w:val="center"/>
          </w:tcPr>
          <w:p w14:paraId="6111CEEF">
            <w:pPr>
              <w:ind w:firstLine="0" w:firstLineChars="0"/>
              <w:jc w:val="center"/>
              <w:rPr>
                <w:rFonts w:ascii="宋体" w:hAnsi="宋体" w:eastAsia="宋体"/>
                <w:bCs/>
                <w:highlight w:val="none"/>
              </w:rPr>
            </w:pPr>
          </w:p>
        </w:tc>
        <w:tc>
          <w:tcPr>
            <w:tcW w:w="1411" w:type="dxa"/>
            <w:tcBorders>
              <w:top w:val="single" w:color="auto" w:sz="4" w:space="0"/>
              <w:left w:val="single" w:color="auto" w:sz="4" w:space="0"/>
              <w:bottom w:val="single" w:color="auto" w:sz="4" w:space="0"/>
              <w:right w:val="single" w:color="auto" w:sz="4" w:space="0"/>
            </w:tcBorders>
          </w:tcPr>
          <w:p w14:paraId="3B59778C">
            <w:pPr>
              <w:ind w:firstLine="0" w:firstLineChars="0"/>
              <w:jc w:val="center"/>
              <w:rPr>
                <w:rFonts w:ascii="宋体" w:hAnsi="宋体" w:eastAsia="宋体"/>
                <w:bCs/>
                <w:highlight w:val="none"/>
              </w:rPr>
            </w:pPr>
          </w:p>
        </w:tc>
        <w:tc>
          <w:tcPr>
            <w:tcW w:w="2259" w:type="dxa"/>
            <w:tcBorders>
              <w:top w:val="single" w:color="auto" w:sz="4" w:space="0"/>
              <w:left w:val="single" w:color="auto" w:sz="4" w:space="0"/>
              <w:bottom w:val="single" w:color="auto" w:sz="4" w:space="0"/>
              <w:right w:val="single" w:color="auto" w:sz="4" w:space="0"/>
            </w:tcBorders>
            <w:vAlign w:val="center"/>
          </w:tcPr>
          <w:p w14:paraId="2A08FEA8">
            <w:pPr>
              <w:ind w:firstLine="0" w:firstLineChars="0"/>
              <w:jc w:val="center"/>
              <w:rPr>
                <w:rFonts w:ascii="宋体" w:hAnsi="宋体" w:eastAsia="宋体"/>
                <w:bCs/>
                <w:highlight w:val="none"/>
              </w:rPr>
            </w:pPr>
          </w:p>
        </w:tc>
        <w:tc>
          <w:tcPr>
            <w:tcW w:w="1506" w:type="dxa"/>
            <w:tcBorders>
              <w:top w:val="single" w:color="auto" w:sz="4" w:space="0"/>
              <w:left w:val="single" w:color="auto" w:sz="4" w:space="0"/>
              <w:bottom w:val="single" w:color="auto" w:sz="4" w:space="0"/>
              <w:right w:val="single" w:color="auto" w:sz="4" w:space="0"/>
            </w:tcBorders>
            <w:vAlign w:val="center"/>
          </w:tcPr>
          <w:p w14:paraId="69721FD9">
            <w:pPr>
              <w:ind w:firstLine="0" w:firstLineChars="0"/>
              <w:jc w:val="center"/>
              <w:rPr>
                <w:rFonts w:ascii="宋体" w:hAnsi="宋体" w:eastAsia="宋体"/>
                <w:bCs/>
                <w:highlight w:val="none"/>
              </w:rPr>
            </w:pPr>
          </w:p>
        </w:tc>
      </w:tr>
      <w:tr w14:paraId="2139CB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1" w:type="dxa"/>
            <w:tcBorders>
              <w:top w:val="single" w:color="auto" w:sz="4" w:space="0"/>
              <w:left w:val="single" w:color="auto" w:sz="4" w:space="0"/>
              <w:bottom w:val="single" w:color="auto" w:sz="4" w:space="0"/>
              <w:right w:val="single" w:color="auto" w:sz="4" w:space="0"/>
            </w:tcBorders>
            <w:vAlign w:val="center"/>
          </w:tcPr>
          <w:p w14:paraId="6713D4FE">
            <w:pPr>
              <w:ind w:firstLine="0" w:firstLineChars="0"/>
              <w:jc w:val="center"/>
              <w:rPr>
                <w:rFonts w:ascii="宋体" w:hAnsi="宋体" w:eastAsia="宋体"/>
                <w:bCs/>
                <w:highlight w:val="none"/>
              </w:rPr>
            </w:pPr>
            <w:r>
              <w:rPr>
                <w:rFonts w:hint="eastAsia" w:ascii="宋体" w:hAnsi="宋体" w:eastAsia="宋体"/>
                <w:bCs/>
                <w:highlight w:val="none"/>
              </w:rPr>
              <w:t>2</w:t>
            </w:r>
          </w:p>
        </w:tc>
        <w:tc>
          <w:tcPr>
            <w:tcW w:w="1255" w:type="dxa"/>
            <w:tcBorders>
              <w:top w:val="single" w:color="auto" w:sz="4" w:space="0"/>
              <w:left w:val="single" w:color="auto" w:sz="4" w:space="0"/>
              <w:bottom w:val="single" w:color="auto" w:sz="4" w:space="0"/>
              <w:right w:val="single" w:color="auto" w:sz="4" w:space="0"/>
            </w:tcBorders>
            <w:vAlign w:val="center"/>
          </w:tcPr>
          <w:p w14:paraId="35253CA0">
            <w:pPr>
              <w:ind w:firstLine="0" w:firstLineChars="0"/>
              <w:jc w:val="center"/>
              <w:rPr>
                <w:rFonts w:ascii="宋体" w:hAnsi="宋体" w:eastAsia="宋体"/>
                <w:bCs/>
                <w:highlight w:val="none"/>
              </w:rPr>
            </w:pPr>
          </w:p>
        </w:tc>
        <w:tc>
          <w:tcPr>
            <w:tcW w:w="753" w:type="dxa"/>
            <w:tcBorders>
              <w:top w:val="single" w:color="auto" w:sz="4" w:space="0"/>
              <w:left w:val="single" w:color="auto" w:sz="4" w:space="0"/>
              <w:bottom w:val="single" w:color="auto" w:sz="4" w:space="0"/>
              <w:right w:val="single" w:color="auto" w:sz="4" w:space="0"/>
            </w:tcBorders>
            <w:vAlign w:val="center"/>
          </w:tcPr>
          <w:p w14:paraId="3140B017">
            <w:pPr>
              <w:ind w:firstLine="0" w:firstLineChars="0"/>
              <w:jc w:val="center"/>
              <w:rPr>
                <w:rFonts w:ascii="宋体" w:hAnsi="宋体" w:eastAsia="宋体"/>
                <w:bCs/>
                <w:highlight w:val="none"/>
              </w:rPr>
            </w:pPr>
          </w:p>
        </w:tc>
        <w:tc>
          <w:tcPr>
            <w:tcW w:w="1350" w:type="dxa"/>
            <w:tcBorders>
              <w:top w:val="single" w:color="auto" w:sz="4" w:space="0"/>
              <w:left w:val="single" w:color="auto" w:sz="4" w:space="0"/>
              <w:bottom w:val="single" w:color="auto" w:sz="4" w:space="0"/>
              <w:right w:val="single" w:color="auto" w:sz="4" w:space="0"/>
            </w:tcBorders>
            <w:vAlign w:val="center"/>
          </w:tcPr>
          <w:p w14:paraId="7510F79D">
            <w:pPr>
              <w:ind w:firstLine="0" w:firstLineChars="0"/>
              <w:jc w:val="center"/>
              <w:rPr>
                <w:rFonts w:ascii="宋体" w:hAnsi="宋体" w:eastAsia="宋体"/>
                <w:bCs/>
                <w:highlight w:val="none"/>
              </w:rPr>
            </w:pPr>
          </w:p>
        </w:tc>
        <w:tc>
          <w:tcPr>
            <w:tcW w:w="1411" w:type="dxa"/>
            <w:tcBorders>
              <w:top w:val="single" w:color="auto" w:sz="4" w:space="0"/>
              <w:left w:val="single" w:color="auto" w:sz="4" w:space="0"/>
              <w:bottom w:val="single" w:color="auto" w:sz="4" w:space="0"/>
              <w:right w:val="single" w:color="auto" w:sz="4" w:space="0"/>
            </w:tcBorders>
            <w:vAlign w:val="center"/>
          </w:tcPr>
          <w:p w14:paraId="4203438D">
            <w:pPr>
              <w:ind w:firstLine="0" w:firstLineChars="0"/>
              <w:jc w:val="center"/>
              <w:rPr>
                <w:rFonts w:ascii="宋体" w:hAnsi="宋体" w:eastAsia="宋体"/>
                <w:bCs/>
                <w:highlight w:val="none"/>
              </w:rPr>
            </w:pPr>
          </w:p>
        </w:tc>
        <w:tc>
          <w:tcPr>
            <w:tcW w:w="2259" w:type="dxa"/>
            <w:tcBorders>
              <w:top w:val="single" w:color="auto" w:sz="4" w:space="0"/>
              <w:left w:val="single" w:color="auto" w:sz="4" w:space="0"/>
              <w:bottom w:val="single" w:color="auto" w:sz="4" w:space="0"/>
              <w:right w:val="single" w:color="auto" w:sz="4" w:space="0"/>
            </w:tcBorders>
            <w:vAlign w:val="center"/>
          </w:tcPr>
          <w:p w14:paraId="320ECFFC">
            <w:pPr>
              <w:ind w:firstLine="0" w:firstLineChars="0"/>
              <w:jc w:val="center"/>
              <w:rPr>
                <w:rFonts w:ascii="宋体" w:hAnsi="宋体" w:eastAsia="宋体"/>
                <w:bCs/>
                <w:highlight w:val="none"/>
              </w:rPr>
            </w:pPr>
          </w:p>
        </w:tc>
        <w:tc>
          <w:tcPr>
            <w:tcW w:w="1506" w:type="dxa"/>
            <w:tcBorders>
              <w:top w:val="single" w:color="auto" w:sz="4" w:space="0"/>
              <w:left w:val="single" w:color="auto" w:sz="4" w:space="0"/>
              <w:bottom w:val="single" w:color="auto" w:sz="4" w:space="0"/>
              <w:right w:val="single" w:color="auto" w:sz="4" w:space="0"/>
            </w:tcBorders>
            <w:vAlign w:val="center"/>
          </w:tcPr>
          <w:p w14:paraId="6F590563">
            <w:pPr>
              <w:ind w:firstLine="0" w:firstLineChars="0"/>
              <w:jc w:val="center"/>
              <w:rPr>
                <w:rFonts w:ascii="宋体" w:hAnsi="宋体" w:eastAsia="宋体"/>
                <w:bCs/>
                <w:highlight w:val="none"/>
              </w:rPr>
            </w:pPr>
          </w:p>
        </w:tc>
      </w:tr>
      <w:tr w14:paraId="40F72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1" w:type="dxa"/>
            <w:tcBorders>
              <w:top w:val="single" w:color="auto" w:sz="4" w:space="0"/>
              <w:bottom w:val="single" w:color="auto" w:sz="4" w:space="0"/>
              <w:right w:val="single" w:color="auto" w:sz="4" w:space="0"/>
            </w:tcBorders>
          </w:tcPr>
          <w:p w14:paraId="6929ED8A">
            <w:pPr>
              <w:ind w:firstLine="0" w:firstLineChars="0"/>
              <w:jc w:val="center"/>
              <w:rPr>
                <w:rFonts w:ascii="宋体" w:hAnsi="宋体" w:eastAsia="宋体"/>
                <w:bCs/>
                <w:highlight w:val="none"/>
              </w:rPr>
            </w:pPr>
            <w:r>
              <w:rPr>
                <w:rFonts w:hint="eastAsia" w:ascii="宋体" w:hAnsi="宋体" w:eastAsia="宋体"/>
                <w:bCs/>
                <w:highlight w:val="none"/>
              </w:rPr>
              <w:t>3</w:t>
            </w:r>
          </w:p>
        </w:tc>
        <w:tc>
          <w:tcPr>
            <w:tcW w:w="1255" w:type="dxa"/>
            <w:tcBorders>
              <w:top w:val="single" w:color="auto" w:sz="4" w:space="0"/>
              <w:left w:val="single" w:color="auto" w:sz="4" w:space="0"/>
              <w:bottom w:val="single" w:color="auto" w:sz="4" w:space="0"/>
              <w:right w:val="single" w:color="auto" w:sz="4" w:space="0"/>
            </w:tcBorders>
          </w:tcPr>
          <w:p w14:paraId="0E9F33A8">
            <w:pPr>
              <w:ind w:firstLine="0" w:firstLineChars="0"/>
              <w:jc w:val="center"/>
              <w:rPr>
                <w:rFonts w:ascii="宋体" w:hAnsi="宋体" w:eastAsia="宋体"/>
                <w:bCs/>
                <w:highlight w:val="none"/>
              </w:rPr>
            </w:pPr>
          </w:p>
        </w:tc>
        <w:tc>
          <w:tcPr>
            <w:tcW w:w="753" w:type="dxa"/>
            <w:tcBorders>
              <w:top w:val="single" w:color="auto" w:sz="4" w:space="0"/>
              <w:left w:val="single" w:color="auto" w:sz="4" w:space="0"/>
              <w:bottom w:val="single" w:color="auto" w:sz="4" w:space="0"/>
              <w:right w:val="single" w:color="auto" w:sz="4" w:space="0"/>
            </w:tcBorders>
          </w:tcPr>
          <w:p w14:paraId="43CC02E3">
            <w:pPr>
              <w:ind w:firstLine="0" w:firstLineChars="0"/>
              <w:jc w:val="center"/>
              <w:rPr>
                <w:rFonts w:ascii="宋体" w:hAnsi="宋体" w:eastAsia="宋体"/>
                <w:bCs/>
                <w:highlight w:val="none"/>
              </w:rPr>
            </w:pPr>
          </w:p>
        </w:tc>
        <w:tc>
          <w:tcPr>
            <w:tcW w:w="1350" w:type="dxa"/>
            <w:tcBorders>
              <w:top w:val="single" w:color="auto" w:sz="4" w:space="0"/>
              <w:left w:val="single" w:color="auto" w:sz="4" w:space="0"/>
              <w:bottom w:val="single" w:color="auto" w:sz="4" w:space="0"/>
              <w:right w:val="single" w:color="auto" w:sz="4" w:space="0"/>
            </w:tcBorders>
          </w:tcPr>
          <w:p w14:paraId="575B2073">
            <w:pPr>
              <w:ind w:firstLine="0" w:firstLineChars="0"/>
              <w:jc w:val="center"/>
              <w:rPr>
                <w:rFonts w:ascii="宋体" w:hAnsi="宋体" w:eastAsia="宋体"/>
                <w:bCs/>
                <w:highlight w:val="none"/>
              </w:rPr>
            </w:pPr>
          </w:p>
        </w:tc>
        <w:tc>
          <w:tcPr>
            <w:tcW w:w="1411" w:type="dxa"/>
            <w:tcBorders>
              <w:top w:val="single" w:color="auto" w:sz="4" w:space="0"/>
              <w:left w:val="single" w:color="auto" w:sz="4" w:space="0"/>
              <w:bottom w:val="single" w:color="auto" w:sz="4" w:space="0"/>
              <w:right w:val="single" w:color="auto" w:sz="4" w:space="0"/>
            </w:tcBorders>
          </w:tcPr>
          <w:p w14:paraId="62B37BE7">
            <w:pPr>
              <w:ind w:firstLine="0" w:firstLineChars="0"/>
              <w:jc w:val="center"/>
              <w:rPr>
                <w:rFonts w:ascii="宋体" w:hAnsi="宋体" w:eastAsia="宋体"/>
                <w:bCs/>
                <w:highlight w:val="none"/>
              </w:rPr>
            </w:pPr>
          </w:p>
        </w:tc>
        <w:tc>
          <w:tcPr>
            <w:tcW w:w="2259" w:type="dxa"/>
            <w:tcBorders>
              <w:top w:val="single" w:color="auto" w:sz="4" w:space="0"/>
              <w:left w:val="single" w:color="auto" w:sz="4" w:space="0"/>
              <w:bottom w:val="single" w:color="auto" w:sz="4" w:space="0"/>
              <w:right w:val="single" w:color="auto" w:sz="4" w:space="0"/>
            </w:tcBorders>
          </w:tcPr>
          <w:p w14:paraId="4353452E">
            <w:pPr>
              <w:ind w:firstLine="0" w:firstLineChars="0"/>
              <w:jc w:val="center"/>
              <w:rPr>
                <w:rFonts w:ascii="宋体" w:hAnsi="宋体" w:eastAsia="宋体"/>
                <w:bCs/>
                <w:highlight w:val="none"/>
              </w:rPr>
            </w:pPr>
          </w:p>
        </w:tc>
        <w:tc>
          <w:tcPr>
            <w:tcW w:w="1506" w:type="dxa"/>
            <w:tcBorders>
              <w:top w:val="single" w:color="auto" w:sz="4" w:space="0"/>
              <w:left w:val="single" w:color="auto" w:sz="4" w:space="0"/>
              <w:bottom w:val="single" w:color="auto" w:sz="4" w:space="0"/>
            </w:tcBorders>
          </w:tcPr>
          <w:p w14:paraId="7BED9D77">
            <w:pPr>
              <w:ind w:firstLine="0" w:firstLineChars="0"/>
              <w:jc w:val="center"/>
              <w:rPr>
                <w:rFonts w:ascii="宋体" w:hAnsi="宋体" w:eastAsia="宋体"/>
                <w:bCs/>
                <w:highlight w:val="none"/>
              </w:rPr>
            </w:pPr>
          </w:p>
        </w:tc>
      </w:tr>
      <w:tr w14:paraId="44BA34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61" w:type="dxa"/>
            <w:tcBorders>
              <w:top w:val="single" w:color="auto" w:sz="4" w:space="0"/>
              <w:bottom w:val="single" w:color="auto" w:sz="4" w:space="0"/>
              <w:right w:val="single" w:color="auto" w:sz="4" w:space="0"/>
            </w:tcBorders>
          </w:tcPr>
          <w:p w14:paraId="39CE4385">
            <w:pPr>
              <w:ind w:firstLine="0" w:firstLineChars="0"/>
              <w:jc w:val="center"/>
              <w:rPr>
                <w:rFonts w:ascii="宋体" w:hAnsi="宋体" w:eastAsia="宋体"/>
                <w:bCs/>
                <w:highlight w:val="none"/>
              </w:rPr>
            </w:pPr>
            <w:r>
              <w:rPr>
                <w:rFonts w:hint="eastAsia" w:ascii="宋体" w:hAnsi="宋体" w:eastAsia="宋体"/>
                <w:bCs/>
                <w:highlight w:val="none"/>
              </w:rPr>
              <w:t>…</w:t>
            </w:r>
          </w:p>
        </w:tc>
        <w:tc>
          <w:tcPr>
            <w:tcW w:w="1255" w:type="dxa"/>
            <w:tcBorders>
              <w:top w:val="single" w:color="auto" w:sz="4" w:space="0"/>
              <w:left w:val="single" w:color="auto" w:sz="4" w:space="0"/>
              <w:bottom w:val="single" w:color="auto" w:sz="4" w:space="0"/>
              <w:right w:val="single" w:color="auto" w:sz="4" w:space="0"/>
            </w:tcBorders>
          </w:tcPr>
          <w:p w14:paraId="6B486F9F">
            <w:pPr>
              <w:ind w:firstLine="0" w:firstLineChars="0"/>
              <w:jc w:val="center"/>
              <w:rPr>
                <w:rFonts w:ascii="宋体" w:hAnsi="宋体" w:eastAsia="宋体"/>
                <w:bCs/>
                <w:highlight w:val="none"/>
              </w:rPr>
            </w:pPr>
          </w:p>
        </w:tc>
        <w:tc>
          <w:tcPr>
            <w:tcW w:w="753" w:type="dxa"/>
            <w:tcBorders>
              <w:top w:val="single" w:color="auto" w:sz="4" w:space="0"/>
              <w:left w:val="single" w:color="auto" w:sz="4" w:space="0"/>
              <w:bottom w:val="single" w:color="auto" w:sz="4" w:space="0"/>
              <w:right w:val="single" w:color="auto" w:sz="4" w:space="0"/>
            </w:tcBorders>
          </w:tcPr>
          <w:p w14:paraId="0DBA4519">
            <w:pPr>
              <w:ind w:firstLine="0" w:firstLineChars="0"/>
              <w:jc w:val="center"/>
              <w:rPr>
                <w:rFonts w:ascii="宋体" w:hAnsi="宋体" w:eastAsia="宋体"/>
                <w:bCs/>
                <w:highlight w:val="none"/>
              </w:rPr>
            </w:pPr>
          </w:p>
        </w:tc>
        <w:tc>
          <w:tcPr>
            <w:tcW w:w="1350" w:type="dxa"/>
            <w:tcBorders>
              <w:top w:val="single" w:color="auto" w:sz="4" w:space="0"/>
              <w:left w:val="single" w:color="auto" w:sz="4" w:space="0"/>
              <w:bottom w:val="single" w:color="auto" w:sz="4" w:space="0"/>
              <w:right w:val="single" w:color="auto" w:sz="4" w:space="0"/>
            </w:tcBorders>
          </w:tcPr>
          <w:p w14:paraId="7FAC0713">
            <w:pPr>
              <w:ind w:firstLine="0" w:firstLineChars="0"/>
              <w:jc w:val="center"/>
              <w:rPr>
                <w:rFonts w:ascii="宋体" w:hAnsi="宋体" w:eastAsia="宋体"/>
                <w:bCs/>
                <w:highlight w:val="none"/>
              </w:rPr>
            </w:pPr>
          </w:p>
        </w:tc>
        <w:tc>
          <w:tcPr>
            <w:tcW w:w="1411" w:type="dxa"/>
            <w:tcBorders>
              <w:top w:val="single" w:color="auto" w:sz="4" w:space="0"/>
              <w:left w:val="single" w:color="auto" w:sz="4" w:space="0"/>
              <w:bottom w:val="single" w:color="auto" w:sz="4" w:space="0"/>
              <w:right w:val="single" w:color="auto" w:sz="4" w:space="0"/>
            </w:tcBorders>
          </w:tcPr>
          <w:p w14:paraId="0DBA29C7">
            <w:pPr>
              <w:ind w:firstLine="0" w:firstLineChars="0"/>
              <w:jc w:val="center"/>
              <w:rPr>
                <w:rFonts w:ascii="宋体" w:hAnsi="宋体" w:eastAsia="宋体"/>
                <w:bCs/>
                <w:highlight w:val="none"/>
              </w:rPr>
            </w:pPr>
          </w:p>
        </w:tc>
        <w:tc>
          <w:tcPr>
            <w:tcW w:w="2259" w:type="dxa"/>
            <w:tcBorders>
              <w:top w:val="single" w:color="auto" w:sz="4" w:space="0"/>
              <w:left w:val="single" w:color="auto" w:sz="4" w:space="0"/>
              <w:bottom w:val="single" w:color="auto" w:sz="4" w:space="0"/>
              <w:right w:val="single" w:color="auto" w:sz="4" w:space="0"/>
            </w:tcBorders>
          </w:tcPr>
          <w:p w14:paraId="564EC92C">
            <w:pPr>
              <w:ind w:firstLine="0" w:firstLineChars="0"/>
              <w:jc w:val="center"/>
              <w:rPr>
                <w:rFonts w:ascii="宋体" w:hAnsi="宋体" w:eastAsia="宋体"/>
                <w:bCs/>
                <w:highlight w:val="none"/>
              </w:rPr>
            </w:pPr>
          </w:p>
        </w:tc>
        <w:tc>
          <w:tcPr>
            <w:tcW w:w="1506" w:type="dxa"/>
            <w:tcBorders>
              <w:top w:val="single" w:color="auto" w:sz="4" w:space="0"/>
              <w:left w:val="single" w:color="auto" w:sz="4" w:space="0"/>
              <w:bottom w:val="single" w:color="auto" w:sz="4" w:space="0"/>
            </w:tcBorders>
          </w:tcPr>
          <w:p w14:paraId="08B88320">
            <w:pPr>
              <w:ind w:firstLine="0" w:firstLineChars="0"/>
              <w:jc w:val="center"/>
              <w:rPr>
                <w:rFonts w:ascii="宋体" w:hAnsi="宋体" w:eastAsia="宋体"/>
                <w:bCs/>
                <w:highlight w:val="none"/>
              </w:rPr>
            </w:pPr>
          </w:p>
        </w:tc>
      </w:tr>
    </w:tbl>
    <w:p w14:paraId="527DA4EB">
      <w:pPr>
        <w:ind w:firstLine="0" w:firstLineChars="0"/>
        <w:rPr>
          <w:rFonts w:ascii="宋体" w:hAnsi="宋体" w:eastAsia="宋体"/>
          <w:bCs/>
          <w:highlight w:val="none"/>
        </w:rPr>
      </w:pPr>
    </w:p>
    <w:p w14:paraId="4931A3A6">
      <w:pPr>
        <w:ind w:firstLine="0" w:firstLineChars="0"/>
        <w:rPr>
          <w:rFonts w:ascii="宋体" w:hAnsi="宋体" w:eastAsia="宋体"/>
          <w:bCs/>
          <w:highlight w:val="none"/>
        </w:rPr>
      </w:pPr>
    </w:p>
    <w:p w14:paraId="0AAA3AA7">
      <w:pPr>
        <w:tabs>
          <w:tab w:val="left" w:pos="9000"/>
        </w:tabs>
        <w:adjustRightInd w:val="0"/>
        <w:spacing w:line="400" w:lineRule="exact"/>
        <w:ind w:right="-331" w:rightChars="-138" w:firstLine="0" w:firstLineChars="0"/>
        <w:textAlignment w:val="baseline"/>
        <w:rPr>
          <w:rFonts w:ascii="宋体" w:hAnsi="宋体" w:eastAsia="宋体"/>
          <w:highlight w:val="none"/>
          <w:lang w:val="zh-CN"/>
        </w:rPr>
      </w:pPr>
      <w:r>
        <w:rPr>
          <w:rFonts w:hint="eastAsia" w:ascii="宋体" w:hAnsi="宋体" w:eastAsia="宋体"/>
          <w:highlight w:val="none"/>
          <w:lang w:val="zh-CN"/>
        </w:rPr>
        <w:t>报价</w:t>
      </w:r>
      <w:r>
        <w:rPr>
          <w:rFonts w:ascii="宋体" w:hAnsi="宋体" w:eastAsia="宋体"/>
          <w:highlight w:val="none"/>
          <w:lang w:val="zh-CN"/>
        </w:rPr>
        <w:t>人：（单位盖章）</w:t>
      </w:r>
    </w:p>
    <w:p w14:paraId="127BD75A">
      <w:pPr>
        <w:tabs>
          <w:tab w:val="left" w:pos="9000"/>
        </w:tabs>
        <w:adjustRightInd w:val="0"/>
        <w:spacing w:line="400" w:lineRule="exact"/>
        <w:ind w:right="-331" w:rightChars="-138" w:firstLine="0" w:firstLineChars="0"/>
        <w:jc w:val="left"/>
        <w:textAlignment w:val="baseline"/>
        <w:rPr>
          <w:rFonts w:ascii="宋体" w:hAnsi="宋体" w:eastAsia="宋体"/>
          <w:highlight w:val="none"/>
          <w:lang w:val="zh-CN"/>
        </w:rPr>
      </w:pPr>
      <w:r>
        <w:rPr>
          <w:rFonts w:ascii="宋体" w:hAnsi="宋体" w:eastAsia="宋体"/>
          <w:highlight w:val="none"/>
          <w:lang w:val="zh-CN"/>
        </w:rPr>
        <w:t>法定代表人或被授权人：（签字或盖章）</w:t>
      </w:r>
    </w:p>
    <w:p w14:paraId="12B6A14C">
      <w:pPr>
        <w:tabs>
          <w:tab w:val="left" w:pos="9000"/>
        </w:tabs>
        <w:adjustRightInd w:val="0"/>
        <w:spacing w:line="400" w:lineRule="exact"/>
        <w:ind w:right="-331" w:rightChars="-138" w:firstLine="0" w:firstLineChars="0"/>
        <w:textAlignment w:val="baseline"/>
        <w:rPr>
          <w:rFonts w:ascii="宋体" w:hAnsi="宋体" w:eastAsia="宋体"/>
          <w:szCs w:val="20"/>
          <w:highlight w:val="none"/>
          <w:lang w:val="zh-CN"/>
        </w:rPr>
      </w:pPr>
      <w:r>
        <w:rPr>
          <w:rFonts w:hint="eastAsia" w:ascii="宋体" w:hAnsi="宋体" w:eastAsia="宋体"/>
          <w:highlight w:val="none"/>
          <w:lang w:val="zh-CN"/>
        </w:rPr>
        <w:t xml:space="preserve">日期：        </w:t>
      </w:r>
      <w:r>
        <w:rPr>
          <w:rFonts w:ascii="宋体" w:hAnsi="宋体" w:eastAsia="宋体"/>
          <w:highlight w:val="none"/>
          <w:lang w:val="zh-CN"/>
        </w:rPr>
        <w:t>年     月     日</w:t>
      </w:r>
    </w:p>
    <w:p w14:paraId="202A95BF">
      <w:pPr>
        <w:ind w:firstLine="0" w:firstLineChars="0"/>
        <w:rPr>
          <w:rFonts w:ascii="宋体" w:hAnsi="宋体" w:eastAsia="宋体"/>
          <w:bCs/>
          <w:highlight w:val="none"/>
        </w:rPr>
      </w:pPr>
      <w:r>
        <w:rPr>
          <w:rFonts w:hint="eastAsia" w:ascii="宋体" w:hAnsi="宋体" w:eastAsia="宋体"/>
          <w:bCs/>
          <w:highlight w:val="none"/>
        </w:rPr>
        <w:t xml:space="preserve">                                      </w:t>
      </w:r>
    </w:p>
    <w:p w14:paraId="0E6CC426">
      <w:pPr>
        <w:pStyle w:val="24"/>
        <w:rPr>
          <w:rFonts w:hint="eastAsia"/>
          <w:highlight w:val="none"/>
        </w:rPr>
      </w:pPr>
    </w:p>
    <w:p w14:paraId="153791B5">
      <w:pPr>
        <w:pStyle w:val="24"/>
        <w:rPr>
          <w:rFonts w:hint="eastAsia"/>
          <w:highlight w:val="none"/>
        </w:rPr>
      </w:pPr>
    </w:p>
    <w:p w14:paraId="1863EFC4">
      <w:pPr>
        <w:pStyle w:val="24"/>
        <w:rPr>
          <w:rFonts w:hint="eastAsia"/>
          <w:highlight w:val="none"/>
        </w:rPr>
      </w:pPr>
    </w:p>
    <w:p w14:paraId="1168F4FD">
      <w:pPr>
        <w:rPr>
          <w:rFonts w:hint="eastAsia"/>
          <w:highlight w:val="none"/>
        </w:rPr>
      </w:pPr>
      <w:r>
        <w:rPr>
          <w:rFonts w:hint="eastAsia"/>
          <w:highlight w:val="none"/>
        </w:rPr>
        <w:br w:type="page"/>
      </w:r>
    </w:p>
    <w:p w14:paraId="064543F7">
      <w:pPr>
        <w:pStyle w:val="24"/>
        <w:rPr>
          <w:rFonts w:ascii="宋体" w:hAnsi="宋体" w:eastAsia="宋体"/>
          <w:bCs/>
          <w:highlight w:val="none"/>
        </w:rPr>
      </w:pPr>
      <w:r>
        <w:rPr>
          <w:rFonts w:hint="eastAsia"/>
          <w:highlight w:val="none"/>
        </w:rPr>
        <w:t>3. 项目业绩一览表</w:t>
      </w:r>
    </w:p>
    <w:p w14:paraId="66E02942">
      <w:pPr>
        <w:ind w:firstLine="0" w:firstLineChars="0"/>
        <w:jc w:val="center"/>
        <w:rPr>
          <w:rFonts w:ascii="宋体" w:hAnsi="宋体" w:eastAsia="宋体"/>
          <w:bCs/>
          <w:highlight w:val="none"/>
        </w:rPr>
      </w:pPr>
      <w:r>
        <w:rPr>
          <w:rFonts w:hint="eastAsia" w:ascii="宋体" w:hAnsi="宋体" w:eastAsia="宋体"/>
          <w:bCs/>
          <w:highlight w:val="none"/>
        </w:rPr>
        <w:t>项目业绩一览表</w:t>
      </w:r>
    </w:p>
    <w:tbl>
      <w:tblPr>
        <w:tblStyle w:val="14"/>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530"/>
        <w:gridCol w:w="1462"/>
        <w:gridCol w:w="1485"/>
        <w:gridCol w:w="2164"/>
        <w:gridCol w:w="1923"/>
      </w:tblGrid>
      <w:tr w14:paraId="47F7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04AA076E">
            <w:pPr>
              <w:ind w:firstLine="0" w:firstLineChars="0"/>
              <w:jc w:val="center"/>
              <w:rPr>
                <w:rFonts w:ascii="宋体" w:hAnsi="宋体" w:eastAsia="宋体"/>
                <w:bCs/>
                <w:highlight w:val="none"/>
              </w:rPr>
            </w:pPr>
            <w:r>
              <w:rPr>
                <w:rFonts w:hint="eastAsia" w:ascii="宋体" w:hAnsi="宋体" w:eastAsia="宋体"/>
                <w:bCs/>
                <w:highlight w:val="none"/>
              </w:rPr>
              <w:t>序号</w:t>
            </w:r>
          </w:p>
        </w:tc>
        <w:tc>
          <w:tcPr>
            <w:tcW w:w="1530" w:type="dxa"/>
            <w:vAlign w:val="center"/>
          </w:tcPr>
          <w:p w14:paraId="1AF5AFA6">
            <w:pPr>
              <w:ind w:firstLine="0" w:firstLineChars="0"/>
              <w:jc w:val="center"/>
              <w:rPr>
                <w:rFonts w:ascii="宋体" w:hAnsi="宋体" w:eastAsia="宋体"/>
                <w:bCs/>
                <w:highlight w:val="none"/>
              </w:rPr>
            </w:pPr>
            <w:r>
              <w:rPr>
                <w:rFonts w:hint="eastAsia" w:ascii="宋体" w:hAnsi="宋体" w:eastAsia="宋体"/>
                <w:bCs/>
                <w:highlight w:val="none"/>
              </w:rPr>
              <w:t>项目名称</w:t>
            </w:r>
          </w:p>
        </w:tc>
        <w:tc>
          <w:tcPr>
            <w:tcW w:w="1462" w:type="dxa"/>
            <w:vAlign w:val="center"/>
          </w:tcPr>
          <w:p w14:paraId="64E3AC64">
            <w:pPr>
              <w:ind w:firstLine="0" w:firstLineChars="0"/>
              <w:jc w:val="center"/>
              <w:rPr>
                <w:rFonts w:ascii="宋体" w:hAnsi="宋体" w:eastAsia="宋体"/>
                <w:bCs/>
                <w:highlight w:val="none"/>
              </w:rPr>
            </w:pPr>
            <w:r>
              <w:rPr>
                <w:rFonts w:hint="eastAsia" w:ascii="宋体" w:hAnsi="宋体" w:eastAsia="宋体"/>
                <w:bCs/>
                <w:highlight w:val="none"/>
              </w:rPr>
              <w:t>项目时间</w:t>
            </w:r>
          </w:p>
        </w:tc>
        <w:tc>
          <w:tcPr>
            <w:tcW w:w="1485" w:type="dxa"/>
            <w:vAlign w:val="center"/>
          </w:tcPr>
          <w:p w14:paraId="21B17718">
            <w:pPr>
              <w:ind w:firstLine="0" w:firstLineChars="0"/>
              <w:jc w:val="center"/>
              <w:rPr>
                <w:rFonts w:ascii="宋体" w:hAnsi="宋体" w:eastAsia="宋体"/>
                <w:bCs/>
                <w:highlight w:val="none"/>
              </w:rPr>
            </w:pPr>
            <w:r>
              <w:rPr>
                <w:rFonts w:hint="eastAsia" w:ascii="宋体" w:hAnsi="宋体" w:eastAsia="宋体"/>
                <w:bCs/>
                <w:highlight w:val="none"/>
              </w:rPr>
              <w:t>合同金额</w:t>
            </w:r>
          </w:p>
          <w:p w14:paraId="341889E4">
            <w:pPr>
              <w:ind w:firstLine="0" w:firstLineChars="0"/>
              <w:jc w:val="center"/>
              <w:rPr>
                <w:rFonts w:ascii="宋体" w:hAnsi="宋体" w:eastAsia="宋体"/>
                <w:bCs/>
                <w:highlight w:val="none"/>
              </w:rPr>
            </w:pPr>
            <w:r>
              <w:rPr>
                <w:rFonts w:hint="eastAsia" w:ascii="宋体" w:hAnsi="宋体" w:eastAsia="宋体"/>
                <w:bCs/>
                <w:highlight w:val="none"/>
              </w:rPr>
              <w:t>（人民币）</w:t>
            </w:r>
          </w:p>
        </w:tc>
        <w:tc>
          <w:tcPr>
            <w:tcW w:w="2164" w:type="dxa"/>
            <w:vAlign w:val="center"/>
          </w:tcPr>
          <w:p w14:paraId="17448D8A">
            <w:pPr>
              <w:ind w:firstLine="0" w:firstLineChars="0"/>
              <w:jc w:val="center"/>
              <w:rPr>
                <w:rFonts w:ascii="宋体" w:hAnsi="宋体" w:eastAsia="宋体"/>
                <w:bCs/>
                <w:highlight w:val="none"/>
              </w:rPr>
            </w:pPr>
            <w:r>
              <w:rPr>
                <w:rFonts w:hint="eastAsia" w:ascii="宋体" w:hAnsi="宋体" w:eastAsia="宋体"/>
                <w:bCs/>
                <w:highlight w:val="none"/>
              </w:rPr>
              <w:t>业主单位</w:t>
            </w:r>
          </w:p>
        </w:tc>
        <w:tc>
          <w:tcPr>
            <w:tcW w:w="1923" w:type="dxa"/>
            <w:vAlign w:val="center"/>
          </w:tcPr>
          <w:p w14:paraId="5D618F6A">
            <w:pPr>
              <w:ind w:firstLine="0" w:firstLineChars="0"/>
              <w:jc w:val="center"/>
              <w:rPr>
                <w:rFonts w:ascii="宋体" w:hAnsi="宋体" w:eastAsia="宋体"/>
                <w:bCs/>
                <w:highlight w:val="none"/>
              </w:rPr>
            </w:pPr>
            <w:r>
              <w:rPr>
                <w:rFonts w:hint="eastAsia" w:ascii="宋体" w:hAnsi="宋体" w:eastAsia="宋体"/>
                <w:bCs/>
                <w:highlight w:val="none"/>
              </w:rPr>
              <w:t>备注</w:t>
            </w:r>
          </w:p>
        </w:tc>
      </w:tr>
      <w:tr w14:paraId="7020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6598AF5F">
            <w:pPr>
              <w:ind w:firstLine="0" w:firstLineChars="0"/>
              <w:jc w:val="center"/>
              <w:rPr>
                <w:rFonts w:ascii="宋体" w:hAnsi="宋体" w:eastAsia="宋体"/>
                <w:bCs/>
                <w:highlight w:val="none"/>
              </w:rPr>
            </w:pPr>
            <w:r>
              <w:rPr>
                <w:rFonts w:hint="eastAsia" w:ascii="宋体" w:hAnsi="宋体" w:eastAsia="宋体"/>
                <w:bCs/>
                <w:highlight w:val="none"/>
              </w:rPr>
              <w:t>1</w:t>
            </w:r>
          </w:p>
        </w:tc>
        <w:tc>
          <w:tcPr>
            <w:tcW w:w="1530" w:type="dxa"/>
            <w:vAlign w:val="center"/>
          </w:tcPr>
          <w:p w14:paraId="06702AB0">
            <w:pPr>
              <w:ind w:firstLine="0" w:firstLineChars="0"/>
              <w:rPr>
                <w:rFonts w:ascii="宋体" w:hAnsi="宋体" w:eastAsia="宋体"/>
                <w:bCs/>
                <w:highlight w:val="none"/>
              </w:rPr>
            </w:pPr>
          </w:p>
        </w:tc>
        <w:tc>
          <w:tcPr>
            <w:tcW w:w="1462" w:type="dxa"/>
          </w:tcPr>
          <w:p w14:paraId="0D4118E3">
            <w:pPr>
              <w:ind w:firstLine="0" w:firstLineChars="0"/>
              <w:rPr>
                <w:rFonts w:ascii="宋体" w:hAnsi="宋体" w:eastAsia="宋体"/>
                <w:bCs/>
                <w:highlight w:val="none"/>
              </w:rPr>
            </w:pPr>
          </w:p>
        </w:tc>
        <w:tc>
          <w:tcPr>
            <w:tcW w:w="1485" w:type="dxa"/>
            <w:vAlign w:val="center"/>
          </w:tcPr>
          <w:p w14:paraId="38FE01BE">
            <w:pPr>
              <w:ind w:firstLine="0" w:firstLineChars="0"/>
              <w:rPr>
                <w:rFonts w:ascii="宋体" w:hAnsi="宋体" w:eastAsia="宋体"/>
                <w:bCs/>
                <w:highlight w:val="none"/>
              </w:rPr>
            </w:pPr>
          </w:p>
        </w:tc>
        <w:tc>
          <w:tcPr>
            <w:tcW w:w="2164" w:type="dxa"/>
            <w:vAlign w:val="center"/>
          </w:tcPr>
          <w:p w14:paraId="608C0E32">
            <w:pPr>
              <w:ind w:firstLine="0" w:firstLineChars="0"/>
              <w:rPr>
                <w:rFonts w:ascii="宋体" w:hAnsi="宋体" w:eastAsia="宋体"/>
                <w:bCs/>
                <w:highlight w:val="none"/>
              </w:rPr>
            </w:pPr>
          </w:p>
        </w:tc>
        <w:tc>
          <w:tcPr>
            <w:tcW w:w="1923" w:type="dxa"/>
            <w:vAlign w:val="center"/>
          </w:tcPr>
          <w:p w14:paraId="492CE621">
            <w:pPr>
              <w:ind w:firstLine="0" w:firstLineChars="0"/>
              <w:rPr>
                <w:rFonts w:ascii="宋体" w:hAnsi="宋体" w:eastAsia="宋体"/>
                <w:bCs/>
                <w:highlight w:val="none"/>
              </w:rPr>
            </w:pPr>
          </w:p>
        </w:tc>
      </w:tr>
      <w:tr w14:paraId="58F5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4E10EEBA">
            <w:pPr>
              <w:ind w:firstLine="0" w:firstLineChars="0"/>
              <w:jc w:val="center"/>
              <w:rPr>
                <w:rFonts w:ascii="宋体" w:hAnsi="宋体" w:eastAsia="宋体"/>
                <w:bCs/>
                <w:highlight w:val="none"/>
              </w:rPr>
            </w:pPr>
            <w:r>
              <w:rPr>
                <w:rFonts w:hint="eastAsia" w:ascii="宋体" w:hAnsi="宋体" w:eastAsia="宋体"/>
                <w:bCs/>
                <w:highlight w:val="none"/>
              </w:rPr>
              <w:t>2</w:t>
            </w:r>
          </w:p>
        </w:tc>
        <w:tc>
          <w:tcPr>
            <w:tcW w:w="1530" w:type="dxa"/>
            <w:vAlign w:val="center"/>
          </w:tcPr>
          <w:p w14:paraId="66F2C8D8">
            <w:pPr>
              <w:ind w:firstLine="0" w:firstLineChars="0"/>
              <w:rPr>
                <w:rFonts w:ascii="宋体" w:hAnsi="宋体" w:eastAsia="宋体"/>
                <w:bCs/>
                <w:highlight w:val="none"/>
              </w:rPr>
            </w:pPr>
          </w:p>
        </w:tc>
        <w:tc>
          <w:tcPr>
            <w:tcW w:w="1462" w:type="dxa"/>
          </w:tcPr>
          <w:p w14:paraId="3A3D32DF">
            <w:pPr>
              <w:ind w:firstLine="0" w:firstLineChars="0"/>
              <w:rPr>
                <w:rFonts w:ascii="宋体" w:hAnsi="宋体" w:eastAsia="宋体"/>
                <w:bCs/>
                <w:highlight w:val="none"/>
              </w:rPr>
            </w:pPr>
          </w:p>
        </w:tc>
        <w:tc>
          <w:tcPr>
            <w:tcW w:w="1485" w:type="dxa"/>
            <w:vAlign w:val="center"/>
          </w:tcPr>
          <w:p w14:paraId="6B2FB9FA">
            <w:pPr>
              <w:ind w:firstLine="0" w:firstLineChars="0"/>
              <w:rPr>
                <w:rFonts w:ascii="宋体" w:hAnsi="宋体" w:eastAsia="宋体"/>
                <w:bCs/>
                <w:highlight w:val="none"/>
              </w:rPr>
            </w:pPr>
          </w:p>
        </w:tc>
        <w:tc>
          <w:tcPr>
            <w:tcW w:w="2164" w:type="dxa"/>
            <w:vAlign w:val="center"/>
          </w:tcPr>
          <w:p w14:paraId="035BD7CF">
            <w:pPr>
              <w:ind w:firstLine="0" w:firstLineChars="0"/>
              <w:rPr>
                <w:rFonts w:ascii="宋体" w:hAnsi="宋体" w:eastAsia="宋体"/>
                <w:bCs/>
                <w:highlight w:val="none"/>
              </w:rPr>
            </w:pPr>
          </w:p>
        </w:tc>
        <w:tc>
          <w:tcPr>
            <w:tcW w:w="1923" w:type="dxa"/>
            <w:vAlign w:val="center"/>
          </w:tcPr>
          <w:p w14:paraId="6B836025">
            <w:pPr>
              <w:ind w:firstLine="0" w:firstLineChars="0"/>
              <w:rPr>
                <w:rFonts w:ascii="宋体" w:hAnsi="宋体" w:eastAsia="宋体"/>
                <w:bCs/>
                <w:highlight w:val="none"/>
              </w:rPr>
            </w:pPr>
          </w:p>
        </w:tc>
      </w:tr>
      <w:tr w14:paraId="370E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3FF827B4">
            <w:pPr>
              <w:ind w:firstLine="0" w:firstLineChars="0"/>
              <w:jc w:val="center"/>
              <w:rPr>
                <w:rFonts w:ascii="宋体" w:hAnsi="宋体" w:eastAsia="宋体"/>
                <w:bCs/>
                <w:highlight w:val="none"/>
              </w:rPr>
            </w:pPr>
            <w:r>
              <w:rPr>
                <w:rFonts w:hint="eastAsia" w:ascii="宋体" w:hAnsi="宋体" w:eastAsia="宋体"/>
                <w:bCs/>
                <w:highlight w:val="none"/>
              </w:rPr>
              <w:t>3</w:t>
            </w:r>
          </w:p>
        </w:tc>
        <w:tc>
          <w:tcPr>
            <w:tcW w:w="1530" w:type="dxa"/>
            <w:vAlign w:val="center"/>
          </w:tcPr>
          <w:p w14:paraId="04686670">
            <w:pPr>
              <w:ind w:firstLine="0" w:firstLineChars="0"/>
              <w:rPr>
                <w:rFonts w:ascii="宋体" w:hAnsi="宋体" w:eastAsia="宋体"/>
                <w:bCs/>
                <w:highlight w:val="none"/>
              </w:rPr>
            </w:pPr>
          </w:p>
        </w:tc>
        <w:tc>
          <w:tcPr>
            <w:tcW w:w="1462" w:type="dxa"/>
          </w:tcPr>
          <w:p w14:paraId="12302869">
            <w:pPr>
              <w:ind w:firstLine="0" w:firstLineChars="0"/>
              <w:rPr>
                <w:rFonts w:ascii="宋体" w:hAnsi="宋体" w:eastAsia="宋体"/>
                <w:bCs/>
                <w:highlight w:val="none"/>
              </w:rPr>
            </w:pPr>
          </w:p>
        </w:tc>
        <w:tc>
          <w:tcPr>
            <w:tcW w:w="1485" w:type="dxa"/>
            <w:vAlign w:val="center"/>
          </w:tcPr>
          <w:p w14:paraId="1DC40E2F">
            <w:pPr>
              <w:ind w:firstLine="0" w:firstLineChars="0"/>
              <w:rPr>
                <w:rFonts w:ascii="宋体" w:hAnsi="宋体" w:eastAsia="宋体"/>
                <w:bCs/>
                <w:highlight w:val="none"/>
              </w:rPr>
            </w:pPr>
          </w:p>
        </w:tc>
        <w:tc>
          <w:tcPr>
            <w:tcW w:w="2164" w:type="dxa"/>
            <w:vAlign w:val="center"/>
          </w:tcPr>
          <w:p w14:paraId="3A8CD6E9">
            <w:pPr>
              <w:ind w:firstLine="0" w:firstLineChars="0"/>
              <w:rPr>
                <w:rFonts w:ascii="宋体" w:hAnsi="宋体" w:eastAsia="宋体"/>
                <w:bCs/>
                <w:highlight w:val="none"/>
              </w:rPr>
            </w:pPr>
          </w:p>
        </w:tc>
        <w:tc>
          <w:tcPr>
            <w:tcW w:w="1923" w:type="dxa"/>
            <w:vAlign w:val="center"/>
          </w:tcPr>
          <w:p w14:paraId="14B9847C">
            <w:pPr>
              <w:ind w:firstLine="0" w:firstLineChars="0"/>
              <w:rPr>
                <w:rFonts w:ascii="宋体" w:hAnsi="宋体" w:eastAsia="宋体"/>
                <w:bCs/>
                <w:highlight w:val="none"/>
              </w:rPr>
            </w:pPr>
          </w:p>
        </w:tc>
      </w:tr>
      <w:tr w14:paraId="2735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0C9C05CC">
            <w:pPr>
              <w:ind w:firstLine="0" w:firstLineChars="0"/>
              <w:jc w:val="center"/>
              <w:rPr>
                <w:rFonts w:ascii="宋体" w:hAnsi="宋体" w:eastAsia="宋体"/>
                <w:bCs/>
                <w:highlight w:val="none"/>
              </w:rPr>
            </w:pPr>
            <w:r>
              <w:rPr>
                <w:rFonts w:hint="eastAsia" w:ascii="宋体" w:hAnsi="宋体" w:eastAsia="宋体"/>
                <w:bCs/>
                <w:highlight w:val="none"/>
              </w:rPr>
              <w:t>4</w:t>
            </w:r>
          </w:p>
        </w:tc>
        <w:tc>
          <w:tcPr>
            <w:tcW w:w="1530" w:type="dxa"/>
            <w:vAlign w:val="center"/>
          </w:tcPr>
          <w:p w14:paraId="22C284CE">
            <w:pPr>
              <w:ind w:firstLine="0" w:firstLineChars="0"/>
              <w:rPr>
                <w:rFonts w:ascii="宋体" w:hAnsi="宋体" w:eastAsia="宋体"/>
                <w:bCs/>
                <w:highlight w:val="none"/>
              </w:rPr>
            </w:pPr>
          </w:p>
        </w:tc>
        <w:tc>
          <w:tcPr>
            <w:tcW w:w="1462" w:type="dxa"/>
          </w:tcPr>
          <w:p w14:paraId="183C36D2">
            <w:pPr>
              <w:ind w:firstLine="0" w:firstLineChars="0"/>
              <w:rPr>
                <w:rFonts w:ascii="宋体" w:hAnsi="宋体" w:eastAsia="宋体"/>
                <w:bCs/>
                <w:highlight w:val="none"/>
              </w:rPr>
            </w:pPr>
          </w:p>
        </w:tc>
        <w:tc>
          <w:tcPr>
            <w:tcW w:w="1485" w:type="dxa"/>
            <w:vAlign w:val="center"/>
          </w:tcPr>
          <w:p w14:paraId="09AB434D">
            <w:pPr>
              <w:ind w:firstLine="0" w:firstLineChars="0"/>
              <w:rPr>
                <w:rFonts w:ascii="宋体" w:hAnsi="宋体" w:eastAsia="宋体"/>
                <w:bCs/>
                <w:highlight w:val="none"/>
              </w:rPr>
            </w:pPr>
          </w:p>
        </w:tc>
        <w:tc>
          <w:tcPr>
            <w:tcW w:w="2164" w:type="dxa"/>
            <w:vAlign w:val="center"/>
          </w:tcPr>
          <w:p w14:paraId="252A3282">
            <w:pPr>
              <w:ind w:firstLine="0" w:firstLineChars="0"/>
              <w:rPr>
                <w:rFonts w:ascii="宋体" w:hAnsi="宋体" w:eastAsia="宋体"/>
                <w:bCs/>
                <w:highlight w:val="none"/>
              </w:rPr>
            </w:pPr>
          </w:p>
        </w:tc>
        <w:tc>
          <w:tcPr>
            <w:tcW w:w="1923" w:type="dxa"/>
            <w:vAlign w:val="center"/>
          </w:tcPr>
          <w:p w14:paraId="1DF3A8BA">
            <w:pPr>
              <w:ind w:firstLine="0" w:firstLineChars="0"/>
              <w:rPr>
                <w:rFonts w:ascii="宋体" w:hAnsi="宋体" w:eastAsia="宋体"/>
                <w:bCs/>
                <w:highlight w:val="none"/>
              </w:rPr>
            </w:pPr>
          </w:p>
        </w:tc>
      </w:tr>
      <w:tr w14:paraId="6F85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4BFDF5A5">
            <w:pPr>
              <w:ind w:firstLine="0" w:firstLineChars="0"/>
              <w:jc w:val="center"/>
              <w:rPr>
                <w:rFonts w:ascii="宋体" w:hAnsi="宋体" w:eastAsia="宋体"/>
                <w:bCs/>
                <w:highlight w:val="none"/>
              </w:rPr>
            </w:pPr>
            <w:r>
              <w:rPr>
                <w:rFonts w:hint="eastAsia" w:ascii="宋体" w:hAnsi="宋体" w:eastAsia="宋体"/>
                <w:bCs/>
                <w:highlight w:val="none"/>
              </w:rPr>
              <w:t>5</w:t>
            </w:r>
          </w:p>
        </w:tc>
        <w:tc>
          <w:tcPr>
            <w:tcW w:w="1530" w:type="dxa"/>
            <w:vAlign w:val="center"/>
          </w:tcPr>
          <w:p w14:paraId="1CAB9072">
            <w:pPr>
              <w:ind w:firstLine="0" w:firstLineChars="0"/>
              <w:rPr>
                <w:rFonts w:ascii="宋体" w:hAnsi="宋体" w:eastAsia="宋体"/>
                <w:bCs/>
                <w:highlight w:val="none"/>
              </w:rPr>
            </w:pPr>
          </w:p>
        </w:tc>
        <w:tc>
          <w:tcPr>
            <w:tcW w:w="1462" w:type="dxa"/>
          </w:tcPr>
          <w:p w14:paraId="0048807A">
            <w:pPr>
              <w:ind w:firstLine="0" w:firstLineChars="0"/>
              <w:rPr>
                <w:rFonts w:ascii="宋体" w:hAnsi="宋体" w:eastAsia="宋体"/>
                <w:bCs/>
                <w:highlight w:val="none"/>
              </w:rPr>
            </w:pPr>
          </w:p>
        </w:tc>
        <w:tc>
          <w:tcPr>
            <w:tcW w:w="1485" w:type="dxa"/>
            <w:vAlign w:val="center"/>
          </w:tcPr>
          <w:p w14:paraId="6DF2A0CC">
            <w:pPr>
              <w:ind w:firstLine="0" w:firstLineChars="0"/>
              <w:rPr>
                <w:rFonts w:ascii="宋体" w:hAnsi="宋体" w:eastAsia="宋体"/>
                <w:bCs/>
                <w:highlight w:val="none"/>
              </w:rPr>
            </w:pPr>
          </w:p>
        </w:tc>
        <w:tc>
          <w:tcPr>
            <w:tcW w:w="2164" w:type="dxa"/>
            <w:vAlign w:val="center"/>
          </w:tcPr>
          <w:p w14:paraId="1A5FE648">
            <w:pPr>
              <w:ind w:firstLine="0" w:firstLineChars="0"/>
              <w:rPr>
                <w:rFonts w:ascii="宋体" w:hAnsi="宋体" w:eastAsia="宋体"/>
                <w:bCs/>
                <w:highlight w:val="none"/>
              </w:rPr>
            </w:pPr>
          </w:p>
        </w:tc>
        <w:tc>
          <w:tcPr>
            <w:tcW w:w="1923" w:type="dxa"/>
            <w:vAlign w:val="center"/>
          </w:tcPr>
          <w:p w14:paraId="4AB18804">
            <w:pPr>
              <w:ind w:firstLine="0" w:firstLineChars="0"/>
              <w:rPr>
                <w:rFonts w:ascii="宋体" w:hAnsi="宋体" w:eastAsia="宋体"/>
                <w:bCs/>
                <w:highlight w:val="none"/>
              </w:rPr>
            </w:pPr>
          </w:p>
        </w:tc>
      </w:tr>
      <w:tr w14:paraId="4F97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2D5483AE">
            <w:pPr>
              <w:ind w:firstLine="0" w:firstLineChars="0"/>
              <w:jc w:val="center"/>
              <w:rPr>
                <w:rFonts w:ascii="宋体" w:hAnsi="宋体" w:eastAsia="宋体"/>
                <w:bCs/>
                <w:highlight w:val="none"/>
              </w:rPr>
            </w:pPr>
            <w:r>
              <w:rPr>
                <w:rFonts w:hint="eastAsia" w:ascii="宋体" w:hAnsi="宋体" w:eastAsia="宋体"/>
                <w:bCs/>
                <w:highlight w:val="none"/>
              </w:rPr>
              <w:t>6</w:t>
            </w:r>
          </w:p>
        </w:tc>
        <w:tc>
          <w:tcPr>
            <w:tcW w:w="1530" w:type="dxa"/>
            <w:vAlign w:val="center"/>
          </w:tcPr>
          <w:p w14:paraId="6F67AF9E">
            <w:pPr>
              <w:ind w:firstLine="0" w:firstLineChars="0"/>
              <w:rPr>
                <w:rFonts w:ascii="宋体" w:hAnsi="宋体" w:eastAsia="宋体"/>
                <w:bCs/>
                <w:highlight w:val="none"/>
              </w:rPr>
            </w:pPr>
          </w:p>
        </w:tc>
        <w:tc>
          <w:tcPr>
            <w:tcW w:w="1462" w:type="dxa"/>
          </w:tcPr>
          <w:p w14:paraId="77F093FF">
            <w:pPr>
              <w:ind w:firstLine="0" w:firstLineChars="0"/>
              <w:rPr>
                <w:rFonts w:ascii="宋体" w:hAnsi="宋体" w:eastAsia="宋体"/>
                <w:bCs/>
                <w:highlight w:val="none"/>
              </w:rPr>
            </w:pPr>
          </w:p>
        </w:tc>
        <w:tc>
          <w:tcPr>
            <w:tcW w:w="1485" w:type="dxa"/>
            <w:vAlign w:val="center"/>
          </w:tcPr>
          <w:p w14:paraId="218ADA13">
            <w:pPr>
              <w:ind w:firstLine="0" w:firstLineChars="0"/>
              <w:rPr>
                <w:rFonts w:ascii="宋体" w:hAnsi="宋体" w:eastAsia="宋体"/>
                <w:bCs/>
                <w:highlight w:val="none"/>
              </w:rPr>
            </w:pPr>
          </w:p>
        </w:tc>
        <w:tc>
          <w:tcPr>
            <w:tcW w:w="2164" w:type="dxa"/>
            <w:vAlign w:val="center"/>
          </w:tcPr>
          <w:p w14:paraId="33F44F13">
            <w:pPr>
              <w:ind w:firstLine="0" w:firstLineChars="0"/>
              <w:rPr>
                <w:rFonts w:ascii="宋体" w:hAnsi="宋体" w:eastAsia="宋体"/>
                <w:bCs/>
                <w:highlight w:val="none"/>
              </w:rPr>
            </w:pPr>
          </w:p>
        </w:tc>
        <w:tc>
          <w:tcPr>
            <w:tcW w:w="1923" w:type="dxa"/>
            <w:vAlign w:val="center"/>
          </w:tcPr>
          <w:p w14:paraId="26E0296B">
            <w:pPr>
              <w:ind w:firstLine="0" w:firstLineChars="0"/>
              <w:rPr>
                <w:rFonts w:ascii="宋体" w:hAnsi="宋体" w:eastAsia="宋体"/>
                <w:bCs/>
                <w:highlight w:val="none"/>
              </w:rPr>
            </w:pPr>
          </w:p>
        </w:tc>
      </w:tr>
      <w:tr w14:paraId="4517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419058C0">
            <w:pPr>
              <w:ind w:firstLine="0" w:firstLineChars="0"/>
              <w:jc w:val="center"/>
              <w:rPr>
                <w:rFonts w:ascii="宋体" w:hAnsi="宋体" w:eastAsia="宋体"/>
                <w:bCs/>
                <w:highlight w:val="none"/>
              </w:rPr>
            </w:pPr>
            <w:r>
              <w:rPr>
                <w:rFonts w:ascii="宋体" w:hAnsi="宋体" w:eastAsia="宋体"/>
                <w:bCs/>
                <w:highlight w:val="none"/>
              </w:rPr>
              <w:t>……</w:t>
            </w:r>
          </w:p>
        </w:tc>
        <w:tc>
          <w:tcPr>
            <w:tcW w:w="1530" w:type="dxa"/>
            <w:vAlign w:val="center"/>
          </w:tcPr>
          <w:p w14:paraId="78D041C8">
            <w:pPr>
              <w:ind w:firstLine="0" w:firstLineChars="0"/>
              <w:rPr>
                <w:rFonts w:ascii="宋体" w:hAnsi="宋体" w:eastAsia="宋体"/>
                <w:bCs/>
                <w:highlight w:val="none"/>
              </w:rPr>
            </w:pPr>
          </w:p>
        </w:tc>
        <w:tc>
          <w:tcPr>
            <w:tcW w:w="1462" w:type="dxa"/>
          </w:tcPr>
          <w:p w14:paraId="51F71B04">
            <w:pPr>
              <w:ind w:firstLine="0" w:firstLineChars="0"/>
              <w:rPr>
                <w:rFonts w:ascii="宋体" w:hAnsi="宋体" w:eastAsia="宋体"/>
                <w:bCs/>
                <w:highlight w:val="none"/>
              </w:rPr>
            </w:pPr>
          </w:p>
        </w:tc>
        <w:tc>
          <w:tcPr>
            <w:tcW w:w="1485" w:type="dxa"/>
            <w:vAlign w:val="center"/>
          </w:tcPr>
          <w:p w14:paraId="26269FEE">
            <w:pPr>
              <w:ind w:firstLine="0" w:firstLineChars="0"/>
              <w:rPr>
                <w:rFonts w:ascii="宋体" w:hAnsi="宋体" w:eastAsia="宋体"/>
                <w:bCs/>
                <w:highlight w:val="none"/>
              </w:rPr>
            </w:pPr>
          </w:p>
        </w:tc>
        <w:tc>
          <w:tcPr>
            <w:tcW w:w="2164" w:type="dxa"/>
            <w:vAlign w:val="center"/>
          </w:tcPr>
          <w:p w14:paraId="36B97E7D">
            <w:pPr>
              <w:ind w:firstLine="0" w:firstLineChars="0"/>
              <w:rPr>
                <w:rFonts w:ascii="宋体" w:hAnsi="宋体" w:eastAsia="宋体"/>
                <w:bCs/>
                <w:highlight w:val="none"/>
              </w:rPr>
            </w:pPr>
          </w:p>
        </w:tc>
        <w:tc>
          <w:tcPr>
            <w:tcW w:w="1923" w:type="dxa"/>
            <w:vAlign w:val="center"/>
          </w:tcPr>
          <w:p w14:paraId="5D47A5D2">
            <w:pPr>
              <w:ind w:firstLine="0" w:firstLineChars="0"/>
              <w:rPr>
                <w:rFonts w:ascii="宋体" w:hAnsi="宋体" w:eastAsia="宋体"/>
                <w:bCs/>
                <w:highlight w:val="none"/>
              </w:rPr>
            </w:pPr>
          </w:p>
        </w:tc>
      </w:tr>
      <w:tr w14:paraId="610A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0EFFDFB4">
            <w:pPr>
              <w:ind w:firstLine="0" w:firstLineChars="0"/>
              <w:jc w:val="center"/>
              <w:rPr>
                <w:rFonts w:ascii="宋体" w:hAnsi="宋体" w:eastAsia="宋体"/>
                <w:bCs/>
                <w:highlight w:val="none"/>
              </w:rPr>
            </w:pPr>
          </w:p>
        </w:tc>
        <w:tc>
          <w:tcPr>
            <w:tcW w:w="1530" w:type="dxa"/>
            <w:vAlign w:val="center"/>
          </w:tcPr>
          <w:p w14:paraId="164C0CE5">
            <w:pPr>
              <w:ind w:firstLine="0" w:firstLineChars="0"/>
              <w:rPr>
                <w:rFonts w:ascii="宋体" w:hAnsi="宋体" w:eastAsia="宋体"/>
                <w:bCs/>
                <w:highlight w:val="none"/>
              </w:rPr>
            </w:pPr>
          </w:p>
        </w:tc>
        <w:tc>
          <w:tcPr>
            <w:tcW w:w="1462" w:type="dxa"/>
          </w:tcPr>
          <w:p w14:paraId="63A16CF3">
            <w:pPr>
              <w:ind w:firstLine="0" w:firstLineChars="0"/>
              <w:rPr>
                <w:rFonts w:ascii="宋体" w:hAnsi="宋体" w:eastAsia="宋体"/>
                <w:bCs/>
                <w:highlight w:val="none"/>
              </w:rPr>
            </w:pPr>
          </w:p>
        </w:tc>
        <w:tc>
          <w:tcPr>
            <w:tcW w:w="1485" w:type="dxa"/>
            <w:vAlign w:val="center"/>
          </w:tcPr>
          <w:p w14:paraId="1909C9DF">
            <w:pPr>
              <w:ind w:firstLine="0" w:firstLineChars="0"/>
              <w:rPr>
                <w:rFonts w:ascii="宋体" w:hAnsi="宋体" w:eastAsia="宋体"/>
                <w:bCs/>
                <w:highlight w:val="none"/>
              </w:rPr>
            </w:pPr>
          </w:p>
        </w:tc>
        <w:tc>
          <w:tcPr>
            <w:tcW w:w="2164" w:type="dxa"/>
            <w:vAlign w:val="center"/>
          </w:tcPr>
          <w:p w14:paraId="7A7FC86A">
            <w:pPr>
              <w:ind w:firstLine="0" w:firstLineChars="0"/>
              <w:rPr>
                <w:rFonts w:ascii="宋体" w:hAnsi="宋体" w:eastAsia="宋体"/>
                <w:bCs/>
                <w:highlight w:val="none"/>
              </w:rPr>
            </w:pPr>
          </w:p>
        </w:tc>
        <w:tc>
          <w:tcPr>
            <w:tcW w:w="1923" w:type="dxa"/>
            <w:vAlign w:val="center"/>
          </w:tcPr>
          <w:p w14:paraId="0216A7F4">
            <w:pPr>
              <w:ind w:firstLine="0" w:firstLineChars="0"/>
              <w:rPr>
                <w:rFonts w:ascii="宋体" w:hAnsi="宋体" w:eastAsia="宋体"/>
                <w:bCs/>
                <w:highlight w:val="none"/>
              </w:rPr>
            </w:pPr>
          </w:p>
        </w:tc>
      </w:tr>
      <w:tr w14:paraId="1188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14:paraId="1E1DAC79">
            <w:pPr>
              <w:ind w:firstLine="0" w:firstLineChars="0"/>
              <w:jc w:val="center"/>
              <w:rPr>
                <w:rFonts w:ascii="宋体" w:hAnsi="宋体" w:eastAsia="宋体"/>
                <w:bCs/>
                <w:highlight w:val="none"/>
              </w:rPr>
            </w:pPr>
          </w:p>
        </w:tc>
        <w:tc>
          <w:tcPr>
            <w:tcW w:w="1530" w:type="dxa"/>
            <w:vAlign w:val="center"/>
          </w:tcPr>
          <w:p w14:paraId="65823C5C">
            <w:pPr>
              <w:ind w:firstLine="0" w:firstLineChars="0"/>
              <w:rPr>
                <w:rFonts w:ascii="宋体" w:hAnsi="宋体" w:eastAsia="宋体"/>
                <w:bCs/>
                <w:highlight w:val="none"/>
              </w:rPr>
            </w:pPr>
          </w:p>
        </w:tc>
        <w:tc>
          <w:tcPr>
            <w:tcW w:w="1462" w:type="dxa"/>
          </w:tcPr>
          <w:p w14:paraId="74F10EBB">
            <w:pPr>
              <w:ind w:firstLine="0" w:firstLineChars="0"/>
              <w:rPr>
                <w:rFonts w:ascii="宋体" w:hAnsi="宋体" w:eastAsia="宋体"/>
                <w:bCs/>
                <w:highlight w:val="none"/>
              </w:rPr>
            </w:pPr>
          </w:p>
        </w:tc>
        <w:tc>
          <w:tcPr>
            <w:tcW w:w="1485" w:type="dxa"/>
            <w:vAlign w:val="center"/>
          </w:tcPr>
          <w:p w14:paraId="60F7DEEC">
            <w:pPr>
              <w:ind w:firstLine="0" w:firstLineChars="0"/>
              <w:rPr>
                <w:rFonts w:ascii="宋体" w:hAnsi="宋体" w:eastAsia="宋体"/>
                <w:bCs/>
                <w:highlight w:val="none"/>
              </w:rPr>
            </w:pPr>
          </w:p>
        </w:tc>
        <w:tc>
          <w:tcPr>
            <w:tcW w:w="2164" w:type="dxa"/>
            <w:vAlign w:val="center"/>
          </w:tcPr>
          <w:p w14:paraId="7818099F">
            <w:pPr>
              <w:ind w:firstLine="0" w:firstLineChars="0"/>
              <w:rPr>
                <w:rFonts w:ascii="宋体" w:hAnsi="宋体" w:eastAsia="宋体"/>
                <w:bCs/>
                <w:highlight w:val="none"/>
              </w:rPr>
            </w:pPr>
          </w:p>
        </w:tc>
        <w:tc>
          <w:tcPr>
            <w:tcW w:w="1923" w:type="dxa"/>
            <w:vAlign w:val="center"/>
          </w:tcPr>
          <w:p w14:paraId="6F7E0C88">
            <w:pPr>
              <w:ind w:firstLine="0" w:firstLineChars="0"/>
              <w:rPr>
                <w:rFonts w:ascii="宋体" w:hAnsi="宋体" w:eastAsia="宋体"/>
                <w:bCs/>
                <w:highlight w:val="none"/>
              </w:rPr>
            </w:pPr>
          </w:p>
        </w:tc>
      </w:tr>
    </w:tbl>
    <w:p w14:paraId="1E95CAFA">
      <w:pPr>
        <w:tabs>
          <w:tab w:val="left" w:pos="9000"/>
        </w:tabs>
        <w:adjustRightInd w:val="0"/>
        <w:spacing w:line="400" w:lineRule="exact"/>
        <w:ind w:right="-331" w:rightChars="-138" w:firstLine="0" w:firstLineChars="0"/>
        <w:textAlignment w:val="baseline"/>
        <w:rPr>
          <w:rFonts w:ascii="宋体" w:hAnsi="宋体" w:eastAsia="宋体"/>
          <w:highlight w:val="none"/>
          <w:lang w:val="zh-CN"/>
        </w:rPr>
      </w:pPr>
    </w:p>
    <w:p w14:paraId="74E329E0">
      <w:pPr>
        <w:tabs>
          <w:tab w:val="left" w:pos="9000"/>
        </w:tabs>
        <w:adjustRightInd w:val="0"/>
        <w:spacing w:line="400" w:lineRule="exact"/>
        <w:ind w:right="-331" w:rightChars="-138" w:firstLine="0" w:firstLineChars="0"/>
        <w:textAlignment w:val="baseline"/>
        <w:rPr>
          <w:rFonts w:ascii="宋体" w:hAnsi="宋体" w:eastAsia="宋体"/>
          <w:highlight w:val="none"/>
          <w:lang w:val="zh-CN"/>
        </w:rPr>
      </w:pPr>
    </w:p>
    <w:p w14:paraId="4C811626">
      <w:pPr>
        <w:tabs>
          <w:tab w:val="left" w:pos="9000"/>
        </w:tabs>
        <w:adjustRightInd w:val="0"/>
        <w:spacing w:line="400" w:lineRule="exact"/>
        <w:ind w:right="-331" w:rightChars="-138" w:firstLine="0" w:firstLineChars="0"/>
        <w:textAlignment w:val="baseline"/>
        <w:rPr>
          <w:rFonts w:ascii="宋体" w:hAnsi="宋体" w:eastAsia="宋体"/>
          <w:highlight w:val="none"/>
          <w:lang w:val="zh-CN"/>
        </w:rPr>
      </w:pPr>
      <w:r>
        <w:rPr>
          <w:rFonts w:hint="eastAsia" w:ascii="宋体" w:hAnsi="宋体" w:eastAsia="宋体"/>
          <w:highlight w:val="none"/>
          <w:lang w:val="zh-CN"/>
        </w:rPr>
        <w:t>报价</w:t>
      </w:r>
      <w:r>
        <w:rPr>
          <w:rFonts w:ascii="宋体" w:hAnsi="宋体" w:eastAsia="宋体"/>
          <w:highlight w:val="none"/>
          <w:lang w:val="zh-CN"/>
        </w:rPr>
        <w:t>人：（单位盖章）</w:t>
      </w:r>
    </w:p>
    <w:p w14:paraId="66ACFC0A">
      <w:pPr>
        <w:tabs>
          <w:tab w:val="left" w:pos="9000"/>
        </w:tabs>
        <w:adjustRightInd w:val="0"/>
        <w:spacing w:line="400" w:lineRule="exact"/>
        <w:ind w:right="-331" w:rightChars="-138" w:firstLine="0" w:firstLineChars="0"/>
        <w:jc w:val="left"/>
        <w:textAlignment w:val="baseline"/>
        <w:rPr>
          <w:rFonts w:ascii="宋体" w:hAnsi="宋体" w:eastAsia="宋体"/>
          <w:highlight w:val="none"/>
          <w:lang w:val="zh-CN"/>
        </w:rPr>
      </w:pPr>
      <w:r>
        <w:rPr>
          <w:rFonts w:ascii="宋体" w:hAnsi="宋体" w:eastAsia="宋体"/>
          <w:highlight w:val="none"/>
          <w:lang w:val="zh-CN"/>
        </w:rPr>
        <w:t>法定代表人或被授权人：（签字或盖章）</w:t>
      </w:r>
    </w:p>
    <w:p w14:paraId="11C61CEF">
      <w:pPr>
        <w:tabs>
          <w:tab w:val="left" w:pos="9000"/>
        </w:tabs>
        <w:adjustRightInd w:val="0"/>
        <w:spacing w:line="400" w:lineRule="exact"/>
        <w:ind w:right="-331" w:rightChars="-138" w:firstLine="0" w:firstLineChars="0"/>
        <w:textAlignment w:val="baseline"/>
        <w:rPr>
          <w:rFonts w:ascii="宋体" w:hAnsi="宋体" w:eastAsia="宋体"/>
          <w:szCs w:val="20"/>
          <w:highlight w:val="none"/>
          <w:lang w:val="zh-CN"/>
        </w:rPr>
      </w:pPr>
      <w:r>
        <w:rPr>
          <w:rFonts w:hint="eastAsia" w:ascii="宋体" w:hAnsi="宋体" w:eastAsia="宋体"/>
          <w:highlight w:val="none"/>
          <w:lang w:val="zh-CN"/>
        </w:rPr>
        <w:t xml:space="preserve">日期：        </w:t>
      </w:r>
      <w:r>
        <w:rPr>
          <w:rFonts w:ascii="宋体" w:hAnsi="宋体" w:eastAsia="宋体"/>
          <w:highlight w:val="none"/>
          <w:lang w:val="zh-CN"/>
        </w:rPr>
        <w:t>年     月     日</w:t>
      </w:r>
    </w:p>
    <w:p w14:paraId="618B4B82">
      <w:pPr>
        <w:tabs>
          <w:tab w:val="left" w:pos="9000"/>
        </w:tabs>
        <w:adjustRightInd w:val="0"/>
        <w:spacing w:line="400" w:lineRule="exact"/>
        <w:ind w:right="-331" w:rightChars="-138" w:firstLine="0" w:firstLineChars="0"/>
        <w:textAlignment w:val="baseline"/>
        <w:rPr>
          <w:rFonts w:ascii="宋体" w:hAnsi="宋体" w:eastAsia="宋体"/>
          <w:szCs w:val="20"/>
          <w:highlight w:val="none"/>
          <w:lang w:val="zh-CN"/>
        </w:rPr>
      </w:pPr>
    </w:p>
    <w:p w14:paraId="670A2464">
      <w:pPr>
        <w:rPr>
          <w:rFonts w:ascii="宋体" w:hAnsi="宋体" w:eastAsia="宋体"/>
          <w:szCs w:val="20"/>
          <w:highlight w:val="none"/>
          <w:lang w:val="zh-CN"/>
        </w:rPr>
      </w:pPr>
      <w:r>
        <w:rPr>
          <w:rFonts w:ascii="宋体" w:hAnsi="宋体" w:eastAsia="宋体"/>
          <w:szCs w:val="20"/>
          <w:highlight w:val="none"/>
          <w:lang w:val="zh-CN"/>
        </w:rPr>
        <w:br w:type="page"/>
      </w:r>
    </w:p>
    <w:p w14:paraId="6F10CAFE">
      <w:pPr>
        <w:pStyle w:val="2"/>
        <w:rPr>
          <w:rFonts w:hint="eastAsia"/>
          <w:lang w:val="en-US" w:eastAsia="zh-CN"/>
        </w:rPr>
        <w:sectPr>
          <w:pgSz w:w="11906" w:h="16838"/>
          <w:pgMar w:top="1440" w:right="1800" w:bottom="1440" w:left="1800" w:header="851" w:footer="992" w:gutter="0"/>
          <w:cols w:space="720" w:num="1"/>
          <w:docGrid w:type="lines" w:linePitch="312" w:charSpace="0"/>
        </w:sectPr>
      </w:pPr>
    </w:p>
    <w:p w14:paraId="21278EC9">
      <w:pPr>
        <w:tabs>
          <w:tab w:val="left" w:pos="2565"/>
        </w:tabs>
        <w:spacing w:line="600" w:lineRule="exact"/>
        <w:ind w:left="0" w:leftChars="0" w:firstLine="0" w:firstLineChars="0"/>
        <w:jc w:val="both"/>
        <w:rPr>
          <w:rFonts w:hint="default" w:ascii="黑体" w:hAnsi="黑体" w:eastAsia="黑体" w:cs="黑体"/>
          <w:b w:val="0"/>
          <w:bCs/>
          <w:color w:val="auto"/>
          <w:kern w:val="0"/>
          <w:sz w:val="34"/>
          <w:szCs w:val="34"/>
          <w:highlight w:val="none"/>
          <w:lang w:val="en-US" w:eastAsia="zh-CN" w:bidi="ar-SA"/>
        </w:rPr>
      </w:pPr>
      <w:r>
        <w:rPr>
          <w:rFonts w:hint="eastAsia" w:ascii="黑体" w:hAnsi="黑体" w:eastAsia="黑体" w:cs="黑体"/>
          <w:b w:val="0"/>
          <w:bCs/>
          <w:color w:val="auto"/>
          <w:kern w:val="0"/>
          <w:sz w:val="34"/>
          <w:szCs w:val="34"/>
          <w:highlight w:val="none"/>
          <w:lang w:val="en-US" w:eastAsia="zh-CN" w:bidi="ar-SA"/>
        </w:rPr>
        <w:t>附件2</w:t>
      </w:r>
    </w:p>
    <w:p w14:paraId="22955983">
      <w:pPr>
        <w:tabs>
          <w:tab w:val="left" w:pos="2565"/>
        </w:tabs>
        <w:spacing w:line="600" w:lineRule="exact"/>
        <w:jc w:val="center"/>
        <w:rPr>
          <w:rFonts w:hint="eastAsia" w:ascii="方正小标宋简体" w:hAnsi="方正小标宋简体" w:eastAsia="方正小标宋简体" w:cs="方正小标宋简体"/>
          <w:b w:val="0"/>
          <w:bCs/>
          <w:color w:val="auto"/>
          <w:kern w:val="0"/>
          <w:sz w:val="32"/>
          <w:szCs w:val="32"/>
          <w:highlight w:val="none"/>
          <w:lang w:val="en-US" w:eastAsia="zh-CN" w:bidi="ar-SA"/>
        </w:rPr>
      </w:pPr>
      <w:r>
        <w:rPr>
          <w:rFonts w:hint="eastAsia" w:ascii="方正小标宋简体" w:hAnsi="方正小标宋简体" w:eastAsia="方正小标宋简体" w:cs="方正小标宋简体"/>
          <w:b w:val="0"/>
          <w:bCs/>
          <w:color w:val="auto"/>
          <w:kern w:val="0"/>
          <w:sz w:val="32"/>
          <w:szCs w:val="32"/>
          <w:highlight w:val="none"/>
          <w:lang w:val="en-US" w:eastAsia="zh-CN" w:bidi="ar-SA"/>
        </w:rPr>
        <w:t>索普集团供应商负面清单管理规定</w:t>
      </w:r>
    </w:p>
    <w:p w14:paraId="2C548E85">
      <w:pPr>
        <w:tabs>
          <w:tab w:val="left" w:pos="2565"/>
        </w:tabs>
        <w:spacing w:line="600" w:lineRule="exact"/>
        <w:jc w:val="center"/>
        <w:rPr>
          <w:rFonts w:hint="eastAsia" w:ascii="方正小标宋简体" w:hAnsi="方正小标宋简体" w:eastAsia="方正小标宋简体" w:cs="方正小标宋简体"/>
          <w:b w:val="0"/>
          <w:bCs/>
          <w:color w:val="auto"/>
          <w:sz w:val="44"/>
          <w:szCs w:val="44"/>
          <w:highlight w:val="none"/>
          <w:u w:val="none"/>
          <w:lang w:eastAsia="zh-CN"/>
        </w:rPr>
      </w:pPr>
      <w:r>
        <w:rPr>
          <w:rFonts w:hint="eastAsia" w:ascii="方正小标宋简体" w:hAnsi="方正小标宋简体" w:eastAsia="方正小标宋简体" w:cs="方正小标宋简体"/>
          <w:b w:val="0"/>
          <w:bCs/>
          <w:color w:val="auto"/>
          <w:sz w:val="32"/>
          <w:szCs w:val="32"/>
          <w:highlight w:val="none"/>
          <w:u w:val="none"/>
          <w:lang w:eastAsia="zh-CN"/>
        </w:rPr>
        <w:t>（</w:t>
      </w:r>
      <w:r>
        <w:rPr>
          <w:rFonts w:hint="eastAsia" w:ascii="方正小标宋简体" w:hAnsi="方正小标宋简体" w:eastAsia="方正小标宋简体" w:cs="方正小标宋简体"/>
          <w:b w:val="0"/>
          <w:bCs/>
          <w:color w:val="auto"/>
          <w:sz w:val="32"/>
          <w:szCs w:val="32"/>
          <w:highlight w:val="none"/>
          <w:u w:val="none"/>
          <w:lang w:val="en-US" w:eastAsia="zh-CN"/>
        </w:rPr>
        <w:t>2025年修订版</w:t>
      </w:r>
      <w:r>
        <w:rPr>
          <w:rFonts w:hint="eastAsia" w:ascii="方正小标宋简体" w:hAnsi="方正小标宋简体" w:eastAsia="方正小标宋简体" w:cs="方正小标宋简体"/>
          <w:b w:val="0"/>
          <w:bCs/>
          <w:color w:val="auto"/>
          <w:sz w:val="32"/>
          <w:szCs w:val="32"/>
          <w:highlight w:val="none"/>
          <w:u w:val="none"/>
          <w:lang w:eastAsia="zh-CN"/>
        </w:rPr>
        <w:t>）</w:t>
      </w:r>
    </w:p>
    <w:p w14:paraId="17B3F591">
      <w:pPr>
        <w:keepNext w:val="0"/>
        <w:keepLines w:val="0"/>
        <w:pageBreakBefore w:val="0"/>
        <w:widowControl/>
        <w:tabs>
          <w:tab w:val="left" w:pos="2565"/>
        </w:tabs>
        <w:kinsoku/>
        <w:wordWrap/>
        <w:overflowPunct/>
        <w:topLinePunct w:val="0"/>
        <w:autoSpaceDE/>
        <w:autoSpaceDN/>
        <w:bidi w:val="0"/>
        <w:adjustRightInd w:val="0"/>
        <w:snapToGrid w:val="0"/>
        <w:spacing w:beforeLines="0" w:afterLines="0" w:line="600" w:lineRule="exact"/>
        <w:ind w:right="0" w:rightChars="0"/>
        <w:jc w:val="both"/>
        <w:textAlignment w:val="auto"/>
        <w:outlineLvl w:val="9"/>
        <w:rPr>
          <w:rFonts w:hint="eastAsia" w:ascii="黑体" w:hAnsi="黑体" w:eastAsia="黑体"/>
          <w:b w:val="0"/>
          <w:bCs/>
          <w:color w:val="auto"/>
          <w:sz w:val="34"/>
          <w:szCs w:val="34"/>
          <w:highlight w:val="none"/>
          <w:lang w:eastAsia="zh-CN"/>
        </w:rPr>
      </w:pPr>
    </w:p>
    <w:p w14:paraId="357D7D53">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center"/>
        <w:rPr>
          <w:rFonts w:hint="default" w:ascii="楷体 !important" w:hAnsi="楷体 !important" w:eastAsia="楷体 !important" w:cs="楷体 !important"/>
          <w:i w:val="0"/>
          <w:iCs w:val="0"/>
          <w:caps w:val="0"/>
          <w:color w:val="2C2C2C"/>
          <w:spacing w:val="0"/>
          <w:sz w:val="28"/>
          <w:szCs w:val="28"/>
        </w:rPr>
      </w:pPr>
      <w:r>
        <w:rPr>
          <w:rFonts w:hint="eastAsia" w:ascii="黑体" w:hAnsi="宋体" w:eastAsia="黑体" w:cs="黑体"/>
          <w:i w:val="0"/>
          <w:iCs w:val="0"/>
          <w:caps w:val="0"/>
          <w:color w:val="2C2C2C"/>
          <w:spacing w:val="0"/>
          <w:sz w:val="28"/>
          <w:szCs w:val="28"/>
          <w:shd w:val="clear" w:fill="FFFFFF"/>
        </w:rPr>
        <w:t>第一章 总</w:t>
      </w:r>
      <w:r>
        <w:rPr>
          <w:rFonts w:hint="default" w:ascii="Times New Roman" w:hAnsi="Times New Roman" w:eastAsia="楷体 !important" w:cs="Times New Roman"/>
          <w:i w:val="0"/>
          <w:iCs w:val="0"/>
          <w:caps w:val="0"/>
          <w:color w:val="2C2C2C"/>
          <w:spacing w:val="0"/>
          <w:sz w:val="28"/>
          <w:szCs w:val="28"/>
          <w:shd w:val="clear" w:fill="FFFFFF"/>
        </w:rPr>
        <w:t> </w:t>
      </w:r>
      <w:r>
        <w:rPr>
          <w:rFonts w:hint="eastAsia" w:ascii="黑体" w:hAnsi="宋体" w:eastAsia="黑体" w:cs="黑体"/>
          <w:i w:val="0"/>
          <w:iCs w:val="0"/>
          <w:caps w:val="0"/>
          <w:color w:val="2C2C2C"/>
          <w:spacing w:val="0"/>
          <w:sz w:val="28"/>
          <w:szCs w:val="28"/>
          <w:shd w:val="clear" w:fill="FFFFFF"/>
        </w:rPr>
        <w:t>则</w:t>
      </w:r>
    </w:p>
    <w:p w14:paraId="794FE47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第一条 </w:t>
      </w:r>
      <w:r>
        <w:rPr>
          <w:rFonts w:hint="eastAsia" w:ascii="仿宋_GB2312" w:hAnsi="仿宋_GB2312" w:eastAsia="仿宋_GB2312" w:cs="仿宋_GB2312"/>
          <w:i w:val="0"/>
          <w:iCs w:val="0"/>
          <w:caps w:val="0"/>
          <w:color w:val="2C2C2C"/>
          <w:spacing w:val="0"/>
          <w:sz w:val="28"/>
          <w:szCs w:val="28"/>
          <w:shd w:val="clear" w:fill="FFFFFF"/>
        </w:rPr>
        <w:t>凡按国家标准及相关准则或规定组织生产销售的产品供应商及承包商，证照齐全且资质满足公司采购要求的，均可参与公司组织的公开采购商务活动。</w:t>
      </w:r>
    </w:p>
    <w:p w14:paraId="70DE681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第二条 </w:t>
      </w:r>
      <w:r>
        <w:rPr>
          <w:rFonts w:hint="eastAsia" w:ascii="仿宋_GB2312" w:hAnsi="仿宋_GB2312" w:eastAsia="仿宋_GB2312" w:cs="仿宋_GB2312"/>
          <w:i w:val="0"/>
          <w:iCs w:val="0"/>
          <w:caps w:val="0"/>
          <w:color w:val="2C2C2C"/>
          <w:spacing w:val="0"/>
          <w:sz w:val="28"/>
          <w:szCs w:val="28"/>
          <w:shd w:val="clear" w:fill="FFFFFF"/>
        </w:rPr>
        <w:t>本制度适用于索普集团本部各部门，同时也对各直属单位有明确的指导和约束作用。</w:t>
      </w:r>
    </w:p>
    <w:p w14:paraId="14420BD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第三条 </w:t>
      </w:r>
      <w:r>
        <w:rPr>
          <w:rFonts w:hint="eastAsia" w:ascii="仿宋_GB2312" w:hAnsi="仿宋_GB2312" w:eastAsia="仿宋_GB2312" w:cs="仿宋_GB2312"/>
          <w:i w:val="0"/>
          <w:iCs w:val="0"/>
          <w:caps w:val="0"/>
          <w:color w:val="2C2C2C"/>
          <w:spacing w:val="0"/>
          <w:sz w:val="28"/>
          <w:szCs w:val="28"/>
          <w:shd w:val="clear" w:fill="FFFFFF"/>
        </w:rPr>
        <w:t>集团供应商负面清单管理采取共享机制，由全集团共同参与构建并统一使用，确保全集团采购活动中负面清单供应商范围一致。</w:t>
      </w:r>
    </w:p>
    <w:p w14:paraId="7962F15D">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center"/>
        <w:rPr>
          <w:rFonts w:hint="default" w:ascii="楷体 !important" w:hAnsi="楷体 !important" w:eastAsia="楷体 !important" w:cs="楷体 !important"/>
          <w:i w:val="0"/>
          <w:iCs w:val="0"/>
          <w:caps w:val="0"/>
          <w:color w:val="2C2C2C"/>
          <w:spacing w:val="0"/>
          <w:sz w:val="28"/>
          <w:szCs w:val="28"/>
        </w:rPr>
      </w:pPr>
      <w:r>
        <w:rPr>
          <w:rFonts w:hint="eastAsia" w:ascii="黑体" w:hAnsi="宋体" w:eastAsia="黑体" w:cs="黑体"/>
          <w:i w:val="0"/>
          <w:iCs w:val="0"/>
          <w:caps w:val="0"/>
          <w:color w:val="2C2C2C"/>
          <w:spacing w:val="0"/>
          <w:sz w:val="28"/>
          <w:szCs w:val="28"/>
          <w:shd w:val="clear" w:fill="FFFFFF"/>
        </w:rPr>
        <w:t>第二章 管理职责</w:t>
      </w:r>
    </w:p>
    <w:p w14:paraId="445AE40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第四条 </w:t>
      </w:r>
      <w:r>
        <w:rPr>
          <w:rFonts w:hint="eastAsia" w:ascii="仿宋_GB2312" w:hAnsi="仿宋_GB2312" w:eastAsia="仿宋_GB2312" w:cs="仿宋_GB2312"/>
          <w:i w:val="0"/>
          <w:iCs w:val="0"/>
          <w:caps w:val="0"/>
          <w:color w:val="2C2C2C"/>
          <w:spacing w:val="0"/>
          <w:sz w:val="28"/>
          <w:szCs w:val="28"/>
          <w:shd w:val="clear" w:fill="FFFFFF"/>
        </w:rPr>
        <w:t>集团本部及各单位拥有对负面清单供应商进行考核评价及解除的权限，负面清单供应商的增减变动须报集团商务合作部公示后生效执行。</w:t>
      </w:r>
    </w:p>
    <w:p w14:paraId="5C78E3A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default" w:ascii="楷体 !important" w:hAnsi="楷体 !important" w:eastAsia="楷体 !important" w:cs="楷体 !important"/>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第五条 </w:t>
      </w:r>
      <w:r>
        <w:rPr>
          <w:rFonts w:hint="eastAsia" w:ascii="仿宋_GB2312" w:hAnsi="仿宋_GB2312" w:eastAsia="仿宋_GB2312" w:cs="仿宋_GB2312"/>
          <w:i w:val="0"/>
          <w:iCs w:val="0"/>
          <w:caps w:val="0"/>
          <w:color w:val="2C2C2C"/>
          <w:spacing w:val="0"/>
          <w:sz w:val="28"/>
          <w:szCs w:val="28"/>
          <w:shd w:val="clear" w:fill="FFFFFF"/>
        </w:rPr>
        <w:t>集团本部的负面清单管理工作由集团商务合作部直接负责，集团各部门在采购、合同履约、物资使用等环节中产生的供应商考核意见，须实时报送集团商务合作部汇总管理，确保清单动态更新与信息共享。</w:t>
      </w:r>
    </w:p>
    <w:p w14:paraId="642BD572">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center"/>
        <w:rPr>
          <w:rFonts w:hint="default" w:ascii="楷体 !important" w:hAnsi="楷体 !important" w:eastAsia="楷体 !important" w:cs="楷体 !important"/>
          <w:i w:val="0"/>
          <w:iCs w:val="0"/>
          <w:caps w:val="0"/>
          <w:color w:val="2C2C2C"/>
          <w:spacing w:val="0"/>
          <w:sz w:val="28"/>
          <w:szCs w:val="28"/>
        </w:rPr>
      </w:pPr>
      <w:r>
        <w:rPr>
          <w:rFonts w:hint="eastAsia" w:ascii="黑体" w:hAnsi="宋体" w:eastAsia="黑体" w:cs="黑体"/>
          <w:i w:val="0"/>
          <w:iCs w:val="0"/>
          <w:caps w:val="0"/>
          <w:color w:val="2C2C2C"/>
          <w:spacing w:val="0"/>
          <w:sz w:val="28"/>
          <w:szCs w:val="28"/>
          <w:shd w:val="clear" w:fill="FFFFFF"/>
        </w:rPr>
        <w:t>第三章 供应商分级管理</w:t>
      </w:r>
    </w:p>
    <w:p w14:paraId="285025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562" w:firstLineChars="20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第六条 根据考核扣分及违规严重性，将供应商分为以下三类管理：</w:t>
      </w:r>
    </w:p>
    <w:p w14:paraId="3B1DA2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（一）合格供应商</w:t>
      </w:r>
    </w:p>
    <w:p w14:paraId="4C356C2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 考核标准：滚动周期扣分（一年内）＜10分。</w:t>
      </w:r>
    </w:p>
    <w:p w14:paraId="6432176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 管理措施：可正常参与公司公开采购及合作，扣分自首次扣除满一年自动清零。</w:t>
      </w:r>
    </w:p>
    <w:p w14:paraId="2C2E950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（二）暂停合作供应商</w:t>
      </w:r>
    </w:p>
    <w:p w14:paraId="3FB9AE3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 考核标准：同一单位对同一供应商一年内的考核扣分累计≥10分；不同单位对同一供应商一年内的考核扣分累计≥15分。</w:t>
      </w:r>
    </w:p>
    <w:p w14:paraId="31DBE27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 管理措施：一年内停止与其产生新的合作。建立到期提示机制，到期前一个月内考核部门应主动告知相应供应商，并同步开放整改材料提交通道。</w:t>
      </w:r>
    </w:p>
    <w:p w14:paraId="2E2B6B0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3. 评审优先级：在采购评审过程中，同等情况下应优先选择未曾被列入暂停合作供应商清单的供应商。</w:t>
      </w:r>
    </w:p>
    <w:p w14:paraId="039AAF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（三）禁止合作供应商</w:t>
      </w:r>
    </w:p>
    <w:p w14:paraId="6657F00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 考核标准：供应商发生以下恶意行为的，将直接列入禁止合作供应商清单：</w:t>
      </w:r>
    </w:p>
    <w:p w14:paraId="7F12BC1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（1）主观恶意且对公司生产经营活动造成重大损害的；</w:t>
      </w:r>
    </w:p>
    <w:p w14:paraId="1DC7C1C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（2）恶意法律诉讼起诉我公司最终被法院裁定为败诉的；</w:t>
      </w:r>
    </w:p>
    <w:p w14:paraId="0DC4AC2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（3）两次列入暂停合作供应商的；</w:t>
      </w:r>
    </w:p>
    <w:p w14:paraId="3E6CE24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（4）违反廉政协议，滋生腐败现象的；</w:t>
      </w:r>
    </w:p>
    <w:p w14:paraId="2D4AA0D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（5）存在其他严重侵害公司利益行为的。</w:t>
      </w:r>
    </w:p>
    <w:p w14:paraId="73B9A54A">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 管理措施：原则上永久禁止合作。</w:t>
      </w:r>
    </w:p>
    <w:p w14:paraId="09E7B1A7">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center"/>
        <w:rPr>
          <w:rFonts w:hint="default" w:ascii="楷体 !important" w:hAnsi="楷体 !important" w:eastAsia="楷体 !important" w:cs="楷体 !important"/>
          <w:i w:val="0"/>
          <w:iCs w:val="0"/>
          <w:caps w:val="0"/>
          <w:color w:val="2C2C2C"/>
          <w:spacing w:val="0"/>
          <w:sz w:val="28"/>
          <w:szCs w:val="28"/>
        </w:rPr>
      </w:pPr>
      <w:r>
        <w:rPr>
          <w:rFonts w:hint="eastAsia" w:ascii="黑体" w:hAnsi="宋体" w:eastAsia="黑体" w:cs="黑体"/>
          <w:i w:val="0"/>
          <w:iCs w:val="0"/>
          <w:caps w:val="0"/>
          <w:color w:val="2C2C2C"/>
          <w:spacing w:val="0"/>
          <w:sz w:val="28"/>
          <w:szCs w:val="28"/>
          <w:shd w:val="clear" w:fill="FFFFFF"/>
        </w:rPr>
        <w:t>第四章 积分考核细则</w:t>
      </w:r>
    </w:p>
    <w:p w14:paraId="6941A54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第七条 </w:t>
      </w:r>
      <w:r>
        <w:rPr>
          <w:rFonts w:hint="eastAsia" w:ascii="仿宋_GB2312" w:hAnsi="仿宋_GB2312" w:eastAsia="仿宋_GB2312" w:cs="仿宋_GB2312"/>
          <w:i w:val="0"/>
          <w:iCs w:val="0"/>
          <w:caps w:val="0"/>
          <w:color w:val="2C2C2C"/>
          <w:spacing w:val="0"/>
          <w:sz w:val="28"/>
          <w:szCs w:val="28"/>
          <w:shd w:val="clear" w:fill="FFFFFF"/>
        </w:rPr>
        <w:t>供应商的积分考核主要包括供货质量、交货周期、售后服务、资质信誉等方面，每项各10分，各相关部门均可提出书面考核意见。商务合作部负责对各相关部门提出的考核意见进行收集汇总，并及时公示。</w:t>
      </w:r>
    </w:p>
    <w:p w14:paraId="70EA99C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（一）质量方面</w:t>
      </w:r>
    </w:p>
    <w:p w14:paraId="3FC585C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 所供产品出现质量问题，未对公司造成影响，单次扣1-3分。</w:t>
      </w:r>
    </w:p>
    <w:p w14:paraId="3149E60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 所供产品出现质量问题，对公司造成了一定影响，单次扣3-5分。</w:t>
      </w:r>
    </w:p>
    <w:p w14:paraId="67F8F30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3. 所供产品出现质量问题，对公司造成了严重影响，单次扣5-10分。</w:t>
      </w:r>
    </w:p>
    <w:p w14:paraId="3B4B27D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4. 所供产品故意隐瞒质量缺陷或以次充好，单次扣10分。</w:t>
      </w:r>
    </w:p>
    <w:p w14:paraId="4A29289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（二）交货方面</w:t>
      </w:r>
    </w:p>
    <w:p w14:paraId="14CAC45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 交货时无质检报告或合格证等必要资料的，单次扣1-3分。</w:t>
      </w:r>
    </w:p>
    <w:p w14:paraId="7EFF722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 交货时未按规定包装的，单次扣1-3分。</w:t>
      </w:r>
    </w:p>
    <w:p w14:paraId="5F5D3D4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3. 延期交货，但未对公司造成影响，单次扣1-3分；造成一定影响，单次扣3-5分；造成严重影响，单次扣5-10分。</w:t>
      </w:r>
    </w:p>
    <w:p w14:paraId="39A59CC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（三）售后方面</w:t>
      </w:r>
    </w:p>
    <w:p w14:paraId="3A67522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 对我公司的售后服务要求不能及时响应，单次扣1-3分；已造成一定影响，单次扣3-5分；造成严重影响，单次扣5-10分。</w:t>
      </w:r>
    </w:p>
    <w:p w14:paraId="1B1ED01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 售后人员不能及时解决问题，单次扣1-3分。</w:t>
      </w:r>
    </w:p>
    <w:p w14:paraId="630E42E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3. 在质保期之内，拒绝按合同提供售后服务，单次扣5-10分。</w:t>
      </w:r>
    </w:p>
    <w:p w14:paraId="7ECAD6E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（四）资信方面</w:t>
      </w:r>
    </w:p>
    <w:p w14:paraId="2FD2DEC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1. 未提供询价书要求的资质文件、不满足询价书资质要求、报价与技术要求不符等，单次扣1～3 分。   </w:t>
      </w:r>
    </w:p>
    <w:p w14:paraId="4326B6C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2. 中选之后因报价、参数错误等原因，报价人放弃成交，单次扣3-5分。</w:t>
      </w:r>
    </w:p>
    <w:p w14:paraId="20C6C47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3. 中选之后拒绝签订合同或拒绝履行合同，单次扣5-10分。</w:t>
      </w:r>
    </w:p>
    <w:p w14:paraId="153246F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4. 无正当理由未及时开具发票给我方或未按合同约定价格开票，单次扣1-3分。</w:t>
      </w:r>
    </w:p>
    <w:p w14:paraId="4FBCDD2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5. 未按照《江苏索普(集团)有限公司工程造价审计管理制度》要求提供工程结算资料，或未按规定进行工程结算确认的，单次扣1-3分。</w:t>
      </w:r>
    </w:p>
    <w:p w14:paraId="30ED791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6. 报价人经核实资质造假或因知识产权引起纠纷，单次扣6-10分。</w:t>
      </w:r>
    </w:p>
    <w:p w14:paraId="693ADAC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7. 报价低于成本价且无合理说明扰乱公开采购秩序,单次扣10 分。</w:t>
      </w:r>
    </w:p>
    <w:p w14:paraId="5119603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第八条 </w:t>
      </w:r>
      <w:r>
        <w:rPr>
          <w:rFonts w:hint="eastAsia" w:ascii="仿宋_GB2312" w:hAnsi="仿宋_GB2312" w:eastAsia="仿宋_GB2312" w:cs="仿宋_GB2312"/>
          <w:i w:val="0"/>
          <w:iCs w:val="0"/>
          <w:caps w:val="0"/>
          <w:color w:val="2C2C2C"/>
          <w:spacing w:val="0"/>
          <w:sz w:val="28"/>
          <w:szCs w:val="28"/>
          <w:shd w:val="clear" w:fill="FFFFFF"/>
        </w:rPr>
        <w:t>关于无效投诉的处理办法。</w:t>
      </w:r>
    </w:p>
    <w:p w14:paraId="34A4E8C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i w:val="0"/>
          <w:iCs w:val="0"/>
          <w:caps w:val="0"/>
          <w:color w:val="2C2C2C"/>
          <w:spacing w:val="0"/>
          <w:sz w:val="28"/>
          <w:szCs w:val="28"/>
          <w:shd w:val="clear" w:fill="FFFFFF"/>
        </w:rPr>
        <w:t>报价人如对评审结果存有异议，可向监管部门提起投诉。但为了维护公开采购工作的严肃性，报价人所提出的投诉一旦被公司认定为无效投诉，单次扣除投诉人3分；如果报价人仍不接受解释且采取重复投诉，甚至出现捏造事实、无理取闹、聚众围堵、恶意诽谤等严重扰乱公司生产经营秩序的恶劣行为，可再扣除投诉人5-10分；报价人对同一事件进行重复的无效投诉，或一年内累计无效投诉达三次以上（含三次），均直接列入暂停交易清单，情节严重的可直接列入禁止交易供应商清单。</w:t>
      </w:r>
    </w:p>
    <w:p w14:paraId="7272D131">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center"/>
        <w:rPr>
          <w:rFonts w:hint="default" w:ascii="楷体 !important" w:hAnsi="楷体 !important" w:eastAsia="楷体 !important" w:cs="楷体 !important"/>
          <w:i w:val="0"/>
          <w:iCs w:val="0"/>
          <w:caps w:val="0"/>
          <w:color w:val="2C2C2C"/>
          <w:spacing w:val="0"/>
          <w:sz w:val="28"/>
          <w:szCs w:val="28"/>
        </w:rPr>
      </w:pPr>
      <w:r>
        <w:rPr>
          <w:rFonts w:hint="eastAsia" w:ascii="黑体" w:hAnsi="宋体" w:eastAsia="黑体" w:cs="黑体"/>
          <w:i w:val="0"/>
          <w:iCs w:val="0"/>
          <w:caps w:val="0"/>
          <w:color w:val="2C2C2C"/>
          <w:spacing w:val="0"/>
          <w:sz w:val="28"/>
          <w:szCs w:val="28"/>
          <w:shd w:val="clear" w:fill="FFFFFF"/>
        </w:rPr>
        <w:t>第五章 重要事项</w:t>
      </w:r>
    </w:p>
    <w:p w14:paraId="5B5BA50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第九条 </w:t>
      </w:r>
      <w:r>
        <w:rPr>
          <w:rFonts w:hint="eastAsia" w:ascii="仿宋_GB2312" w:hAnsi="仿宋_GB2312" w:eastAsia="仿宋_GB2312" w:cs="仿宋_GB2312"/>
          <w:i w:val="0"/>
          <w:iCs w:val="0"/>
          <w:caps w:val="0"/>
          <w:color w:val="2C2C2C"/>
          <w:spacing w:val="0"/>
          <w:sz w:val="28"/>
          <w:szCs w:val="28"/>
          <w:shd w:val="clear" w:fill="FFFFFF"/>
        </w:rPr>
        <w:t>为确保集团内部供应商管理的一致性和高效性，各部门应统一按照集团公司制定的供应商管理要求严格执行。</w:t>
      </w:r>
    </w:p>
    <w:p w14:paraId="5B9159B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第十条 </w:t>
      </w:r>
      <w:r>
        <w:rPr>
          <w:rFonts w:hint="eastAsia" w:ascii="仿宋_GB2312" w:hAnsi="仿宋_GB2312" w:eastAsia="仿宋_GB2312" w:cs="仿宋_GB2312"/>
          <w:b w:val="0"/>
          <w:bCs w:val="0"/>
          <w:i w:val="0"/>
          <w:iCs w:val="0"/>
          <w:caps w:val="0"/>
          <w:color w:val="2C2C2C"/>
          <w:spacing w:val="0"/>
          <w:sz w:val="28"/>
          <w:szCs w:val="28"/>
          <w:shd w:val="clear" w:fill="FFFFFF"/>
        </w:rPr>
        <w:t>各</w:t>
      </w:r>
      <w:r>
        <w:rPr>
          <w:rFonts w:hint="eastAsia" w:ascii="仿宋_GB2312" w:hAnsi="仿宋_GB2312" w:eastAsia="仿宋_GB2312" w:cs="仿宋_GB2312"/>
          <w:i w:val="0"/>
          <w:iCs w:val="0"/>
          <w:caps w:val="0"/>
          <w:color w:val="2C2C2C"/>
          <w:spacing w:val="0"/>
          <w:sz w:val="28"/>
          <w:szCs w:val="28"/>
          <w:shd w:val="clear" w:fill="FFFFFF"/>
        </w:rPr>
        <w:t>部门将供应商纳入负面清单时应秉持审慎原则，需建立在事实调查与证据收集基础之上，确保决定的合理性与公正性。</w:t>
      </w:r>
    </w:p>
    <w:p w14:paraId="0951651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第十一条 </w:t>
      </w:r>
      <w:r>
        <w:rPr>
          <w:rFonts w:hint="eastAsia" w:ascii="仿宋_GB2312" w:hAnsi="仿宋_GB2312" w:eastAsia="仿宋_GB2312" w:cs="仿宋_GB2312"/>
          <w:i w:val="0"/>
          <w:iCs w:val="0"/>
          <w:caps w:val="0"/>
          <w:color w:val="2C2C2C"/>
          <w:spacing w:val="0"/>
          <w:sz w:val="28"/>
          <w:szCs w:val="28"/>
          <w:shd w:val="clear" w:fill="FFFFFF"/>
        </w:rPr>
        <w:t>原则上不得与禁止合作的供应商恢复合作关系。如确因生产需要恢复合作的，须经相关审批流程后方可实施。</w:t>
      </w:r>
    </w:p>
    <w:p w14:paraId="2CE36FA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第十二条 </w:t>
      </w:r>
      <w:r>
        <w:rPr>
          <w:rFonts w:hint="eastAsia" w:ascii="仿宋_GB2312" w:hAnsi="仿宋_GB2312" w:eastAsia="仿宋_GB2312" w:cs="仿宋_GB2312"/>
          <w:i w:val="0"/>
          <w:iCs w:val="0"/>
          <w:caps w:val="0"/>
          <w:color w:val="2C2C2C"/>
          <w:spacing w:val="0"/>
          <w:sz w:val="28"/>
          <w:szCs w:val="28"/>
          <w:shd w:val="clear" w:fill="FFFFFF"/>
        </w:rPr>
        <w:t>暂停合作供应商考核满一年后，经审议符合移出暂停合作清单条件的，各部门无正当理由不得拒绝或拖延将其移出负面清单。</w:t>
      </w:r>
    </w:p>
    <w:p w14:paraId="1CBE274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第十三条 </w:t>
      </w:r>
      <w:r>
        <w:rPr>
          <w:rFonts w:hint="eastAsia" w:ascii="仿宋_GB2312" w:hAnsi="仿宋_GB2312" w:eastAsia="仿宋_GB2312" w:cs="仿宋_GB2312"/>
          <w:i w:val="0"/>
          <w:iCs w:val="0"/>
          <w:caps w:val="0"/>
          <w:color w:val="2C2C2C"/>
          <w:spacing w:val="0"/>
          <w:sz w:val="28"/>
          <w:szCs w:val="28"/>
          <w:shd w:val="clear" w:fill="FFFFFF"/>
        </w:rPr>
        <w:t>如果被暂停合作供应商在收到我司到期告知后三个月内未能提供有效整改材料或一年内不能完成整改的，相关单位可将其列入禁止合作供应商清单，不再与其开展合作。</w:t>
      </w:r>
    </w:p>
    <w:p w14:paraId="03AEEE4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第十四条 </w:t>
      </w:r>
      <w:r>
        <w:rPr>
          <w:rFonts w:hint="eastAsia" w:ascii="仿宋_GB2312" w:hAnsi="仿宋_GB2312" w:eastAsia="仿宋_GB2312" w:cs="仿宋_GB2312"/>
          <w:i w:val="0"/>
          <w:iCs w:val="0"/>
          <w:caps w:val="0"/>
          <w:color w:val="2C2C2C"/>
          <w:spacing w:val="0"/>
          <w:sz w:val="28"/>
          <w:szCs w:val="28"/>
          <w:shd w:val="clear" w:fill="FFFFFF"/>
        </w:rPr>
        <w:t>各单位、各部门需真实、准确地记录供应商的考核结果，并按照要求及时报送供应商考核信息至集团商务合作部，确保信息及时、透明。</w:t>
      </w:r>
    </w:p>
    <w:p w14:paraId="0AD2611A">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第十五条</w:t>
      </w:r>
      <w:r>
        <w:rPr>
          <w:rFonts w:hint="eastAsia" w:ascii="仿宋_GB2312" w:hAnsi="仿宋_GB2312" w:eastAsia="仿宋_GB2312" w:cs="仿宋_GB2312"/>
          <w:i w:val="0"/>
          <w:iCs w:val="0"/>
          <w:caps w:val="0"/>
          <w:color w:val="2C2C2C"/>
          <w:spacing w:val="0"/>
          <w:sz w:val="28"/>
          <w:szCs w:val="28"/>
          <w:shd w:val="clear" w:fill="FFFFFF"/>
        </w:rPr>
        <w:t> 对于严重侵害我公司利益的供应商，除按照供应商管理制度进行正常考核外，对于存在违法违规行为的供应商，应依法追究其法律责任，包括但不限于通过法律途径索赔、向相关监管机构举报等。</w:t>
      </w:r>
    </w:p>
    <w:p w14:paraId="2014ACAA">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Chars="0" w:right="0" w:rightChars="0"/>
        <w:jc w:val="center"/>
        <w:rPr>
          <w:rFonts w:hint="default" w:ascii="楷体 !important" w:hAnsi="楷体 !important" w:eastAsia="楷体 !important" w:cs="楷体 !important"/>
          <w:i w:val="0"/>
          <w:iCs w:val="0"/>
          <w:caps w:val="0"/>
          <w:color w:val="2C2C2C"/>
          <w:spacing w:val="0"/>
          <w:sz w:val="28"/>
          <w:szCs w:val="28"/>
        </w:rPr>
      </w:pPr>
      <w:r>
        <w:rPr>
          <w:rFonts w:hint="eastAsia" w:ascii="黑体" w:hAnsi="宋体" w:eastAsia="黑体" w:cs="黑体"/>
          <w:i w:val="0"/>
          <w:iCs w:val="0"/>
          <w:caps w:val="0"/>
          <w:color w:val="2C2C2C"/>
          <w:spacing w:val="0"/>
          <w:sz w:val="28"/>
          <w:szCs w:val="28"/>
          <w:shd w:val="clear" w:fill="FFFFFF"/>
        </w:rPr>
        <w:t>第六章 附</w:t>
      </w:r>
      <w:r>
        <w:rPr>
          <w:rFonts w:hint="default" w:ascii="Times New Roman" w:hAnsi="Times New Roman" w:eastAsia="楷体 !important" w:cs="Times New Roman"/>
          <w:i w:val="0"/>
          <w:iCs w:val="0"/>
          <w:caps w:val="0"/>
          <w:color w:val="2C2C2C"/>
          <w:spacing w:val="0"/>
          <w:sz w:val="28"/>
          <w:szCs w:val="28"/>
          <w:shd w:val="clear" w:fill="FFFFFF"/>
        </w:rPr>
        <w:t> </w:t>
      </w:r>
      <w:r>
        <w:rPr>
          <w:rFonts w:hint="eastAsia" w:ascii="黑体" w:hAnsi="宋体" w:eastAsia="黑体" w:cs="黑体"/>
          <w:i w:val="0"/>
          <w:iCs w:val="0"/>
          <w:caps w:val="0"/>
          <w:color w:val="2C2C2C"/>
          <w:spacing w:val="0"/>
          <w:sz w:val="28"/>
          <w:szCs w:val="28"/>
          <w:shd w:val="clear" w:fill="FFFFFF"/>
        </w:rPr>
        <w:t>则</w:t>
      </w:r>
    </w:p>
    <w:p w14:paraId="28744AE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第十六条 </w:t>
      </w:r>
      <w:r>
        <w:rPr>
          <w:rFonts w:hint="eastAsia" w:ascii="仿宋_GB2312" w:hAnsi="仿宋_GB2312" w:eastAsia="仿宋_GB2312" w:cs="仿宋_GB2312"/>
          <w:i w:val="0"/>
          <w:iCs w:val="0"/>
          <w:caps w:val="0"/>
          <w:color w:val="2C2C2C"/>
          <w:spacing w:val="0"/>
          <w:sz w:val="28"/>
          <w:szCs w:val="28"/>
          <w:shd w:val="clear" w:fill="FFFFFF"/>
        </w:rPr>
        <w:t>各部门、各单位应努力按照公开、公平、公正的原则，做好供应商负面清单的考核和管理工作。</w:t>
      </w:r>
    </w:p>
    <w:p w14:paraId="62EC2D5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第十七条 </w:t>
      </w:r>
      <w:r>
        <w:rPr>
          <w:rFonts w:hint="eastAsia" w:ascii="仿宋_GB2312" w:hAnsi="仿宋_GB2312" w:eastAsia="仿宋_GB2312" w:cs="仿宋_GB2312"/>
          <w:i w:val="0"/>
          <w:iCs w:val="0"/>
          <w:caps w:val="0"/>
          <w:color w:val="2C2C2C"/>
          <w:spacing w:val="0"/>
          <w:sz w:val="28"/>
          <w:szCs w:val="28"/>
          <w:shd w:val="clear" w:fill="FFFFFF"/>
        </w:rPr>
        <w:t>不同单位对同一供应商12个月内的考核扣分累计达到15分及以上的，由集团商务合作部将其列为暂停合作供应商。</w:t>
      </w:r>
    </w:p>
    <w:p w14:paraId="27E82CE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第十八条 </w:t>
      </w:r>
      <w:r>
        <w:rPr>
          <w:rFonts w:hint="eastAsia" w:ascii="仿宋_GB2312" w:hAnsi="仿宋_GB2312" w:eastAsia="仿宋_GB2312" w:cs="仿宋_GB2312"/>
          <w:i w:val="0"/>
          <w:iCs w:val="0"/>
          <w:caps w:val="0"/>
          <w:color w:val="2C2C2C"/>
          <w:spacing w:val="0"/>
          <w:sz w:val="28"/>
          <w:szCs w:val="28"/>
          <w:shd w:val="clear" w:fill="FFFFFF"/>
        </w:rPr>
        <w:t>自然人、废旧物资处置单位参照本制度进行管理。</w:t>
      </w:r>
    </w:p>
    <w:p w14:paraId="3AEDBF6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第十九条 </w:t>
      </w:r>
      <w:r>
        <w:rPr>
          <w:rFonts w:hint="eastAsia" w:ascii="仿宋_GB2312" w:hAnsi="仿宋_GB2312" w:eastAsia="仿宋_GB2312" w:cs="仿宋_GB2312"/>
          <w:i w:val="0"/>
          <w:iCs w:val="0"/>
          <w:caps w:val="0"/>
          <w:color w:val="2C2C2C"/>
          <w:spacing w:val="0"/>
          <w:sz w:val="28"/>
          <w:szCs w:val="28"/>
          <w:shd w:val="clear" w:fill="FFFFFF"/>
        </w:rPr>
        <w:t>如某一实际控制人所控制的公司被列入负面清单，该实控人直接或间接控制的所有相关公司也视同列入负面清单。</w:t>
      </w:r>
    </w:p>
    <w:p w14:paraId="1F7409B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第二十条 </w:t>
      </w:r>
      <w:r>
        <w:rPr>
          <w:rFonts w:hint="eastAsia" w:ascii="仿宋_GB2312" w:hAnsi="仿宋_GB2312" w:eastAsia="仿宋_GB2312" w:cs="仿宋_GB2312"/>
          <w:i w:val="0"/>
          <w:iCs w:val="0"/>
          <w:caps w:val="0"/>
          <w:color w:val="2C2C2C"/>
          <w:spacing w:val="0"/>
          <w:sz w:val="28"/>
          <w:szCs w:val="28"/>
          <w:shd w:val="clear" w:fill="FFFFFF"/>
        </w:rPr>
        <w:t>集团公司开发供应商管理信息系统，实现扣分、清单更新、公示全流程线上化，并与采购系统联动拦截违规供应商。</w:t>
      </w:r>
    </w:p>
    <w:p w14:paraId="2393BA7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rPr>
          <w:rFonts w:hint="eastAsia" w:ascii="仿宋_GB2312" w:hAnsi="仿宋_GB2312" w:eastAsia="仿宋_GB2312" w:cs="仿宋_GB2312"/>
          <w:i w:val="0"/>
          <w:iCs w:val="0"/>
          <w:caps w:val="0"/>
          <w:color w:val="2C2C2C"/>
          <w:spacing w:val="0"/>
          <w:sz w:val="28"/>
          <w:szCs w:val="28"/>
        </w:rPr>
      </w:pPr>
      <w:r>
        <w:rPr>
          <w:rFonts w:hint="eastAsia" w:ascii="仿宋_GB2312" w:hAnsi="仿宋_GB2312" w:eastAsia="仿宋_GB2312" w:cs="仿宋_GB2312"/>
          <w:b/>
          <w:bCs/>
          <w:i w:val="0"/>
          <w:iCs w:val="0"/>
          <w:caps w:val="0"/>
          <w:color w:val="2C2C2C"/>
          <w:spacing w:val="0"/>
          <w:sz w:val="28"/>
          <w:szCs w:val="28"/>
          <w:shd w:val="clear" w:fill="FFFFFF"/>
        </w:rPr>
        <w:t>第二十一条 </w:t>
      </w:r>
      <w:r>
        <w:rPr>
          <w:rFonts w:hint="eastAsia" w:ascii="仿宋_GB2312" w:hAnsi="仿宋_GB2312" w:eastAsia="仿宋_GB2312" w:cs="仿宋_GB2312"/>
          <w:i w:val="0"/>
          <w:iCs w:val="0"/>
          <w:caps w:val="0"/>
          <w:color w:val="2C2C2C"/>
          <w:spacing w:val="0"/>
          <w:sz w:val="28"/>
          <w:szCs w:val="28"/>
          <w:shd w:val="clear" w:fill="FFFFFF"/>
        </w:rPr>
        <w:t>本规定自颁发之日起生效，由集团商务合作部负责解释，原《索普集团供应商负面清单管理规定（试行）》（苏索企字〔2023〕90号）同时废止。</w:t>
      </w:r>
    </w:p>
    <w:p w14:paraId="6A4A9D8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default" w:ascii="楷体 !important" w:hAnsi="楷体 !important" w:eastAsia="楷体 !important" w:cs="楷体 !important"/>
          <w:i w:val="0"/>
          <w:iCs w:val="0"/>
          <w:caps w:val="0"/>
          <w:color w:val="2C2C2C"/>
          <w:spacing w:val="0"/>
          <w:sz w:val="28"/>
          <w:szCs w:val="28"/>
        </w:rPr>
      </w:pPr>
      <w:r>
        <w:rPr>
          <w:rFonts w:hint="eastAsia" w:ascii="黑体" w:hAnsi="宋体" w:eastAsia="黑体" w:cs="黑体"/>
          <w:i w:val="0"/>
          <w:iCs w:val="0"/>
          <w:caps w:val="0"/>
          <w:color w:val="2C2C2C"/>
          <w:spacing w:val="0"/>
          <w:sz w:val="28"/>
          <w:szCs w:val="28"/>
          <w:shd w:val="clear" w:fill="FFFFFF"/>
        </w:rPr>
        <w:t> </w:t>
      </w:r>
    </w:p>
    <w:p w14:paraId="6CCF9627">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0" w:firstLineChars="0"/>
        <w:jc w:val="left"/>
        <w:textAlignment w:val="auto"/>
        <w:outlineLvl w:val="9"/>
        <w:rPr>
          <w:rFonts w:hint="eastAsia" w:ascii="仿宋_GB2312" w:hAnsi="仿宋_GB2312" w:eastAsia="仿宋_GB2312" w:cs="仿宋_GB2312"/>
          <w:b w:val="0"/>
          <w:bCs/>
          <w:color w:val="auto"/>
          <w:kern w:val="0"/>
          <w:sz w:val="34"/>
          <w:szCs w:val="34"/>
          <w:highlight w:val="none"/>
          <w:lang w:val="zh-CN" w:eastAsia="zh-CN"/>
        </w:rPr>
      </w:pPr>
      <w:r>
        <w:rPr>
          <w:rFonts w:hint="eastAsia" w:ascii="仿宋_GB2312" w:hAnsi="楷体" w:eastAsia="仿宋_GB2312"/>
          <w:b w:val="0"/>
          <w:bCs/>
          <w:color w:val="auto"/>
          <w:sz w:val="34"/>
          <w:szCs w:val="34"/>
          <w:highlight w:val="none"/>
          <w:lang w:eastAsia="zh-CN"/>
        </w:rPr>
        <w:t>　　</w:t>
      </w:r>
    </w:p>
    <w:tbl>
      <w:tblPr>
        <w:tblStyle w:val="14"/>
        <w:tblW w:w="5218" w:type="pct"/>
        <w:jc w:val="center"/>
        <w:tblLayout w:type="autofit"/>
        <w:tblCellMar>
          <w:top w:w="0" w:type="dxa"/>
          <w:left w:w="108" w:type="dxa"/>
          <w:bottom w:w="0" w:type="dxa"/>
          <w:right w:w="108" w:type="dxa"/>
        </w:tblCellMar>
      </w:tblPr>
      <w:tblGrid>
        <w:gridCol w:w="480"/>
        <w:gridCol w:w="1033"/>
        <w:gridCol w:w="557"/>
        <w:gridCol w:w="484"/>
        <w:gridCol w:w="486"/>
        <w:gridCol w:w="486"/>
        <w:gridCol w:w="486"/>
        <w:gridCol w:w="486"/>
        <w:gridCol w:w="519"/>
        <w:gridCol w:w="864"/>
        <w:gridCol w:w="720"/>
        <w:gridCol w:w="873"/>
        <w:gridCol w:w="790"/>
        <w:gridCol w:w="630"/>
      </w:tblGrid>
      <w:tr w14:paraId="349BF2C6">
        <w:tblPrEx>
          <w:tblCellMar>
            <w:top w:w="0" w:type="dxa"/>
            <w:left w:w="108" w:type="dxa"/>
            <w:bottom w:w="0" w:type="dxa"/>
            <w:right w:w="108" w:type="dxa"/>
          </w:tblCellMar>
        </w:tblPrEx>
        <w:trPr>
          <w:trHeight w:val="0" w:hRule="atLeast"/>
          <w:jc w:val="center"/>
        </w:trPr>
        <w:tc>
          <w:tcPr>
            <w:tcW w:w="4201" w:type="pct"/>
            <w:gridSpan w:val="12"/>
            <w:tcBorders>
              <w:top w:val="nil"/>
              <w:left w:val="nil"/>
              <w:bottom w:val="nil"/>
              <w:right w:val="nil"/>
            </w:tcBorders>
            <w:noWrap w:val="0"/>
            <w:vAlign w:val="center"/>
          </w:tcPr>
          <w:p w14:paraId="300C473F">
            <w:pPr>
              <w:keepNext/>
              <w:snapToGrid w:val="0"/>
              <w:ind w:left="0" w:leftChars="0" w:firstLine="0" w:firstLineChars="0"/>
              <w:jc w:val="both"/>
              <w:rPr>
                <w:rFonts w:hint="default" w:ascii="黑体" w:hAnsi="黑体" w:eastAsia="黑体" w:cs="黑体"/>
                <w:b w:val="0"/>
                <w:bCs/>
                <w:color w:val="auto"/>
                <w:kern w:val="0"/>
                <w:sz w:val="32"/>
                <w:szCs w:val="32"/>
                <w:u w:val="none"/>
                <w:lang w:val="en-US" w:eastAsia="zh-CN"/>
              </w:rPr>
            </w:pPr>
            <w:r>
              <w:rPr>
                <w:rFonts w:hint="eastAsia" w:ascii="黑体" w:hAnsi="黑体" w:eastAsia="黑体" w:cs="黑体"/>
                <w:b w:val="0"/>
                <w:bCs/>
                <w:color w:val="auto"/>
                <w:kern w:val="0"/>
                <w:sz w:val="32"/>
                <w:szCs w:val="32"/>
                <w:u w:val="none"/>
                <w:lang w:val="en-US" w:eastAsia="zh-CN"/>
              </w:rPr>
              <w:t>附件3</w:t>
            </w:r>
          </w:p>
          <w:p w14:paraId="03C15CD9">
            <w:pPr>
              <w:keepNext/>
              <w:snapToGrid w:val="0"/>
              <w:jc w:val="center"/>
              <w:rPr>
                <w:rFonts w:hint="eastAsia" w:ascii="方正小标宋简体" w:hAnsi="宋体" w:eastAsia="方正小标宋简体" w:cs="宋体"/>
                <w:b w:val="0"/>
                <w:bCs/>
                <w:color w:val="auto"/>
                <w:kern w:val="0"/>
                <w:sz w:val="44"/>
                <w:szCs w:val="44"/>
                <w:u w:val="none"/>
              </w:rPr>
            </w:pPr>
            <w:r>
              <w:rPr>
                <w:rFonts w:hint="eastAsia" w:ascii="方正小标宋简体" w:hAnsi="宋体" w:eastAsia="方正小标宋简体" w:cs="宋体"/>
                <w:b w:val="0"/>
                <w:bCs/>
                <w:color w:val="auto"/>
                <w:kern w:val="0"/>
                <w:sz w:val="44"/>
                <w:szCs w:val="44"/>
                <w:u w:val="none"/>
              </w:rPr>
              <w:br w:type="page"/>
            </w:r>
            <w:r>
              <w:rPr>
                <w:rFonts w:hint="eastAsia" w:ascii="方正小标宋简体" w:hAnsi="宋体" w:eastAsia="方正小标宋简体" w:cs="宋体"/>
                <w:b w:val="0"/>
                <w:bCs/>
                <w:color w:val="auto"/>
                <w:kern w:val="0"/>
                <w:sz w:val="44"/>
                <w:szCs w:val="44"/>
                <w:u w:val="none"/>
              </w:rPr>
              <w:t>供应商考核表</w:t>
            </w:r>
          </w:p>
        </w:tc>
        <w:tc>
          <w:tcPr>
            <w:tcW w:w="444" w:type="pct"/>
            <w:tcBorders>
              <w:top w:val="nil"/>
              <w:left w:val="nil"/>
              <w:bottom w:val="nil"/>
              <w:right w:val="nil"/>
            </w:tcBorders>
            <w:noWrap w:val="0"/>
            <w:vAlign w:val="center"/>
          </w:tcPr>
          <w:p w14:paraId="26ED1EC5">
            <w:pPr>
              <w:keepNext/>
              <w:widowControl/>
              <w:snapToGrid w:val="0"/>
              <w:jc w:val="center"/>
              <w:rPr>
                <w:rFonts w:hint="eastAsia" w:ascii="方正小标宋简体" w:hAnsi="宋体" w:eastAsia="方正小标宋简体" w:cs="宋体"/>
                <w:b w:val="0"/>
                <w:bCs/>
                <w:color w:val="auto"/>
                <w:kern w:val="0"/>
                <w:sz w:val="44"/>
                <w:szCs w:val="44"/>
                <w:u w:val="none"/>
              </w:rPr>
            </w:pPr>
          </w:p>
        </w:tc>
        <w:tc>
          <w:tcPr>
            <w:tcW w:w="354" w:type="pct"/>
            <w:tcBorders>
              <w:top w:val="nil"/>
              <w:left w:val="nil"/>
              <w:bottom w:val="nil"/>
              <w:right w:val="nil"/>
            </w:tcBorders>
            <w:noWrap w:val="0"/>
            <w:vAlign w:val="center"/>
          </w:tcPr>
          <w:p w14:paraId="5094EFCA">
            <w:pPr>
              <w:keepNext/>
              <w:widowControl/>
              <w:snapToGrid w:val="0"/>
              <w:jc w:val="center"/>
              <w:rPr>
                <w:rFonts w:hint="eastAsia" w:ascii="方正小标宋简体" w:hAnsi="宋体" w:eastAsia="方正小标宋简体" w:cs="宋体"/>
                <w:b w:val="0"/>
                <w:bCs/>
                <w:color w:val="auto"/>
                <w:kern w:val="0"/>
                <w:sz w:val="44"/>
                <w:szCs w:val="44"/>
                <w:u w:val="none"/>
              </w:rPr>
            </w:pPr>
          </w:p>
        </w:tc>
      </w:tr>
      <w:tr w14:paraId="2243BF88">
        <w:tblPrEx>
          <w:tblCellMar>
            <w:top w:w="0" w:type="dxa"/>
            <w:left w:w="108" w:type="dxa"/>
            <w:bottom w:w="0" w:type="dxa"/>
            <w:right w:w="108" w:type="dxa"/>
          </w:tblCellMar>
        </w:tblPrEx>
        <w:trPr>
          <w:trHeight w:val="0" w:hRule="atLeast"/>
          <w:jc w:val="center"/>
        </w:trPr>
        <w:tc>
          <w:tcPr>
            <w:tcW w:w="4201" w:type="pct"/>
            <w:gridSpan w:val="12"/>
            <w:tcBorders>
              <w:top w:val="nil"/>
              <w:left w:val="nil"/>
              <w:bottom w:val="nil"/>
              <w:right w:val="nil"/>
            </w:tcBorders>
            <w:noWrap w:val="0"/>
            <w:vAlign w:val="center"/>
          </w:tcPr>
          <w:p w14:paraId="723E3279">
            <w:pPr>
              <w:keepNext/>
              <w:widowControl/>
              <w:snapToGrid w:val="0"/>
              <w:jc w:val="left"/>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rPr>
              <w:t xml:space="preserve">                                                                     时间：    年   月   日                                                           </w:t>
            </w:r>
          </w:p>
        </w:tc>
        <w:tc>
          <w:tcPr>
            <w:tcW w:w="444" w:type="pct"/>
            <w:tcBorders>
              <w:top w:val="nil"/>
              <w:left w:val="nil"/>
              <w:bottom w:val="nil"/>
              <w:right w:val="nil"/>
            </w:tcBorders>
            <w:noWrap w:val="0"/>
            <w:vAlign w:val="center"/>
          </w:tcPr>
          <w:p w14:paraId="23A4F352">
            <w:pPr>
              <w:keepNext/>
              <w:widowControl/>
              <w:snapToGrid w:val="0"/>
              <w:jc w:val="left"/>
              <w:rPr>
                <w:rFonts w:hint="eastAsia" w:ascii="宋体" w:hAnsi="宋体" w:cs="宋体"/>
                <w:b w:val="0"/>
                <w:bCs/>
                <w:color w:val="auto"/>
                <w:kern w:val="0"/>
                <w:sz w:val="24"/>
                <w:szCs w:val="24"/>
                <w:u w:val="none"/>
              </w:rPr>
            </w:pPr>
          </w:p>
        </w:tc>
        <w:tc>
          <w:tcPr>
            <w:tcW w:w="354" w:type="pct"/>
            <w:tcBorders>
              <w:top w:val="nil"/>
              <w:left w:val="nil"/>
              <w:bottom w:val="nil"/>
              <w:right w:val="nil"/>
            </w:tcBorders>
            <w:noWrap w:val="0"/>
            <w:vAlign w:val="center"/>
          </w:tcPr>
          <w:p w14:paraId="346F582F">
            <w:pPr>
              <w:keepNext/>
              <w:widowControl/>
              <w:snapToGrid w:val="0"/>
              <w:jc w:val="left"/>
              <w:rPr>
                <w:rFonts w:hint="eastAsia" w:ascii="宋体" w:hAnsi="宋体" w:cs="宋体"/>
                <w:b w:val="0"/>
                <w:bCs/>
                <w:color w:val="auto"/>
                <w:kern w:val="0"/>
                <w:sz w:val="24"/>
                <w:szCs w:val="24"/>
                <w:u w:val="none"/>
              </w:rPr>
            </w:pPr>
          </w:p>
        </w:tc>
      </w:tr>
      <w:tr w14:paraId="382F6B3C">
        <w:tblPrEx>
          <w:tblCellMar>
            <w:top w:w="0" w:type="dxa"/>
            <w:left w:w="108" w:type="dxa"/>
            <w:bottom w:w="0" w:type="dxa"/>
            <w:right w:w="108" w:type="dxa"/>
          </w:tblCellMar>
        </w:tblPrEx>
        <w:trPr>
          <w:trHeight w:val="0" w:hRule="atLeast"/>
          <w:jc w:val="center"/>
        </w:trPr>
        <w:tc>
          <w:tcPr>
            <w:tcW w:w="270" w:type="pct"/>
            <w:vMerge w:val="restart"/>
            <w:tcBorders>
              <w:top w:val="single" w:color="auto" w:sz="4" w:space="0"/>
              <w:left w:val="single" w:color="auto" w:sz="4" w:space="0"/>
              <w:right w:val="single" w:color="auto" w:sz="4" w:space="0"/>
            </w:tcBorders>
            <w:noWrap w:val="0"/>
            <w:vAlign w:val="center"/>
          </w:tcPr>
          <w:p w14:paraId="0F98DFA7">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序号</w:t>
            </w:r>
          </w:p>
        </w:tc>
        <w:tc>
          <w:tcPr>
            <w:tcW w:w="581" w:type="pct"/>
            <w:vMerge w:val="restart"/>
            <w:tcBorders>
              <w:top w:val="single" w:color="auto" w:sz="4" w:space="0"/>
              <w:left w:val="single" w:color="auto" w:sz="4" w:space="0"/>
              <w:right w:val="single" w:color="auto" w:sz="4" w:space="0"/>
            </w:tcBorders>
            <w:noWrap w:val="0"/>
            <w:vAlign w:val="center"/>
          </w:tcPr>
          <w:p w14:paraId="1DA19B45">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企业</w:t>
            </w:r>
            <w:r>
              <w:rPr>
                <w:rFonts w:hint="eastAsia" w:ascii="宋体" w:hAnsi="宋体" w:cs="宋体"/>
                <w:b w:val="0"/>
                <w:bCs/>
                <w:color w:val="auto"/>
                <w:kern w:val="0"/>
                <w:sz w:val="24"/>
                <w:szCs w:val="24"/>
                <w:u w:val="none"/>
                <w:lang w:val="en-US" w:eastAsia="zh-CN"/>
              </w:rPr>
              <w:t xml:space="preserve"> </w:t>
            </w:r>
            <w:r>
              <w:rPr>
                <w:rFonts w:hint="eastAsia" w:ascii="宋体" w:hAnsi="宋体" w:cs="宋体"/>
                <w:b w:val="0"/>
                <w:bCs/>
                <w:color w:val="auto"/>
                <w:kern w:val="0"/>
                <w:sz w:val="24"/>
                <w:szCs w:val="24"/>
                <w:u w:val="none"/>
              </w:rPr>
              <w:t>名</w:t>
            </w:r>
            <w:r>
              <w:rPr>
                <w:rFonts w:hint="eastAsia" w:ascii="宋体" w:hAnsi="宋体" w:cs="宋体"/>
                <w:b w:val="0"/>
                <w:bCs/>
                <w:color w:val="auto"/>
                <w:kern w:val="0"/>
                <w:sz w:val="24"/>
                <w:szCs w:val="24"/>
                <w:u w:val="none"/>
                <w:lang w:val="en-US" w:eastAsia="zh-CN"/>
              </w:rPr>
              <w:t xml:space="preserve">  </w:t>
            </w:r>
            <w:r>
              <w:rPr>
                <w:rFonts w:hint="eastAsia" w:ascii="宋体" w:hAnsi="宋体" w:cs="宋体"/>
                <w:b w:val="0"/>
                <w:bCs/>
                <w:color w:val="auto"/>
                <w:kern w:val="0"/>
                <w:sz w:val="24"/>
                <w:szCs w:val="24"/>
                <w:u w:val="none"/>
              </w:rPr>
              <w:t>称</w:t>
            </w:r>
          </w:p>
        </w:tc>
        <w:tc>
          <w:tcPr>
            <w:tcW w:w="313" w:type="pct"/>
            <w:vMerge w:val="restart"/>
            <w:tcBorders>
              <w:top w:val="single" w:color="auto" w:sz="4" w:space="0"/>
              <w:left w:val="single" w:color="auto" w:sz="4" w:space="0"/>
              <w:right w:val="single" w:color="auto" w:sz="4" w:space="0"/>
            </w:tcBorders>
            <w:noWrap w:val="0"/>
            <w:vAlign w:val="center"/>
          </w:tcPr>
          <w:p w14:paraId="407FCD8E">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供货产品</w:t>
            </w:r>
          </w:p>
        </w:tc>
        <w:tc>
          <w:tcPr>
            <w:tcW w:w="1656" w:type="pct"/>
            <w:gridSpan w:val="6"/>
            <w:tcBorders>
              <w:top w:val="single" w:color="auto" w:sz="4" w:space="0"/>
              <w:left w:val="single" w:color="auto" w:sz="4" w:space="0"/>
              <w:bottom w:val="single" w:color="auto" w:sz="4" w:space="0"/>
              <w:right w:val="single" w:color="auto" w:sz="4" w:space="0"/>
            </w:tcBorders>
            <w:noWrap w:val="0"/>
            <w:vAlign w:val="center"/>
          </w:tcPr>
          <w:p w14:paraId="3DEB6699">
            <w:pPr>
              <w:keepNext/>
              <w:widowControl/>
              <w:snapToGrid w:val="0"/>
              <w:jc w:val="center"/>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考核扣分</w:t>
            </w:r>
          </w:p>
        </w:tc>
        <w:tc>
          <w:tcPr>
            <w:tcW w:w="486" w:type="pct"/>
            <w:vMerge w:val="restart"/>
            <w:tcBorders>
              <w:top w:val="single" w:color="auto" w:sz="4" w:space="0"/>
              <w:left w:val="single" w:color="auto" w:sz="4" w:space="0"/>
              <w:bottom w:val="single" w:color="auto" w:sz="4" w:space="0"/>
              <w:right w:val="single" w:color="auto" w:sz="4" w:space="0"/>
            </w:tcBorders>
            <w:noWrap w:val="0"/>
            <w:vAlign w:val="center"/>
          </w:tcPr>
          <w:p w14:paraId="0E6446EE">
            <w:pPr>
              <w:keepNext/>
              <w:widowControl/>
              <w:snapToGrid w:val="0"/>
              <w:ind w:left="0" w:leftChars="0" w:firstLine="0" w:firstLineChars="0"/>
              <w:jc w:val="both"/>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扣分时间</w:t>
            </w:r>
          </w:p>
        </w:tc>
        <w:tc>
          <w:tcPr>
            <w:tcW w:w="1337" w:type="pct"/>
            <w:gridSpan w:val="3"/>
            <w:tcBorders>
              <w:top w:val="single" w:color="auto" w:sz="4" w:space="0"/>
              <w:left w:val="single" w:color="auto" w:sz="4" w:space="0"/>
              <w:bottom w:val="single" w:color="auto" w:sz="4" w:space="0"/>
              <w:right w:val="single" w:color="auto" w:sz="4" w:space="0"/>
            </w:tcBorders>
            <w:noWrap w:val="0"/>
            <w:vAlign w:val="center"/>
          </w:tcPr>
          <w:p w14:paraId="0BF18D9B">
            <w:pPr>
              <w:keepNext/>
              <w:widowControl/>
              <w:snapToGrid w:val="0"/>
              <w:jc w:val="center"/>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rPr>
              <w:t>总体评估</w:t>
            </w:r>
          </w:p>
        </w:tc>
        <w:tc>
          <w:tcPr>
            <w:tcW w:w="354" w:type="pct"/>
            <w:vMerge w:val="restart"/>
            <w:tcBorders>
              <w:top w:val="single" w:color="auto" w:sz="4" w:space="0"/>
              <w:left w:val="single" w:color="auto" w:sz="4" w:space="0"/>
              <w:right w:val="single" w:color="auto" w:sz="4" w:space="0"/>
            </w:tcBorders>
            <w:noWrap w:val="0"/>
            <w:vAlign w:val="center"/>
          </w:tcPr>
          <w:p w14:paraId="0E0933C1">
            <w:pPr>
              <w:keepNext/>
              <w:widowControl/>
              <w:snapToGrid w:val="0"/>
              <w:ind w:left="0" w:leftChars="0" w:firstLine="0" w:firstLineChars="0"/>
              <w:jc w:val="both"/>
              <w:rPr>
                <w:rFonts w:hint="eastAsia" w:ascii="宋体" w:hAnsi="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备注</w:t>
            </w:r>
          </w:p>
        </w:tc>
      </w:tr>
      <w:tr w14:paraId="19AC1F9E">
        <w:tblPrEx>
          <w:tblCellMar>
            <w:top w:w="0" w:type="dxa"/>
            <w:left w:w="108" w:type="dxa"/>
            <w:bottom w:w="0" w:type="dxa"/>
            <w:right w:w="108" w:type="dxa"/>
          </w:tblCellMar>
        </w:tblPrEx>
        <w:trPr>
          <w:trHeight w:val="0" w:hRule="atLeast"/>
          <w:jc w:val="center"/>
        </w:trPr>
        <w:tc>
          <w:tcPr>
            <w:tcW w:w="270" w:type="pct"/>
            <w:vMerge w:val="continue"/>
            <w:tcBorders>
              <w:left w:val="single" w:color="auto" w:sz="4" w:space="0"/>
              <w:bottom w:val="single" w:color="auto" w:sz="4" w:space="0"/>
              <w:right w:val="single" w:color="auto" w:sz="4" w:space="0"/>
            </w:tcBorders>
            <w:noWrap w:val="0"/>
            <w:vAlign w:val="center"/>
          </w:tcPr>
          <w:p w14:paraId="3EDD4087">
            <w:pPr>
              <w:keepNext/>
              <w:widowControl/>
              <w:snapToGrid w:val="0"/>
              <w:jc w:val="center"/>
              <w:rPr>
                <w:rFonts w:ascii="宋体" w:hAnsi="宋体" w:cs="宋体"/>
                <w:b w:val="0"/>
                <w:bCs/>
                <w:color w:val="auto"/>
                <w:kern w:val="0"/>
                <w:sz w:val="24"/>
                <w:szCs w:val="24"/>
                <w:u w:val="none"/>
              </w:rPr>
            </w:pPr>
          </w:p>
        </w:tc>
        <w:tc>
          <w:tcPr>
            <w:tcW w:w="581" w:type="pct"/>
            <w:vMerge w:val="continue"/>
            <w:tcBorders>
              <w:left w:val="single" w:color="auto" w:sz="4" w:space="0"/>
              <w:bottom w:val="single" w:color="auto" w:sz="4" w:space="0"/>
              <w:right w:val="single" w:color="auto" w:sz="4" w:space="0"/>
            </w:tcBorders>
            <w:noWrap w:val="0"/>
            <w:vAlign w:val="center"/>
          </w:tcPr>
          <w:p w14:paraId="341382B9">
            <w:pPr>
              <w:keepNext/>
              <w:widowControl/>
              <w:snapToGrid w:val="0"/>
              <w:jc w:val="center"/>
              <w:rPr>
                <w:rFonts w:ascii="宋体" w:hAnsi="宋体" w:cs="宋体"/>
                <w:b w:val="0"/>
                <w:bCs/>
                <w:color w:val="auto"/>
                <w:kern w:val="0"/>
                <w:sz w:val="24"/>
                <w:szCs w:val="24"/>
                <w:u w:val="none"/>
              </w:rPr>
            </w:pPr>
          </w:p>
        </w:tc>
        <w:tc>
          <w:tcPr>
            <w:tcW w:w="313" w:type="pct"/>
            <w:vMerge w:val="continue"/>
            <w:tcBorders>
              <w:left w:val="single" w:color="auto" w:sz="4" w:space="0"/>
              <w:bottom w:val="single" w:color="auto" w:sz="4" w:space="0"/>
              <w:right w:val="single" w:color="auto" w:sz="4" w:space="0"/>
            </w:tcBorders>
            <w:noWrap w:val="0"/>
            <w:vAlign w:val="center"/>
          </w:tcPr>
          <w:p w14:paraId="7232C86E">
            <w:pPr>
              <w:keepNext/>
              <w:widowControl/>
              <w:snapToGrid w:val="0"/>
              <w:jc w:val="center"/>
              <w:rPr>
                <w:rFonts w:ascii="宋体" w:hAnsi="宋体" w:cs="宋体"/>
                <w:b w:val="0"/>
                <w:bCs/>
                <w:color w:val="auto"/>
                <w:kern w:val="0"/>
                <w:sz w:val="24"/>
                <w:szCs w:val="24"/>
                <w:u w:val="none"/>
              </w:rPr>
            </w:pPr>
          </w:p>
        </w:tc>
        <w:tc>
          <w:tcPr>
            <w:tcW w:w="272" w:type="pct"/>
            <w:tcBorders>
              <w:top w:val="single" w:color="auto" w:sz="4" w:space="0"/>
              <w:left w:val="nil"/>
              <w:bottom w:val="single" w:color="auto" w:sz="4" w:space="0"/>
              <w:right w:val="single" w:color="auto" w:sz="4" w:space="0"/>
            </w:tcBorders>
            <w:noWrap w:val="0"/>
            <w:vAlign w:val="center"/>
          </w:tcPr>
          <w:p w14:paraId="4FFBB227">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质量</w:t>
            </w:r>
          </w:p>
        </w:tc>
        <w:tc>
          <w:tcPr>
            <w:tcW w:w="273" w:type="pct"/>
            <w:tcBorders>
              <w:top w:val="single" w:color="auto" w:sz="4" w:space="0"/>
              <w:left w:val="nil"/>
              <w:bottom w:val="single" w:color="auto" w:sz="4" w:space="0"/>
              <w:right w:val="single" w:color="auto" w:sz="4" w:space="0"/>
            </w:tcBorders>
            <w:noWrap w:val="0"/>
            <w:vAlign w:val="center"/>
          </w:tcPr>
          <w:p w14:paraId="0491E978">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交货</w:t>
            </w:r>
          </w:p>
        </w:tc>
        <w:tc>
          <w:tcPr>
            <w:tcW w:w="273" w:type="pct"/>
            <w:tcBorders>
              <w:top w:val="single" w:color="auto" w:sz="4" w:space="0"/>
              <w:left w:val="nil"/>
              <w:bottom w:val="single" w:color="auto" w:sz="4" w:space="0"/>
              <w:right w:val="single" w:color="auto" w:sz="4" w:space="0"/>
            </w:tcBorders>
            <w:noWrap w:val="0"/>
            <w:vAlign w:val="center"/>
          </w:tcPr>
          <w:p w14:paraId="49D48DE0">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售后</w:t>
            </w:r>
          </w:p>
        </w:tc>
        <w:tc>
          <w:tcPr>
            <w:tcW w:w="273" w:type="pct"/>
            <w:tcBorders>
              <w:top w:val="single" w:color="auto" w:sz="4" w:space="0"/>
              <w:left w:val="nil"/>
              <w:bottom w:val="single" w:color="auto" w:sz="4" w:space="0"/>
              <w:right w:val="single" w:color="auto" w:sz="4" w:space="0"/>
            </w:tcBorders>
            <w:noWrap w:val="0"/>
            <w:vAlign w:val="center"/>
          </w:tcPr>
          <w:p w14:paraId="1F259ACE">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资信</w:t>
            </w:r>
          </w:p>
        </w:tc>
        <w:tc>
          <w:tcPr>
            <w:tcW w:w="273" w:type="pct"/>
            <w:tcBorders>
              <w:top w:val="single" w:color="auto" w:sz="4" w:space="0"/>
              <w:left w:val="nil"/>
              <w:bottom w:val="single" w:color="auto" w:sz="4" w:space="0"/>
              <w:right w:val="single" w:color="auto" w:sz="4" w:space="0"/>
            </w:tcBorders>
            <w:noWrap w:val="0"/>
            <w:vAlign w:val="center"/>
          </w:tcPr>
          <w:p w14:paraId="4F8391A4">
            <w:pPr>
              <w:keepNext/>
              <w:widowControl/>
              <w:snapToGrid w:val="0"/>
              <w:ind w:left="0" w:leftChars="0" w:firstLine="0" w:firstLineChars="0"/>
              <w:jc w:val="both"/>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其他</w:t>
            </w:r>
          </w:p>
        </w:tc>
        <w:tc>
          <w:tcPr>
            <w:tcW w:w="291" w:type="pct"/>
            <w:tcBorders>
              <w:top w:val="single" w:color="auto" w:sz="4" w:space="0"/>
              <w:left w:val="nil"/>
              <w:bottom w:val="single" w:color="auto" w:sz="4" w:space="0"/>
              <w:right w:val="single" w:color="auto" w:sz="4" w:space="0"/>
            </w:tcBorders>
            <w:noWrap w:val="0"/>
            <w:vAlign w:val="center"/>
          </w:tcPr>
          <w:p w14:paraId="33E62969">
            <w:pPr>
              <w:keepNext/>
              <w:widowControl/>
              <w:snapToGrid w:val="0"/>
              <w:ind w:left="0" w:leftChars="0" w:firstLine="0" w:firstLineChars="0"/>
              <w:jc w:val="both"/>
              <w:rPr>
                <w:rFonts w:ascii="宋体" w:hAnsi="宋体" w:cs="宋体"/>
                <w:b w:val="0"/>
                <w:bCs/>
                <w:color w:val="auto"/>
                <w:kern w:val="0"/>
                <w:sz w:val="24"/>
                <w:szCs w:val="24"/>
                <w:u w:val="none"/>
              </w:rPr>
            </w:pPr>
            <w:r>
              <w:rPr>
                <w:rFonts w:hint="eastAsia" w:ascii="宋体" w:hAnsi="宋体" w:cs="宋体"/>
                <w:b w:val="0"/>
                <w:bCs/>
                <w:color w:val="auto"/>
                <w:kern w:val="0"/>
                <w:sz w:val="24"/>
                <w:szCs w:val="24"/>
                <w:u w:val="none"/>
              </w:rPr>
              <w:t>累计</w:t>
            </w:r>
          </w:p>
        </w:tc>
        <w:tc>
          <w:tcPr>
            <w:tcW w:w="486" w:type="pct"/>
            <w:vMerge w:val="continue"/>
            <w:tcBorders>
              <w:top w:val="single" w:color="auto" w:sz="4" w:space="0"/>
              <w:left w:val="nil"/>
              <w:bottom w:val="single" w:color="auto" w:sz="4" w:space="0"/>
              <w:right w:val="single" w:color="auto" w:sz="4" w:space="0"/>
            </w:tcBorders>
            <w:noWrap w:val="0"/>
            <w:vAlign w:val="center"/>
          </w:tcPr>
          <w:p w14:paraId="41B2B73F">
            <w:pPr>
              <w:keepNext/>
              <w:widowControl/>
              <w:snapToGrid w:val="0"/>
              <w:jc w:val="center"/>
              <w:rPr>
                <w:rFonts w:ascii="宋体" w:hAnsi="宋体" w:cs="宋体"/>
                <w:b w:val="0"/>
                <w:bCs/>
                <w:color w:val="auto"/>
                <w:kern w:val="0"/>
                <w:sz w:val="24"/>
                <w:szCs w:val="24"/>
                <w:u w:val="none"/>
              </w:rPr>
            </w:pPr>
          </w:p>
        </w:tc>
        <w:tc>
          <w:tcPr>
            <w:tcW w:w="402" w:type="pct"/>
            <w:tcBorders>
              <w:top w:val="single" w:color="auto" w:sz="4" w:space="0"/>
              <w:left w:val="single" w:color="auto" w:sz="4" w:space="0"/>
              <w:bottom w:val="single" w:color="auto" w:sz="4" w:space="0"/>
              <w:right w:val="single" w:color="auto" w:sz="4" w:space="0"/>
            </w:tcBorders>
            <w:noWrap w:val="0"/>
            <w:vAlign w:val="center"/>
          </w:tcPr>
          <w:p w14:paraId="203AE4DC">
            <w:pPr>
              <w:keepNext/>
              <w:widowControl/>
              <w:snapToGrid w:val="0"/>
              <w:ind w:left="0" w:leftChars="0" w:firstLine="0" w:firstLineChars="0"/>
              <w:jc w:val="both"/>
              <w:rPr>
                <w:rFonts w:hint="eastAsia" w:ascii="宋体" w:hAnsi="宋体" w:eastAsia="宋体" w:cs="宋体"/>
                <w:b w:val="0"/>
                <w:bCs/>
                <w:color w:val="auto"/>
                <w:kern w:val="0"/>
                <w:sz w:val="24"/>
                <w:szCs w:val="24"/>
                <w:u w:val="none"/>
                <w:lang w:eastAsia="zh-CN"/>
              </w:rPr>
            </w:pPr>
            <w:r>
              <w:rPr>
                <w:rFonts w:hint="eastAsia" w:ascii="宋体" w:hAnsi="宋体" w:cs="宋体"/>
                <w:b w:val="0"/>
                <w:bCs/>
                <w:color w:val="auto"/>
                <w:kern w:val="0"/>
                <w:sz w:val="24"/>
                <w:szCs w:val="24"/>
                <w:u w:val="none"/>
                <w:lang w:eastAsia="zh-CN"/>
              </w:rPr>
              <w:t>合格供应商</w:t>
            </w:r>
          </w:p>
        </w:tc>
        <w:tc>
          <w:tcPr>
            <w:tcW w:w="490" w:type="pct"/>
            <w:tcBorders>
              <w:top w:val="single" w:color="auto" w:sz="4" w:space="0"/>
              <w:left w:val="single" w:color="auto" w:sz="4" w:space="0"/>
              <w:bottom w:val="single" w:color="auto" w:sz="4" w:space="0"/>
              <w:right w:val="single" w:color="auto" w:sz="4" w:space="0"/>
            </w:tcBorders>
            <w:noWrap w:val="0"/>
            <w:vAlign w:val="center"/>
          </w:tcPr>
          <w:p w14:paraId="7005CCF1">
            <w:pPr>
              <w:keepNext/>
              <w:widowControl/>
              <w:snapToGrid w:val="0"/>
              <w:ind w:left="0" w:leftChars="0" w:firstLine="0" w:firstLineChars="0"/>
              <w:jc w:val="both"/>
              <w:rPr>
                <w:rFonts w:hint="default" w:ascii="宋体" w:hAnsi="宋体" w:eastAsia="宋体" w:cs="宋体"/>
                <w:b w:val="0"/>
                <w:bCs/>
                <w:color w:val="auto"/>
                <w:kern w:val="0"/>
                <w:sz w:val="24"/>
                <w:szCs w:val="24"/>
                <w:u w:val="none"/>
                <w:lang w:val="en-US" w:eastAsia="zh-CN"/>
              </w:rPr>
            </w:pPr>
            <w:r>
              <w:rPr>
                <w:rFonts w:hint="eastAsia" w:ascii="宋体" w:hAnsi="宋体" w:cs="宋体"/>
                <w:b w:val="0"/>
                <w:bCs/>
                <w:color w:val="auto"/>
                <w:kern w:val="0"/>
                <w:sz w:val="24"/>
                <w:szCs w:val="24"/>
                <w:u w:val="none"/>
                <w:lang w:val="en-US" w:eastAsia="zh-CN"/>
              </w:rPr>
              <w:t>暂停合作供应商</w:t>
            </w:r>
          </w:p>
        </w:tc>
        <w:tc>
          <w:tcPr>
            <w:tcW w:w="444" w:type="pct"/>
            <w:tcBorders>
              <w:top w:val="single" w:color="auto" w:sz="4" w:space="0"/>
              <w:left w:val="nil"/>
              <w:bottom w:val="single" w:color="auto" w:sz="4" w:space="0"/>
              <w:right w:val="single" w:color="auto" w:sz="4" w:space="0"/>
            </w:tcBorders>
            <w:noWrap w:val="0"/>
            <w:vAlign w:val="center"/>
          </w:tcPr>
          <w:p w14:paraId="252A48A6">
            <w:pPr>
              <w:keepNext/>
              <w:widowControl/>
              <w:snapToGrid w:val="0"/>
              <w:ind w:left="0" w:leftChars="0" w:firstLine="0" w:firstLineChars="0"/>
              <w:jc w:val="both"/>
              <w:rPr>
                <w:rFonts w:hint="eastAsia" w:ascii="宋体" w:hAnsi="宋体" w:cs="宋体"/>
                <w:b w:val="0"/>
                <w:bCs/>
                <w:color w:val="auto"/>
                <w:kern w:val="0"/>
                <w:sz w:val="24"/>
                <w:szCs w:val="24"/>
                <w:u w:val="none"/>
              </w:rPr>
            </w:pPr>
            <w:r>
              <w:rPr>
                <w:rFonts w:hint="eastAsia" w:ascii="宋体" w:hAnsi="宋体" w:cs="宋体"/>
                <w:b w:val="0"/>
                <w:bCs/>
                <w:color w:val="auto"/>
                <w:kern w:val="0"/>
                <w:sz w:val="24"/>
                <w:szCs w:val="24"/>
                <w:u w:val="none"/>
                <w:lang w:val="en-US" w:eastAsia="zh-CN"/>
              </w:rPr>
              <w:t>禁止合作供应商</w:t>
            </w:r>
          </w:p>
        </w:tc>
        <w:tc>
          <w:tcPr>
            <w:tcW w:w="354" w:type="pct"/>
            <w:vMerge w:val="continue"/>
            <w:tcBorders>
              <w:left w:val="single" w:color="auto" w:sz="4" w:space="0"/>
              <w:bottom w:val="single" w:color="auto" w:sz="4" w:space="0"/>
              <w:right w:val="single" w:color="auto" w:sz="4" w:space="0"/>
            </w:tcBorders>
            <w:noWrap w:val="0"/>
            <w:vAlign w:val="center"/>
          </w:tcPr>
          <w:p w14:paraId="7BEDB523">
            <w:pPr>
              <w:keepNext/>
              <w:widowControl/>
              <w:snapToGrid w:val="0"/>
              <w:jc w:val="center"/>
              <w:rPr>
                <w:rFonts w:hint="eastAsia" w:ascii="宋体" w:hAnsi="宋体" w:cs="宋体"/>
                <w:b w:val="0"/>
                <w:bCs/>
                <w:color w:val="auto"/>
                <w:kern w:val="0"/>
                <w:sz w:val="24"/>
                <w:szCs w:val="24"/>
                <w:u w:val="none"/>
              </w:rPr>
            </w:pPr>
          </w:p>
        </w:tc>
      </w:tr>
      <w:tr w14:paraId="1C590810">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66F02589">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379E0ACA">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364BA9AB">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44F57B23">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20B4E2C6">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6C9DCA90">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56688050">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03E8D86B">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1FE6F262">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2ECE5267">
            <w:pPr>
              <w:keepNext/>
              <w:widowControl/>
              <w:snapToGrid w:val="0"/>
              <w:jc w:val="center"/>
              <w:rPr>
                <w:rFonts w:hint="eastAsia" w:ascii="宋体" w:hAnsi="宋体" w:cs="宋体"/>
                <w:b w:val="0"/>
                <w:bCs/>
                <w:color w:val="auto"/>
                <w:kern w:val="0"/>
                <w:sz w:val="24"/>
                <w:szCs w:val="24"/>
                <w:u w:val="none"/>
              </w:rPr>
            </w:pPr>
          </w:p>
        </w:tc>
        <w:tc>
          <w:tcPr>
            <w:tcW w:w="402" w:type="pct"/>
            <w:tcBorders>
              <w:top w:val="single" w:color="auto" w:sz="4" w:space="0"/>
              <w:left w:val="nil"/>
              <w:bottom w:val="single" w:color="auto" w:sz="4" w:space="0"/>
              <w:right w:val="single" w:color="auto" w:sz="4" w:space="0"/>
            </w:tcBorders>
            <w:noWrap w:val="0"/>
            <w:vAlign w:val="center"/>
          </w:tcPr>
          <w:p w14:paraId="467CC96E">
            <w:pPr>
              <w:keepNext/>
              <w:widowControl/>
              <w:snapToGrid w:val="0"/>
              <w:jc w:val="center"/>
              <w:rPr>
                <w:rFonts w:ascii="Calibri" w:hAnsi="Calibri" w:cs="宋体"/>
                <w:b w:val="0"/>
                <w:bCs/>
                <w:color w:val="auto"/>
                <w:kern w:val="0"/>
                <w:sz w:val="24"/>
                <w:szCs w:val="24"/>
                <w:u w:val="none"/>
              </w:rPr>
            </w:pPr>
          </w:p>
        </w:tc>
        <w:tc>
          <w:tcPr>
            <w:tcW w:w="490" w:type="pct"/>
            <w:tcBorders>
              <w:top w:val="single" w:color="auto" w:sz="4" w:space="0"/>
              <w:left w:val="nil"/>
              <w:bottom w:val="single" w:color="auto" w:sz="4" w:space="0"/>
              <w:right w:val="single" w:color="auto" w:sz="4" w:space="0"/>
            </w:tcBorders>
            <w:noWrap w:val="0"/>
            <w:vAlign w:val="center"/>
          </w:tcPr>
          <w:p w14:paraId="0324C89B">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70C5CE6B">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13A1D019">
            <w:pPr>
              <w:keepNext/>
              <w:widowControl/>
              <w:snapToGrid w:val="0"/>
              <w:jc w:val="center"/>
              <w:rPr>
                <w:rFonts w:ascii="Calibri" w:hAnsi="Calibri" w:cs="宋体"/>
                <w:b w:val="0"/>
                <w:bCs/>
                <w:color w:val="auto"/>
                <w:kern w:val="0"/>
                <w:sz w:val="24"/>
                <w:szCs w:val="24"/>
                <w:u w:val="none"/>
              </w:rPr>
            </w:pPr>
          </w:p>
        </w:tc>
      </w:tr>
      <w:tr w14:paraId="78D9D104">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084817F3">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159F604A">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45715562">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4B55C545">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6FD4B043">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169E4D5B">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481E7566">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5B3874F8">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5C52FD04">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01940BC3">
            <w:pPr>
              <w:keepNext/>
              <w:widowControl/>
              <w:snapToGrid w:val="0"/>
              <w:jc w:val="center"/>
              <w:rPr>
                <w:rFonts w:hint="eastAsia" w:ascii="宋体" w:hAnsi="宋体" w:cs="宋体"/>
                <w:b w:val="0"/>
                <w:bCs/>
                <w:color w:val="auto"/>
                <w:kern w:val="0"/>
                <w:sz w:val="24"/>
                <w:szCs w:val="24"/>
                <w:u w:val="none"/>
              </w:rPr>
            </w:pPr>
          </w:p>
        </w:tc>
        <w:tc>
          <w:tcPr>
            <w:tcW w:w="402" w:type="pct"/>
            <w:tcBorders>
              <w:top w:val="nil"/>
              <w:left w:val="nil"/>
              <w:bottom w:val="single" w:color="auto" w:sz="4" w:space="0"/>
              <w:right w:val="single" w:color="auto" w:sz="4" w:space="0"/>
            </w:tcBorders>
            <w:noWrap w:val="0"/>
            <w:vAlign w:val="center"/>
          </w:tcPr>
          <w:p w14:paraId="1286BF4C">
            <w:pPr>
              <w:keepNext/>
              <w:widowControl/>
              <w:snapToGrid w:val="0"/>
              <w:jc w:val="center"/>
              <w:rPr>
                <w:rFonts w:ascii="Calibri" w:hAnsi="Calibri" w:cs="宋体"/>
                <w:b w:val="0"/>
                <w:bCs/>
                <w:color w:val="auto"/>
                <w:kern w:val="0"/>
                <w:sz w:val="24"/>
                <w:szCs w:val="24"/>
                <w:u w:val="none"/>
              </w:rPr>
            </w:pPr>
          </w:p>
        </w:tc>
        <w:tc>
          <w:tcPr>
            <w:tcW w:w="490" w:type="pct"/>
            <w:tcBorders>
              <w:top w:val="nil"/>
              <w:left w:val="nil"/>
              <w:bottom w:val="single" w:color="auto" w:sz="4" w:space="0"/>
              <w:right w:val="single" w:color="auto" w:sz="4" w:space="0"/>
            </w:tcBorders>
            <w:noWrap w:val="0"/>
            <w:vAlign w:val="center"/>
          </w:tcPr>
          <w:p w14:paraId="2F167B7A">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05AD425A">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3E984853">
            <w:pPr>
              <w:keepNext/>
              <w:widowControl/>
              <w:snapToGrid w:val="0"/>
              <w:jc w:val="center"/>
              <w:rPr>
                <w:rFonts w:ascii="Calibri" w:hAnsi="Calibri" w:cs="宋体"/>
                <w:b w:val="0"/>
                <w:bCs/>
                <w:color w:val="auto"/>
                <w:kern w:val="0"/>
                <w:sz w:val="24"/>
                <w:szCs w:val="24"/>
                <w:u w:val="none"/>
              </w:rPr>
            </w:pPr>
          </w:p>
        </w:tc>
      </w:tr>
      <w:tr w14:paraId="7D487CF9">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2BCC2D09">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5E1CA4D3">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4C2847DE">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3048CE60">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0A2EAE31">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41DA8A8B">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322F71A2">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35B521B8">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3EA7D3A6">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05C19F9A">
            <w:pPr>
              <w:keepNext/>
              <w:widowControl/>
              <w:snapToGrid w:val="0"/>
              <w:jc w:val="center"/>
              <w:rPr>
                <w:rFonts w:hint="eastAsia" w:ascii="宋体" w:hAnsi="宋体" w:cs="宋体"/>
                <w:b w:val="0"/>
                <w:bCs/>
                <w:color w:val="auto"/>
                <w:kern w:val="0"/>
                <w:sz w:val="24"/>
                <w:szCs w:val="24"/>
                <w:u w:val="none"/>
              </w:rPr>
            </w:pPr>
          </w:p>
        </w:tc>
        <w:tc>
          <w:tcPr>
            <w:tcW w:w="402" w:type="pct"/>
            <w:tcBorders>
              <w:top w:val="nil"/>
              <w:left w:val="nil"/>
              <w:bottom w:val="single" w:color="auto" w:sz="4" w:space="0"/>
              <w:right w:val="single" w:color="auto" w:sz="4" w:space="0"/>
            </w:tcBorders>
            <w:noWrap w:val="0"/>
            <w:vAlign w:val="center"/>
          </w:tcPr>
          <w:p w14:paraId="29436FE6">
            <w:pPr>
              <w:keepNext/>
              <w:widowControl/>
              <w:snapToGrid w:val="0"/>
              <w:jc w:val="center"/>
              <w:rPr>
                <w:rFonts w:ascii="Calibri" w:hAnsi="Calibri" w:cs="宋体"/>
                <w:b w:val="0"/>
                <w:bCs/>
                <w:color w:val="auto"/>
                <w:kern w:val="0"/>
                <w:sz w:val="24"/>
                <w:szCs w:val="24"/>
                <w:u w:val="none"/>
              </w:rPr>
            </w:pPr>
          </w:p>
        </w:tc>
        <w:tc>
          <w:tcPr>
            <w:tcW w:w="490" w:type="pct"/>
            <w:tcBorders>
              <w:top w:val="nil"/>
              <w:left w:val="nil"/>
              <w:bottom w:val="single" w:color="auto" w:sz="4" w:space="0"/>
              <w:right w:val="single" w:color="auto" w:sz="4" w:space="0"/>
            </w:tcBorders>
            <w:noWrap w:val="0"/>
            <w:vAlign w:val="center"/>
          </w:tcPr>
          <w:p w14:paraId="09DFE418">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5AB73242">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54E3E943">
            <w:pPr>
              <w:keepNext/>
              <w:widowControl/>
              <w:snapToGrid w:val="0"/>
              <w:jc w:val="center"/>
              <w:rPr>
                <w:rFonts w:ascii="Calibri" w:hAnsi="Calibri" w:cs="宋体"/>
                <w:b w:val="0"/>
                <w:bCs/>
                <w:color w:val="auto"/>
                <w:kern w:val="0"/>
                <w:sz w:val="24"/>
                <w:szCs w:val="24"/>
                <w:u w:val="none"/>
              </w:rPr>
            </w:pPr>
          </w:p>
        </w:tc>
      </w:tr>
      <w:tr w14:paraId="1547051C">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3C486F12">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6932D2F3">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50A212E5">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100F1FEA">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08DBBB73">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24EF7E1F">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663949BD">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303D82CD">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665A449B">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0A3763EE">
            <w:pPr>
              <w:keepNext/>
              <w:widowControl/>
              <w:snapToGrid w:val="0"/>
              <w:jc w:val="center"/>
              <w:rPr>
                <w:rFonts w:hint="eastAsia" w:ascii="宋体" w:hAnsi="宋体" w:cs="宋体"/>
                <w:b w:val="0"/>
                <w:bCs/>
                <w:color w:val="auto"/>
                <w:kern w:val="0"/>
                <w:sz w:val="24"/>
                <w:szCs w:val="24"/>
                <w:u w:val="none"/>
              </w:rPr>
            </w:pPr>
          </w:p>
        </w:tc>
        <w:tc>
          <w:tcPr>
            <w:tcW w:w="402" w:type="pct"/>
            <w:tcBorders>
              <w:top w:val="nil"/>
              <w:left w:val="nil"/>
              <w:bottom w:val="single" w:color="auto" w:sz="4" w:space="0"/>
              <w:right w:val="single" w:color="auto" w:sz="4" w:space="0"/>
            </w:tcBorders>
            <w:noWrap w:val="0"/>
            <w:vAlign w:val="center"/>
          </w:tcPr>
          <w:p w14:paraId="4E0FD040">
            <w:pPr>
              <w:keepNext/>
              <w:widowControl/>
              <w:snapToGrid w:val="0"/>
              <w:jc w:val="center"/>
              <w:rPr>
                <w:rFonts w:ascii="Calibri" w:hAnsi="Calibri" w:cs="宋体"/>
                <w:b w:val="0"/>
                <w:bCs/>
                <w:color w:val="auto"/>
                <w:kern w:val="0"/>
                <w:sz w:val="24"/>
                <w:szCs w:val="24"/>
                <w:u w:val="none"/>
              </w:rPr>
            </w:pPr>
          </w:p>
        </w:tc>
        <w:tc>
          <w:tcPr>
            <w:tcW w:w="490" w:type="pct"/>
            <w:tcBorders>
              <w:top w:val="nil"/>
              <w:left w:val="nil"/>
              <w:bottom w:val="single" w:color="auto" w:sz="4" w:space="0"/>
              <w:right w:val="single" w:color="auto" w:sz="4" w:space="0"/>
            </w:tcBorders>
            <w:noWrap w:val="0"/>
            <w:vAlign w:val="center"/>
          </w:tcPr>
          <w:p w14:paraId="120D3561">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6440DC5A">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6DA3CD67">
            <w:pPr>
              <w:keepNext/>
              <w:widowControl/>
              <w:snapToGrid w:val="0"/>
              <w:jc w:val="center"/>
              <w:rPr>
                <w:rFonts w:ascii="Calibri" w:hAnsi="Calibri" w:cs="宋体"/>
                <w:b w:val="0"/>
                <w:bCs/>
                <w:color w:val="auto"/>
                <w:kern w:val="0"/>
                <w:sz w:val="24"/>
                <w:szCs w:val="24"/>
                <w:u w:val="none"/>
              </w:rPr>
            </w:pPr>
          </w:p>
        </w:tc>
      </w:tr>
      <w:tr w14:paraId="3412799E">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39B3C437">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24311096">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69922060">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1DFFB426">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31E8CACB">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7B0515CF">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09E19358">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7D0B4E03">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663F722B">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7EBB2A05">
            <w:pPr>
              <w:keepNext/>
              <w:widowControl/>
              <w:snapToGrid w:val="0"/>
              <w:jc w:val="center"/>
              <w:rPr>
                <w:rFonts w:hint="eastAsia" w:ascii="宋体" w:hAnsi="宋体" w:cs="宋体"/>
                <w:b w:val="0"/>
                <w:bCs/>
                <w:color w:val="auto"/>
                <w:kern w:val="0"/>
                <w:sz w:val="24"/>
                <w:szCs w:val="24"/>
                <w:u w:val="none"/>
              </w:rPr>
            </w:pPr>
          </w:p>
        </w:tc>
        <w:tc>
          <w:tcPr>
            <w:tcW w:w="402" w:type="pct"/>
            <w:tcBorders>
              <w:top w:val="nil"/>
              <w:left w:val="nil"/>
              <w:bottom w:val="single" w:color="auto" w:sz="4" w:space="0"/>
              <w:right w:val="single" w:color="auto" w:sz="4" w:space="0"/>
            </w:tcBorders>
            <w:noWrap w:val="0"/>
            <w:vAlign w:val="center"/>
          </w:tcPr>
          <w:p w14:paraId="76BB1ABD">
            <w:pPr>
              <w:keepNext/>
              <w:widowControl/>
              <w:snapToGrid w:val="0"/>
              <w:jc w:val="center"/>
              <w:rPr>
                <w:rFonts w:ascii="Calibri" w:hAnsi="Calibri" w:cs="宋体"/>
                <w:b w:val="0"/>
                <w:bCs/>
                <w:color w:val="auto"/>
                <w:kern w:val="0"/>
                <w:sz w:val="24"/>
                <w:szCs w:val="24"/>
                <w:u w:val="none"/>
              </w:rPr>
            </w:pPr>
          </w:p>
        </w:tc>
        <w:tc>
          <w:tcPr>
            <w:tcW w:w="490" w:type="pct"/>
            <w:tcBorders>
              <w:top w:val="nil"/>
              <w:left w:val="nil"/>
              <w:bottom w:val="single" w:color="auto" w:sz="4" w:space="0"/>
              <w:right w:val="single" w:color="auto" w:sz="4" w:space="0"/>
            </w:tcBorders>
            <w:noWrap w:val="0"/>
            <w:vAlign w:val="center"/>
          </w:tcPr>
          <w:p w14:paraId="5F422716">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529E89EE">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2E5CAB90">
            <w:pPr>
              <w:keepNext/>
              <w:widowControl/>
              <w:snapToGrid w:val="0"/>
              <w:jc w:val="center"/>
              <w:rPr>
                <w:rFonts w:ascii="Calibri" w:hAnsi="Calibri" w:cs="宋体"/>
                <w:b w:val="0"/>
                <w:bCs/>
                <w:color w:val="auto"/>
                <w:kern w:val="0"/>
                <w:sz w:val="24"/>
                <w:szCs w:val="24"/>
                <w:u w:val="none"/>
              </w:rPr>
            </w:pPr>
          </w:p>
        </w:tc>
      </w:tr>
      <w:tr w14:paraId="0E2D1623">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47876C01">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21A8E7EC">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0DB7F8D1">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2F4DC4FA">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4F9B7380">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4E0BF76E">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1B67D304">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63A6876A">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4DE0F2E3">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12A7E9BD">
            <w:pPr>
              <w:keepNext/>
              <w:widowControl/>
              <w:snapToGrid w:val="0"/>
              <w:jc w:val="center"/>
              <w:rPr>
                <w:rFonts w:hint="eastAsia" w:ascii="宋体" w:hAnsi="宋体" w:cs="宋体"/>
                <w:b w:val="0"/>
                <w:bCs/>
                <w:color w:val="auto"/>
                <w:kern w:val="0"/>
                <w:sz w:val="24"/>
                <w:szCs w:val="24"/>
                <w:u w:val="none"/>
              </w:rPr>
            </w:pPr>
          </w:p>
        </w:tc>
        <w:tc>
          <w:tcPr>
            <w:tcW w:w="402" w:type="pct"/>
            <w:tcBorders>
              <w:top w:val="nil"/>
              <w:left w:val="nil"/>
              <w:bottom w:val="single" w:color="auto" w:sz="4" w:space="0"/>
              <w:right w:val="single" w:color="auto" w:sz="4" w:space="0"/>
            </w:tcBorders>
            <w:noWrap w:val="0"/>
            <w:vAlign w:val="center"/>
          </w:tcPr>
          <w:p w14:paraId="3D13DED3">
            <w:pPr>
              <w:keepNext/>
              <w:widowControl/>
              <w:snapToGrid w:val="0"/>
              <w:jc w:val="center"/>
              <w:rPr>
                <w:rFonts w:ascii="Calibri" w:hAnsi="Calibri" w:cs="宋体"/>
                <w:b w:val="0"/>
                <w:bCs/>
                <w:color w:val="auto"/>
                <w:kern w:val="0"/>
                <w:sz w:val="24"/>
                <w:szCs w:val="24"/>
                <w:u w:val="none"/>
              </w:rPr>
            </w:pPr>
          </w:p>
        </w:tc>
        <w:tc>
          <w:tcPr>
            <w:tcW w:w="490" w:type="pct"/>
            <w:tcBorders>
              <w:top w:val="nil"/>
              <w:left w:val="nil"/>
              <w:bottom w:val="single" w:color="auto" w:sz="4" w:space="0"/>
              <w:right w:val="single" w:color="auto" w:sz="4" w:space="0"/>
            </w:tcBorders>
            <w:noWrap w:val="0"/>
            <w:vAlign w:val="center"/>
          </w:tcPr>
          <w:p w14:paraId="32890827">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5400C8FD">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22EBC459">
            <w:pPr>
              <w:keepNext/>
              <w:widowControl/>
              <w:snapToGrid w:val="0"/>
              <w:jc w:val="center"/>
              <w:rPr>
                <w:rFonts w:ascii="Calibri" w:hAnsi="Calibri" w:cs="宋体"/>
                <w:b w:val="0"/>
                <w:bCs/>
                <w:color w:val="auto"/>
                <w:kern w:val="0"/>
                <w:sz w:val="24"/>
                <w:szCs w:val="24"/>
                <w:u w:val="none"/>
              </w:rPr>
            </w:pPr>
          </w:p>
        </w:tc>
      </w:tr>
      <w:tr w14:paraId="50E0BB4A">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49D3B09F">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7DC776F8">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452E82EF">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570DABB2">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4F9F7E96">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2697AE0F">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2F29CBEC">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4E5B0ED6">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24BD7C99">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6070D81B">
            <w:pPr>
              <w:keepNext/>
              <w:widowControl/>
              <w:snapToGrid w:val="0"/>
              <w:jc w:val="center"/>
              <w:rPr>
                <w:rFonts w:hint="eastAsia" w:ascii="宋体" w:hAnsi="宋体" w:cs="宋体"/>
                <w:b w:val="0"/>
                <w:bCs/>
                <w:color w:val="auto"/>
                <w:kern w:val="0"/>
                <w:sz w:val="24"/>
                <w:szCs w:val="24"/>
                <w:u w:val="none"/>
              </w:rPr>
            </w:pPr>
          </w:p>
        </w:tc>
        <w:tc>
          <w:tcPr>
            <w:tcW w:w="402" w:type="pct"/>
            <w:tcBorders>
              <w:top w:val="nil"/>
              <w:left w:val="nil"/>
              <w:bottom w:val="single" w:color="auto" w:sz="4" w:space="0"/>
              <w:right w:val="single" w:color="auto" w:sz="4" w:space="0"/>
            </w:tcBorders>
            <w:noWrap w:val="0"/>
            <w:vAlign w:val="center"/>
          </w:tcPr>
          <w:p w14:paraId="1D510BB4">
            <w:pPr>
              <w:keepNext/>
              <w:widowControl/>
              <w:snapToGrid w:val="0"/>
              <w:jc w:val="center"/>
              <w:rPr>
                <w:rFonts w:ascii="Calibri" w:hAnsi="Calibri" w:cs="宋体"/>
                <w:b w:val="0"/>
                <w:bCs/>
                <w:color w:val="auto"/>
                <w:kern w:val="0"/>
                <w:sz w:val="24"/>
                <w:szCs w:val="24"/>
                <w:u w:val="none"/>
              </w:rPr>
            </w:pPr>
          </w:p>
        </w:tc>
        <w:tc>
          <w:tcPr>
            <w:tcW w:w="490" w:type="pct"/>
            <w:tcBorders>
              <w:top w:val="nil"/>
              <w:left w:val="nil"/>
              <w:bottom w:val="single" w:color="auto" w:sz="4" w:space="0"/>
              <w:right w:val="single" w:color="auto" w:sz="4" w:space="0"/>
            </w:tcBorders>
            <w:noWrap w:val="0"/>
            <w:vAlign w:val="center"/>
          </w:tcPr>
          <w:p w14:paraId="5EC666BB">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28411545">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128B976C">
            <w:pPr>
              <w:keepNext/>
              <w:widowControl/>
              <w:snapToGrid w:val="0"/>
              <w:jc w:val="center"/>
              <w:rPr>
                <w:rFonts w:ascii="Calibri" w:hAnsi="Calibri" w:cs="宋体"/>
                <w:b w:val="0"/>
                <w:bCs/>
                <w:color w:val="auto"/>
                <w:kern w:val="0"/>
                <w:sz w:val="24"/>
                <w:szCs w:val="24"/>
                <w:u w:val="none"/>
              </w:rPr>
            </w:pPr>
          </w:p>
        </w:tc>
      </w:tr>
      <w:tr w14:paraId="79CB6500">
        <w:tblPrEx>
          <w:tblCellMar>
            <w:top w:w="0" w:type="dxa"/>
            <w:left w:w="108" w:type="dxa"/>
            <w:bottom w:w="0" w:type="dxa"/>
            <w:right w:w="108" w:type="dxa"/>
          </w:tblCellMar>
        </w:tblPrEx>
        <w:trPr>
          <w:trHeight w:val="0" w:hRule="atLeast"/>
          <w:jc w:val="center"/>
        </w:trPr>
        <w:tc>
          <w:tcPr>
            <w:tcW w:w="270" w:type="pct"/>
            <w:tcBorders>
              <w:top w:val="nil"/>
              <w:left w:val="single" w:color="auto" w:sz="4" w:space="0"/>
              <w:bottom w:val="single" w:color="auto" w:sz="4" w:space="0"/>
              <w:right w:val="single" w:color="auto" w:sz="4" w:space="0"/>
            </w:tcBorders>
            <w:noWrap w:val="0"/>
            <w:vAlign w:val="center"/>
          </w:tcPr>
          <w:p w14:paraId="05D8A7C2">
            <w:pPr>
              <w:keepNext/>
              <w:widowControl/>
              <w:snapToGrid w:val="0"/>
              <w:jc w:val="center"/>
              <w:rPr>
                <w:rFonts w:ascii="Arial" w:hAnsi="Arial" w:cs="Arial"/>
                <w:b w:val="0"/>
                <w:bCs/>
                <w:color w:val="auto"/>
                <w:kern w:val="0"/>
                <w:sz w:val="24"/>
                <w:szCs w:val="24"/>
                <w:u w:val="none"/>
              </w:rPr>
            </w:pPr>
          </w:p>
        </w:tc>
        <w:tc>
          <w:tcPr>
            <w:tcW w:w="581" w:type="pct"/>
            <w:tcBorders>
              <w:top w:val="nil"/>
              <w:left w:val="nil"/>
              <w:bottom w:val="single" w:color="auto" w:sz="4" w:space="0"/>
              <w:right w:val="single" w:color="auto" w:sz="4" w:space="0"/>
            </w:tcBorders>
            <w:noWrap w:val="0"/>
            <w:vAlign w:val="center"/>
          </w:tcPr>
          <w:p w14:paraId="4A35BA75">
            <w:pPr>
              <w:keepNext/>
              <w:widowControl/>
              <w:snapToGrid w:val="0"/>
              <w:jc w:val="center"/>
              <w:rPr>
                <w:rFonts w:ascii="Arial" w:hAnsi="Arial" w:cs="Arial"/>
                <w:b w:val="0"/>
                <w:bCs/>
                <w:color w:val="auto"/>
                <w:kern w:val="0"/>
                <w:sz w:val="24"/>
                <w:szCs w:val="24"/>
                <w:u w:val="none"/>
              </w:rPr>
            </w:pPr>
          </w:p>
        </w:tc>
        <w:tc>
          <w:tcPr>
            <w:tcW w:w="313" w:type="pct"/>
            <w:tcBorders>
              <w:top w:val="nil"/>
              <w:left w:val="nil"/>
              <w:bottom w:val="single" w:color="auto" w:sz="4" w:space="0"/>
              <w:right w:val="single" w:color="auto" w:sz="4" w:space="0"/>
            </w:tcBorders>
            <w:noWrap w:val="0"/>
            <w:vAlign w:val="center"/>
          </w:tcPr>
          <w:p w14:paraId="541A48F9">
            <w:pPr>
              <w:keepNext/>
              <w:widowControl/>
              <w:snapToGrid w:val="0"/>
              <w:jc w:val="center"/>
              <w:rPr>
                <w:rFonts w:ascii="Calibri" w:hAnsi="Calibri" w:cs="宋体"/>
                <w:b w:val="0"/>
                <w:bCs/>
                <w:color w:val="auto"/>
                <w:kern w:val="0"/>
                <w:sz w:val="24"/>
                <w:szCs w:val="24"/>
                <w:u w:val="none"/>
              </w:rPr>
            </w:pPr>
          </w:p>
        </w:tc>
        <w:tc>
          <w:tcPr>
            <w:tcW w:w="272" w:type="pct"/>
            <w:tcBorders>
              <w:top w:val="nil"/>
              <w:left w:val="nil"/>
              <w:bottom w:val="single" w:color="auto" w:sz="4" w:space="0"/>
              <w:right w:val="single" w:color="auto" w:sz="4" w:space="0"/>
            </w:tcBorders>
            <w:noWrap w:val="0"/>
            <w:vAlign w:val="center"/>
          </w:tcPr>
          <w:p w14:paraId="297AE5A3">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6545B218">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339F171F">
            <w:pPr>
              <w:keepNext/>
              <w:widowControl/>
              <w:snapToGrid w:val="0"/>
              <w:jc w:val="center"/>
              <w:rPr>
                <w:rFonts w:ascii="Calibri" w:hAnsi="Calibri" w:cs="宋体"/>
                <w:b w:val="0"/>
                <w:bCs/>
                <w:color w:val="auto"/>
                <w:kern w:val="0"/>
                <w:sz w:val="24"/>
                <w:szCs w:val="24"/>
                <w:u w:val="none"/>
              </w:rPr>
            </w:pPr>
          </w:p>
        </w:tc>
        <w:tc>
          <w:tcPr>
            <w:tcW w:w="273" w:type="pct"/>
            <w:tcBorders>
              <w:top w:val="nil"/>
              <w:left w:val="nil"/>
              <w:bottom w:val="single" w:color="auto" w:sz="4" w:space="0"/>
              <w:right w:val="single" w:color="auto" w:sz="4" w:space="0"/>
            </w:tcBorders>
            <w:noWrap w:val="0"/>
            <w:vAlign w:val="center"/>
          </w:tcPr>
          <w:p w14:paraId="09CF08C5">
            <w:pPr>
              <w:keepNext/>
              <w:widowControl/>
              <w:snapToGrid w:val="0"/>
              <w:jc w:val="center"/>
              <w:rPr>
                <w:rFonts w:ascii="Calibri" w:hAnsi="Calibri" w:cs="宋体"/>
                <w:b w:val="0"/>
                <w:bCs/>
                <w:color w:val="auto"/>
                <w:kern w:val="0"/>
                <w:sz w:val="24"/>
                <w:szCs w:val="24"/>
                <w:u w:val="none"/>
              </w:rPr>
            </w:pPr>
          </w:p>
        </w:tc>
        <w:tc>
          <w:tcPr>
            <w:tcW w:w="273" w:type="pct"/>
            <w:tcBorders>
              <w:top w:val="single" w:color="auto" w:sz="4" w:space="0"/>
              <w:left w:val="single" w:color="auto" w:sz="4" w:space="0"/>
              <w:bottom w:val="single" w:color="auto" w:sz="4" w:space="0"/>
              <w:right w:val="single" w:color="auto" w:sz="4" w:space="0"/>
            </w:tcBorders>
            <w:noWrap w:val="0"/>
            <w:vAlign w:val="center"/>
          </w:tcPr>
          <w:p w14:paraId="4D9D35CB">
            <w:pPr>
              <w:keepNext/>
              <w:widowControl/>
              <w:snapToGrid w:val="0"/>
              <w:jc w:val="center"/>
              <w:rPr>
                <w:rFonts w:ascii="Calibri" w:hAnsi="Calibri" w:cs="宋体"/>
                <w:b w:val="0"/>
                <w:bCs/>
                <w:color w:val="auto"/>
                <w:kern w:val="0"/>
                <w:sz w:val="24"/>
                <w:szCs w:val="24"/>
                <w:u w:val="none"/>
              </w:rPr>
            </w:pPr>
          </w:p>
        </w:tc>
        <w:tc>
          <w:tcPr>
            <w:tcW w:w="291" w:type="pct"/>
            <w:tcBorders>
              <w:top w:val="single" w:color="auto" w:sz="4" w:space="0"/>
              <w:left w:val="single" w:color="auto" w:sz="4" w:space="0"/>
              <w:bottom w:val="single" w:color="auto" w:sz="4" w:space="0"/>
              <w:right w:val="single" w:color="auto" w:sz="4" w:space="0"/>
            </w:tcBorders>
            <w:noWrap w:val="0"/>
            <w:vAlign w:val="center"/>
          </w:tcPr>
          <w:p w14:paraId="7FA6C072">
            <w:pPr>
              <w:keepNext/>
              <w:widowControl/>
              <w:snapToGrid w:val="0"/>
              <w:jc w:val="center"/>
              <w:rPr>
                <w:rFonts w:ascii="Calibri" w:hAnsi="Calibri" w:cs="宋体"/>
                <w:b w:val="0"/>
                <w:bCs/>
                <w:color w:val="auto"/>
                <w:kern w:val="0"/>
                <w:sz w:val="24"/>
                <w:szCs w:val="24"/>
                <w:u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06933436">
            <w:pPr>
              <w:keepNext/>
              <w:widowControl/>
              <w:snapToGrid w:val="0"/>
              <w:jc w:val="center"/>
              <w:rPr>
                <w:rFonts w:hint="eastAsia" w:ascii="宋体" w:hAnsi="宋体" w:cs="宋体"/>
                <w:b w:val="0"/>
                <w:bCs/>
                <w:color w:val="auto"/>
                <w:kern w:val="0"/>
                <w:sz w:val="24"/>
                <w:szCs w:val="24"/>
                <w:u w:val="none"/>
              </w:rPr>
            </w:pPr>
          </w:p>
        </w:tc>
        <w:tc>
          <w:tcPr>
            <w:tcW w:w="402" w:type="pct"/>
            <w:tcBorders>
              <w:top w:val="nil"/>
              <w:left w:val="nil"/>
              <w:bottom w:val="single" w:color="auto" w:sz="4" w:space="0"/>
              <w:right w:val="single" w:color="auto" w:sz="4" w:space="0"/>
            </w:tcBorders>
            <w:noWrap w:val="0"/>
            <w:vAlign w:val="center"/>
          </w:tcPr>
          <w:p w14:paraId="2B6F53F6">
            <w:pPr>
              <w:keepNext/>
              <w:widowControl/>
              <w:snapToGrid w:val="0"/>
              <w:jc w:val="center"/>
              <w:rPr>
                <w:rFonts w:ascii="Calibri" w:hAnsi="Calibri" w:cs="宋体"/>
                <w:b w:val="0"/>
                <w:bCs/>
                <w:color w:val="auto"/>
                <w:kern w:val="0"/>
                <w:sz w:val="24"/>
                <w:szCs w:val="24"/>
                <w:u w:val="none"/>
              </w:rPr>
            </w:pPr>
          </w:p>
        </w:tc>
        <w:tc>
          <w:tcPr>
            <w:tcW w:w="490" w:type="pct"/>
            <w:tcBorders>
              <w:top w:val="nil"/>
              <w:left w:val="nil"/>
              <w:bottom w:val="single" w:color="auto" w:sz="4" w:space="0"/>
              <w:right w:val="single" w:color="auto" w:sz="4" w:space="0"/>
            </w:tcBorders>
            <w:noWrap w:val="0"/>
            <w:vAlign w:val="center"/>
          </w:tcPr>
          <w:p w14:paraId="343D5EEA">
            <w:pPr>
              <w:keepNext/>
              <w:widowControl/>
              <w:snapToGrid w:val="0"/>
              <w:jc w:val="center"/>
              <w:rPr>
                <w:rFonts w:ascii="Calibri" w:hAnsi="Calibri" w:cs="宋体"/>
                <w:b w:val="0"/>
                <w:bCs/>
                <w:color w:val="auto"/>
                <w:kern w:val="0"/>
                <w:sz w:val="24"/>
                <w:szCs w:val="24"/>
                <w:u w:val="none"/>
              </w:rPr>
            </w:pPr>
          </w:p>
        </w:tc>
        <w:tc>
          <w:tcPr>
            <w:tcW w:w="444" w:type="pct"/>
            <w:tcBorders>
              <w:top w:val="nil"/>
              <w:left w:val="nil"/>
              <w:bottom w:val="single" w:color="auto" w:sz="4" w:space="0"/>
              <w:right w:val="single" w:color="auto" w:sz="4" w:space="0"/>
            </w:tcBorders>
            <w:noWrap w:val="0"/>
            <w:vAlign w:val="center"/>
          </w:tcPr>
          <w:p w14:paraId="699BDEE5">
            <w:pPr>
              <w:keepNext/>
              <w:widowControl/>
              <w:snapToGrid w:val="0"/>
              <w:jc w:val="center"/>
              <w:rPr>
                <w:rFonts w:ascii="Calibri" w:hAnsi="Calibri" w:cs="宋体"/>
                <w:b w:val="0"/>
                <w:bCs/>
                <w:color w:val="auto"/>
                <w:kern w:val="0"/>
                <w:sz w:val="24"/>
                <w:szCs w:val="24"/>
                <w:u w:val="none"/>
              </w:rPr>
            </w:pPr>
          </w:p>
        </w:tc>
        <w:tc>
          <w:tcPr>
            <w:tcW w:w="354" w:type="pct"/>
            <w:tcBorders>
              <w:top w:val="nil"/>
              <w:left w:val="nil"/>
              <w:bottom w:val="single" w:color="auto" w:sz="4" w:space="0"/>
              <w:right w:val="single" w:color="auto" w:sz="4" w:space="0"/>
            </w:tcBorders>
            <w:noWrap w:val="0"/>
            <w:vAlign w:val="center"/>
          </w:tcPr>
          <w:p w14:paraId="4559C5F1">
            <w:pPr>
              <w:keepNext/>
              <w:widowControl/>
              <w:snapToGrid w:val="0"/>
              <w:jc w:val="center"/>
              <w:rPr>
                <w:rFonts w:ascii="Calibri" w:hAnsi="Calibri" w:cs="宋体"/>
                <w:b w:val="0"/>
                <w:bCs/>
                <w:color w:val="auto"/>
                <w:kern w:val="0"/>
                <w:sz w:val="24"/>
                <w:szCs w:val="24"/>
                <w:u w:val="none"/>
              </w:rPr>
            </w:pPr>
          </w:p>
        </w:tc>
      </w:tr>
      <w:tr w14:paraId="0947D09E">
        <w:tblPrEx>
          <w:tblCellMar>
            <w:top w:w="0" w:type="dxa"/>
            <w:left w:w="108" w:type="dxa"/>
            <w:bottom w:w="0" w:type="dxa"/>
            <w:right w:w="108" w:type="dxa"/>
          </w:tblCellMar>
        </w:tblPrEx>
        <w:trPr>
          <w:trHeight w:val="0" w:hRule="atLeast"/>
          <w:jc w:val="center"/>
        </w:trPr>
        <w:tc>
          <w:tcPr>
            <w:tcW w:w="3710" w:type="pct"/>
            <w:gridSpan w:val="11"/>
            <w:tcBorders>
              <w:top w:val="nil"/>
              <w:left w:val="nil"/>
              <w:bottom w:val="nil"/>
              <w:right w:val="nil"/>
            </w:tcBorders>
            <w:noWrap w:val="0"/>
            <w:vAlign w:val="center"/>
          </w:tcPr>
          <w:p w14:paraId="056E3A4F">
            <w:pPr>
              <w:keepNext/>
              <w:widowControl/>
              <w:snapToGrid w:val="0"/>
              <w:jc w:val="left"/>
              <w:rPr>
                <w:rFonts w:ascii="宋体" w:hAnsi="宋体" w:cs="宋体"/>
                <w:b w:val="0"/>
                <w:bCs/>
                <w:color w:val="auto"/>
                <w:kern w:val="0"/>
                <w:szCs w:val="21"/>
                <w:u w:val="none"/>
              </w:rPr>
            </w:pPr>
          </w:p>
        </w:tc>
        <w:tc>
          <w:tcPr>
            <w:tcW w:w="490" w:type="pct"/>
            <w:tcBorders>
              <w:top w:val="nil"/>
              <w:left w:val="nil"/>
              <w:bottom w:val="nil"/>
              <w:right w:val="nil"/>
            </w:tcBorders>
            <w:noWrap w:val="0"/>
            <w:vAlign w:val="center"/>
          </w:tcPr>
          <w:p w14:paraId="2C3FC806">
            <w:pPr>
              <w:keepNext/>
              <w:widowControl/>
              <w:snapToGrid w:val="0"/>
              <w:jc w:val="left"/>
              <w:rPr>
                <w:rFonts w:hint="eastAsia" w:ascii="宋体" w:hAnsi="宋体" w:cs="宋体"/>
                <w:b w:val="0"/>
                <w:bCs/>
                <w:color w:val="auto"/>
                <w:kern w:val="0"/>
                <w:szCs w:val="21"/>
                <w:u w:val="none"/>
              </w:rPr>
            </w:pPr>
          </w:p>
        </w:tc>
        <w:tc>
          <w:tcPr>
            <w:tcW w:w="444" w:type="pct"/>
            <w:tcBorders>
              <w:top w:val="nil"/>
              <w:left w:val="nil"/>
              <w:bottom w:val="nil"/>
              <w:right w:val="nil"/>
            </w:tcBorders>
            <w:noWrap w:val="0"/>
            <w:vAlign w:val="center"/>
          </w:tcPr>
          <w:p w14:paraId="1C4BE156">
            <w:pPr>
              <w:keepNext/>
              <w:widowControl/>
              <w:snapToGrid w:val="0"/>
              <w:jc w:val="left"/>
              <w:rPr>
                <w:rFonts w:hint="eastAsia" w:ascii="宋体" w:hAnsi="宋体" w:cs="宋体"/>
                <w:b w:val="0"/>
                <w:bCs/>
                <w:color w:val="auto"/>
                <w:kern w:val="0"/>
                <w:szCs w:val="21"/>
                <w:u w:val="none"/>
              </w:rPr>
            </w:pPr>
          </w:p>
        </w:tc>
        <w:tc>
          <w:tcPr>
            <w:tcW w:w="354" w:type="pct"/>
            <w:tcBorders>
              <w:top w:val="nil"/>
              <w:left w:val="nil"/>
              <w:bottom w:val="nil"/>
              <w:right w:val="nil"/>
            </w:tcBorders>
            <w:noWrap w:val="0"/>
            <w:vAlign w:val="center"/>
          </w:tcPr>
          <w:p w14:paraId="4F31FAA8">
            <w:pPr>
              <w:keepNext/>
              <w:widowControl/>
              <w:snapToGrid w:val="0"/>
              <w:jc w:val="left"/>
              <w:rPr>
                <w:rFonts w:hint="eastAsia" w:ascii="宋体" w:hAnsi="宋体" w:cs="宋体"/>
                <w:b w:val="0"/>
                <w:bCs/>
                <w:color w:val="auto"/>
                <w:kern w:val="0"/>
                <w:szCs w:val="21"/>
                <w:u w:val="none"/>
              </w:rPr>
            </w:pPr>
          </w:p>
        </w:tc>
      </w:tr>
    </w:tbl>
    <w:p w14:paraId="317ECAC3">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0" w:firstLineChars="0"/>
        <w:jc w:val="left"/>
        <w:textAlignment w:val="auto"/>
        <w:outlineLvl w:val="9"/>
        <w:rPr>
          <w:rFonts w:hint="eastAsia" w:ascii="仿宋_GB2312" w:hAnsi="仿宋_GB2312" w:eastAsia="仿宋_GB2312" w:cs="仿宋_GB2312"/>
          <w:b w:val="0"/>
          <w:bCs/>
          <w:color w:val="auto"/>
          <w:kern w:val="0"/>
          <w:sz w:val="34"/>
          <w:szCs w:val="34"/>
          <w:highlight w:val="none"/>
          <w:lang w:val="zh-CN" w:eastAsia="zh-CN"/>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important">
    <w:altName w:val="宋体"/>
    <w:panose1 w:val="00000000000000000000"/>
    <w:charset w:val="00"/>
    <w:family w:val="auto"/>
    <w:pitch w:val="default"/>
    <w:sig w:usb0="00000000" w:usb1="00000000" w:usb2="00000000" w:usb3="00000000" w:csb0="00000000" w:csb1="00000000"/>
  </w:font>
  <w:font w:name="楷体">
    <w:panose1 w:val="02010609060101010101"/>
    <w:charset w:val="86"/>
    <w:family w:val="decorative"/>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7DB8B">
    <w:pPr>
      <w:pStyle w:val="8"/>
      <w:spacing w:before="120" w:after="120"/>
      <w:ind w:firstLine="360"/>
      <w:jc w:val="center"/>
    </w:pPr>
    <w:r>
      <w:fldChar w:fldCharType="begin"/>
    </w:r>
    <w:r>
      <w:instrText xml:space="preserve">PAGE   \* MERGEFORMAT</w:instrText>
    </w:r>
    <w:r>
      <w:fldChar w:fldCharType="separate"/>
    </w:r>
    <w:r>
      <w:rPr>
        <w:lang w:val="zh-CN"/>
      </w:rPr>
      <w:t>2</w:t>
    </w:r>
    <w:r>
      <w:fldChar w:fldCharType="end"/>
    </w:r>
  </w:p>
  <w:p w14:paraId="393C153B">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22719">
    <w:pPr>
      <w:pStyle w:val="9"/>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0116E0"/>
    <w:multiLevelType w:val="multilevel"/>
    <w:tmpl w:val="3D0116E0"/>
    <w:lvl w:ilvl="0" w:tentative="0">
      <w:start w:val="1"/>
      <w:numFmt w:val="japaneseCounting"/>
      <w:pStyle w:val="19"/>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7250E27"/>
    <w:multiLevelType w:val="multilevel"/>
    <w:tmpl w:val="77250E27"/>
    <w:lvl w:ilvl="0" w:tentative="0">
      <w:start w:val="1"/>
      <w:numFmt w:val="decimal"/>
      <w:pStyle w:val="20"/>
      <w:lvlText w:val="%1"/>
      <w:lvlJc w:val="left"/>
      <w:pPr>
        <w:ind w:left="720" w:hanging="7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D922F2A"/>
    <w:multiLevelType w:val="multilevel"/>
    <w:tmpl w:val="7D922F2A"/>
    <w:lvl w:ilvl="0" w:tentative="0">
      <w:start w:val="1"/>
      <w:numFmt w:val="decimal"/>
      <w:pStyle w:val="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2Q5NjE2MTg4ZGYzNDI4ZWM5MDg2NjE5NTM4ZTMifQ=="/>
  </w:docVars>
  <w:rsids>
    <w:rsidRoot w:val="4F5C24C6"/>
    <w:rsid w:val="00044DD1"/>
    <w:rsid w:val="00070521"/>
    <w:rsid w:val="0009395E"/>
    <w:rsid w:val="00097B91"/>
    <w:rsid w:val="0014490B"/>
    <w:rsid w:val="001673FB"/>
    <w:rsid w:val="00247EFC"/>
    <w:rsid w:val="002C1ABF"/>
    <w:rsid w:val="003C6795"/>
    <w:rsid w:val="00410F1E"/>
    <w:rsid w:val="00411AE3"/>
    <w:rsid w:val="00423EE4"/>
    <w:rsid w:val="004C6AC5"/>
    <w:rsid w:val="004E0EA1"/>
    <w:rsid w:val="00576147"/>
    <w:rsid w:val="005A4073"/>
    <w:rsid w:val="00642587"/>
    <w:rsid w:val="00694E07"/>
    <w:rsid w:val="00700472"/>
    <w:rsid w:val="00735198"/>
    <w:rsid w:val="0076558F"/>
    <w:rsid w:val="007E4945"/>
    <w:rsid w:val="0080696F"/>
    <w:rsid w:val="00841684"/>
    <w:rsid w:val="008957E7"/>
    <w:rsid w:val="008C20DE"/>
    <w:rsid w:val="008C4C21"/>
    <w:rsid w:val="009030A3"/>
    <w:rsid w:val="00903491"/>
    <w:rsid w:val="009110E5"/>
    <w:rsid w:val="009D654A"/>
    <w:rsid w:val="009E6518"/>
    <w:rsid w:val="009F503B"/>
    <w:rsid w:val="00A126F2"/>
    <w:rsid w:val="00A83E1F"/>
    <w:rsid w:val="00A97751"/>
    <w:rsid w:val="00AC43B6"/>
    <w:rsid w:val="00AF36D5"/>
    <w:rsid w:val="00B54603"/>
    <w:rsid w:val="00C22CAC"/>
    <w:rsid w:val="00C63ACB"/>
    <w:rsid w:val="00CC21B9"/>
    <w:rsid w:val="00D754E7"/>
    <w:rsid w:val="00D963A1"/>
    <w:rsid w:val="00DB603E"/>
    <w:rsid w:val="00E61805"/>
    <w:rsid w:val="00E651E2"/>
    <w:rsid w:val="00E67B46"/>
    <w:rsid w:val="00E716A4"/>
    <w:rsid w:val="00E76063"/>
    <w:rsid w:val="00E763AC"/>
    <w:rsid w:val="00EF4350"/>
    <w:rsid w:val="00F45F4B"/>
    <w:rsid w:val="00F56FCA"/>
    <w:rsid w:val="01233D34"/>
    <w:rsid w:val="0256755B"/>
    <w:rsid w:val="02B074F0"/>
    <w:rsid w:val="02E114CE"/>
    <w:rsid w:val="02EC3329"/>
    <w:rsid w:val="03C74BB5"/>
    <w:rsid w:val="05252F96"/>
    <w:rsid w:val="0888794C"/>
    <w:rsid w:val="09287AB6"/>
    <w:rsid w:val="0A5E06E5"/>
    <w:rsid w:val="0B1D6794"/>
    <w:rsid w:val="0C593E37"/>
    <w:rsid w:val="0CFA1C03"/>
    <w:rsid w:val="0E0D4FDC"/>
    <w:rsid w:val="0F457E1A"/>
    <w:rsid w:val="0FE00D92"/>
    <w:rsid w:val="10485547"/>
    <w:rsid w:val="106F0166"/>
    <w:rsid w:val="10EE0272"/>
    <w:rsid w:val="11F46CDE"/>
    <w:rsid w:val="14CE633A"/>
    <w:rsid w:val="14F271EE"/>
    <w:rsid w:val="1AA2738A"/>
    <w:rsid w:val="1C9722D6"/>
    <w:rsid w:val="1F1B182C"/>
    <w:rsid w:val="202E74D9"/>
    <w:rsid w:val="20832935"/>
    <w:rsid w:val="23B4085A"/>
    <w:rsid w:val="244B0A94"/>
    <w:rsid w:val="257C5818"/>
    <w:rsid w:val="27696E4D"/>
    <w:rsid w:val="27765E26"/>
    <w:rsid w:val="2A967AA0"/>
    <w:rsid w:val="2B187044"/>
    <w:rsid w:val="2BEB6DE3"/>
    <w:rsid w:val="2CE71214"/>
    <w:rsid w:val="2D742490"/>
    <w:rsid w:val="303147D8"/>
    <w:rsid w:val="31E45DBA"/>
    <w:rsid w:val="38286CC9"/>
    <w:rsid w:val="3A8E54FA"/>
    <w:rsid w:val="3AD2144E"/>
    <w:rsid w:val="3C830972"/>
    <w:rsid w:val="3ED9421E"/>
    <w:rsid w:val="40563024"/>
    <w:rsid w:val="416B3B3A"/>
    <w:rsid w:val="42C71A9E"/>
    <w:rsid w:val="42D33864"/>
    <w:rsid w:val="4554734F"/>
    <w:rsid w:val="45736C4A"/>
    <w:rsid w:val="45D71541"/>
    <w:rsid w:val="46CD560B"/>
    <w:rsid w:val="47003BB0"/>
    <w:rsid w:val="47D75AC1"/>
    <w:rsid w:val="48CC014C"/>
    <w:rsid w:val="4C387D9F"/>
    <w:rsid w:val="4C9056C7"/>
    <w:rsid w:val="4F551598"/>
    <w:rsid w:val="4F5C24C6"/>
    <w:rsid w:val="4FBC621D"/>
    <w:rsid w:val="514146D2"/>
    <w:rsid w:val="51BF79D5"/>
    <w:rsid w:val="558A3322"/>
    <w:rsid w:val="56E85645"/>
    <w:rsid w:val="575858E5"/>
    <w:rsid w:val="59BB35A1"/>
    <w:rsid w:val="59D2200E"/>
    <w:rsid w:val="5B065511"/>
    <w:rsid w:val="5D6323CD"/>
    <w:rsid w:val="5E357973"/>
    <w:rsid w:val="5ECF1B47"/>
    <w:rsid w:val="5F1F0F92"/>
    <w:rsid w:val="5FC72BEE"/>
    <w:rsid w:val="6296706C"/>
    <w:rsid w:val="630E1F93"/>
    <w:rsid w:val="640D3680"/>
    <w:rsid w:val="64722EF6"/>
    <w:rsid w:val="656E32CD"/>
    <w:rsid w:val="666845B1"/>
    <w:rsid w:val="66C739CD"/>
    <w:rsid w:val="6803069B"/>
    <w:rsid w:val="69F27468"/>
    <w:rsid w:val="6AB022A4"/>
    <w:rsid w:val="6BFD527D"/>
    <w:rsid w:val="6E757032"/>
    <w:rsid w:val="73284A98"/>
    <w:rsid w:val="766A069F"/>
    <w:rsid w:val="76D17462"/>
    <w:rsid w:val="79431706"/>
    <w:rsid w:val="7A7B08FF"/>
    <w:rsid w:val="7E982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200" w:firstLineChars="200"/>
      <w:jc w:val="both"/>
    </w:pPr>
    <w:rPr>
      <w:rFonts w:ascii="Times New Roman" w:hAnsi="Times New Roman" w:eastAsia="仿宋" w:cs="Times New Roman"/>
      <w:kern w:val="2"/>
      <w:sz w:val="24"/>
      <w:szCs w:val="24"/>
      <w:lang w:val="en-US" w:eastAsia="zh-CN" w:bidi="ar-SA"/>
    </w:rPr>
  </w:style>
  <w:style w:type="paragraph" w:styleId="3">
    <w:name w:val="heading 1"/>
    <w:basedOn w:val="1"/>
    <w:next w:val="1"/>
    <w:autoRedefine/>
    <w:qFormat/>
    <w:uiPriority w:val="9"/>
    <w:pPr>
      <w:keepNext/>
      <w:keepLines/>
      <w:widowControl/>
      <w:numPr>
        <w:ilvl w:val="0"/>
        <w:numId w:val="1"/>
      </w:numPr>
      <w:spacing w:line="500" w:lineRule="atLeast"/>
      <w:ind w:firstLine="0" w:firstLineChars="0"/>
      <w:jc w:val="center"/>
      <w:outlineLvl w:val="0"/>
    </w:pPr>
    <w:rPr>
      <w:b/>
      <w:bCs/>
      <w:kern w:val="44"/>
      <w:sz w:val="28"/>
    </w:rPr>
  </w:style>
  <w:style w:type="paragraph" w:styleId="2">
    <w:name w:val="heading 2"/>
    <w:basedOn w:val="1"/>
    <w:next w:val="1"/>
    <w:autoRedefine/>
    <w:unhideWhenUsed/>
    <w:qFormat/>
    <w:uiPriority w:val="99"/>
    <w:pPr>
      <w:autoSpaceDE w:val="0"/>
      <w:autoSpaceDN w:val="0"/>
      <w:spacing w:line="500" w:lineRule="exact"/>
      <w:ind w:firstLine="0" w:firstLineChars="0"/>
      <w:jc w:val="left"/>
      <w:outlineLvl w:val="1"/>
    </w:pPr>
    <w:rPr>
      <w:rFonts w:cs="宋体"/>
      <w:b/>
      <w:bCs/>
      <w:kern w:val="0"/>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link w:val="25"/>
    <w:autoRedefine/>
    <w:unhideWhenUsed/>
    <w:qFormat/>
    <w:uiPriority w:val="99"/>
    <w:pPr>
      <w:jc w:val="left"/>
    </w:pPr>
  </w:style>
  <w:style w:type="paragraph" w:styleId="6">
    <w:name w:val="Body Text"/>
    <w:basedOn w:val="1"/>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szCs w:val="20"/>
    </w:rPr>
  </w:style>
  <w:style w:type="paragraph" w:styleId="8">
    <w:name w:val="footer"/>
    <w:basedOn w:val="1"/>
    <w:autoRedefine/>
    <w:unhideWhenUsed/>
    <w:qFormat/>
    <w:uiPriority w:val="99"/>
    <w:pPr>
      <w:tabs>
        <w:tab w:val="center" w:pos="4153"/>
        <w:tab w:val="right" w:pos="8306"/>
      </w:tabs>
      <w:snapToGrid w:val="0"/>
      <w:spacing w:line="240" w:lineRule="auto"/>
      <w:jc w:val="left"/>
    </w:pPr>
    <w:rPr>
      <w:sz w:val="18"/>
      <w:szCs w:val="18"/>
    </w:rPr>
  </w:style>
  <w:style w:type="paragraph" w:styleId="9">
    <w:name w:val="header"/>
    <w:basedOn w:val="1"/>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0">
    <w:name w:val="Body Text Indent 3"/>
    <w:basedOn w:val="1"/>
    <w:autoRedefine/>
    <w:qFormat/>
    <w:uiPriority w:val="0"/>
    <w:pPr>
      <w:spacing w:beforeLines="25" w:afterLines="25" w:line="500" w:lineRule="exact"/>
      <w:ind w:firstLine="480"/>
    </w:pPr>
    <w:rPr>
      <w:rFonts w:ascii="仿宋_GB2312" w:hAnsi="宋体" w:eastAsia="仿宋_GB2312"/>
      <w:bCs/>
      <w:szCs w:val="2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annotation subject"/>
    <w:basedOn w:val="5"/>
    <w:next w:val="5"/>
    <w:link w:val="26"/>
    <w:autoRedefine/>
    <w:qFormat/>
    <w:uiPriority w:val="0"/>
    <w:rPr>
      <w:b/>
      <w:bCs/>
    </w:rPr>
  </w:style>
  <w:style w:type="paragraph" w:styleId="13">
    <w:name w:val="Body Text First Indent"/>
    <w:basedOn w:val="6"/>
    <w:autoRedefine/>
    <w:qFormat/>
    <w:uiPriority w:val="0"/>
    <w:pPr>
      <w:spacing w:before="100" w:beforeAutospacing="1" w:after="100" w:afterAutospacing="1"/>
      <w:ind w:firstLine="200" w:firstLineChars="200"/>
    </w:pPr>
  </w:style>
  <w:style w:type="character" w:styleId="16">
    <w:name w:val="Strong"/>
    <w:basedOn w:val="15"/>
    <w:autoRedefine/>
    <w:qFormat/>
    <w:uiPriority w:val="0"/>
    <w:rPr>
      <w:b/>
    </w:rPr>
  </w:style>
  <w:style w:type="character" w:styleId="17">
    <w:name w:val="Hyperlink"/>
    <w:basedOn w:val="15"/>
    <w:autoRedefine/>
    <w:unhideWhenUsed/>
    <w:qFormat/>
    <w:uiPriority w:val="99"/>
    <w:rPr>
      <w:color w:val="0000FF"/>
      <w:u w:val="single"/>
    </w:rPr>
  </w:style>
  <w:style w:type="character" w:styleId="18">
    <w:name w:val="annotation reference"/>
    <w:basedOn w:val="15"/>
    <w:autoRedefine/>
    <w:unhideWhenUsed/>
    <w:qFormat/>
    <w:uiPriority w:val="99"/>
    <w:rPr>
      <w:sz w:val="21"/>
      <w:szCs w:val="21"/>
    </w:rPr>
  </w:style>
  <w:style w:type="paragraph" w:customStyle="1" w:styleId="19">
    <w:name w:val="标题1"/>
    <w:basedOn w:val="3"/>
    <w:autoRedefine/>
    <w:qFormat/>
    <w:uiPriority w:val="0"/>
    <w:pPr>
      <w:numPr>
        <w:ilvl w:val="0"/>
        <w:numId w:val="2"/>
      </w:numPr>
      <w:spacing w:beforeLines="50" w:afterLines="50" w:line="360" w:lineRule="auto"/>
      <w:jc w:val="left"/>
    </w:pPr>
    <w:rPr>
      <w:rFonts w:ascii="宋体" w:hAnsi="宋体" w:eastAsia="宋体"/>
      <w:bCs w:val="0"/>
    </w:rPr>
  </w:style>
  <w:style w:type="paragraph" w:customStyle="1" w:styleId="20">
    <w:name w:val="正文1"/>
    <w:basedOn w:val="21"/>
    <w:autoRedefine/>
    <w:qFormat/>
    <w:uiPriority w:val="0"/>
    <w:pPr>
      <w:numPr>
        <w:ilvl w:val="0"/>
        <w:numId w:val="3"/>
      </w:numPr>
      <w:tabs>
        <w:tab w:val="left" w:pos="900"/>
      </w:tabs>
      <w:overflowPunct w:val="0"/>
      <w:ind w:left="0" w:firstLine="200"/>
    </w:pPr>
    <w:rPr>
      <w:rFonts w:eastAsia="宋体"/>
    </w:rPr>
  </w:style>
  <w:style w:type="paragraph" w:styleId="21">
    <w:name w:val="List Paragraph"/>
    <w:basedOn w:val="1"/>
    <w:autoRedefine/>
    <w:qFormat/>
    <w:uiPriority w:val="34"/>
    <w:pPr>
      <w:ind w:firstLine="420"/>
    </w:pPr>
  </w:style>
  <w:style w:type="character" w:customStyle="1" w:styleId="22">
    <w:name w:val="报告正文 Char"/>
    <w:basedOn w:val="15"/>
    <w:autoRedefine/>
    <w:qFormat/>
    <w:uiPriority w:val="0"/>
    <w:rPr>
      <w:rFonts w:ascii="Times New Roman" w:hAnsi="Times New Roman" w:eastAsia="宋体" w:cs="宋体"/>
      <w:bCs/>
      <w:sz w:val="24"/>
      <w:szCs w:val="24"/>
    </w:rPr>
  </w:style>
  <w:style w:type="paragraph" w:customStyle="1" w:styleId="23">
    <w:name w:val="报告正文"/>
    <w:basedOn w:val="1"/>
    <w:autoRedefine/>
    <w:qFormat/>
    <w:uiPriority w:val="0"/>
    <w:pPr>
      <w:adjustRightInd w:val="0"/>
      <w:snapToGrid w:val="0"/>
      <w:spacing w:line="500" w:lineRule="exact"/>
    </w:pPr>
    <w:rPr>
      <w:szCs w:val="22"/>
    </w:rPr>
  </w:style>
  <w:style w:type="paragraph" w:customStyle="1" w:styleId="24">
    <w:name w:val="标题2"/>
    <w:basedOn w:val="2"/>
    <w:autoRedefine/>
    <w:qFormat/>
    <w:uiPriority w:val="0"/>
    <w:pPr>
      <w:spacing w:beforeLines="50" w:afterLines="50" w:line="360" w:lineRule="auto"/>
    </w:pPr>
    <w:rPr>
      <w:rFonts w:eastAsia="宋体" w:cs="Times New Roman"/>
      <w:szCs w:val="24"/>
    </w:rPr>
  </w:style>
  <w:style w:type="character" w:customStyle="1" w:styleId="25">
    <w:name w:val="批注文字 字符"/>
    <w:basedOn w:val="15"/>
    <w:link w:val="5"/>
    <w:autoRedefine/>
    <w:qFormat/>
    <w:uiPriority w:val="99"/>
    <w:rPr>
      <w:rFonts w:eastAsia="仿宋"/>
      <w:kern w:val="2"/>
      <w:sz w:val="24"/>
      <w:szCs w:val="24"/>
    </w:rPr>
  </w:style>
  <w:style w:type="character" w:customStyle="1" w:styleId="26">
    <w:name w:val="批注主题 字符"/>
    <w:basedOn w:val="25"/>
    <w:link w:val="12"/>
    <w:autoRedefine/>
    <w:qFormat/>
    <w:uiPriority w:val="0"/>
    <w:rPr>
      <w:rFonts w:eastAsia="仿宋"/>
      <w:b/>
      <w:bCs/>
      <w:kern w:val="2"/>
      <w:sz w:val="24"/>
      <w:szCs w:val="24"/>
    </w:rPr>
  </w:style>
  <w:style w:type="paragraph" w:customStyle="1" w:styleId="27">
    <w:name w:val="08表格文字"/>
    <w:basedOn w:val="1"/>
    <w:autoRedefine/>
    <w:qFormat/>
    <w:uiPriority w:val="0"/>
    <w:pPr>
      <w:spacing w:line="240" w:lineRule="auto"/>
      <w:jc w:val="center"/>
    </w:pPr>
    <w:rPr>
      <w:rFonts w:ascii="Times New Roman" w:hAnsi="Times New Roman" w:eastAsia="仿宋_GB2312" w:cs="Times New Roman"/>
      <w:kern w:val="0"/>
      <w:szCs w:val="28"/>
    </w:rPr>
  </w:style>
  <w:style w:type="table" w:customStyle="1" w:styleId="28">
    <w:name w:val="NJUAE"/>
    <w:basedOn w:val="14"/>
    <w:autoRedefine/>
    <w:qFormat/>
    <w:uiPriority w:val="99"/>
    <w:pPr>
      <w:adjustRightInd w:val="0"/>
      <w:snapToGrid w:val="0"/>
      <w:spacing w:line="240" w:lineRule="auto"/>
      <w:jc w:val="both"/>
    </w:pPr>
    <w:rPr>
      <w:rFonts w:cs="Times New Roman"/>
      <w:kern w:val="0"/>
      <w:sz w:val="21"/>
      <w:szCs w:val="20"/>
    </w:rPr>
    <w:tblPr>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rPr>
      <w:jc w:val="center"/>
    </w:trPr>
    <w:tcPr>
      <w:vAlign w:val="center"/>
    </w:tcPr>
  </w:style>
  <w:style w:type="paragraph" w:customStyle="1" w:styleId="29">
    <w:name w:val="列出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702</Words>
  <Characters>722</Characters>
  <Lines>17</Lines>
  <Paragraphs>4</Paragraphs>
  <TotalTime>14</TotalTime>
  <ScaleCrop>false</ScaleCrop>
  <LinksUpToDate>false</LinksUpToDate>
  <CharactersWithSpaces>722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2021-06-25T03:47:00Z</dcterms:created>
  <dc:creator>王永安</dc:creator>
  <cp:lastModifiedBy>范文颖</cp:lastModifiedBy>
  <dcterms:modified xsi:type="dcterms:W3CDTF">2026-09-01T00:56:12Z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0423B85D244840DAA624DC66F85EACB5_13</vt:lpwstr>
  </property>
  <property fmtid="{D5CDD505-2E9C-101B-9397-08002B2CF9AE}" pid="4" name="KSOTemplateDocerSaveRecord">
    <vt:lpwstr>eyJoZGlkIjoiYjY1NzBiNmU3MDM1ZjVmZTI3Mjk2YWIxMWVhZTU0YjAiLCJ1c2VySWQiOiI0NzgxMDQxNzMifQ==</vt:lpwstr>
  </property>
</Properties>
</file>