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pageBreakBefore w:val="0"/>
        <w:widowControl w:val="0"/>
        <w:numPr>
          <w:ilvl w:val="0"/>
          <w:numId w:val="0"/>
        </w:numPr>
        <w:kinsoku/>
        <w:wordWrap/>
        <w:overflowPunct/>
        <w:topLinePunct w:val="0"/>
        <w:autoSpaceDE/>
        <w:autoSpaceDN/>
        <w:bidi w:val="0"/>
        <w:adjustRightInd/>
        <w:snapToGrid/>
        <w:spacing w:line="600" w:lineRule="exact"/>
        <w:ind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采购询价书</w:t>
      </w:r>
    </w:p>
    <w:p w14:paraId="0DDD079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167AEF56">
      <w:pPr>
        <w:pStyle w:val="3"/>
        <w:pageBreakBefore w:val="0"/>
        <w:widowControl w:val="0"/>
        <w:numPr>
          <w:ilvl w:val="0"/>
          <w:numId w:val="2"/>
        </w:numPr>
        <w:kinsoku/>
        <w:wordWrap/>
        <w:overflowPunct/>
        <w:topLinePunct w:val="0"/>
        <w:autoSpaceDE/>
        <w:autoSpaceDN/>
        <w:bidi w:val="0"/>
        <w:adjustRightInd/>
        <w:snapToGrid/>
        <w:spacing w:beforeAutospacing="0" w:afterAutospacing="0" w:line="500" w:lineRule="exact"/>
        <w:textAlignment w:val="auto"/>
        <w:rPr>
          <w:rFonts w:hint="eastAsia"/>
          <w:sz w:val="32"/>
          <w:szCs w:val="32"/>
        </w:rPr>
      </w:pPr>
      <w:r>
        <w:rPr>
          <w:rFonts w:hint="eastAsia" w:ascii="宋体" w:hAnsi="宋体" w:eastAsia="宋体" w:cs="宋体"/>
          <w:sz w:val="32"/>
          <w:szCs w:val="32"/>
        </w:rPr>
        <w:t>项目概况</w:t>
      </w:r>
    </w:p>
    <w:p w14:paraId="4F7B632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color w:val="FF0000"/>
          <w:sz w:val="32"/>
          <w:szCs w:val="32"/>
          <w:u w:val="single"/>
        </w:rPr>
      </w:pPr>
      <w:r>
        <w:rPr>
          <w:rFonts w:hint="eastAsia" w:ascii="宋体" w:hAnsi="宋体" w:eastAsia="宋体" w:cs="宋体"/>
          <w:b/>
          <w:sz w:val="32"/>
          <w:szCs w:val="32"/>
          <w:lang w:val="en-US" w:eastAsia="zh-CN"/>
        </w:rPr>
        <w:t>1.</w:t>
      </w:r>
      <w:r>
        <w:rPr>
          <w:rFonts w:hint="eastAsia" w:ascii="宋体" w:hAnsi="宋体" w:eastAsia="宋体" w:cs="宋体"/>
          <w:b/>
          <w:sz w:val="32"/>
          <w:szCs w:val="32"/>
        </w:rPr>
        <w:t>项目名称</w:t>
      </w:r>
      <w:r>
        <w:rPr>
          <w:rFonts w:hint="eastAsia" w:ascii="宋体" w:hAnsi="宋体" w:eastAsia="宋体" w:cs="宋体"/>
          <w:sz w:val="32"/>
          <w:szCs w:val="32"/>
        </w:rPr>
        <w:t>：</w:t>
      </w:r>
      <w:r>
        <w:rPr>
          <w:rFonts w:hint="eastAsia" w:ascii="宋体" w:hAnsi="宋体" w:eastAsia="宋体" w:cs="宋体"/>
          <w:color w:val="auto"/>
          <w:sz w:val="32"/>
          <w:szCs w:val="32"/>
          <w:u w:val="none"/>
          <w:lang w:val="en-US" w:eastAsia="zh-CN"/>
        </w:rPr>
        <w:t>碳回收事业部脱硫塔、水解塔、纯化器更换催化剂及瓷球施工</w:t>
      </w:r>
    </w:p>
    <w:p w14:paraId="261CEC3C">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default" w:ascii="宋体" w:hAnsi="宋体" w:eastAsia="宋体" w:cs="宋体"/>
          <w:sz w:val="32"/>
          <w:szCs w:val="32"/>
          <w:lang w:val="en-US" w:eastAsia="zh-CN"/>
        </w:rPr>
      </w:pPr>
      <w:r>
        <w:rPr>
          <w:rFonts w:hint="eastAsia" w:ascii="宋体" w:hAnsi="宋体" w:eastAsia="宋体" w:cs="宋体"/>
          <w:b/>
          <w:sz w:val="32"/>
          <w:szCs w:val="32"/>
          <w:lang w:val="en-US" w:eastAsia="zh-CN"/>
        </w:rPr>
        <w:t>2.</w:t>
      </w:r>
      <w:r>
        <w:rPr>
          <w:rFonts w:hint="eastAsia" w:ascii="宋体" w:hAnsi="宋体" w:eastAsia="宋体" w:cs="宋体"/>
          <w:b/>
          <w:sz w:val="32"/>
          <w:szCs w:val="32"/>
        </w:rPr>
        <w:t>采</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购</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人</w:t>
      </w:r>
      <w:r>
        <w:rPr>
          <w:rFonts w:hint="eastAsia" w:ascii="宋体" w:hAnsi="宋体" w:eastAsia="宋体" w:cs="宋体"/>
          <w:sz w:val="32"/>
          <w:szCs w:val="32"/>
        </w:rPr>
        <w:t>：江苏索普化工股份有限公司</w:t>
      </w:r>
      <w:r>
        <w:rPr>
          <w:rFonts w:hint="eastAsia" w:ascii="宋体" w:hAnsi="宋体" w:eastAsia="宋体" w:cs="宋体"/>
          <w:sz w:val="32"/>
          <w:szCs w:val="32"/>
          <w:lang w:val="en-US" w:eastAsia="zh-CN"/>
        </w:rPr>
        <w:t>采购中心</w:t>
      </w:r>
    </w:p>
    <w:p w14:paraId="24EBA3D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3.报价截止与评审时间</w:t>
      </w:r>
      <w:r>
        <w:rPr>
          <w:rFonts w:hint="eastAsia" w:ascii="宋体" w:hAnsi="宋体" w:eastAsia="宋体" w:cs="宋体"/>
          <w:sz w:val="32"/>
          <w:szCs w:val="32"/>
          <w:lang w:val="en-US" w:eastAsia="zh-CN"/>
        </w:rPr>
        <w:t>：2026年</w:t>
      </w:r>
      <w:r>
        <w:rPr>
          <w:rFonts w:hint="eastAsia" w:ascii="宋体" w:hAnsi="宋体" w:eastAsia="宋体" w:cs="宋体"/>
          <w:color w:val="auto"/>
          <w:sz w:val="32"/>
          <w:szCs w:val="32"/>
          <w:u w:val="single"/>
          <w:lang w:val="en-US" w:eastAsia="zh-CN"/>
        </w:rPr>
        <w:t>9</w:t>
      </w:r>
      <w:r>
        <w:rPr>
          <w:rFonts w:hint="eastAsia" w:ascii="宋体" w:hAnsi="宋体" w:eastAsia="宋体" w:cs="宋体"/>
          <w:color w:val="auto"/>
          <w:sz w:val="32"/>
          <w:szCs w:val="32"/>
          <w:lang w:val="en-US" w:eastAsia="zh-CN"/>
        </w:rPr>
        <w:t>月</w:t>
      </w:r>
      <w:r>
        <w:rPr>
          <w:rFonts w:hint="eastAsia" w:ascii="宋体" w:hAnsi="宋体" w:eastAsia="宋体" w:cs="宋体"/>
          <w:color w:val="auto"/>
          <w:sz w:val="32"/>
          <w:szCs w:val="32"/>
          <w:u w:val="single"/>
          <w:lang w:val="en-US" w:eastAsia="zh-CN"/>
        </w:rPr>
        <w:t>17</w:t>
      </w:r>
      <w:r>
        <w:rPr>
          <w:rFonts w:hint="eastAsia" w:ascii="宋体" w:hAnsi="宋体" w:eastAsia="宋体" w:cs="宋体"/>
          <w:sz w:val="32"/>
          <w:szCs w:val="32"/>
          <w:lang w:val="en-US" w:eastAsia="zh-CN"/>
        </w:rPr>
        <w:t>日14：00（北京时间）</w:t>
      </w:r>
    </w:p>
    <w:p w14:paraId="2F9B744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bCs/>
          <w:color w:val="auto"/>
          <w:spacing w:val="0"/>
          <w:kern w:val="0"/>
          <w:sz w:val="32"/>
          <w:szCs w:val="32"/>
        </w:rPr>
      </w:pPr>
      <w:r>
        <w:rPr>
          <w:rFonts w:hint="eastAsia" w:ascii="宋体" w:hAnsi="宋体" w:eastAsia="宋体" w:cs="宋体"/>
          <w:b/>
          <w:bCs/>
          <w:sz w:val="32"/>
          <w:szCs w:val="32"/>
          <w:lang w:val="en-US" w:eastAsia="zh-CN"/>
        </w:rPr>
        <w:t>4.评审地点</w:t>
      </w:r>
      <w:r>
        <w:rPr>
          <w:rFonts w:hint="eastAsia" w:ascii="宋体" w:hAnsi="宋体" w:eastAsia="宋体" w:cs="宋体"/>
          <w:sz w:val="32"/>
          <w:szCs w:val="32"/>
          <w:lang w:val="en-US" w:eastAsia="zh-CN"/>
        </w:rPr>
        <w:t>：江苏索普（集团）有限公司评审中心</w:t>
      </w:r>
    </w:p>
    <w:p w14:paraId="57CAECE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b w:val="0"/>
          <w:bCs w:val="0"/>
          <w:color w:val="FF0000"/>
          <w:sz w:val="32"/>
          <w:szCs w:val="32"/>
          <w:lang w:val="en-US" w:eastAsia="zh-CN"/>
        </w:rPr>
      </w:pPr>
      <w:r>
        <w:rPr>
          <w:rFonts w:hint="eastAsia" w:ascii="宋体" w:hAnsi="宋体" w:eastAsia="宋体" w:cs="宋体"/>
          <w:b/>
          <w:bCs/>
          <w:sz w:val="32"/>
          <w:szCs w:val="32"/>
          <w:lang w:val="en-US" w:eastAsia="zh-CN"/>
        </w:rPr>
        <w:t>5.交货时间：</w:t>
      </w:r>
      <w:r>
        <w:rPr>
          <w:rFonts w:hint="eastAsia" w:ascii="宋体" w:hAnsi="宋体" w:eastAsia="宋体" w:cs="宋体"/>
          <w:b w:val="0"/>
          <w:bCs w:val="0"/>
          <w:color w:val="auto"/>
          <w:sz w:val="32"/>
          <w:szCs w:val="32"/>
          <w:lang w:val="en-US" w:eastAsia="zh-CN"/>
        </w:rPr>
        <w:t>合同签订后，预计在2026</w:t>
      </w:r>
      <w:bookmarkStart w:id="15" w:name="_GoBack"/>
      <w:bookmarkEnd w:id="15"/>
      <w:r>
        <w:rPr>
          <w:rFonts w:hint="eastAsia" w:ascii="宋体" w:hAnsi="宋体" w:eastAsia="宋体" w:cs="宋体"/>
          <w:b w:val="0"/>
          <w:bCs w:val="0"/>
          <w:color w:val="auto"/>
          <w:sz w:val="32"/>
          <w:szCs w:val="32"/>
          <w:lang w:val="en-US" w:eastAsia="zh-CN"/>
        </w:rPr>
        <w:t>年10月施工，具体开始时间由采购人提前1周电话通知，8天内完成全部施工，每台2天内完成，并验收合格交付运行（如无法满足请在报价时注明）；</w:t>
      </w:r>
    </w:p>
    <w:p w14:paraId="04A0F64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lang w:val="en-US" w:eastAsia="zh-CN"/>
        </w:rPr>
        <w:t>6.交货地址</w:t>
      </w:r>
      <w:r>
        <w:rPr>
          <w:rFonts w:hint="eastAsia" w:ascii="宋体" w:hAnsi="宋体" w:eastAsia="宋体" w:cs="宋体"/>
          <w:sz w:val="32"/>
          <w:szCs w:val="32"/>
          <w:lang w:val="en-US" w:eastAsia="zh-CN"/>
        </w:rPr>
        <w:t>：</w:t>
      </w:r>
      <w:r>
        <w:rPr>
          <w:rFonts w:hint="eastAsia" w:ascii="宋体" w:hAnsi="宋体" w:eastAsia="宋体" w:cs="宋体"/>
          <w:sz w:val="32"/>
          <w:szCs w:val="32"/>
        </w:rPr>
        <w:t>江苏索普化工股份有限公司</w:t>
      </w:r>
      <w:r>
        <w:rPr>
          <w:rFonts w:hint="eastAsia" w:ascii="宋体" w:hAnsi="宋体" w:eastAsia="宋体" w:cs="宋体"/>
          <w:sz w:val="32"/>
          <w:szCs w:val="32"/>
          <w:lang w:val="en-US" w:eastAsia="zh-CN"/>
        </w:rPr>
        <w:t>（江苏省镇江市京口区求索路）</w:t>
      </w:r>
    </w:p>
    <w:p w14:paraId="1AE9129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7.公示</w:t>
      </w:r>
      <w:r>
        <w:rPr>
          <w:rFonts w:hint="eastAsia" w:ascii="宋体" w:hAnsi="宋体" w:eastAsia="宋体" w:cs="宋体"/>
          <w:b/>
          <w:sz w:val="32"/>
          <w:szCs w:val="32"/>
        </w:rPr>
        <w:t>查询</w:t>
      </w:r>
      <w:r>
        <w:rPr>
          <w:rFonts w:hint="eastAsia" w:ascii="宋体" w:hAnsi="宋体" w:eastAsia="宋体" w:cs="宋体"/>
          <w:sz w:val="32"/>
          <w:szCs w:val="32"/>
        </w:rPr>
        <w:t>：</w:t>
      </w:r>
      <w:r>
        <w:rPr>
          <w:rFonts w:hint="eastAsia" w:ascii="宋体" w:hAnsi="宋体" w:eastAsia="宋体" w:cs="宋体"/>
          <w:sz w:val="32"/>
          <w:szCs w:val="32"/>
          <w:lang w:val="en-US" w:eastAsia="zh-CN"/>
        </w:rPr>
        <w:t>ww</w:t>
      </w:r>
      <w:r>
        <w:rPr>
          <w:rFonts w:hint="eastAsia" w:ascii="宋体" w:hAnsi="宋体" w:eastAsia="宋体" w:cs="宋体"/>
          <w:sz w:val="32"/>
          <w:szCs w:val="32"/>
        </w:rPr>
        <w:t>w.sopo.com.cn</w:t>
      </w:r>
    </w:p>
    <w:p w14:paraId="76821092">
      <w:pPr>
        <w:pStyle w:val="3"/>
        <w:pageBreakBefore w:val="0"/>
        <w:widowControl w:val="0"/>
        <w:numPr>
          <w:ilvl w:val="0"/>
          <w:numId w:val="3"/>
        </w:numPr>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采购内容及要求</w:t>
      </w:r>
    </w:p>
    <w:p w14:paraId="5272EE35">
      <w:pPr>
        <w:pageBreakBefore w:val="0"/>
        <w:widowControl w:val="0"/>
        <w:numPr>
          <w:ilvl w:val="0"/>
          <w:numId w:val="0"/>
        </w:numPr>
        <w:kinsoku/>
        <w:wordWrap/>
        <w:overflowPunct/>
        <w:topLinePunct w:val="0"/>
        <w:autoSpaceDE/>
        <w:autoSpaceDN/>
        <w:bidi w:val="0"/>
        <w:adjustRightInd/>
        <w:snapToGrid/>
        <w:spacing w:beforeAutospacing="0" w:afterAutospacing="0" w:line="500" w:lineRule="exact"/>
        <w:jc w:val="both"/>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（一） 采购内容</w:t>
      </w:r>
    </w:p>
    <w:p w14:paraId="24175C6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0" w:firstLineChars="1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4台塔器更换催化剂及瓷球。水解塔、脱硫塔及纯化器结构尺寸详见方案中的技术参数表；每台设备底部一层为瓷球，催化剂拆装量详见方案中用量表。拆装过程中所需叉车、吊车由甲方提供，催化剂及瓷球由甲方运输至安装现场，其他专业工具及吨袋由乙方提供，乙方需将拆出的催化剂、瓷球装入吨袋，施工具体工作量详见附件2：碳回收脱硫塔、水解塔、纯化器更换催化剂、瓷球方案。</w:t>
      </w:r>
    </w:p>
    <w:p w14:paraId="4A1A9D3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00"/>
        <w:textAlignment w:val="auto"/>
        <w:outlineLvl w:val="9"/>
        <w:rPr>
          <w:rFonts w:hint="eastAsia" w:ascii="宋体" w:hAnsi="宋体" w:eastAsia="宋体" w:cs="宋体"/>
          <w:bCs/>
          <w:color w:val="auto"/>
          <w:spacing w:val="0"/>
          <w:kern w:val="0"/>
          <w:sz w:val="32"/>
          <w:szCs w:val="32"/>
          <w:lang w:val="en-US" w:eastAsia="zh-CN"/>
        </w:rPr>
      </w:pPr>
      <w:r>
        <w:rPr>
          <w:rFonts w:hint="eastAsia" w:ascii="宋体" w:hAnsi="宋体" w:eastAsia="宋体" w:cs="宋体"/>
          <w:bCs/>
          <w:color w:val="auto"/>
          <w:spacing w:val="0"/>
          <w:kern w:val="0"/>
          <w:sz w:val="32"/>
          <w:szCs w:val="32"/>
          <w:lang w:val="en-US" w:eastAsia="zh-CN"/>
        </w:rPr>
        <w:t>成交后，签订合同前需根据维保维修的实际情况，结合采购文件中技术文件中的要求，制定实际维保维修方案，经双方确认后实施。进厂施工前需提供所有参与施工人员</w:t>
      </w:r>
      <w:r>
        <w:rPr>
          <w:rFonts w:hint="eastAsia" w:ascii="宋体" w:hAnsi="宋体" w:eastAsia="宋体" w:cs="宋体"/>
          <w:bCs/>
          <w:color w:val="auto"/>
          <w:spacing w:val="0"/>
          <w:kern w:val="0"/>
          <w:sz w:val="32"/>
          <w:szCs w:val="32"/>
          <w:lang w:val="zh-CN" w:eastAsia="zh-CN"/>
        </w:rPr>
        <w:t>保险证明（工伤保险缴纳证明或人身意外伤害保险或雇主责任险缴纳证明等，雇主责任险</w:t>
      </w:r>
      <w:r>
        <w:rPr>
          <w:rFonts w:hint="eastAsia" w:ascii="宋体" w:hAnsi="宋体" w:eastAsia="宋体" w:cs="宋体"/>
          <w:bCs/>
          <w:color w:val="auto"/>
          <w:spacing w:val="0"/>
          <w:kern w:val="0"/>
          <w:sz w:val="32"/>
          <w:szCs w:val="32"/>
          <w:lang w:val="en-US" w:eastAsia="zh-CN"/>
        </w:rPr>
        <w:t>或团体人员意外</w:t>
      </w:r>
      <w:r>
        <w:rPr>
          <w:rFonts w:hint="eastAsia" w:ascii="宋体" w:hAnsi="宋体" w:eastAsia="宋体" w:cs="宋体"/>
          <w:bCs/>
          <w:color w:val="auto"/>
          <w:spacing w:val="0"/>
          <w:kern w:val="0"/>
          <w:sz w:val="32"/>
          <w:szCs w:val="32"/>
          <w:lang w:val="zh-CN" w:eastAsia="zh-CN"/>
        </w:rPr>
        <w:t>伤害险</w:t>
      </w:r>
      <w:r>
        <w:rPr>
          <w:rFonts w:hint="eastAsia" w:ascii="宋体" w:hAnsi="宋体" w:eastAsia="宋体" w:cs="宋体"/>
          <w:bCs/>
          <w:color w:val="auto"/>
          <w:spacing w:val="0"/>
          <w:kern w:val="0"/>
          <w:sz w:val="32"/>
          <w:szCs w:val="32"/>
          <w:lang w:val="en-US" w:eastAsia="zh-CN"/>
        </w:rPr>
        <w:t>不低于100万元/人</w:t>
      </w:r>
      <w:r>
        <w:rPr>
          <w:rFonts w:hint="eastAsia" w:ascii="宋体" w:hAnsi="宋体" w:eastAsia="宋体" w:cs="宋体"/>
          <w:bCs/>
          <w:color w:val="auto"/>
          <w:spacing w:val="0"/>
          <w:kern w:val="0"/>
          <w:sz w:val="32"/>
          <w:szCs w:val="32"/>
          <w:lang w:val="zh-CN" w:eastAsia="zh-CN"/>
        </w:rPr>
        <w:t>）；特种作业人员提供资质证明（电工证、焊工证、架子工、吊装证、</w:t>
      </w:r>
      <w:r>
        <w:rPr>
          <w:rFonts w:hint="eastAsia" w:ascii="宋体" w:hAnsi="宋体" w:eastAsia="宋体" w:cs="宋体"/>
          <w:bCs/>
          <w:color w:val="auto"/>
          <w:spacing w:val="0"/>
          <w:kern w:val="0"/>
          <w:sz w:val="32"/>
          <w:szCs w:val="32"/>
          <w:lang w:val="en-US" w:eastAsia="zh-CN"/>
        </w:rPr>
        <w:t>登高作业证</w:t>
      </w:r>
      <w:r>
        <w:rPr>
          <w:rFonts w:hint="eastAsia" w:ascii="宋体" w:hAnsi="宋体" w:eastAsia="宋体" w:cs="宋体"/>
          <w:bCs/>
          <w:color w:val="auto"/>
          <w:spacing w:val="0"/>
          <w:kern w:val="0"/>
          <w:sz w:val="32"/>
          <w:szCs w:val="32"/>
          <w:lang w:val="zh-CN" w:eastAsia="zh-CN"/>
        </w:rPr>
        <w:t>等）；符合安全标准的设备、设施；专业安全管理人员资格证书；</w:t>
      </w:r>
      <w:r>
        <w:rPr>
          <w:rFonts w:hint="eastAsia" w:ascii="宋体" w:hAnsi="宋体" w:eastAsia="宋体" w:cs="宋体"/>
          <w:bCs/>
          <w:color w:val="auto"/>
          <w:spacing w:val="0"/>
          <w:kern w:val="0"/>
          <w:sz w:val="32"/>
          <w:szCs w:val="32"/>
          <w:lang w:val="en-US" w:eastAsia="zh-CN"/>
        </w:rPr>
        <w:t>施工人员年龄原则上要求在18至60周岁；提交近1年内的体检报告，存在重大疾病的不得在公司作业，存在职业禁忌的，不得从事与职业禁忌相关工作；还需通过采购人安全部门的安全教育；</w:t>
      </w:r>
    </w:p>
    <w:p w14:paraId="6D9F61B0">
      <w:pPr>
        <w:pStyle w:val="7"/>
        <w:keepNext w:val="0"/>
        <w:keepLines w:val="0"/>
        <w:pageBreakBefore w:val="0"/>
        <w:widowControl w:val="0"/>
        <w:kinsoku/>
        <w:wordWrap/>
        <w:overflowPunct/>
        <w:topLinePunct w:val="0"/>
        <w:autoSpaceDE/>
        <w:autoSpaceDN/>
        <w:bidi w:val="0"/>
        <w:spacing w:after="0" w:line="560" w:lineRule="exact"/>
        <w:textAlignment w:val="auto"/>
        <w:rPr>
          <w:rFonts w:hint="eastAsia" w:ascii="宋体" w:hAnsi="宋体" w:eastAsia="宋体" w:cs="宋体"/>
          <w:color w:val="auto"/>
          <w:spacing w:val="0"/>
          <w:kern w:val="0"/>
          <w:sz w:val="32"/>
          <w:szCs w:val="32"/>
          <w:lang w:val="en-US" w:eastAsia="zh-CN"/>
        </w:rPr>
      </w:pPr>
      <w:r>
        <w:rPr>
          <w:rFonts w:hint="eastAsia" w:ascii="宋体" w:hAnsi="宋体" w:eastAsia="宋体" w:cs="宋体"/>
          <w:bCs/>
          <w:color w:val="auto"/>
          <w:spacing w:val="0"/>
          <w:kern w:val="0"/>
          <w:sz w:val="32"/>
          <w:szCs w:val="32"/>
          <w:lang w:val="en-US" w:eastAsia="zh-CN"/>
        </w:rPr>
        <w:t xml:space="preserve">    夏季高温时间室外施工时间要求：日最高气温≥40℃，停止室外露天作业；40℃＞日最高气温≥37℃，室外作业累计不超过6小时，且在气温最高时段（11:00-14:00）停止室外露天作业；37℃＞日最高气温≥35℃，需缩短室外露天连续作业时间，且不得安排室外露天作业加班。请自行安排施工时间，工期不能延误。</w:t>
      </w:r>
    </w:p>
    <w:p w14:paraId="3C06393A">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（二）技术及资质要求</w:t>
      </w:r>
    </w:p>
    <w:p w14:paraId="22B8464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1.资质要求：具有与项目相对应的技术能力，报价时需提供企业营业执照副本、相关资质材料和催化剂装填项目业绩（必须提供近三年内，至少3套已履约完成的业绩，需提供合同复印件、合同对应发票或验收报告）。</w:t>
      </w:r>
    </w:p>
    <w:p w14:paraId="727FAE77">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2.资质文件：贸易商（经销商）须提供授权代理资质及真实有效的验证方式，并承担法律责任。</w:t>
      </w:r>
    </w:p>
    <w:p w14:paraId="6751D0A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3.若成交供应商被发现提供虚假资质证明，采购人有权取消其成交资格，并保留追究相关责任的权利。</w:t>
      </w:r>
    </w:p>
    <w:p w14:paraId="10028C2D">
      <w:pPr>
        <w:numPr>
          <w:ilvl w:val="0"/>
          <w:numId w:val="0"/>
        </w:numPr>
        <w:spacing w:before="0" w:beforeAutospacing="0" w:after="0" w:afterAutospacing="0"/>
        <w:rPr>
          <w:rFonts w:hint="eastAsia" w:ascii="宋体" w:hAnsi="宋体" w:eastAsia="宋体" w:cs="宋体"/>
          <w:b/>
          <w:snapToGrid/>
          <w:kern w:val="2"/>
          <w:sz w:val="32"/>
          <w:szCs w:val="32"/>
          <w:lang w:val="en-US" w:eastAsia="zh-CN"/>
        </w:rPr>
      </w:pPr>
      <w:r>
        <w:rPr>
          <w:rFonts w:hint="eastAsia" w:ascii="宋体" w:hAnsi="宋体" w:eastAsia="宋体" w:cs="宋体"/>
          <w:b/>
          <w:snapToGrid/>
          <w:kern w:val="2"/>
          <w:sz w:val="32"/>
          <w:szCs w:val="32"/>
          <w:lang w:val="en-US" w:eastAsia="zh-CN"/>
        </w:rPr>
        <w:t>（三）质保要求</w:t>
      </w:r>
    </w:p>
    <w:p w14:paraId="778B8B01">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供方所供产品质保期自货物现场验收合格之日起计算，质保期限为6个月（如不同意须在报价中书面提出）。质保期内，供方须免费在采购方要求的时间内提供维修、更换零部件及上门服务；因安装不当、人为损坏、工况超出技术协议约定范围造成损坏不在质保范围内。</w:t>
      </w:r>
    </w:p>
    <w:p w14:paraId="3D7EFEA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default"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质保期内接到采购人故障通知，供方拒不履行质保义务，我方有权从货款、质保金中扣除相应损失。</w:t>
      </w:r>
    </w:p>
    <w:p w14:paraId="7E91D100">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三、报价要求</w:t>
      </w:r>
    </w:p>
    <w:p w14:paraId="74662129">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（一）报价方式</w:t>
      </w:r>
    </w:p>
    <w:p w14:paraId="783DFFD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1.</w:t>
      </w:r>
      <w:r>
        <w:rPr>
          <w:rFonts w:hint="eastAsia" w:ascii="宋体" w:hAnsi="宋体" w:eastAsia="宋体" w:cs="宋体"/>
          <w:sz w:val="32"/>
          <w:szCs w:val="32"/>
        </w:rPr>
        <w:t>含税送到价（含增值税）。税率调整时，按公式“合同含税价格/(1+合同约定税率)×(1+新税率)”调整。</w:t>
      </w:r>
    </w:p>
    <w:p w14:paraId="34BDED0A">
      <w:pPr>
        <w:pStyle w:val="7"/>
        <w:ind w:firstLine="640"/>
        <w:rPr>
          <w:rFonts w:hint="eastAsia" w:ascii="宋体" w:hAnsi="宋体" w:eastAsia="宋体" w:cs="宋体"/>
          <w:b w:val="0"/>
          <w:bCs w:val="0"/>
          <w:color w:val="auto"/>
          <w:sz w:val="32"/>
          <w:szCs w:val="32"/>
          <w:lang w:val="en-US" w:eastAsia="zh-CN"/>
        </w:rPr>
      </w:pPr>
      <w:r>
        <w:rPr>
          <w:rFonts w:hint="eastAsia" w:ascii="宋体" w:hAnsi="宋体" w:eastAsia="宋体" w:cs="宋体"/>
          <w:sz w:val="32"/>
          <w:szCs w:val="32"/>
          <w:lang w:val="en-US" w:eastAsia="zh-CN"/>
        </w:rPr>
        <w:t>2.</w:t>
      </w:r>
      <w:r>
        <w:rPr>
          <w:rFonts w:hint="eastAsia" w:ascii="宋体" w:hAnsi="宋体" w:eastAsia="宋体" w:cs="宋体"/>
          <w:color w:val="auto"/>
          <w:spacing w:val="0"/>
          <w:kern w:val="0"/>
          <w:sz w:val="32"/>
          <w:szCs w:val="32"/>
          <w:lang w:val="en-US" w:eastAsia="zh-CN"/>
        </w:rPr>
        <w:t>报价文件只需提供1份纸质版，报价文件需采用双信封密封投递，技术文件、资质要求等文件为1信封，该信封内所有文件不涉及价格，如有涉及后果自负。</w:t>
      </w:r>
      <w:r>
        <w:rPr>
          <w:rFonts w:hint="eastAsia" w:ascii="宋体" w:hAnsi="宋体" w:eastAsia="宋体" w:cs="宋体"/>
          <w:bCs/>
          <w:color w:val="auto"/>
          <w:spacing w:val="0"/>
          <w:kern w:val="0"/>
          <w:sz w:val="32"/>
          <w:szCs w:val="32"/>
          <w:lang w:val="en-US" w:eastAsia="zh-CN"/>
        </w:rPr>
        <w:t>报价函为独立的另1信封密封</w:t>
      </w:r>
      <w:r>
        <w:rPr>
          <w:rFonts w:hint="eastAsia" w:ascii="宋体" w:hAnsi="宋体" w:eastAsia="宋体" w:cs="宋体"/>
          <w:color w:val="auto"/>
          <w:spacing w:val="0"/>
          <w:kern w:val="0"/>
          <w:sz w:val="32"/>
          <w:szCs w:val="32"/>
          <w:lang w:val="en-US" w:eastAsia="zh-CN"/>
        </w:rPr>
        <w:t>。</w:t>
      </w:r>
      <w:r>
        <w:rPr>
          <w:rFonts w:hint="eastAsia" w:ascii="宋体" w:hAnsi="宋体" w:eastAsia="宋体" w:cs="宋体"/>
          <w:b w:val="0"/>
          <w:bCs w:val="0"/>
          <w:color w:val="auto"/>
          <w:sz w:val="32"/>
          <w:szCs w:val="32"/>
          <w:lang w:val="en-US" w:eastAsia="zh-CN"/>
        </w:rPr>
        <w:t>报价函详见附件1。</w:t>
      </w:r>
    </w:p>
    <w:p w14:paraId="2AE30E91">
      <w:pPr>
        <w:pStyle w:val="8"/>
        <w:ind w:firstLine="640"/>
        <w:rPr>
          <w:rFonts w:hint="default"/>
          <w:sz w:val="32"/>
          <w:szCs w:val="32"/>
          <w:lang w:val="en-US" w:eastAsia="zh-CN"/>
        </w:rPr>
      </w:pPr>
      <w:r>
        <w:rPr>
          <w:rFonts w:hint="eastAsia" w:ascii="宋体" w:hAnsi="宋体" w:eastAsia="宋体" w:cs="宋体"/>
          <w:spacing w:val="0"/>
          <w:kern w:val="0"/>
          <w:sz w:val="32"/>
          <w:szCs w:val="32"/>
          <w:lang w:val="en-US" w:eastAsia="zh-CN"/>
        </w:rPr>
        <w:t>3.报价文件包括：</w:t>
      </w:r>
      <w:r>
        <w:rPr>
          <w:rFonts w:hint="eastAsia" w:ascii="宋体" w:hAnsi="宋体" w:eastAsia="宋体" w:cs="宋体"/>
          <w:spacing w:val="0"/>
          <w:kern w:val="0"/>
          <w:sz w:val="32"/>
          <w:szCs w:val="32"/>
          <w:lang w:eastAsia="zh-CN"/>
        </w:rPr>
        <w:t>报价函</w:t>
      </w:r>
      <w:r>
        <w:rPr>
          <w:rFonts w:hint="eastAsia" w:ascii="宋体" w:hAnsi="宋体" w:eastAsia="宋体" w:cs="宋体"/>
          <w:spacing w:val="0"/>
          <w:kern w:val="0"/>
          <w:sz w:val="32"/>
          <w:szCs w:val="32"/>
        </w:rPr>
        <w:t>（维修费用清单，备件需分项报价）、技术</w:t>
      </w:r>
      <w:r>
        <w:rPr>
          <w:rFonts w:hint="eastAsia" w:ascii="宋体" w:hAnsi="宋体" w:eastAsia="宋体" w:cs="宋体"/>
          <w:spacing w:val="0"/>
          <w:kern w:val="0"/>
          <w:sz w:val="32"/>
          <w:szCs w:val="32"/>
          <w:lang w:val="en-US" w:eastAsia="zh-CN"/>
        </w:rPr>
        <w:t>文件</w:t>
      </w:r>
      <w:r>
        <w:rPr>
          <w:rFonts w:hint="eastAsia" w:ascii="宋体" w:hAnsi="宋体" w:eastAsia="宋体" w:cs="宋体"/>
          <w:spacing w:val="0"/>
          <w:kern w:val="0"/>
          <w:sz w:val="32"/>
          <w:szCs w:val="32"/>
        </w:rPr>
        <w:t>（包括施工方案、施工组织措施和技术措施），报价中包含1</w:t>
      </w:r>
      <w:r>
        <w:rPr>
          <w:rFonts w:hint="eastAsia" w:ascii="宋体" w:hAnsi="宋体" w:eastAsia="宋体" w:cs="宋体"/>
          <w:spacing w:val="0"/>
          <w:kern w:val="0"/>
          <w:sz w:val="32"/>
          <w:szCs w:val="32"/>
          <w:lang w:val="en-US" w:eastAsia="zh-CN"/>
        </w:rPr>
        <w:t>3</w:t>
      </w:r>
      <w:r>
        <w:rPr>
          <w:rFonts w:hint="eastAsia" w:ascii="宋体" w:hAnsi="宋体" w:eastAsia="宋体" w:cs="宋体"/>
          <w:spacing w:val="0"/>
          <w:kern w:val="0"/>
          <w:sz w:val="32"/>
          <w:szCs w:val="32"/>
        </w:rPr>
        <w:t>%税费（非1</w:t>
      </w:r>
      <w:r>
        <w:rPr>
          <w:rFonts w:hint="eastAsia" w:ascii="宋体" w:hAnsi="宋体" w:eastAsia="宋体" w:cs="宋体"/>
          <w:spacing w:val="0"/>
          <w:kern w:val="0"/>
          <w:sz w:val="32"/>
          <w:szCs w:val="32"/>
          <w:lang w:val="en-US" w:eastAsia="zh-CN"/>
        </w:rPr>
        <w:t>3</w:t>
      </w:r>
      <w:r>
        <w:rPr>
          <w:rFonts w:hint="eastAsia" w:ascii="宋体" w:hAnsi="宋体" w:eastAsia="宋体" w:cs="宋体"/>
          <w:spacing w:val="0"/>
          <w:kern w:val="0"/>
          <w:sz w:val="32"/>
          <w:szCs w:val="32"/>
        </w:rPr>
        <w:t>%的发票需在报价中注明）和运费。</w:t>
      </w:r>
    </w:p>
    <w:p w14:paraId="6E64C763">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（二）付款方式</w:t>
      </w:r>
    </w:p>
    <w:p w14:paraId="052B5E9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验收合格，增值税专用发票入账后，60天内支付90%，余款质保满无异常后付清，质保期半年。</w:t>
      </w:r>
    </w:p>
    <w:p w14:paraId="02E75EC1">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含税报价≥10万元以银行承兑支付，&lt;10万元以现汇支付。</w:t>
      </w:r>
    </w:p>
    <w:p w14:paraId="770584C7">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成交总价&lt;1万元时不留质保金，但需按合同提供质保服务。</w:t>
      </w:r>
    </w:p>
    <w:p w14:paraId="747C0F30">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1"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不接受默认付款方式的供应商，须在报价中明确可接受的付款方式及时间</w:t>
      </w:r>
      <w:r>
        <w:rPr>
          <w:sz w:val="32"/>
          <w:szCs w:val="32"/>
        </w:rPr>
        <w:t>（</w:t>
      </w:r>
      <w:r>
        <w:rPr>
          <w:rFonts w:hint="eastAsia" w:ascii="宋体" w:hAnsi="宋体" w:eastAsia="宋体" w:cs="宋体"/>
          <w:sz w:val="32"/>
          <w:szCs w:val="32"/>
        </w:rPr>
        <w:t>涉及预付款的需提供评审前</w:t>
      </w:r>
      <w:r>
        <w:rPr>
          <w:rFonts w:hint="eastAsia" w:ascii="宋体" w:hAnsi="宋体" w:eastAsia="宋体" w:cs="宋体"/>
          <w:sz w:val="32"/>
          <w:szCs w:val="32"/>
          <w:lang w:val="en-US" w:eastAsia="zh-CN"/>
        </w:rPr>
        <w:t>2年内财务审计报告及</w:t>
      </w:r>
      <w:r>
        <w:rPr>
          <w:rFonts w:hint="eastAsia" w:ascii="宋体" w:hAnsi="宋体" w:eastAsia="宋体" w:cs="宋体"/>
          <w:sz w:val="32"/>
          <w:szCs w:val="32"/>
        </w:rPr>
        <w:t>3个月内企业信用报告并加盖公章）</w:t>
      </w:r>
      <w:r>
        <w:rPr>
          <w:rFonts w:hint="eastAsia" w:ascii="宋体" w:hAnsi="宋体" w:eastAsia="宋体" w:cs="宋体"/>
          <w:sz w:val="32"/>
          <w:szCs w:val="32"/>
          <w:lang w:eastAsia="zh-CN"/>
        </w:rPr>
        <w:t>。</w:t>
      </w:r>
    </w:p>
    <w:p w14:paraId="0CBFDEEF">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（三）报价提交方式</w:t>
      </w:r>
    </w:p>
    <w:p w14:paraId="12F2DE97">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rPr>
        <w:t>线下报价</w:t>
      </w:r>
      <w:r>
        <w:rPr>
          <w:rFonts w:hint="eastAsia" w:ascii="宋体" w:hAnsi="宋体" w:eastAsia="宋体" w:cs="宋体"/>
          <w:sz w:val="32"/>
          <w:szCs w:val="32"/>
        </w:rPr>
        <w:t>：密封送达</w:t>
      </w:r>
      <w:r>
        <w:rPr>
          <w:rFonts w:hint="eastAsia" w:ascii="宋体" w:hAnsi="宋体" w:eastAsia="宋体" w:cs="宋体"/>
          <w:sz w:val="32"/>
          <w:szCs w:val="32"/>
          <w:lang w:val="en-US" w:eastAsia="zh-CN"/>
        </w:rPr>
        <w:t>或邮寄送达</w:t>
      </w:r>
      <w:r>
        <w:rPr>
          <w:rFonts w:hint="eastAsia" w:ascii="宋体" w:hAnsi="宋体" w:eastAsia="宋体" w:cs="宋体"/>
          <w:sz w:val="32"/>
          <w:szCs w:val="32"/>
        </w:rPr>
        <w:t>（封条需加盖公章、法人章并注明密封日期；封面注明项目名称、供应商信息、联系方式），</w:t>
      </w:r>
      <w:r>
        <w:rPr>
          <w:rFonts w:hint="eastAsia" w:ascii="宋体" w:hAnsi="宋体" w:eastAsia="宋体" w:cs="宋体"/>
          <w:sz w:val="32"/>
          <w:szCs w:val="32"/>
          <w:lang w:val="en-US" w:eastAsia="zh-CN"/>
        </w:rPr>
        <w:t>邮寄送达需电联报价联系人告知快递单号，逾期无效</w:t>
      </w:r>
      <w:r>
        <w:rPr>
          <w:rFonts w:hint="eastAsia" w:ascii="宋体" w:hAnsi="宋体" w:eastAsia="宋体" w:cs="宋体"/>
          <w:sz w:val="32"/>
          <w:szCs w:val="32"/>
        </w:rPr>
        <w:t>。</w:t>
      </w:r>
    </w:p>
    <w:p w14:paraId="7C743C17">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（四）送达地址及联系方式</w:t>
      </w:r>
    </w:p>
    <w:p w14:paraId="6AC27BF7">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收件单位</w:t>
      </w:r>
      <w:r>
        <w:rPr>
          <w:rFonts w:hint="eastAsia" w:ascii="宋体" w:hAnsi="宋体" w:eastAsia="宋体" w:cs="宋体"/>
          <w:sz w:val="32"/>
          <w:szCs w:val="32"/>
        </w:rPr>
        <w:t>：江苏索普化工股份有限公司</w:t>
      </w:r>
      <w:r>
        <w:rPr>
          <w:rFonts w:hint="eastAsia" w:ascii="宋体" w:hAnsi="宋体" w:eastAsia="宋体" w:cs="宋体"/>
          <w:sz w:val="32"/>
          <w:szCs w:val="32"/>
          <w:lang w:val="en-US" w:eastAsia="zh-CN"/>
        </w:rPr>
        <w:t>采购中心</w:t>
      </w:r>
    </w:p>
    <w:p w14:paraId="09A9996A">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地</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址</w:t>
      </w:r>
      <w:r>
        <w:rPr>
          <w:rFonts w:hint="eastAsia" w:ascii="宋体" w:hAnsi="宋体" w:eastAsia="宋体" w:cs="宋体"/>
          <w:sz w:val="32"/>
          <w:szCs w:val="32"/>
        </w:rPr>
        <w:t>：江苏省镇江市京口区求索路101号（邮编：212006）</w:t>
      </w:r>
    </w:p>
    <w:p w14:paraId="14CC59C7">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联</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系</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人</w:t>
      </w:r>
      <w:r>
        <w:rPr>
          <w:rFonts w:hint="eastAsia" w:ascii="宋体" w:hAnsi="宋体" w:eastAsia="宋体" w:cs="宋体"/>
          <w:sz w:val="32"/>
          <w:szCs w:val="32"/>
        </w:rPr>
        <w:t>：</w:t>
      </w:r>
      <w:r>
        <w:rPr>
          <w:rFonts w:hint="eastAsia" w:ascii="宋体" w:hAnsi="宋体" w:eastAsia="宋体" w:cs="宋体"/>
          <w:sz w:val="32"/>
          <w:szCs w:val="32"/>
          <w:lang w:val="en-US" w:eastAsia="zh-CN"/>
        </w:rPr>
        <w:t>冯玉华</w:t>
      </w:r>
      <w:r>
        <w:rPr>
          <w:rFonts w:hint="eastAsia" w:ascii="宋体" w:hAnsi="宋体" w:eastAsia="宋体" w:cs="宋体"/>
          <w:sz w:val="32"/>
          <w:szCs w:val="32"/>
        </w:rPr>
        <w:t>，电话：</w:t>
      </w:r>
      <w:r>
        <w:rPr>
          <w:rFonts w:hint="eastAsia" w:ascii="宋体" w:hAnsi="宋体" w:eastAsia="宋体" w:cs="宋体"/>
          <w:sz w:val="32"/>
          <w:szCs w:val="32"/>
          <w:lang w:val="en-US" w:eastAsia="zh-CN"/>
        </w:rPr>
        <w:t>13815151208</w:t>
      </w:r>
    </w:p>
    <w:p w14:paraId="46E1F8B6">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（五）疑问咨询</w:t>
      </w:r>
    </w:p>
    <w:p w14:paraId="20BA2C34">
      <w:pPr>
        <w:pageBreakBefore w:val="0"/>
        <w:widowControl w:val="0"/>
        <w:numPr>
          <w:ilvl w:val="0"/>
          <w:numId w:val="6"/>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报价</w:t>
      </w:r>
      <w:r>
        <w:rPr>
          <w:rFonts w:hint="eastAsia" w:ascii="宋体" w:hAnsi="宋体" w:eastAsia="宋体" w:cs="宋体"/>
          <w:b/>
          <w:sz w:val="32"/>
          <w:szCs w:val="32"/>
        </w:rPr>
        <w:t>联系人</w:t>
      </w:r>
      <w:r>
        <w:rPr>
          <w:rFonts w:hint="eastAsia" w:ascii="宋体" w:hAnsi="宋体" w:eastAsia="宋体" w:cs="宋体"/>
          <w:sz w:val="32"/>
          <w:szCs w:val="32"/>
        </w:rPr>
        <w:t>：</w:t>
      </w:r>
      <w:r>
        <w:rPr>
          <w:rFonts w:hint="eastAsia" w:ascii="宋体" w:hAnsi="宋体" w:eastAsia="宋体" w:cs="宋体"/>
          <w:sz w:val="32"/>
          <w:szCs w:val="32"/>
          <w:lang w:val="en-US" w:eastAsia="zh-CN"/>
        </w:rPr>
        <w:t>冯玉华13815151208</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详情咨询</w:t>
      </w:r>
      <w:r>
        <w:rPr>
          <w:rFonts w:hint="eastAsia" w:ascii="宋体" w:hAnsi="宋体" w:eastAsia="宋体" w:cs="宋体"/>
          <w:sz w:val="32"/>
          <w:szCs w:val="32"/>
          <w:lang w:eastAsia="zh-CN"/>
        </w:rPr>
        <w:t>）</w:t>
      </w:r>
    </w:p>
    <w:p w14:paraId="7A111C8A">
      <w:pPr>
        <w:pageBreakBefore w:val="0"/>
        <w:widowControl w:val="0"/>
        <w:numPr>
          <w:ilvl w:val="0"/>
          <w:numId w:val="6"/>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部门负责人</w:t>
      </w:r>
      <w:r>
        <w:rPr>
          <w:rFonts w:hint="eastAsia" w:ascii="宋体" w:hAnsi="宋体" w:eastAsia="宋体" w:cs="宋体"/>
          <w:sz w:val="32"/>
          <w:szCs w:val="32"/>
        </w:rPr>
        <w:t>：解云13913442555</w:t>
      </w:r>
    </w:p>
    <w:p w14:paraId="21BF4B68">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四</w:t>
      </w:r>
      <w:r>
        <w:rPr>
          <w:rFonts w:hint="eastAsia" w:ascii="宋体" w:hAnsi="宋体" w:eastAsia="宋体" w:cs="宋体"/>
          <w:sz w:val="32"/>
          <w:szCs w:val="32"/>
        </w:rPr>
        <w:t>、其他要求</w:t>
      </w:r>
    </w:p>
    <w:p w14:paraId="0856F2A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一</w:t>
      </w:r>
      <w:r>
        <w:rPr>
          <w:rFonts w:hint="eastAsia" w:ascii="宋体" w:hAnsi="宋体" w:eastAsia="宋体" w:cs="宋体"/>
          <w:b/>
          <w:sz w:val="32"/>
          <w:szCs w:val="32"/>
          <w:lang w:eastAsia="zh-CN"/>
        </w:rPr>
        <w:t>）</w:t>
      </w:r>
      <w:r>
        <w:rPr>
          <w:rFonts w:hint="eastAsia" w:ascii="宋体" w:hAnsi="宋体" w:eastAsia="宋体" w:cs="宋体"/>
          <w:b/>
          <w:sz w:val="32"/>
          <w:szCs w:val="32"/>
        </w:rPr>
        <w:t>进场服务材料</w:t>
      </w:r>
      <w:r>
        <w:rPr>
          <w:rFonts w:hint="eastAsia" w:ascii="宋体" w:hAnsi="宋体" w:eastAsia="宋体" w:cs="宋体"/>
          <w:b/>
          <w:bCs/>
          <w:sz w:val="32"/>
          <w:szCs w:val="32"/>
        </w:rPr>
        <w:t>（如需</w:t>
      </w:r>
      <w:r>
        <w:rPr>
          <w:rFonts w:hint="eastAsia" w:ascii="宋体" w:hAnsi="宋体" w:eastAsia="宋体" w:cs="宋体"/>
          <w:b/>
          <w:bCs/>
          <w:sz w:val="32"/>
          <w:szCs w:val="32"/>
          <w:lang w:val="en-US" w:eastAsia="zh-CN"/>
        </w:rPr>
        <w:t>进场施工前提供</w:t>
      </w:r>
      <w:r>
        <w:rPr>
          <w:rFonts w:hint="eastAsia" w:ascii="宋体" w:hAnsi="宋体" w:eastAsia="宋体" w:cs="宋体"/>
          <w:b/>
          <w:bCs/>
          <w:sz w:val="32"/>
          <w:szCs w:val="32"/>
        </w:rPr>
        <w:t>）</w:t>
      </w:r>
      <w:r>
        <w:rPr>
          <w:rFonts w:hint="eastAsia" w:ascii="宋体" w:hAnsi="宋体" w:eastAsia="宋体" w:cs="宋体"/>
          <w:sz w:val="32"/>
          <w:szCs w:val="32"/>
        </w:rPr>
        <w:t>：</w:t>
      </w:r>
    </w:p>
    <w:p w14:paraId="7E2BEB90">
      <w:pPr>
        <w:pageBreakBefore w:val="0"/>
        <w:widowControl w:val="0"/>
        <w:numPr>
          <w:ilvl w:val="1"/>
          <w:numId w:val="7"/>
        </w:numPr>
        <w:kinsoku/>
        <w:wordWrap/>
        <w:overflowPunct/>
        <w:topLinePunct w:val="0"/>
        <w:autoSpaceDE/>
        <w:autoSpaceDN/>
        <w:bidi w:val="0"/>
        <w:adjustRightInd/>
        <w:snapToGrid/>
        <w:spacing w:before="0" w:beforeAutospacing="0" w:after="0" w:afterAutospacing="0" w:line="500" w:lineRule="exact"/>
        <w:ind w:left="22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人员保险证明、特种作业资质、安全设备清单、安全管理人员证书；</w:t>
      </w:r>
    </w:p>
    <w:p w14:paraId="5278A02B">
      <w:pPr>
        <w:pageBreakBefore w:val="0"/>
        <w:widowControl w:val="0"/>
        <w:numPr>
          <w:ilvl w:val="1"/>
          <w:numId w:val="7"/>
        </w:numPr>
        <w:kinsoku/>
        <w:wordWrap/>
        <w:overflowPunct/>
        <w:topLinePunct w:val="0"/>
        <w:autoSpaceDE/>
        <w:autoSpaceDN/>
        <w:bidi w:val="0"/>
        <w:adjustRightInd/>
        <w:snapToGrid/>
        <w:spacing w:before="0" w:beforeAutospacing="0" w:after="0" w:afterAutospacing="0" w:line="500" w:lineRule="exact"/>
        <w:ind w:left="22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施工人员年龄18-60周岁，提供近1</w:t>
      </w:r>
      <w:r>
        <w:rPr>
          <w:rFonts w:hint="eastAsia" w:ascii="宋体" w:hAnsi="宋体" w:eastAsia="宋体" w:cs="宋体"/>
          <w:sz w:val="32"/>
          <w:szCs w:val="32"/>
          <w:lang w:val="en-US" w:eastAsia="zh-CN"/>
        </w:rPr>
        <w:t>年内的</w:t>
      </w:r>
      <w:r>
        <w:rPr>
          <w:rFonts w:hint="eastAsia" w:ascii="宋体" w:hAnsi="宋体" w:eastAsia="宋体" w:cs="宋体"/>
          <w:sz w:val="32"/>
          <w:szCs w:val="32"/>
        </w:rPr>
        <w:t>体检报告（重大疾病或职业禁忌者不得作业）。</w:t>
      </w:r>
    </w:p>
    <w:p w14:paraId="26F2A39A">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二</w:t>
      </w:r>
      <w:r>
        <w:rPr>
          <w:rFonts w:hint="eastAsia" w:ascii="宋体" w:hAnsi="宋体" w:eastAsia="宋体" w:cs="宋体"/>
          <w:b/>
          <w:sz w:val="32"/>
          <w:szCs w:val="32"/>
          <w:lang w:eastAsia="zh-CN"/>
        </w:rPr>
        <w:t>）</w:t>
      </w:r>
      <w:r>
        <w:rPr>
          <w:rFonts w:hint="eastAsia" w:ascii="宋体" w:hAnsi="宋体" w:eastAsia="宋体" w:cs="宋体"/>
          <w:b/>
          <w:sz w:val="32"/>
          <w:szCs w:val="32"/>
        </w:rPr>
        <w:t>供应商资格</w:t>
      </w:r>
      <w:r>
        <w:rPr>
          <w:rFonts w:hint="eastAsia" w:ascii="宋体" w:hAnsi="宋体" w:eastAsia="宋体" w:cs="宋体"/>
          <w:sz w:val="32"/>
          <w:szCs w:val="32"/>
        </w:rPr>
        <w:t>：不接受失信被执行人、重大违法案件当事人。</w:t>
      </w:r>
    </w:p>
    <w:p w14:paraId="548B90C1">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三</w:t>
      </w:r>
      <w:r>
        <w:rPr>
          <w:rFonts w:hint="eastAsia" w:ascii="宋体" w:hAnsi="宋体" w:eastAsia="宋体" w:cs="宋体"/>
          <w:b/>
          <w:sz w:val="32"/>
          <w:szCs w:val="32"/>
          <w:lang w:eastAsia="zh-CN"/>
        </w:rPr>
        <w:t>）</w:t>
      </w:r>
      <w:r>
        <w:rPr>
          <w:rFonts w:hint="eastAsia" w:ascii="宋体" w:hAnsi="宋体" w:eastAsia="宋体" w:cs="宋体"/>
          <w:b/>
          <w:sz w:val="32"/>
          <w:szCs w:val="32"/>
        </w:rPr>
        <w:t>售后服务</w:t>
      </w:r>
      <w:r>
        <w:rPr>
          <w:rFonts w:hint="eastAsia" w:ascii="宋体" w:hAnsi="宋体" w:eastAsia="宋体" w:cs="宋体"/>
          <w:color w:val="auto"/>
          <w:sz w:val="32"/>
          <w:szCs w:val="32"/>
        </w:rPr>
        <w:t>：电话响应≤8小时，明确解决方案。</w:t>
      </w:r>
    </w:p>
    <w:p w14:paraId="0059EF8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四</w:t>
      </w:r>
      <w:r>
        <w:rPr>
          <w:rFonts w:hint="eastAsia" w:ascii="宋体" w:hAnsi="宋体" w:eastAsia="宋体" w:cs="宋体"/>
          <w:b/>
          <w:sz w:val="32"/>
          <w:szCs w:val="32"/>
          <w:lang w:eastAsia="zh-CN"/>
        </w:rPr>
        <w:t>）</w:t>
      </w:r>
      <w:r>
        <w:rPr>
          <w:rFonts w:hint="eastAsia" w:ascii="宋体" w:hAnsi="宋体" w:eastAsia="宋体" w:cs="宋体"/>
          <w:b/>
          <w:sz w:val="32"/>
          <w:szCs w:val="32"/>
        </w:rPr>
        <w:t>知识产权</w:t>
      </w:r>
      <w:r>
        <w:rPr>
          <w:rFonts w:hint="eastAsia" w:ascii="宋体" w:hAnsi="宋体" w:eastAsia="宋体" w:cs="宋体"/>
          <w:sz w:val="32"/>
          <w:szCs w:val="32"/>
        </w:rPr>
        <w:t>：供应商承担所有知识产权纠纷责任。</w:t>
      </w:r>
    </w:p>
    <w:p w14:paraId="14247EF0">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五</w:t>
      </w:r>
      <w:r>
        <w:rPr>
          <w:rFonts w:hint="eastAsia" w:ascii="宋体" w:hAnsi="宋体" w:eastAsia="宋体" w:cs="宋体"/>
          <w:sz w:val="32"/>
          <w:szCs w:val="32"/>
        </w:rPr>
        <w:t>、评审流程</w:t>
      </w:r>
    </w:p>
    <w:p w14:paraId="2D11E4AF">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1.</w:t>
      </w:r>
      <w:r>
        <w:rPr>
          <w:rFonts w:hint="eastAsia" w:ascii="宋体" w:hAnsi="宋体" w:eastAsia="宋体" w:cs="宋体"/>
          <w:b/>
          <w:sz w:val="32"/>
          <w:szCs w:val="32"/>
        </w:rPr>
        <w:t>评</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审</w:t>
      </w:r>
      <w:r>
        <w:rPr>
          <w:rFonts w:hint="eastAsia" w:ascii="宋体" w:hAnsi="宋体" w:eastAsia="宋体" w:cs="宋体"/>
          <w:sz w:val="32"/>
          <w:szCs w:val="32"/>
        </w:rPr>
        <w:t>：采购人组织评审小组，</w:t>
      </w:r>
      <w:r>
        <w:rPr>
          <w:rFonts w:hint="eastAsia" w:ascii="宋体" w:hAnsi="宋体" w:eastAsia="宋体" w:cs="宋体"/>
          <w:sz w:val="32"/>
          <w:szCs w:val="32"/>
          <w:lang w:val="en-US" w:eastAsia="zh-CN"/>
        </w:rPr>
        <w:t>评审</w:t>
      </w:r>
      <w:r>
        <w:rPr>
          <w:rFonts w:hint="eastAsia" w:ascii="宋体" w:hAnsi="宋体" w:eastAsia="宋体" w:cs="宋体"/>
          <w:sz w:val="32"/>
          <w:szCs w:val="32"/>
        </w:rPr>
        <w:t>供应商报价，供应商需保持通讯畅通。</w:t>
      </w:r>
      <w:r>
        <w:rPr>
          <w:rFonts w:hint="eastAsia" w:ascii="宋体" w:hAnsi="宋体" w:eastAsia="宋体" w:cs="宋体"/>
          <w:sz w:val="32"/>
          <w:szCs w:val="32"/>
          <w:lang w:val="en-US" w:eastAsia="zh-CN"/>
        </w:rPr>
        <w:t>评审顺序：先进行技术及资质文件的评审，确认符合采购文件要求的报价人；开启符合要求的报价人的报价函，</w:t>
      </w:r>
      <w:r>
        <w:rPr>
          <w:rFonts w:hint="eastAsia" w:ascii="宋体" w:hAnsi="宋体" w:eastAsia="宋体" w:cs="宋体"/>
          <w:sz w:val="32"/>
          <w:szCs w:val="32"/>
        </w:rPr>
        <w:t>确定最终</w:t>
      </w:r>
      <w:r>
        <w:rPr>
          <w:rFonts w:hint="eastAsia" w:ascii="宋体" w:hAnsi="宋体" w:eastAsia="宋体" w:cs="宋体"/>
          <w:sz w:val="32"/>
          <w:szCs w:val="32"/>
          <w:lang w:val="en-US" w:eastAsia="zh-CN"/>
        </w:rPr>
        <w:t>成交</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不符合技术及资质要求的报价人的报价函不开启，报价文件也不作回退处理</w:t>
      </w:r>
      <w:r>
        <w:rPr>
          <w:rFonts w:hint="eastAsia" w:ascii="宋体" w:hAnsi="宋体" w:eastAsia="宋体" w:cs="宋体"/>
          <w:sz w:val="32"/>
          <w:szCs w:val="32"/>
        </w:rPr>
        <w:t>。</w:t>
      </w:r>
    </w:p>
    <w:p w14:paraId="0F994B8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评定标准：</w:t>
      </w:r>
      <w:r>
        <w:rPr>
          <w:rFonts w:hint="eastAsia" w:ascii="宋体" w:hAnsi="宋体" w:eastAsia="宋体" w:cs="宋体"/>
          <w:sz w:val="32"/>
          <w:szCs w:val="32"/>
        </w:rPr>
        <w:t>在能够满足</w:t>
      </w:r>
      <w:r>
        <w:rPr>
          <w:rFonts w:hint="eastAsia" w:ascii="宋体" w:hAnsi="宋体" w:eastAsia="宋体" w:cs="宋体"/>
          <w:sz w:val="32"/>
          <w:szCs w:val="32"/>
          <w:lang w:val="en-US" w:eastAsia="zh-CN"/>
        </w:rPr>
        <w:t>采购</w:t>
      </w:r>
      <w:r>
        <w:rPr>
          <w:rFonts w:hint="eastAsia" w:ascii="宋体" w:hAnsi="宋体" w:eastAsia="宋体" w:cs="宋体"/>
          <w:sz w:val="32"/>
          <w:szCs w:val="32"/>
        </w:rPr>
        <w:t>人技术要求及供货期要求的</w:t>
      </w:r>
      <w:r>
        <w:rPr>
          <w:rFonts w:hint="eastAsia" w:ascii="宋体" w:hAnsi="宋体" w:eastAsia="宋体" w:cs="宋体"/>
          <w:sz w:val="32"/>
          <w:szCs w:val="32"/>
          <w:lang w:val="en-US" w:eastAsia="zh-CN"/>
        </w:rPr>
        <w:t>报价</w:t>
      </w:r>
      <w:r>
        <w:rPr>
          <w:rFonts w:hint="eastAsia" w:ascii="宋体" w:hAnsi="宋体" w:eastAsia="宋体" w:cs="宋体"/>
          <w:sz w:val="32"/>
          <w:szCs w:val="32"/>
        </w:rPr>
        <w:t>人中</w:t>
      </w:r>
      <w:r>
        <w:rPr>
          <w:rFonts w:hint="eastAsia" w:ascii="宋体" w:hAnsi="宋体" w:eastAsia="宋体" w:cs="宋体"/>
          <w:color w:val="auto"/>
          <w:sz w:val="32"/>
          <w:szCs w:val="32"/>
        </w:rPr>
        <w:t>选择</w:t>
      </w:r>
      <w:r>
        <w:rPr>
          <w:rFonts w:hint="eastAsia" w:ascii="宋体" w:hAnsi="宋体" w:eastAsia="宋体" w:cs="宋体"/>
          <w:color w:val="auto"/>
          <w:sz w:val="32"/>
          <w:szCs w:val="32"/>
          <w:lang w:val="en-US" w:eastAsia="zh-CN"/>
        </w:rPr>
        <w:t>合计</w:t>
      </w:r>
      <w:r>
        <w:rPr>
          <w:rFonts w:hint="eastAsia" w:ascii="宋体" w:hAnsi="宋体" w:eastAsia="宋体" w:cs="宋体"/>
          <w:sz w:val="32"/>
          <w:szCs w:val="32"/>
          <w:lang w:eastAsia="zh-CN"/>
        </w:rPr>
        <w:t>价</w:t>
      </w:r>
      <w:r>
        <w:rPr>
          <w:rFonts w:hint="eastAsia" w:ascii="宋体" w:hAnsi="宋体" w:eastAsia="宋体" w:cs="宋体"/>
          <w:sz w:val="32"/>
          <w:szCs w:val="32"/>
        </w:rPr>
        <w:t>最低</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其他报价人的各分项报价作为参考，需接受其他报价单位的分项最低价</w:t>
      </w:r>
      <w:r>
        <w:rPr>
          <w:rFonts w:hint="eastAsia" w:ascii="宋体" w:hAnsi="宋体" w:eastAsia="宋体" w:cs="宋体"/>
          <w:sz w:val="32"/>
          <w:szCs w:val="32"/>
          <w:lang w:eastAsia="zh-CN"/>
        </w:rPr>
        <w:t>）</w:t>
      </w:r>
      <w:r>
        <w:rPr>
          <w:rFonts w:hint="eastAsia" w:ascii="宋体" w:hAnsi="宋体" w:eastAsia="宋体" w:cs="宋体"/>
          <w:sz w:val="32"/>
          <w:szCs w:val="32"/>
        </w:rPr>
        <w:t>的一家</w:t>
      </w:r>
      <w:r>
        <w:rPr>
          <w:rFonts w:hint="eastAsia" w:ascii="宋体" w:hAnsi="宋体" w:eastAsia="宋体" w:cs="宋体"/>
          <w:sz w:val="32"/>
          <w:szCs w:val="32"/>
          <w:lang w:val="en-US" w:eastAsia="zh-CN"/>
        </w:rPr>
        <w:t>报价</w:t>
      </w:r>
      <w:r>
        <w:rPr>
          <w:rFonts w:hint="eastAsia" w:ascii="宋体" w:hAnsi="宋体" w:eastAsia="宋体" w:cs="宋体"/>
          <w:sz w:val="32"/>
          <w:szCs w:val="32"/>
        </w:rPr>
        <w:t>人作为</w:t>
      </w:r>
      <w:r>
        <w:rPr>
          <w:rFonts w:hint="eastAsia" w:ascii="宋体" w:hAnsi="宋体" w:eastAsia="宋体" w:cs="宋体"/>
          <w:sz w:val="32"/>
          <w:szCs w:val="32"/>
          <w:lang w:val="en-US" w:eastAsia="zh-CN"/>
        </w:rPr>
        <w:t>成交</w:t>
      </w:r>
      <w:r>
        <w:rPr>
          <w:rFonts w:hint="eastAsia" w:ascii="宋体" w:hAnsi="宋体" w:eastAsia="宋体" w:cs="宋体"/>
          <w:sz w:val="32"/>
          <w:szCs w:val="32"/>
        </w:rPr>
        <w:t>候选人。</w:t>
      </w:r>
    </w:p>
    <w:p w14:paraId="3F9E105C">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3.</w:t>
      </w:r>
      <w:r>
        <w:rPr>
          <w:rFonts w:hint="eastAsia" w:ascii="宋体" w:hAnsi="宋体" w:eastAsia="宋体" w:cs="宋体"/>
          <w:b/>
          <w:sz w:val="32"/>
          <w:szCs w:val="32"/>
        </w:rPr>
        <w:t>询价废止</w:t>
      </w:r>
      <w:r>
        <w:rPr>
          <w:rFonts w:hint="eastAsia" w:ascii="宋体" w:hAnsi="宋体" w:eastAsia="宋体" w:cs="宋体"/>
          <w:sz w:val="32"/>
          <w:szCs w:val="32"/>
        </w:rPr>
        <w:t>：存在串通报价等违规行为的，作废并列入供应商负面清单。</w:t>
      </w:r>
    </w:p>
    <w:p w14:paraId="7C9B8AF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4.</w:t>
      </w:r>
      <w:r>
        <w:rPr>
          <w:rFonts w:hint="eastAsia" w:ascii="宋体" w:hAnsi="宋体" w:eastAsia="宋体" w:cs="宋体"/>
          <w:b/>
          <w:sz w:val="32"/>
          <w:szCs w:val="32"/>
        </w:rPr>
        <w:t>无效报价</w:t>
      </w:r>
      <w:r>
        <w:rPr>
          <w:rFonts w:hint="eastAsia" w:ascii="宋体" w:hAnsi="宋体" w:eastAsia="宋体" w:cs="宋体"/>
          <w:sz w:val="32"/>
          <w:szCs w:val="32"/>
        </w:rPr>
        <w:t>：资质不全、报价空项、不符合技术要求、价格明显偏离市场的，作无效处理。</w:t>
      </w:r>
    </w:p>
    <w:p w14:paraId="797A2A8A">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六</w:t>
      </w:r>
      <w:r>
        <w:rPr>
          <w:rFonts w:hint="eastAsia" w:ascii="宋体" w:hAnsi="宋体" w:eastAsia="宋体" w:cs="宋体"/>
          <w:sz w:val="32"/>
          <w:szCs w:val="32"/>
        </w:rPr>
        <w:t>、违约责任</w:t>
      </w:r>
    </w:p>
    <w:p w14:paraId="7CF2FB5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1.</w:t>
      </w:r>
      <w:r>
        <w:rPr>
          <w:rFonts w:hint="eastAsia" w:ascii="宋体" w:hAnsi="宋体" w:eastAsia="宋体" w:cs="宋体"/>
          <w:b/>
          <w:sz w:val="32"/>
          <w:szCs w:val="32"/>
        </w:rPr>
        <w:t>逾期交货</w:t>
      </w:r>
      <w:r>
        <w:rPr>
          <w:rFonts w:hint="eastAsia" w:ascii="宋体" w:hAnsi="宋体" w:eastAsia="宋体" w:cs="宋体"/>
          <w:sz w:val="32"/>
          <w:szCs w:val="32"/>
        </w:rPr>
        <w:t>：每日按合同总额1%支付违约金；</w:t>
      </w:r>
      <w:r>
        <w:rPr>
          <w:rFonts w:hint="eastAsia" w:ascii="宋体" w:hAnsi="宋体" w:eastAsia="宋体" w:cs="宋体"/>
          <w:sz w:val="32"/>
          <w:szCs w:val="32"/>
          <w:lang w:eastAsia="zh-CN"/>
        </w:rPr>
        <w:t>超过</w:t>
      </w:r>
      <w:r>
        <w:rPr>
          <w:rFonts w:hint="eastAsia" w:ascii="宋体" w:hAnsi="宋体" w:eastAsia="宋体" w:cs="宋体"/>
          <w:sz w:val="32"/>
          <w:szCs w:val="32"/>
        </w:rPr>
        <w:t>20日，采购人有权解除合同，要求返还货款并按总额20%赔偿。</w:t>
      </w:r>
    </w:p>
    <w:p w14:paraId="7CD62B7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2.</w:t>
      </w:r>
      <w:r>
        <w:rPr>
          <w:rFonts w:hint="eastAsia" w:ascii="宋体" w:hAnsi="宋体" w:eastAsia="宋体" w:cs="宋体"/>
          <w:b/>
          <w:sz w:val="32"/>
          <w:szCs w:val="32"/>
        </w:rPr>
        <w:t>质量不合格</w:t>
      </w:r>
      <w:r>
        <w:rPr>
          <w:rFonts w:hint="eastAsia" w:ascii="宋体" w:hAnsi="宋体" w:eastAsia="宋体" w:cs="宋体"/>
          <w:sz w:val="32"/>
          <w:szCs w:val="32"/>
        </w:rPr>
        <w:t>：</w:t>
      </w:r>
    </w:p>
    <w:p w14:paraId="6C6D2CED">
      <w:pPr>
        <w:pageBreakBefore w:val="0"/>
        <w:widowControl w:val="0"/>
        <w:numPr>
          <w:ilvl w:val="1"/>
          <w:numId w:val="8"/>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验收不合格，选择重新维修的，重新维修过程中产生的费用由成交人全部承担，且需在采购人要求的时间内完成，逾期未完成的，</w:t>
      </w:r>
      <w:r>
        <w:rPr>
          <w:rFonts w:hint="eastAsia" w:ascii="宋体" w:hAnsi="宋体" w:eastAsia="宋体" w:cs="宋体"/>
          <w:sz w:val="32"/>
          <w:szCs w:val="32"/>
        </w:rPr>
        <w:t>每延迟一天按</w:t>
      </w:r>
      <w:r>
        <w:rPr>
          <w:rFonts w:hint="eastAsia" w:ascii="宋体" w:hAnsi="宋体" w:eastAsia="宋体" w:cs="宋体"/>
          <w:sz w:val="32"/>
          <w:szCs w:val="32"/>
          <w:lang w:eastAsia="zh-CN"/>
        </w:rPr>
        <w:t>本项目</w:t>
      </w:r>
      <w:r>
        <w:rPr>
          <w:rFonts w:hint="eastAsia" w:ascii="宋体" w:hAnsi="宋体" w:eastAsia="宋体" w:cs="宋体"/>
          <w:sz w:val="32"/>
          <w:szCs w:val="32"/>
        </w:rPr>
        <w:t>款的1%计收违约金，违约金从本合同款中扣除（如</w:t>
      </w:r>
      <w:r>
        <w:rPr>
          <w:rFonts w:hint="eastAsia" w:ascii="宋体" w:hAnsi="宋体" w:eastAsia="宋体" w:cs="宋体"/>
          <w:sz w:val="32"/>
          <w:szCs w:val="32"/>
          <w:lang w:eastAsia="zh-CN"/>
        </w:rPr>
        <w:t>有异议</w:t>
      </w:r>
      <w:r>
        <w:rPr>
          <w:rFonts w:hint="eastAsia" w:ascii="宋体" w:hAnsi="宋体" w:eastAsia="宋体" w:cs="宋体"/>
          <w:sz w:val="32"/>
          <w:szCs w:val="32"/>
        </w:rPr>
        <w:t>请在报价时注明）</w:t>
      </w:r>
      <w:r>
        <w:rPr>
          <w:rFonts w:hint="eastAsia" w:ascii="宋体" w:hAnsi="宋体" w:eastAsia="宋体" w:cs="宋体"/>
          <w:sz w:val="32"/>
          <w:szCs w:val="32"/>
          <w:lang w:val="en-US" w:eastAsia="zh-CN"/>
        </w:rPr>
        <w:t>。</w:t>
      </w:r>
    </w:p>
    <w:p w14:paraId="35B2520F">
      <w:pPr>
        <w:pageBreakBefore w:val="0"/>
        <w:widowControl w:val="0"/>
        <w:numPr>
          <w:ilvl w:val="1"/>
          <w:numId w:val="8"/>
        </w:numPr>
        <w:kinsoku/>
        <w:wordWrap/>
        <w:overflowPunct/>
        <w:topLinePunct w:val="0"/>
        <w:autoSpaceDE/>
        <w:autoSpaceDN/>
        <w:bidi w:val="0"/>
        <w:adjustRightInd/>
        <w:snapToGrid/>
        <w:spacing w:before="0" w:beforeAutospacing="0" w:after="0" w:afterAutospacing="0" w:line="500" w:lineRule="exact"/>
        <w:ind w:left="0" w:leftChars="0" w:firstLine="60" w:firstLineChars="0"/>
        <w:textAlignment w:val="auto"/>
        <w:rPr>
          <w:rFonts w:hint="eastAsia" w:ascii="宋体" w:hAnsi="宋体" w:eastAsia="宋体" w:cs="宋体"/>
          <w:sz w:val="32"/>
          <w:szCs w:val="32"/>
        </w:rPr>
      </w:pPr>
      <w:r>
        <w:rPr>
          <w:rFonts w:hint="eastAsia" w:ascii="宋体" w:hAnsi="宋体" w:eastAsia="宋体" w:cs="宋体"/>
          <w:sz w:val="32"/>
          <w:szCs w:val="32"/>
        </w:rPr>
        <w:t>解除合同：</w:t>
      </w:r>
      <w:r>
        <w:rPr>
          <w:rFonts w:hint="eastAsia" w:ascii="宋体" w:hAnsi="宋体" w:eastAsia="宋体" w:cs="宋体"/>
          <w:sz w:val="32"/>
          <w:szCs w:val="32"/>
          <w:lang w:val="en-US" w:eastAsia="zh-CN"/>
        </w:rPr>
        <w:t>如果出现两次验收不合格的情况，采购人有权解除合同，并有权要求成交人赔偿合同总价款的20%违约金给采购人（如有异议请在报价时注明）</w:t>
      </w:r>
      <w:r>
        <w:rPr>
          <w:rFonts w:hint="eastAsia" w:ascii="宋体" w:hAnsi="宋体" w:eastAsia="宋体" w:cs="宋体"/>
          <w:sz w:val="32"/>
          <w:szCs w:val="32"/>
        </w:rPr>
        <w:t>。</w:t>
      </w:r>
    </w:p>
    <w:p w14:paraId="52632EBA">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3.</w:t>
      </w:r>
      <w:r>
        <w:rPr>
          <w:rFonts w:hint="eastAsia" w:ascii="宋体" w:hAnsi="宋体" w:eastAsia="宋体" w:cs="宋体"/>
          <w:b/>
          <w:sz w:val="32"/>
          <w:szCs w:val="32"/>
        </w:rPr>
        <w:t>损失赔偿</w:t>
      </w:r>
      <w:r>
        <w:rPr>
          <w:rFonts w:hint="eastAsia" w:ascii="宋体" w:hAnsi="宋体" w:eastAsia="宋体" w:cs="宋体"/>
          <w:sz w:val="32"/>
          <w:szCs w:val="32"/>
        </w:rPr>
        <w:t>：因质量或逾期造成的直接/间接损失，违约金不超过合同总价20%。</w:t>
      </w:r>
    </w:p>
    <w:p w14:paraId="1A94C3D1">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七</w:t>
      </w:r>
      <w:r>
        <w:rPr>
          <w:rFonts w:hint="eastAsia" w:ascii="宋体" w:hAnsi="宋体" w:eastAsia="宋体" w:cs="宋体"/>
          <w:sz w:val="32"/>
          <w:szCs w:val="32"/>
        </w:rPr>
        <w:t>、其他事项</w:t>
      </w:r>
    </w:p>
    <w:p w14:paraId="3E4BA11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1.</w:t>
      </w:r>
      <w:r>
        <w:rPr>
          <w:rFonts w:hint="eastAsia" w:ascii="宋体" w:hAnsi="宋体" w:eastAsia="宋体" w:cs="宋体"/>
          <w:sz w:val="32"/>
          <w:szCs w:val="32"/>
        </w:rPr>
        <w:t>成交人须按询价书签订合同，违约将面临中止合作风险。</w:t>
      </w:r>
    </w:p>
    <w:p w14:paraId="228D9EB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2.</w:t>
      </w:r>
      <w:r>
        <w:rPr>
          <w:rFonts w:hint="eastAsia" w:ascii="宋体" w:hAnsi="宋体" w:eastAsia="宋体" w:cs="宋体"/>
          <w:sz w:val="32"/>
          <w:szCs w:val="32"/>
        </w:rPr>
        <w:t>产品需经采购人检验合格，长期合约三次不合格者终止合同。</w:t>
      </w:r>
    </w:p>
    <w:p w14:paraId="2E46BB6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争议协商解决，仲裁按《产品质量仲裁检验和产品质量鉴定管理办法》执行。</w:t>
      </w:r>
    </w:p>
    <w:p w14:paraId="1E0C3DA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违规供应商将列入负面清单，解释权归江苏索普化工股份有限公司</w:t>
      </w:r>
      <w:r>
        <w:rPr>
          <w:rFonts w:hint="eastAsia" w:ascii="宋体" w:hAnsi="宋体" w:eastAsia="宋体" w:cs="宋体"/>
          <w:sz w:val="32"/>
          <w:szCs w:val="32"/>
          <w:lang w:val="en-US" w:eastAsia="zh-CN"/>
        </w:rPr>
        <w:t>采购中心</w:t>
      </w:r>
      <w:r>
        <w:rPr>
          <w:rFonts w:hint="eastAsia" w:ascii="宋体" w:hAnsi="宋体" w:eastAsia="宋体" w:cs="宋体"/>
          <w:sz w:val="32"/>
          <w:szCs w:val="32"/>
        </w:rPr>
        <w:t>。</w:t>
      </w:r>
    </w:p>
    <w:p w14:paraId="1D48D955">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rPr>
      </w:pPr>
    </w:p>
    <w:p w14:paraId="61B8DBE6">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w:t>
      </w:r>
    </w:p>
    <w:p w14:paraId="37D75DC6">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p>
    <w:p w14:paraId="4D3E071A">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p>
    <w:p w14:paraId="4FE58457">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2880" w:firstLineChars="900"/>
        <w:textAlignment w:val="auto"/>
        <w:rPr>
          <w:rFonts w:hint="default" w:ascii="宋体" w:hAnsi="宋体" w:eastAsia="宋体" w:cs="宋体"/>
          <w:sz w:val="32"/>
          <w:szCs w:val="32"/>
          <w:lang w:val="en-US" w:eastAsia="zh-CN"/>
        </w:rPr>
      </w:pPr>
      <w:r>
        <w:rPr>
          <w:rFonts w:hint="eastAsia" w:ascii="宋体" w:hAnsi="宋体" w:eastAsia="宋体" w:cs="宋体"/>
          <w:sz w:val="32"/>
          <w:szCs w:val="32"/>
        </w:rPr>
        <w:t>江苏索普化工股份有限公司</w:t>
      </w:r>
      <w:r>
        <w:rPr>
          <w:rFonts w:hint="eastAsia" w:ascii="宋体" w:hAnsi="宋体" w:eastAsia="宋体" w:cs="宋体"/>
          <w:sz w:val="32"/>
          <w:szCs w:val="32"/>
          <w:lang w:val="en-US" w:eastAsia="zh-CN"/>
        </w:rPr>
        <w:t>采购中心</w:t>
      </w:r>
    </w:p>
    <w:p w14:paraId="31A6C55A">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rPr>
      </w:pPr>
    </w:p>
    <w:p w14:paraId="26E9FD79">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日期：</w:t>
      </w:r>
      <w:r>
        <w:rPr>
          <w:rFonts w:hint="eastAsia" w:ascii="宋体" w:hAnsi="宋体" w:eastAsia="宋体" w:cs="宋体"/>
          <w:color w:val="auto"/>
          <w:sz w:val="32"/>
          <w:szCs w:val="32"/>
          <w:lang w:val="en-US" w:eastAsia="zh-CN"/>
        </w:rPr>
        <w:t>2026</w:t>
      </w:r>
      <w:r>
        <w:rPr>
          <w:rFonts w:hint="eastAsia" w:ascii="宋体" w:hAnsi="宋体" w:eastAsia="宋体" w:cs="宋体"/>
          <w:color w:val="auto"/>
          <w:sz w:val="32"/>
          <w:szCs w:val="32"/>
        </w:rPr>
        <w:t>年</w:t>
      </w:r>
      <w:r>
        <w:rPr>
          <w:rFonts w:hint="eastAsia" w:ascii="宋体" w:hAnsi="宋体" w:eastAsia="宋体" w:cs="宋体"/>
          <w:color w:val="auto"/>
          <w:sz w:val="32"/>
          <w:szCs w:val="32"/>
          <w:lang w:val="en-US" w:eastAsia="zh-CN"/>
        </w:rPr>
        <w:t>9</w:t>
      </w:r>
      <w:r>
        <w:rPr>
          <w:rFonts w:hint="eastAsia" w:ascii="宋体" w:hAnsi="宋体" w:eastAsia="宋体" w:cs="宋体"/>
          <w:color w:val="auto"/>
          <w:sz w:val="32"/>
          <w:szCs w:val="32"/>
        </w:rPr>
        <w:t>月</w:t>
      </w:r>
      <w:r>
        <w:rPr>
          <w:rFonts w:hint="eastAsia" w:ascii="宋体" w:hAnsi="宋体" w:eastAsia="宋体" w:cs="宋体"/>
          <w:color w:val="auto"/>
          <w:sz w:val="32"/>
          <w:szCs w:val="32"/>
          <w:lang w:val="en-US" w:eastAsia="zh-CN"/>
        </w:rPr>
        <w:t>8</w:t>
      </w:r>
      <w:r>
        <w:rPr>
          <w:rFonts w:hint="eastAsia" w:ascii="宋体" w:hAnsi="宋体" w:eastAsia="宋体" w:cs="宋体"/>
          <w:color w:val="auto"/>
          <w:sz w:val="32"/>
          <w:szCs w:val="32"/>
        </w:rPr>
        <w:t>日</w:t>
      </w:r>
    </w:p>
    <w:p w14:paraId="3A4F3A57">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21"/>
          <w:szCs w:val="21"/>
        </w:rPr>
      </w:pPr>
      <w:r>
        <w:rPr>
          <w:rFonts w:hint="eastAsia" w:ascii="宋体" w:hAnsi="宋体" w:eastAsia="宋体" w:cs="宋体"/>
          <w:sz w:val="21"/>
          <w:szCs w:val="21"/>
        </w:rPr>
        <w:br w:type="page"/>
      </w:r>
    </w:p>
    <w:p w14:paraId="5F37A95D">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jc w:val="both"/>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附件1：</w:t>
      </w:r>
    </w:p>
    <w:p w14:paraId="756083B5">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jc w:val="center"/>
        <w:textAlignment w:val="auto"/>
        <w:rPr>
          <w:rFonts w:hint="eastAsia" w:ascii="宋体" w:hAnsi="宋体" w:eastAsia="宋体" w:cs="宋体"/>
          <w:sz w:val="32"/>
          <w:szCs w:val="32"/>
        </w:rPr>
      </w:pPr>
      <w:r>
        <w:rPr>
          <w:rFonts w:hint="eastAsia" w:ascii="宋体" w:hAnsi="宋体" w:eastAsia="宋体" w:cs="宋体"/>
          <w:sz w:val="32"/>
          <w:szCs w:val="32"/>
        </w:rPr>
        <w:t>报价函</w:t>
      </w:r>
    </w:p>
    <w:p w14:paraId="58D07B85">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b/>
          <w:sz w:val="32"/>
          <w:szCs w:val="32"/>
        </w:rPr>
        <w:t>江苏索普化工股份有限公司</w:t>
      </w:r>
      <w:r>
        <w:rPr>
          <w:rFonts w:hint="eastAsia" w:ascii="宋体" w:hAnsi="宋体" w:eastAsia="宋体" w:cs="宋体"/>
          <w:sz w:val="32"/>
          <w:szCs w:val="32"/>
        </w:rPr>
        <w:t>：</w:t>
      </w:r>
    </w:p>
    <w:p w14:paraId="03DF583E">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color w:val="auto"/>
          <w:sz w:val="32"/>
          <w:szCs w:val="32"/>
        </w:rPr>
        <w:t>（报价单位全称）授权（全权代表姓名、职务）为</w:t>
      </w:r>
      <w:r>
        <w:rPr>
          <w:rFonts w:hint="eastAsia" w:ascii="宋体" w:hAnsi="宋体" w:eastAsia="宋体" w:cs="宋体"/>
          <w:sz w:val="32"/>
          <w:szCs w:val="32"/>
        </w:rPr>
        <w:t>全权代表，参加贵方公开询比价活动，报价如下：</w:t>
      </w:r>
    </w:p>
    <w:p w14:paraId="5AB6199D">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b w:val="0"/>
          <w:bCs/>
          <w:sz w:val="32"/>
          <w:szCs w:val="32"/>
          <w:lang w:val="en-US" w:eastAsia="zh-CN"/>
        </w:rPr>
        <w:t>1.</w:t>
      </w:r>
      <w:r>
        <w:rPr>
          <w:rFonts w:hint="eastAsia" w:ascii="宋体" w:hAnsi="宋体" w:eastAsia="宋体" w:cs="宋体"/>
          <w:b w:val="0"/>
          <w:bCs/>
          <w:sz w:val="32"/>
          <w:szCs w:val="32"/>
        </w:rPr>
        <w:t>项目总价（含税）：</w:t>
      </w:r>
      <w:r>
        <w:rPr>
          <w:rFonts w:hint="eastAsia" w:ascii="宋体" w:hAnsi="宋体" w:eastAsia="宋体" w:cs="宋体"/>
          <w:color w:val="auto"/>
          <w:sz w:val="32"/>
          <w:szCs w:val="32"/>
        </w:rPr>
        <w:t>（大写）____</w:t>
      </w:r>
      <w:r>
        <w:rPr>
          <w:rFonts w:hint="eastAsia" w:ascii="宋体" w:hAnsi="宋体" w:eastAsia="宋体" w:cs="宋体"/>
          <w:color w:val="auto"/>
          <w:sz w:val="32"/>
          <w:szCs w:val="32"/>
          <w:u w:val="none"/>
        </w:rPr>
        <w:t>元人民币；税率</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none"/>
        </w:rPr>
        <w:t>%</w:t>
      </w:r>
      <w:r>
        <w:rPr>
          <w:rFonts w:hint="eastAsia" w:ascii="宋体" w:hAnsi="宋体" w:eastAsia="宋体" w:cs="宋体"/>
          <w:sz w:val="32"/>
          <w:szCs w:val="32"/>
        </w:rPr>
        <w:t>（附分项报价清单）。</w:t>
      </w:r>
    </w:p>
    <w:p w14:paraId="167DA178">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b w:val="0"/>
          <w:bCs/>
          <w:sz w:val="32"/>
          <w:szCs w:val="32"/>
          <w:lang w:val="en-US" w:eastAsia="zh-CN"/>
        </w:rPr>
        <w:t>2.</w:t>
      </w:r>
      <w:r>
        <w:rPr>
          <w:rFonts w:hint="eastAsia" w:ascii="宋体" w:hAnsi="宋体" w:eastAsia="宋体" w:cs="宋体"/>
          <w:b w:val="0"/>
          <w:bCs/>
          <w:sz w:val="32"/>
          <w:szCs w:val="32"/>
        </w:rPr>
        <w:t>交货时间：</w:t>
      </w:r>
      <w:r>
        <w:rPr>
          <w:rFonts w:hint="eastAsia" w:ascii="宋体" w:hAnsi="宋体" w:eastAsia="宋体" w:cs="宋体"/>
          <w:sz w:val="32"/>
          <w:szCs w:val="32"/>
        </w:rPr>
        <w:t>________________________。</w:t>
      </w:r>
    </w:p>
    <w:p w14:paraId="7E6B970D">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我方已审查全部询价书及补充文件，完全接受所有条款，放弃对条款不明或误解的权利；若条款冲突，同意按贵方解释处理。</w:t>
      </w:r>
    </w:p>
    <w:p w14:paraId="7CAEF8E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愿意提供与报价相关的所有数据、资料，理解贵方无义务接受最低价或任何报价。</w:t>
      </w:r>
    </w:p>
    <w:p w14:paraId="2DEDF12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w:t>
      </w:r>
      <w:r>
        <w:rPr>
          <w:rFonts w:hint="eastAsia" w:ascii="宋体" w:hAnsi="宋体" w:eastAsia="宋体" w:cs="宋体"/>
          <w:sz w:val="32"/>
          <w:szCs w:val="32"/>
        </w:rPr>
        <w:t>不接受项：________________________。</w:t>
      </w:r>
    </w:p>
    <w:p w14:paraId="3D873E2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6.</w:t>
      </w:r>
      <w:r>
        <w:rPr>
          <w:rFonts w:hint="eastAsia" w:ascii="宋体" w:hAnsi="宋体" w:eastAsia="宋体" w:cs="宋体"/>
          <w:sz w:val="32"/>
          <w:szCs w:val="32"/>
        </w:rPr>
        <w:t>分项报价清单</w:t>
      </w:r>
    </w:p>
    <w:tbl>
      <w:tblPr>
        <w:tblStyle w:val="27"/>
        <w:tblW w:w="916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306"/>
        <w:gridCol w:w="2795"/>
        <w:gridCol w:w="668"/>
        <w:gridCol w:w="764"/>
        <w:gridCol w:w="1118"/>
        <w:gridCol w:w="805"/>
      </w:tblGrid>
      <w:tr w14:paraId="110C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3EDA023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序号</w:t>
            </w:r>
          </w:p>
        </w:tc>
        <w:tc>
          <w:tcPr>
            <w:tcW w:w="2306" w:type="dxa"/>
            <w:noWrap w:val="0"/>
            <w:vAlign w:val="center"/>
          </w:tcPr>
          <w:p w14:paraId="6860D37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名称</w:t>
            </w:r>
          </w:p>
        </w:tc>
        <w:tc>
          <w:tcPr>
            <w:tcW w:w="2795" w:type="dxa"/>
            <w:noWrap w:val="0"/>
            <w:vAlign w:val="center"/>
          </w:tcPr>
          <w:p w14:paraId="3303213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装填量</w:t>
            </w:r>
          </w:p>
        </w:tc>
        <w:tc>
          <w:tcPr>
            <w:tcW w:w="668" w:type="dxa"/>
            <w:noWrap w:val="0"/>
            <w:vAlign w:val="center"/>
          </w:tcPr>
          <w:p w14:paraId="03836DF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000000"/>
                <w:spacing w:val="0"/>
                <w:kern w:val="0"/>
                <w:sz w:val="21"/>
                <w:szCs w:val="21"/>
                <w:lang w:val="en-US" w:eastAsia="zh-CN" w:bidi="ar-SA"/>
              </w:rPr>
            </w:pPr>
            <w:r>
              <w:rPr>
                <w:rFonts w:hint="eastAsia" w:ascii="宋体" w:hAnsi="宋体" w:eastAsia="宋体" w:cs="宋体"/>
                <w:spacing w:val="0"/>
                <w:kern w:val="0"/>
                <w:sz w:val="21"/>
                <w:szCs w:val="21"/>
              </w:rPr>
              <w:t>单位</w:t>
            </w:r>
          </w:p>
        </w:tc>
        <w:tc>
          <w:tcPr>
            <w:tcW w:w="764" w:type="dxa"/>
            <w:noWrap w:val="0"/>
            <w:vAlign w:val="center"/>
          </w:tcPr>
          <w:p w14:paraId="35FC142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000000"/>
                <w:spacing w:val="0"/>
                <w:kern w:val="0"/>
                <w:sz w:val="21"/>
                <w:szCs w:val="21"/>
                <w:lang w:val="en-US" w:eastAsia="zh-CN" w:bidi="ar-SA"/>
              </w:rPr>
            </w:pPr>
            <w:r>
              <w:rPr>
                <w:rFonts w:hint="eastAsia" w:ascii="宋体" w:hAnsi="宋体" w:eastAsia="宋体" w:cs="宋体"/>
                <w:spacing w:val="0"/>
                <w:kern w:val="0"/>
                <w:sz w:val="21"/>
                <w:szCs w:val="21"/>
              </w:rPr>
              <w:t>数量</w:t>
            </w:r>
          </w:p>
        </w:tc>
        <w:tc>
          <w:tcPr>
            <w:tcW w:w="1118" w:type="dxa"/>
            <w:noWrap w:val="0"/>
            <w:vAlign w:val="center"/>
          </w:tcPr>
          <w:p w14:paraId="4F7F882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单价</w:t>
            </w:r>
          </w:p>
        </w:tc>
        <w:tc>
          <w:tcPr>
            <w:tcW w:w="805" w:type="dxa"/>
            <w:noWrap w:val="0"/>
            <w:vAlign w:val="center"/>
          </w:tcPr>
          <w:p w14:paraId="6653F93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税率</w:t>
            </w:r>
          </w:p>
        </w:tc>
      </w:tr>
      <w:tr w14:paraId="501B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5CD65A0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w:t>
            </w:r>
          </w:p>
        </w:tc>
        <w:tc>
          <w:tcPr>
            <w:tcW w:w="2306" w:type="dxa"/>
            <w:shd w:val="clear" w:color="auto" w:fill="auto"/>
            <w:noWrap w:val="0"/>
            <w:vAlign w:val="center"/>
          </w:tcPr>
          <w:p w14:paraId="4150C26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脱硫塔</w:t>
            </w:r>
            <w:r>
              <w:rPr>
                <w:rFonts w:hint="eastAsia" w:ascii="宋体" w:hAnsi="宋体" w:eastAsia="宋体" w:cs="宋体"/>
                <w:spacing w:val="0"/>
                <w:kern w:val="0"/>
                <w:sz w:val="21"/>
                <w:szCs w:val="21"/>
                <w:lang w:val="en-US" w:eastAsia="zh-CN"/>
              </w:rPr>
              <w:t>拆装催化剂及瓷球</w:t>
            </w:r>
          </w:p>
        </w:tc>
        <w:tc>
          <w:tcPr>
            <w:tcW w:w="2795" w:type="dxa"/>
            <w:shd w:val="clear" w:color="auto" w:fill="auto"/>
            <w:noWrap w:val="0"/>
            <w:vAlign w:val="center"/>
          </w:tcPr>
          <w:p w14:paraId="6C28267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vertAlign w:val="superscript"/>
              </w:rPr>
            </w:pPr>
            <w:r>
              <w:rPr>
                <w:rFonts w:hint="eastAsia" w:ascii="宋体" w:hAnsi="宋体" w:eastAsia="宋体" w:cs="宋体"/>
                <w:spacing w:val="0"/>
                <w:kern w:val="0"/>
                <w:sz w:val="21"/>
                <w:szCs w:val="21"/>
              </w:rPr>
              <w:t>氧化铁精脱硫剂10 m</w:t>
            </w:r>
            <w:r>
              <w:rPr>
                <w:rFonts w:hint="eastAsia" w:ascii="宋体" w:hAnsi="宋体" w:eastAsia="宋体" w:cs="宋体"/>
                <w:spacing w:val="0"/>
                <w:kern w:val="0"/>
                <w:sz w:val="21"/>
                <w:szCs w:val="21"/>
                <w:vertAlign w:val="superscript"/>
              </w:rPr>
              <w:t>3</w:t>
            </w:r>
          </w:p>
          <w:p w14:paraId="68F92DC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活性炭精脱硫剂5 m</w:t>
            </w:r>
            <w:r>
              <w:rPr>
                <w:rFonts w:hint="eastAsia" w:ascii="宋体" w:hAnsi="宋体" w:eastAsia="宋体" w:cs="宋体"/>
                <w:spacing w:val="0"/>
                <w:kern w:val="0"/>
                <w:sz w:val="21"/>
                <w:szCs w:val="21"/>
                <w:vertAlign w:val="superscript"/>
              </w:rPr>
              <w:t>3</w:t>
            </w:r>
          </w:p>
          <w:p w14:paraId="16665D5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瓷球</w:t>
            </w:r>
          </w:p>
        </w:tc>
        <w:tc>
          <w:tcPr>
            <w:tcW w:w="668" w:type="dxa"/>
            <w:shd w:val="clear" w:color="auto" w:fill="auto"/>
            <w:noWrap w:val="0"/>
            <w:vAlign w:val="center"/>
          </w:tcPr>
          <w:p w14:paraId="2BC8478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764" w:type="dxa"/>
            <w:noWrap w:val="0"/>
            <w:vAlign w:val="center"/>
          </w:tcPr>
          <w:p w14:paraId="0B71E8A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w:t>
            </w:r>
          </w:p>
        </w:tc>
        <w:tc>
          <w:tcPr>
            <w:tcW w:w="1118" w:type="dxa"/>
            <w:noWrap w:val="0"/>
            <w:vAlign w:val="center"/>
          </w:tcPr>
          <w:p w14:paraId="4FC6F51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c>
          <w:tcPr>
            <w:tcW w:w="805" w:type="dxa"/>
            <w:noWrap w:val="0"/>
            <w:vAlign w:val="center"/>
          </w:tcPr>
          <w:p w14:paraId="451E7EB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r>
      <w:tr w14:paraId="704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1B28805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2</w:t>
            </w:r>
          </w:p>
        </w:tc>
        <w:tc>
          <w:tcPr>
            <w:tcW w:w="2306" w:type="dxa"/>
            <w:shd w:val="clear" w:color="auto" w:fill="auto"/>
            <w:noWrap w:val="0"/>
            <w:vAlign w:val="center"/>
          </w:tcPr>
          <w:p w14:paraId="7BBBB0F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水解塔</w:t>
            </w:r>
            <w:r>
              <w:rPr>
                <w:rFonts w:hint="eastAsia" w:ascii="宋体" w:hAnsi="宋体" w:eastAsia="宋体" w:cs="宋体"/>
                <w:spacing w:val="0"/>
                <w:kern w:val="0"/>
                <w:sz w:val="21"/>
                <w:szCs w:val="21"/>
                <w:lang w:val="en-US" w:eastAsia="zh-CN"/>
              </w:rPr>
              <w:t>拆装催化剂及瓷球</w:t>
            </w:r>
          </w:p>
        </w:tc>
        <w:tc>
          <w:tcPr>
            <w:tcW w:w="2795" w:type="dxa"/>
            <w:shd w:val="clear" w:color="auto" w:fill="auto"/>
            <w:noWrap w:val="0"/>
            <w:vAlign w:val="center"/>
          </w:tcPr>
          <w:p w14:paraId="6A49643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常温COS水解催化剂35 m</w:t>
            </w:r>
            <w:r>
              <w:rPr>
                <w:rFonts w:hint="eastAsia" w:ascii="宋体" w:hAnsi="宋体" w:eastAsia="宋体" w:cs="宋体"/>
                <w:spacing w:val="0"/>
                <w:kern w:val="0"/>
                <w:sz w:val="21"/>
                <w:szCs w:val="21"/>
                <w:vertAlign w:val="superscript"/>
              </w:rPr>
              <w:t>3</w:t>
            </w:r>
          </w:p>
          <w:p w14:paraId="5670304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瓷球</w:t>
            </w:r>
          </w:p>
        </w:tc>
        <w:tc>
          <w:tcPr>
            <w:tcW w:w="668" w:type="dxa"/>
            <w:shd w:val="clear" w:color="auto" w:fill="auto"/>
            <w:noWrap w:val="0"/>
            <w:vAlign w:val="center"/>
          </w:tcPr>
          <w:p w14:paraId="17DCA1D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764" w:type="dxa"/>
            <w:noWrap w:val="0"/>
            <w:vAlign w:val="center"/>
          </w:tcPr>
          <w:p w14:paraId="7EA47DC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lang w:val="en-US" w:eastAsia="zh-CN"/>
              </w:rPr>
              <w:t>1</w:t>
            </w:r>
          </w:p>
        </w:tc>
        <w:tc>
          <w:tcPr>
            <w:tcW w:w="1118" w:type="dxa"/>
            <w:noWrap w:val="0"/>
            <w:vAlign w:val="center"/>
          </w:tcPr>
          <w:p w14:paraId="672BB18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c>
          <w:tcPr>
            <w:tcW w:w="805" w:type="dxa"/>
            <w:noWrap w:val="0"/>
            <w:vAlign w:val="center"/>
          </w:tcPr>
          <w:p w14:paraId="4D5BF98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r>
      <w:tr w14:paraId="4CDC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3985E59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3</w:t>
            </w:r>
          </w:p>
        </w:tc>
        <w:tc>
          <w:tcPr>
            <w:tcW w:w="2306" w:type="dxa"/>
            <w:shd w:val="clear" w:color="auto" w:fill="auto"/>
            <w:noWrap w:val="0"/>
            <w:vAlign w:val="center"/>
          </w:tcPr>
          <w:p w14:paraId="4652764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纯化器A</w:t>
            </w:r>
            <w:r>
              <w:rPr>
                <w:rFonts w:hint="eastAsia" w:ascii="宋体" w:hAnsi="宋体" w:eastAsia="宋体" w:cs="宋体"/>
                <w:spacing w:val="0"/>
                <w:kern w:val="0"/>
                <w:sz w:val="21"/>
                <w:szCs w:val="21"/>
                <w:lang w:val="en-US" w:eastAsia="zh-CN"/>
              </w:rPr>
              <w:t>拆装催化剂及瓷球</w:t>
            </w:r>
          </w:p>
        </w:tc>
        <w:tc>
          <w:tcPr>
            <w:tcW w:w="2795" w:type="dxa"/>
            <w:shd w:val="clear" w:color="auto" w:fill="auto"/>
            <w:noWrap w:val="0"/>
            <w:vAlign w:val="center"/>
          </w:tcPr>
          <w:p w14:paraId="0AE81B9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氧活性炭精脱硫剂15 m</w:t>
            </w:r>
            <w:r>
              <w:rPr>
                <w:rFonts w:hint="eastAsia" w:ascii="宋体" w:hAnsi="宋体" w:eastAsia="宋体" w:cs="宋体"/>
                <w:spacing w:val="0"/>
                <w:kern w:val="0"/>
                <w:sz w:val="21"/>
                <w:szCs w:val="21"/>
                <w:vertAlign w:val="superscript"/>
              </w:rPr>
              <w:t>3</w:t>
            </w:r>
          </w:p>
          <w:p w14:paraId="5B2E97B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瓷球</w:t>
            </w:r>
          </w:p>
        </w:tc>
        <w:tc>
          <w:tcPr>
            <w:tcW w:w="668" w:type="dxa"/>
            <w:shd w:val="clear" w:color="auto" w:fill="auto"/>
            <w:noWrap w:val="0"/>
            <w:vAlign w:val="center"/>
          </w:tcPr>
          <w:p w14:paraId="45AE1C9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764" w:type="dxa"/>
            <w:noWrap w:val="0"/>
            <w:vAlign w:val="center"/>
          </w:tcPr>
          <w:p w14:paraId="5CCA7C7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lang w:val="en-US" w:eastAsia="zh-CN"/>
              </w:rPr>
              <w:t>1</w:t>
            </w:r>
          </w:p>
        </w:tc>
        <w:tc>
          <w:tcPr>
            <w:tcW w:w="1118" w:type="dxa"/>
            <w:noWrap w:val="0"/>
            <w:vAlign w:val="center"/>
          </w:tcPr>
          <w:p w14:paraId="27E9CE7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c>
          <w:tcPr>
            <w:tcW w:w="805" w:type="dxa"/>
            <w:noWrap w:val="0"/>
            <w:vAlign w:val="center"/>
          </w:tcPr>
          <w:p w14:paraId="0550B60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r>
      <w:tr w14:paraId="14D2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537E009B">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4</w:t>
            </w:r>
          </w:p>
        </w:tc>
        <w:tc>
          <w:tcPr>
            <w:tcW w:w="2306" w:type="dxa"/>
            <w:shd w:val="clear" w:color="auto" w:fill="auto"/>
            <w:noWrap w:val="0"/>
            <w:vAlign w:val="center"/>
          </w:tcPr>
          <w:p w14:paraId="3D02AF9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纯化器B</w:t>
            </w:r>
            <w:r>
              <w:rPr>
                <w:rFonts w:hint="eastAsia" w:ascii="宋体" w:hAnsi="宋体" w:eastAsia="宋体" w:cs="宋体"/>
                <w:spacing w:val="0"/>
                <w:kern w:val="0"/>
                <w:sz w:val="21"/>
                <w:szCs w:val="21"/>
                <w:lang w:val="en-US" w:eastAsia="zh-CN"/>
              </w:rPr>
              <w:t>拆装催化剂及瓷球</w:t>
            </w:r>
          </w:p>
        </w:tc>
        <w:tc>
          <w:tcPr>
            <w:tcW w:w="2795" w:type="dxa"/>
            <w:shd w:val="clear" w:color="auto" w:fill="auto"/>
            <w:noWrap w:val="0"/>
            <w:vAlign w:val="center"/>
          </w:tcPr>
          <w:p w14:paraId="40B9D3D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氧活性炭精脱硫剂10 m</w:t>
            </w:r>
            <w:r>
              <w:rPr>
                <w:rFonts w:hint="eastAsia" w:ascii="宋体" w:hAnsi="宋体" w:eastAsia="宋体" w:cs="宋体"/>
                <w:spacing w:val="0"/>
                <w:kern w:val="0"/>
                <w:sz w:val="21"/>
                <w:szCs w:val="21"/>
                <w:vertAlign w:val="superscript"/>
              </w:rPr>
              <w:t>3</w:t>
            </w:r>
          </w:p>
          <w:p w14:paraId="7789A9C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瓷球</w:t>
            </w:r>
          </w:p>
        </w:tc>
        <w:tc>
          <w:tcPr>
            <w:tcW w:w="668" w:type="dxa"/>
            <w:shd w:val="clear" w:color="auto" w:fill="auto"/>
            <w:noWrap w:val="0"/>
            <w:vAlign w:val="center"/>
          </w:tcPr>
          <w:p w14:paraId="45499BE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764" w:type="dxa"/>
            <w:noWrap w:val="0"/>
            <w:vAlign w:val="center"/>
          </w:tcPr>
          <w:p w14:paraId="76B1350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lang w:val="en-US" w:eastAsia="zh-CN"/>
              </w:rPr>
              <w:t>1</w:t>
            </w:r>
          </w:p>
        </w:tc>
        <w:tc>
          <w:tcPr>
            <w:tcW w:w="1118" w:type="dxa"/>
            <w:noWrap w:val="0"/>
            <w:vAlign w:val="center"/>
          </w:tcPr>
          <w:p w14:paraId="0CAF0E9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c>
          <w:tcPr>
            <w:tcW w:w="805" w:type="dxa"/>
            <w:noWrap w:val="0"/>
            <w:vAlign w:val="center"/>
          </w:tcPr>
          <w:p w14:paraId="14115B8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r>
      <w:tr w14:paraId="1198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59C8881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5</w:t>
            </w:r>
          </w:p>
        </w:tc>
        <w:tc>
          <w:tcPr>
            <w:tcW w:w="6533" w:type="dxa"/>
            <w:gridSpan w:val="4"/>
            <w:noWrap w:val="0"/>
            <w:vAlign w:val="center"/>
          </w:tcPr>
          <w:p w14:paraId="6D3271E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合计</w:t>
            </w:r>
          </w:p>
        </w:tc>
        <w:tc>
          <w:tcPr>
            <w:tcW w:w="1118" w:type="dxa"/>
            <w:noWrap w:val="0"/>
            <w:vAlign w:val="center"/>
          </w:tcPr>
          <w:p w14:paraId="0A65478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c>
          <w:tcPr>
            <w:tcW w:w="805" w:type="dxa"/>
            <w:noWrap w:val="0"/>
            <w:vAlign w:val="center"/>
          </w:tcPr>
          <w:p w14:paraId="09EEC1A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lang w:eastAsia="zh-CN"/>
              </w:rPr>
            </w:pPr>
          </w:p>
        </w:tc>
      </w:tr>
    </w:tbl>
    <w:p w14:paraId="185E2F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rPr>
      </w:pPr>
      <w:r>
        <w:rPr>
          <w:rFonts w:hint="eastAsia" w:ascii="宋体" w:hAnsi="宋体" w:eastAsia="宋体" w:cs="宋体"/>
          <w:color w:val="auto"/>
          <w:spacing w:val="0"/>
          <w:kern w:val="0"/>
          <w:sz w:val="32"/>
          <w:szCs w:val="32"/>
          <w:lang w:eastAsia="zh-CN"/>
        </w:rPr>
        <w:t>（</w:t>
      </w:r>
      <w:r>
        <w:rPr>
          <w:rFonts w:hint="eastAsia" w:ascii="宋体" w:hAnsi="宋体" w:eastAsia="宋体" w:cs="宋体"/>
          <w:color w:val="auto"/>
          <w:spacing w:val="0"/>
          <w:kern w:val="0"/>
          <w:sz w:val="32"/>
          <w:szCs w:val="32"/>
          <w:lang w:val="en-US" w:eastAsia="zh-CN"/>
        </w:rPr>
        <w:t>1</w:t>
      </w:r>
      <w:r>
        <w:rPr>
          <w:rFonts w:hint="eastAsia" w:ascii="宋体" w:hAnsi="宋体" w:eastAsia="宋体" w:cs="宋体"/>
          <w:color w:val="auto"/>
          <w:spacing w:val="0"/>
          <w:kern w:val="0"/>
          <w:sz w:val="32"/>
          <w:szCs w:val="32"/>
          <w:lang w:eastAsia="zh-CN"/>
        </w:rPr>
        <w:t>）</w:t>
      </w:r>
      <w:r>
        <w:rPr>
          <w:rFonts w:hint="eastAsia" w:ascii="宋体" w:hAnsi="宋体" w:eastAsia="宋体" w:cs="宋体"/>
          <w:color w:val="auto"/>
          <w:spacing w:val="0"/>
          <w:kern w:val="0"/>
          <w:sz w:val="32"/>
          <w:szCs w:val="32"/>
        </w:rPr>
        <w:t>在满足</w:t>
      </w:r>
      <w:r>
        <w:rPr>
          <w:rFonts w:hint="eastAsia" w:ascii="宋体" w:hAnsi="宋体" w:eastAsia="宋体" w:cs="宋体"/>
          <w:color w:val="auto"/>
          <w:spacing w:val="0"/>
          <w:kern w:val="0"/>
          <w:sz w:val="32"/>
          <w:szCs w:val="32"/>
          <w:lang w:val="en-US" w:eastAsia="zh-CN"/>
        </w:rPr>
        <w:t>采购</w:t>
      </w:r>
      <w:r>
        <w:rPr>
          <w:rFonts w:hint="eastAsia" w:ascii="宋体" w:hAnsi="宋体" w:eastAsia="宋体" w:cs="宋体"/>
          <w:color w:val="auto"/>
          <w:spacing w:val="0"/>
          <w:kern w:val="0"/>
          <w:sz w:val="32"/>
          <w:szCs w:val="32"/>
        </w:rPr>
        <w:t>人使用要求前提下，以</w:t>
      </w:r>
      <w:r>
        <w:rPr>
          <w:rFonts w:hint="eastAsia" w:ascii="宋体" w:hAnsi="宋体" w:eastAsia="宋体" w:cs="宋体"/>
          <w:color w:val="auto"/>
          <w:spacing w:val="0"/>
          <w:kern w:val="0"/>
          <w:sz w:val="32"/>
          <w:szCs w:val="32"/>
          <w:lang w:eastAsia="zh-CN"/>
        </w:rPr>
        <w:t>报价格式</w:t>
      </w:r>
      <w:r>
        <w:rPr>
          <w:rFonts w:hint="eastAsia" w:ascii="宋体" w:hAnsi="宋体" w:eastAsia="宋体" w:cs="宋体"/>
          <w:color w:val="auto"/>
          <w:spacing w:val="0"/>
          <w:kern w:val="0"/>
          <w:sz w:val="32"/>
          <w:szCs w:val="32"/>
          <w:lang w:val="en-US" w:eastAsia="zh-CN"/>
        </w:rPr>
        <w:t>合计价</w:t>
      </w:r>
      <w:r>
        <w:rPr>
          <w:rFonts w:hint="eastAsia" w:ascii="宋体" w:hAnsi="宋体" w:eastAsia="宋体" w:cs="宋体"/>
          <w:color w:val="auto"/>
          <w:spacing w:val="0"/>
          <w:kern w:val="0"/>
          <w:sz w:val="32"/>
          <w:szCs w:val="32"/>
        </w:rPr>
        <w:t>作为</w:t>
      </w:r>
      <w:r>
        <w:rPr>
          <w:rFonts w:hint="eastAsia" w:ascii="宋体" w:hAnsi="宋体" w:eastAsia="宋体" w:cs="宋体"/>
          <w:color w:val="auto"/>
          <w:spacing w:val="0"/>
          <w:kern w:val="0"/>
          <w:sz w:val="32"/>
          <w:szCs w:val="32"/>
          <w:lang w:eastAsia="zh-CN"/>
        </w:rPr>
        <w:t>确定</w:t>
      </w:r>
      <w:r>
        <w:rPr>
          <w:rFonts w:hint="eastAsia" w:ascii="宋体" w:hAnsi="宋体" w:eastAsia="宋体" w:cs="宋体"/>
          <w:color w:val="auto"/>
          <w:spacing w:val="0"/>
          <w:kern w:val="0"/>
          <w:sz w:val="32"/>
          <w:szCs w:val="32"/>
          <w:lang w:val="en-US" w:eastAsia="zh-CN"/>
        </w:rPr>
        <w:t>成交</w:t>
      </w:r>
      <w:r>
        <w:rPr>
          <w:rFonts w:hint="eastAsia" w:ascii="宋体" w:hAnsi="宋体" w:eastAsia="宋体" w:cs="宋体"/>
          <w:color w:val="auto"/>
          <w:spacing w:val="0"/>
          <w:kern w:val="0"/>
          <w:sz w:val="32"/>
          <w:szCs w:val="32"/>
          <w:lang w:eastAsia="zh-CN"/>
        </w:rPr>
        <w:t>单位</w:t>
      </w:r>
      <w:r>
        <w:rPr>
          <w:rFonts w:hint="eastAsia" w:ascii="宋体" w:hAnsi="宋体" w:eastAsia="宋体" w:cs="宋体"/>
          <w:color w:val="auto"/>
          <w:spacing w:val="0"/>
          <w:kern w:val="0"/>
          <w:sz w:val="32"/>
          <w:szCs w:val="32"/>
          <w:lang w:val="en-US" w:eastAsia="zh-CN"/>
        </w:rPr>
        <w:t>的</w:t>
      </w:r>
      <w:r>
        <w:rPr>
          <w:rFonts w:hint="eastAsia" w:ascii="宋体" w:hAnsi="宋体" w:eastAsia="宋体" w:cs="宋体"/>
          <w:color w:val="auto"/>
          <w:spacing w:val="0"/>
          <w:kern w:val="0"/>
          <w:sz w:val="32"/>
          <w:szCs w:val="32"/>
          <w:lang w:eastAsia="zh-CN"/>
        </w:rPr>
        <w:t>依据，</w:t>
      </w:r>
      <w:r>
        <w:rPr>
          <w:rFonts w:hint="eastAsia" w:ascii="宋体" w:hAnsi="宋体" w:eastAsia="宋体" w:cs="宋体"/>
          <w:color w:val="auto"/>
          <w:spacing w:val="0"/>
          <w:kern w:val="0"/>
          <w:sz w:val="32"/>
          <w:szCs w:val="32"/>
          <w:lang w:val="en-US" w:eastAsia="zh-CN"/>
        </w:rPr>
        <w:t>各报价单位的分项报价作参考，分项报价有差价的，意向成交单位需按所有报价单位的分项最低价执行，请慎重报价。</w:t>
      </w:r>
    </w:p>
    <w:p w14:paraId="5A340D4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（2）按报价格式进行填报，每格均需填报，无报价以斜线、横线或0填满。</w:t>
      </w:r>
    </w:p>
    <w:p w14:paraId="1682097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（3）不在报价中的的维保维修要求由报价人自行承担。</w:t>
      </w:r>
    </w:p>
    <w:p w14:paraId="5F032184">
      <w:pPr>
        <w:pStyle w:val="7"/>
        <w:keepNext w:val="0"/>
        <w:keepLines w:val="0"/>
        <w:pageBreakBefore w:val="0"/>
        <w:widowControl w:val="0"/>
        <w:kinsoku/>
        <w:wordWrap/>
        <w:overflowPunct/>
        <w:topLinePunct w:val="0"/>
        <w:autoSpaceDE/>
        <w:autoSpaceDN/>
        <w:bidi w:val="0"/>
        <w:adjustRightInd/>
        <w:snapToGrid/>
        <w:spacing w:beforeAutospacing="0" w:after="0" w:afterAutospacing="0" w:line="500" w:lineRule="exact"/>
        <w:ind w:right="0" w:rightChars="0" w:firstLine="320" w:firstLineChars="100"/>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（4）更换下的零件交由采购人统一保管。</w:t>
      </w:r>
    </w:p>
    <w:p w14:paraId="1D8C735C">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b/>
          <w:sz w:val="32"/>
          <w:szCs w:val="32"/>
        </w:rPr>
        <w:t>承诺</w:t>
      </w:r>
      <w:r>
        <w:rPr>
          <w:rFonts w:hint="eastAsia" w:ascii="宋体" w:hAnsi="宋体" w:eastAsia="宋体" w:cs="宋体"/>
          <w:sz w:val="32"/>
          <w:szCs w:val="32"/>
        </w:rPr>
        <w:t>：遵守询价书规定，及时签订合同并履行责任；</w:t>
      </w:r>
      <w:r>
        <w:rPr>
          <w:rFonts w:hint="eastAsia" w:ascii="宋体" w:hAnsi="宋体" w:eastAsia="宋体" w:cs="宋体"/>
          <w:sz w:val="32"/>
          <w:szCs w:val="32"/>
          <w:lang w:val="en-US" w:eastAsia="zh-CN"/>
        </w:rPr>
        <w:t>不串通报价</w:t>
      </w:r>
      <w:r>
        <w:rPr>
          <w:rFonts w:hint="eastAsia" w:ascii="宋体" w:hAnsi="宋体" w:eastAsia="宋体" w:cs="宋体"/>
          <w:sz w:val="32"/>
          <w:szCs w:val="32"/>
        </w:rPr>
        <w:t>，信息真实有效；接受贵方核查与审计。如违反，承担法律责任及相关处理。</w:t>
      </w:r>
    </w:p>
    <w:p w14:paraId="0F5911FA">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全权代表（签字）：________ 联系电话：________</w:t>
      </w:r>
    </w:p>
    <w:p w14:paraId="00829DAD">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报价单位（盖章）：________ 日期：____年__月__日</w:t>
      </w:r>
    </w:p>
    <w:p w14:paraId="56B27BFA">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br w:type="page"/>
      </w:r>
    </w:p>
    <w:p w14:paraId="7CC6AC9C">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附件2</w:t>
      </w:r>
    </w:p>
    <w:p w14:paraId="791652B4">
      <w:pPr>
        <w:spacing w:line="440" w:lineRule="exact"/>
        <w:jc w:val="center"/>
        <w:rPr>
          <w:rFonts w:hint="eastAsia" w:ascii="方正公文小标宋" w:hAnsi="方正公文小标宋" w:eastAsia="方正公文小标宋" w:cs="方正公文小标宋"/>
          <w:b w:val="0"/>
          <w:bCs w:val="0"/>
          <w:sz w:val="36"/>
          <w:szCs w:val="36"/>
        </w:rPr>
      </w:pPr>
      <w:r>
        <w:rPr>
          <w:rFonts w:hint="eastAsia" w:ascii="方正公文小标宋" w:hAnsi="方正公文小标宋" w:eastAsia="方正公文小标宋" w:cs="方正公文小标宋"/>
          <w:b w:val="0"/>
          <w:bCs w:val="0"/>
          <w:sz w:val="36"/>
          <w:szCs w:val="36"/>
        </w:rPr>
        <w:t>碳回收脱硫塔、水解塔、纯化器更换</w:t>
      </w:r>
    </w:p>
    <w:p w14:paraId="22448480">
      <w:pPr>
        <w:spacing w:line="440" w:lineRule="exact"/>
        <w:jc w:val="center"/>
        <w:rPr>
          <w:rFonts w:hint="eastAsia" w:ascii="方正公文小标宋" w:hAnsi="方正公文小标宋" w:eastAsia="方正公文小标宋" w:cs="方正公文小标宋"/>
          <w:b w:val="0"/>
          <w:bCs w:val="0"/>
          <w:sz w:val="36"/>
          <w:szCs w:val="36"/>
        </w:rPr>
      </w:pPr>
      <w:r>
        <w:rPr>
          <w:rFonts w:hint="eastAsia" w:ascii="方正公文小标宋" w:hAnsi="方正公文小标宋" w:eastAsia="方正公文小标宋" w:cs="方正公文小标宋"/>
          <w:b w:val="0"/>
          <w:bCs w:val="0"/>
          <w:sz w:val="36"/>
          <w:szCs w:val="36"/>
        </w:rPr>
        <w:t>催化剂、瓷球方案</w:t>
      </w:r>
    </w:p>
    <w:p w14:paraId="49284773">
      <w:pPr>
        <w:jc w:val="left"/>
        <w:rPr>
          <w:rFonts w:hint="eastAsia" w:ascii="宋体" w:hAnsi="宋体" w:eastAsia="宋体" w:cs="宋体"/>
          <w:sz w:val="24"/>
        </w:rPr>
      </w:pPr>
      <w:r>
        <w:rPr>
          <w:rFonts w:hint="eastAsia" w:ascii="宋体" w:hAnsi="宋体" w:eastAsia="宋体" w:cs="宋体"/>
          <w:sz w:val="24"/>
        </w:rPr>
        <w:t>一、作业环境</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376"/>
        <w:gridCol w:w="3229"/>
      </w:tblGrid>
      <w:tr w14:paraId="1A38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42C20F26">
            <w:pPr>
              <w:jc w:val="left"/>
              <w:rPr>
                <w:rFonts w:hint="eastAsia" w:ascii="宋体" w:hAnsi="宋体" w:eastAsia="宋体" w:cs="宋体"/>
                <w:sz w:val="24"/>
              </w:rPr>
            </w:pPr>
            <w:r>
              <w:rPr>
                <w:rFonts w:hint="eastAsia" w:ascii="宋体" w:hAnsi="宋体" w:eastAsia="宋体" w:cs="宋体"/>
                <w:sz w:val="24"/>
              </w:rPr>
              <w:t>序号</w:t>
            </w:r>
          </w:p>
        </w:tc>
        <w:tc>
          <w:tcPr>
            <w:tcW w:w="4376" w:type="dxa"/>
            <w:noWrap w:val="0"/>
            <w:vAlign w:val="top"/>
          </w:tcPr>
          <w:p w14:paraId="1CA5472E">
            <w:pPr>
              <w:jc w:val="left"/>
              <w:rPr>
                <w:rFonts w:hint="eastAsia" w:ascii="宋体" w:hAnsi="宋体" w:eastAsia="宋体" w:cs="宋体"/>
                <w:sz w:val="24"/>
              </w:rPr>
            </w:pPr>
            <w:r>
              <w:rPr>
                <w:rFonts w:hint="eastAsia" w:ascii="宋体" w:hAnsi="宋体" w:eastAsia="宋体" w:cs="宋体"/>
                <w:sz w:val="24"/>
              </w:rPr>
              <w:t>类别</w:t>
            </w:r>
          </w:p>
        </w:tc>
        <w:tc>
          <w:tcPr>
            <w:tcW w:w="3229" w:type="dxa"/>
            <w:noWrap w:val="0"/>
            <w:vAlign w:val="top"/>
          </w:tcPr>
          <w:p w14:paraId="70E4AD3A">
            <w:pPr>
              <w:jc w:val="left"/>
              <w:rPr>
                <w:rFonts w:hint="eastAsia" w:ascii="宋体" w:hAnsi="宋体" w:eastAsia="宋体" w:cs="宋体"/>
                <w:sz w:val="24"/>
              </w:rPr>
            </w:pPr>
            <w:r>
              <w:rPr>
                <w:rFonts w:hint="eastAsia" w:ascii="宋体" w:hAnsi="宋体" w:eastAsia="宋体" w:cs="宋体"/>
                <w:sz w:val="24"/>
              </w:rPr>
              <w:t>具体填写要求</w:t>
            </w:r>
          </w:p>
        </w:tc>
      </w:tr>
      <w:tr w14:paraId="5250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4F833078">
            <w:pPr>
              <w:jc w:val="center"/>
              <w:rPr>
                <w:rFonts w:hint="eastAsia" w:ascii="宋体" w:hAnsi="宋体" w:eastAsia="宋体" w:cs="宋体"/>
                <w:sz w:val="24"/>
              </w:rPr>
            </w:pPr>
            <w:r>
              <w:rPr>
                <w:rFonts w:hint="eastAsia" w:ascii="宋体" w:hAnsi="宋体" w:eastAsia="宋体" w:cs="宋体"/>
                <w:sz w:val="24"/>
              </w:rPr>
              <w:t>1</w:t>
            </w:r>
          </w:p>
        </w:tc>
        <w:tc>
          <w:tcPr>
            <w:tcW w:w="4376" w:type="dxa"/>
            <w:noWrap w:val="0"/>
            <w:vAlign w:val="center"/>
          </w:tcPr>
          <w:p w14:paraId="301912F2">
            <w:pPr>
              <w:jc w:val="center"/>
              <w:rPr>
                <w:rFonts w:hint="eastAsia" w:ascii="宋体" w:hAnsi="宋体" w:eastAsia="宋体" w:cs="宋体"/>
                <w:sz w:val="24"/>
              </w:rPr>
            </w:pPr>
            <w:r>
              <w:rPr>
                <w:rFonts w:hint="eastAsia" w:ascii="宋体" w:hAnsi="宋体" w:eastAsia="宋体" w:cs="宋体"/>
                <w:sz w:val="24"/>
              </w:rPr>
              <w:t>现场有无危害介质：  有 ☑  无 □</w:t>
            </w:r>
          </w:p>
        </w:tc>
        <w:tc>
          <w:tcPr>
            <w:tcW w:w="3229" w:type="dxa"/>
            <w:noWrap w:val="0"/>
            <w:vAlign w:val="center"/>
          </w:tcPr>
          <w:p w14:paraId="3884AFAD">
            <w:pPr>
              <w:jc w:val="center"/>
              <w:rPr>
                <w:rFonts w:hint="eastAsia" w:ascii="宋体" w:hAnsi="宋体" w:eastAsia="宋体" w:cs="宋体"/>
                <w:sz w:val="24"/>
              </w:rPr>
            </w:pPr>
          </w:p>
        </w:tc>
      </w:tr>
      <w:tr w14:paraId="040F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5720E8BB">
            <w:pPr>
              <w:jc w:val="center"/>
              <w:rPr>
                <w:rFonts w:hint="eastAsia" w:ascii="宋体" w:hAnsi="宋体" w:eastAsia="宋体" w:cs="宋体"/>
                <w:sz w:val="24"/>
              </w:rPr>
            </w:pPr>
            <w:r>
              <w:rPr>
                <w:rFonts w:hint="eastAsia" w:ascii="宋体" w:hAnsi="宋体" w:eastAsia="宋体" w:cs="宋体"/>
                <w:sz w:val="24"/>
              </w:rPr>
              <w:t>2</w:t>
            </w:r>
          </w:p>
        </w:tc>
        <w:tc>
          <w:tcPr>
            <w:tcW w:w="4376" w:type="dxa"/>
            <w:noWrap w:val="0"/>
            <w:vAlign w:val="center"/>
          </w:tcPr>
          <w:p w14:paraId="4A2BC87E">
            <w:pPr>
              <w:jc w:val="center"/>
              <w:rPr>
                <w:rFonts w:hint="eastAsia" w:ascii="宋体" w:hAnsi="宋体" w:eastAsia="宋体" w:cs="宋体"/>
                <w:sz w:val="24"/>
              </w:rPr>
            </w:pPr>
            <w:r>
              <w:rPr>
                <w:rFonts w:hint="eastAsia" w:ascii="宋体" w:hAnsi="宋体" w:eastAsia="宋体" w:cs="宋体"/>
                <w:sz w:val="24"/>
              </w:rPr>
              <w:t>现场有无易燃介质：  有 □  无 ☑</w:t>
            </w:r>
          </w:p>
        </w:tc>
        <w:tc>
          <w:tcPr>
            <w:tcW w:w="3229" w:type="dxa"/>
            <w:noWrap w:val="0"/>
            <w:vAlign w:val="center"/>
          </w:tcPr>
          <w:p w14:paraId="7ABB8F51">
            <w:pPr>
              <w:jc w:val="center"/>
              <w:rPr>
                <w:rFonts w:hint="eastAsia" w:ascii="宋体" w:hAnsi="宋体" w:eastAsia="宋体" w:cs="宋体"/>
                <w:sz w:val="24"/>
              </w:rPr>
            </w:pPr>
          </w:p>
        </w:tc>
      </w:tr>
      <w:tr w14:paraId="672B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31805CC6">
            <w:pPr>
              <w:jc w:val="center"/>
              <w:rPr>
                <w:rFonts w:hint="eastAsia" w:ascii="宋体" w:hAnsi="宋体" w:eastAsia="宋体" w:cs="宋体"/>
                <w:sz w:val="24"/>
              </w:rPr>
            </w:pPr>
            <w:r>
              <w:rPr>
                <w:rFonts w:hint="eastAsia" w:ascii="宋体" w:hAnsi="宋体" w:eastAsia="宋体" w:cs="宋体"/>
                <w:sz w:val="24"/>
              </w:rPr>
              <w:t>3</w:t>
            </w:r>
          </w:p>
        </w:tc>
        <w:tc>
          <w:tcPr>
            <w:tcW w:w="4376" w:type="dxa"/>
            <w:noWrap w:val="0"/>
            <w:vAlign w:val="center"/>
          </w:tcPr>
          <w:p w14:paraId="7E932B7C">
            <w:pPr>
              <w:jc w:val="center"/>
              <w:rPr>
                <w:rFonts w:hint="eastAsia" w:ascii="宋体" w:hAnsi="宋体" w:eastAsia="宋体" w:cs="宋体"/>
                <w:sz w:val="24"/>
              </w:rPr>
            </w:pPr>
            <w:r>
              <w:rPr>
                <w:rFonts w:hint="eastAsia" w:ascii="宋体" w:hAnsi="宋体" w:eastAsia="宋体" w:cs="宋体"/>
                <w:sz w:val="24"/>
              </w:rPr>
              <w:t>是否需要防护作业：  有 ☑  无 □</w:t>
            </w:r>
          </w:p>
        </w:tc>
        <w:tc>
          <w:tcPr>
            <w:tcW w:w="3229" w:type="dxa"/>
            <w:noWrap w:val="0"/>
            <w:vAlign w:val="center"/>
          </w:tcPr>
          <w:p w14:paraId="7129E884">
            <w:pPr>
              <w:jc w:val="center"/>
              <w:rPr>
                <w:rFonts w:hint="eastAsia" w:ascii="宋体" w:hAnsi="宋体" w:eastAsia="宋体" w:cs="宋体"/>
                <w:sz w:val="24"/>
              </w:rPr>
            </w:pPr>
          </w:p>
        </w:tc>
      </w:tr>
      <w:tr w14:paraId="053F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736" w:type="dxa"/>
            <w:noWrap w:val="0"/>
            <w:vAlign w:val="center"/>
          </w:tcPr>
          <w:p w14:paraId="1DBE2CC0">
            <w:pPr>
              <w:jc w:val="center"/>
              <w:rPr>
                <w:rFonts w:hint="eastAsia" w:ascii="宋体" w:hAnsi="宋体" w:eastAsia="宋体" w:cs="宋体"/>
                <w:sz w:val="24"/>
              </w:rPr>
            </w:pPr>
            <w:r>
              <w:rPr>
                <w:rFonts w:hint="eastAsia" w:ascii="宋体" w:hAnsi="宋体" w:eastAsia="宋体" w:cs="宋体"/>
                <w:sz w:val="24"/>
              </w:rPr>
              <w:t>4</w:t>
            </w:r>
          </w:p>
        </w:tc>
        <w:tc>
          <w:tcPr>
            <w:tcW w:w="4376" w:type="dxa"/>
            <w:noWrap w:val="0"/>
            <w:vAlign w:val="center"/>
          </w:tcPr>
          <w:p w14:paraId="2B14FDBF">
            <w:pPr>
              <w:jc w:val="center"/>
              <w:rPr>
                <w:rFonts w:hint="eastAsia" w:ascii="宋体" w:hAnsi="宋体" w:eastAsia="宋体" w:cs="宋体"/>
                <w:sz w:val="24"/>
              </w:rPr>
            </w:pPr>
            <w:r>
              <w:rPr>
                <w:rFonts w:hint="eastAsia" w:ascii="宋体" w:hAnsi="宋体" w:eastAsia="宋体" w:cs="宋体"/>
                <w:sz w:val="24"/>
              </w:rPr>
              <w:t>是否需要动火作业：  有 □  无 ☑</w:t>
            </w:r>
          </w:p>
        </w:tc>
        <w:tc>
          <w:tcPr>
            <w:tcW w:w="3229" w:type="dxa"/>
            <w:noWrap w:val="0"/>
            <w:vAlign w:val="center"/>
          </w:tcPr>
          <w:p w14:paraId="65DBFF0F">
            <w:pPr>
              <w:jc w:val="center"/>
              <w:rPr>
                <w:rFonts w:hint="eastAsia" w:ascii="宋体" w:hAnsi="宋体" w:eastAsia="宋体" w:cs="宋体"/>
                <w:sz w:val="24"/>
              </w:rPr>
            </w:pPr>
          </w:p>
        </w:tc>
      </w:tr>
      <w:tr w14:paraId="54E2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AE72FD0">
            <w:pPr>
              <w:jc w:val="center"/>
              <w:rPr>
                <w:rFonts w:hint="eastAsia" w:ascii="宋体" w:hAnsi="宋体" w:eastAsia="宋体" w:cs="宋体"/>
                <w:sz w:val="24"/>
              </w:rPr>
            </w:pPr>
            <w:r>
              <w:rPr>
                <w:rFonts w:hint="eastAsia" w:ascii="宋体" w:hAnsi="宋体" w:eastAsia="宋体" w:cs="宋体"/>
                <w:sz w:val="24"/>
              </w:rPr>
              <w:t>5</w:t>
            </w:r>
          </w:p>
        </w:tc>
        <w:tc>
          <w:tcPr>
            <w:tcW w:w="4376" w:type="dxa"/>
            <w:noWrap w:val="0"/>
            <w:vAlign w:val="center"/>
          </w:tcPr>
          <w:p w14:paraId="6824157C">
            <w:pPr>
              <w:jc w:val="center"/>
              <w:rPr>
                <w:rFonts w:hint="eastAsia" w:ascii="宋体" w:hAnsi="宋体" w:eastAsia="宋体" w:cs="宋体"/>
                <w:sz w:val="24"/>
              </w:rPr>
            </w:pPr>
            <w:r>
              <w:rPr>
                <w:rFonts w:hint="eastAsia" w:ascii="宋体" w:hAnsi="宋体" w:eastAsia="宋体" w:cs="宋体"/>
                <w:sz w:val="24"/>
              </w:rPr>
              <w:t>是否需要登高作业：  有 ☑  无 □</w:t>
            </w:r>
          </w:p>
        </w:tc>
        <w:tc>
          <w:tcPr>
            <w:tcW w:w="3229" w:type="dxa"/>
            <w:noWrap w:val="0"/>
            <w:vAlign w:val="center"/>
          </w:tcPr>
          <w:p w14:paraId="1773BF77">
            <w:pPr>
              <w:jc w:val="center"/>
              <w:rPr>
                <w:rFonts w:hint="eastAsia" w:ascii="宋体" w:hAnsi="宋体" w:eastAsia="宋体" w:cs="宋体"/>
                <w:sz w:val="24"/>
              </w:rPr>
            </w:pPr>
            <w:r>
              <w:rPr>
                <w:rFonts w:hint="eastAsia" w:ascii="宋体" w:hAnsi="宋体" w:eastAsia="宋体" w:cs="宋体"/>
                <w:sz w:val="24"/>
              </w:rPr>
              <w:t>具备登高作业资质</w:t>
            </w:r>
          </w:p>
        </w:tc>
      </w:tr>
      <w:tr w14:paraId="3493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35FDF3ED">
            <w:pPr>
              <w:jc w:val="center"/>
              <w:rPr>
                <w:rFonts w:hint="eastAsia" w:ascii="宋体" w:hAnsi="宋体" w:eastAsia="宋体" w:cs="宋体"/>
                <w:sz w:val="24"/>
              </w:rPr>
            </w:pPr>
            <w:r>
              <w:rPr>
                <w:rFonts w:hint="eastAsia" w:ascii="宋体" w:hAnsi="宋体" w:eastAsia="宋体" w:cs="宋体"/>
                <w:sz w:val="24"/>
              </w:rPr>
              <w:t>6</w:t>
            </w:r>
          </w:p>
        </w:tc>
        <w:tc>
          <w:tcPr>
            <w:tcW w:w="4376" w:type="dxa"/>
            <w:noWrap w:val="0"/>
            <w:vAlign w:val="center"/>
          </w:tcPr>
          <w:p w14:paraId="3F96E879">
            <w:pPr>
              <w:jc w:val="center"/>
              <w:rPr>
                <w:rFonts w:hint="eastAsia" w:ascii="宋体" w:hAnsi="宋体" w:eastAsia="宋体" w:cs="宋体"/>
                <w:sz w:val="24"/>
              </w:rPr>
            </w:pPr>
            <w:r>
              <w:rPr>
                <w:rFonts w:hint="eastAsia" w:ascii="宋体" w:hAnsi="宋体" w:eastAsia="宋体" w:cs="宋体"/>
                <w:sz w:val="24"/>
              </w:rPr>
              <w:t>是否需要起吊作业：  有 ☑  无 □</w:t>
            </w:r>
          </w:p>
        </w:tc>
        <w:tc>
          <w:tcPr>
            <w:tcW w:w="3229" w:type="dxa"/>
            <w:noWrap w:val="0"/>
            <w:vAlign w:val="center"/>
          </w:tcPr>
          <w:p w14:paraId="60B8408B">
            <w:pPr>
              <w:jc w:val="center"/>
              <w:rPr>
                <w:rFonts w:hint="eastAsia" w:ascii="宋体" w:hAnsi="宋体" w:eastAsia="宋体" w:cs="宋体"/>
                <w:sz w:val="24"/>
              </w:rPr>
            </w:pPr>
            <w:r>
              <w:rPr>
                <w:rFonts w:hint="eastAsia" w:ascii="宋体" w:hAnsi="宋体" w:eastAsia="宋体" w:cs="宋体"/>
                <w:sz w:val="24"/>
              </w:rPr>
              <w:t>甲方负责检修用平台、吊车、叉车</w:t>
            </w:r>
          </w:p>
        </w:tc>
      </w:tr>
    </w:tbl>
    <w:p w14:paraId="164AC15E">
      <w:pPr>
        <w:jc w:val="left"/>
        <w:rPr>
          <w:rFonts w:hint="eastAsia" w:ascii="宋体" w:hAnsi="宋体" w:eastAsia="宋体" w:cs="宋体"/>
          <w:sz w:val="24"/>
        </w:rPr>
      </w:pPr>
      <w:r>
        <w:rPr>
          <w:rFonts w:hint="eastAsia" w:ascii="宋体" w:hAnsi="宋体" w:eastAsia="宋体" w:cs="宋体"/>
          <w:sz w:val="24"/>
        </w:rPr>
        <w:t>二、检修方案</w:t>
      </w:r>
    </w:p>
    <w:p w14:paraId="078C520D">
      <w:pPr>
        <w:jc w:val="left"/>
        <w:rPr>
          <w:rFonts w:hint="eastAsia" w:ascii="宋体" w:hAnsi="宋体" w:eastAsia="宋体" w:cs="宋体"/>
          <w:sz w:val="24"/>
        </w:rPr>
      </w:pPr>
      <w:r>
        <w:rPr>
          <w:rFonts w:hint="eastAsia" w:ascii="宋体" w:hAnsi="宋体" w:eastAsia="宋体" w:cs="宋体"/>
          <w:sz w:val="24"/>
        </w:rPr>
        <w:t>1.项目名称 ：碳回收脱硫塔、水解塔、纯化器更换催化剂、瓷球。</w:t>
      </w:r>
    </w:p>
    <w:p w14:paraId="2C016400">
      <w:pPr>
        <w:jc w:val="left"/>
        <w:rPr>
          <w:rFonts w:hint="eastAsia" w:ascii="宋体" w:hAnsi="宋体" w:eastAsia="宋体" w:cs="宋体"/>
          <w:sz w:val="24"/>
        </w:rPr>
      </w:pPr>
      <w:r>
        <w:rPr>
          <w:rFonts w:hint="eastAsia" w:ascii="宋体" w:hAnsi="宋体" w:eastAsia="宋体" w:cs="宋体"/>
          <w:sz w:val="24"/>
        </w:rPr>
        <w:t>2.维修设备位号、名称、技术参数等</w:t>
      </w:r>
    </w:p>
    <w:tbl>
      <w:tblPr>
        <w:tblStyle w:val="27"/>
        <w:tblW w:w="8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64"/>
        <w:gridCol w:w="1213"/>
        <w:gridCol w:w="2441"/>
        <w:gridCol w:w="1527"/>
        <w:gridCol w:w="1609"/>
      </w:tblGrid>
      <w:tr w14:paraId="764A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noWrap w:val="0"/>
            <w:vAlign w:val="center"/>
          </w:tcPr>
          <w:p w14:paraId="3CA5D8C9">
            <w:pPr>
              <w:jc w:val="center"/>
              <w:rPr>
                <w:rFonts w:hint="eastAsia" w:ascii="宋体" w:hAnsi="宋体" w:eastAsia="宋体" w:cs="宋体"/>
                <w:sz w:val="24"/>
              </w:rPr>
            </w:pPr>
            <w:r>
              <w:rPr>
                <w:rFonts w:hint="eastAsia" w:ascii="宋体" w:hAnsi="宋体" w:eastAsia="宋体" w:cs="宋体"/>
                <w:sz w:val="24"/>
              </w:rPr>
              <w:t>序号</w:t>
            </w:r>
          </w:p>
        </w:tc>
        <w:tc>
          <w:tcPr>
            <w:tcW w:w="1064" w:type="dxa"/>
            <w:noWrap w:val="0"/>
            <w:vAlign w:val="center"/>
          </w:tcPr>
          <w:p w14:paraId="7E14837F">
            <w:pPr>
              <w:jc w:val="center"/>
              <w:rPr>
                <w:rFonts w:hint="eastAsia" w:ascii="宋体" w:hAnsi="宋体" w:eastAsia="宋体" w:cs="宋体"/>
                <w:sz w:val="24"/>
              </w:rPr>
            </w:pPr>
            <w:r>
              <w:rPr>
                <w:rFonts w:hint="eastAsia" w:ascii="宋体" w:hAnsi="宋体" w:eastAsia="宋体" w:cs="宋体"/>
                <w:sz w:val="24"/>
              </w:rPr>
              <w:t>位号</w:t>
            </w:r>
          </w:p>
        </w:tc>
        <w:tc>
          <w:tcPr>
            <w:tcW w:w="1213" w:type="dxa"/>
            <w:noWrap w:val="0"/>
            <w:vAlign w:val="center"/>
          </w:tcPr>
          <w:p w14:paraId="33FE03D9">
            <w:pPr>
              <w:jc w:val="center"/>
              <w:rPr>
                <w:rFonts w:hint="eastAsia" w:ascii="宋体" w:hAnsi="宋体" w:eastAsia="宋体" w:cs="宋体"/>
                <w:sz w:val="24"/>
              </w:rPr>
            </w:pPr>
            <w:r>
              <w:rPr>
                <w:rFonts w:hint="eastAsia" w:ascii="宋体" w:hAnsi="宋体" w:eastAsia="宋体" w:cs="宋体"/>
                <w:sz w:val="24"/>
              </w:rPr>
              <w:t>名称</w:t>
            </w:r>
          </w:p>
        </w:tc>
        <w:tc>
          <w:tcPr>
            <w:tcW w:w="2441" w:type="dxa"/>
            <w:noWrap w:val="0"/>
            <w:vAlign w:val="center"/>
          </w:tcPr>
          <w:p w14:paraId="0FACE5BD">
            <w:pPr>
              <w:jc w:val="center"/>
              <w:rPr>
                <w:rFonts w:hint="eastAsia" w:ascii="宋体" w:hAnsi="宋体" w:eastAsia="宋体" w:cs="宋体"/>
                <w:sz w:val="24"/>
              </w:rPr>
            </w:pPr>
            <w:r>
              <w:rPr>
                <w:rFonts w:hint="eastAsia" w:ascii="宋体" w:hAnsi="宋体" w:eastAsia="宋体" w:cs="宋体"/>
                <w:sz w:val="24"/>
              </w:rPr>
              <w:t>型号</w:t>
            </w:r>
          </w:p>
        </w:tc>
        <w:tc>
          <w:tcPr>
            <w:tcW w:w="1527" w:type="dxa"/>
            <w:noWrap w:val="0"/>
            <w:vAlign w:val="center"/>
          </w:tcPr>
          <w:p w14:paraId="634CDE66">
            <w:pPr>
              <w:jc w:val="center"/>
              <w:rPr>
                <w:rFonts w:hint="eastAsia" w:ascii="宋体" w:hAnsi="宋体" w:eastAsia="宋体" w:cs="宋体"/>
                <w:sz w:val="24"/>
              </w:rPr>
            </w:pPr>
            <w:r>
              <w:rPr>
                <w:rFonts w:hint="eastAsia" w:ascii="宋体" w:hAnsi="宋体" w:eastAsia="宋体" w:cs="宋体"/>
                <w:sz w:val="24"/>
              </w:rPr>
              <w:t>数量</w:t>
            </w:r>
          </w:p>
        </w:tc>
        <w:tc>
          <w:tcPr>
            <w:tcW w:w="1609" w:type="dxa"/>
            <w:noWrap w:val="0"/>
            <w:vAlign w:val="center"/>
          </w:tcPr>
          <w:p w14:paraId="3CBF005E">
            <w:pPr>
              <w:jc w:val="center"/>
              <w:rPr>
                <w:rFonts w:hint="eastAsia" w:ascii="宋体" w:hAnsi="宋体" w:eastAsia="宋体" w:cs="宋体"/>
                <w:sz w:val="24"/>
              </w:rPr>
            </w:pPr>
            <w:r>
              <w:rPr>
                <w:rFonts w:hint="eastAsia" w:ascii="宋体" w:hAnsi="宋体" w:eastAsia="宋体" w:cs="宋体"/>
                <w:sz w:val="24"/>
              </w:rPr>
              <w:t>厂家</w:t>
            </w:r>
          </w:p>
        </w:tc>
      </w:tr>
      <w:tr w14:paraId="1215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18" w:type="dxa"/>
            <w:noWrap w:val="0"/>
            <w:vAlign w:val="center"/>
          </w:tcPr>
          <w:p w14:paraId="163F8D9F">
            <w:pPr>
              <w:jc w:val="center"/>
              <w:rPr>
                <w:rFonts w:hint="eastAsia" w:ascii="宋体" w:hAnsi="宋体" w:eastAsia="宋体" w:cs="宋体"/>
                <w:sz w:val="24"/>
              </w:rPr>
            </w:pPr>
            <w:r>
              <w:rPr>
                <w:rFonts w:hint="eastAsia" w:ascii="宋体" w:hAnsi="宋体" w:eastAsia="宋体" w:cs="宋体"/>
                <w:sz w:val="24"/>
              </w:rPr>
              <w:t>1</w:t>
            </w:r>
          </w:p>
        </w:tc>
        <w:tc>
          <w:tcPr>
            <w:tcW w:w="1064" w:type="dxa"/>
            <w:noWrap w:val="0"/>
            <w:vAlign w:val="center"/>
          </w:tcPr>
          <w:p w14:paraId="4F7EDDFB">
            <w:pPr>
              <w:jc w:val="center"/>
              <w:rPr>
                <w:rFonts w:hint="eastAsia" w:ascii="宋体" w:hAnsi="宋体" w:eastAsia="宋体" w:cs="宋体"/>
                <w:sz w:val="24"/>
              </w:rPr>
            </w:pPr>
            <w:r>
              <w:rPr>
                <w:rFonts w:hint="eastAsia" w:ascii="宋体" w:hAnsi="宋体" w:eastAsia="宋体" w:cs="宋体"/>
                <w:sz w:val="24"/>
              </w:rPr>
              <w:t>T-101A</w:t>
            </w:r>
          </w:p>
        </w:tc>
        <w:tc>
          <w:tcPr>
            <w:tcW w:w="1213" w:type="dxa"/>
            <w:noWrap w:val="0"/>
            <w:vAlign w:val="center"/>
          </w:tcPr>
          <w:p w14:paraId="6B12EFAF">
            <w:pPr>
              <w:jc w:val="center"/>
              <w:rPr>
                <w:rFonts w:hint="eastAsia" w:ascii="宋体" w:hAnsi="宋体" w:eastAsia="宋体" w:cs="宋体"/>
                <w:sz w:val="24"/>
              </w:rPr>
            </w:pPr>
            <w:r>
              <w:rPr>
                <w:rFonts w:hint="eastAsia" w:ascii="宋体" w:hAnsi="宋体" w:eastAsia="宋体" w:cs="宋体"/>
                <w:sz w:val="24"/>
              </w:rPr>
              <w:t>1#纯化器</w:t>
            </w:r>
          </w:p>
        </w:tc>
        <w:tc>
          <w:tcPr>
            <w:tcW w:w="2441" w:type="dxa"/>
            <w:noWrap w:val="0"/>
            <w:vAlign w:val="center"/>
          </w:tcPr>
          <w:p w14:paraId="1D2D3400">
            <w:pPr>
              <w:jc w:val="center"/>
              <w:rPr>
                <w:rFonts w:hint="eastAsia" w:ascii="宋体" w:hAnsi="宋体" w:eastAsia="宋体" w:cs="宋体"/>
                <w:sz w:val="24"/>
              </w:rPr>
            </w:pPr>
            <w:r>
              <w:rPr>
                <w:rFonts w:hint="eastAsia" w:ascii="宋体" w:hAnsi="宋体" w:eastAsia="宋体" w:cs="宋体"/>
                <w:sz w:val="24"/>
              </w:rPr>
              <w:t>圆柱立式填料塔Φ=1500 L=10010 V:15.7m</w:t>
            </w:r>
            <w:r>
              <w:rPr>
                <w:rFonts w:hint="eastAsia" w:ascii="宋体" w:hAnsi="宋体" w:eastAsia="宋体" w:cs="宋体"/>
                <w:sz w:val="24"/>
                <w:vertAlign w:val="superscript"/>
              </w:rPr>
              <w:t>3</w:t>
            </w:r>
          </w:p>
        </w:tc>
        <w:tc>
          <w:tcPr>
            <w:tcW w:w="1527" w:type="dxa"/>
            <w:noWrap w:val="0"/>
            <w:vAlign w:val="center"/>
          </w:tcPr>
          <w:p w14:paraId="42EAF0DA">
            <w:pPr>
              <w:jc w:val="center"/>
              <w:rPr>
                <w:rFonts w:hint="eastAsia" w:ascii="宋体" w:hAnsi="宋体" w:eastAsia="宋体" w:cs="宋体"/>
                <w:sz w:val="24"/>
              </w:rPr>
            </w:pPr>
            <w:r>
              <w:rPr>
                <w:rFonts w:hint="eastAsia" w:ascii="宋体" w:hAnsi="宋体" w:eastAsia="宋体" w:cs="宋体"/>
                <w:sz w:val="24"/>
              </w:rPr>
              <w:t>1台</w:t>
            </w:r>
          </w:p>
        </w:tc>
        <w:tc>
          <w:tcPr>
            <w:tcW w:w="1609" w:type="dxa"/>
            <w:noWrap w:val="0"/>
            <w:vAlign w:val="center"/>
          </w:tcPr>
          <w:p w14:paraId="506EF5B9">
            <w:pPr>
              <w:jc w:val="center"/>
              <w:rPr>
                <w:rFonts w:hint="eastAsia" w:ascii="宋体" w:hAnsi="宋体" w:eastAsia="宋体" w:cs="宋体"/>
                <w:sz w:val="24"/>
              </w:rPr>
            </w:pPr>
            <w:bookmarkStart w:id="0" w:name="OLE_LINK1"/>
            <w:bookmarkStart w:id="1" w:name="OLE_LINK3"/>
            <w:r>
              <w:rPr>
                <w:rFonts w:hint="eastAsia" w:ascii="宋体" w:hAnsi="宋体" w:eastAsia="宋体" w:cs="宋体"/>
                <w:sz w:val="24"/>
              </w:rPr>
              <w:t>珠海共同机械设备有限公司</w:t>
            </w:r>
            <w:bookmarkEnd w:id="0"/>
            <w:bookmarkEnd w:id="1"/>
          </w:p>
        </w:tc>
      </w:tr>
      <w:tr w14:paraId="3916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18" w:type="dxa"/>
            <w:noWrap w:val="0"/>
            <w:vAlign w:val="center"/>
          </w:tcPr>
          <w:p w14:paraId="6ADD025D">
            <w:pPr>
              <w:jc w:val="center"/>
              <w:rPr>
                <w:rFonts w:hint="eastAsia" w:ascii="宋体" w:hAnsi="宋体" w:eastAsia="宋体" w:cs="宋体"/>
                <w:sz w:val="24"/>
              </w:rPr>
            </w:pPr>
            <w:r>
              <w:rPr>
                <w:rFonts w:hint="eastAsia" w:ascii="宋体" w:hAnsi="宋体" w:eastAsia="宋体" w:cs="宋体"/>
                <w:sz w:val="24"/>
              </w:rPr>
              <w:t>2</w:t>
            </w:r>
          </w:p>
        </w:tc>
        <w:tc>
          <w:tcPr>
            <w:tcW w:w="1064" w:type="dxa"/>
            <w:noWrap w:val="0"/>
            <w:vAlign w:val="center"/>
          </w:tcPr>
          <w:p w14:paraId="7DCF6CBB">
            <w:pPr>
              <w:jc w:val="center"/>
              <w:rPr>
                <w:rFonts w:hint="eastAsia" w:ascii="宋体" w:hAnsi="宋体" w:eastAsia="宋体" w:cs="宋体"/>
                <w:sz w:val="24"/>
              </w:rPr>
            </w:pPr>
            <w:r>
              <w:rPr>
                <w:rFonts w:hint="eastAsia" w:ascii="宋体" w:hAnsi="宋体" w:eastAsia="宋体" w:cs="宋体"/>
                <w:sz w:val="24"/>
              </w:rPr>
              <w:t>T-101B</w:t>
            </w:r>
          </w:p>
        </w:tc>
        <w:tc>
          <w:tcPr>
            <w:tcW w:w="1213" w:type="dxa"/>
            <w:noWrap w:val="0"/>
            <w:vAlign w:val="center"/>
          </w:tcPr>
          <w:p w14:paraId="3E7567C5">
            <w:pPr>
              <w:jc w:val="center"/>
              <w:rPr>
                <w:rFonts w:hint="eastAsia" w:ascii="宋体" w:hAnsi="宋体" w:eastAsia="宋体" w:cs="宋体"/>
                <w:sz w:val="24"/>
              </w:rPr>
            </w:pPr>
            <w:r>
              <w:rPr>
                <w:rFonts w:hint="eastAsia" w:ascii="宋体" w:hAnsi="宋体" w:eastAsia="宋体" w:cs="宋体"/>
                <w:sz w:val="24"/>
              </w:rPr>
              <w:t>2#纯化器</w:t>
            </w:r>
          </w:p>
        </w:tc>
        <w:tc>
          <w:tcPr>
            <w:tcW w:w="2441" w:type="dxa"/>
            <w:noWrap w:val="0"/>
            <w:vAlign w:val="center"/>
          </w:tcPr>
          <w:p w14:paraId="0FC71F93">
            <w:pPr>
              <w:jc w:val="center"/>
              <w:rPr>
                <w:rFonts w:hint="eastAsia" w:ascii="宋体" w:hAnsi="宋体" w:eastAsia="宋体" w:cs="宋体"/>
                <w:sz w:val="24"/>
              </w:rPr>
            </w:pPr>
            <w:r>
              <w:rPr>
                <w:rFonts w:hint="eastAsia" w:ascii="宋体" w:hAnsi="宋体" w:eastAsia="宋体" w:cs="宋体"/>
                <w:sz w:val="24"/>
              </w:rPr>
              <w:t>圆柱立式填料塔Φ=1500 L=7220 V:10.8m</w:t>
            </w:r>
            <w:r>
              <w:rPr>
                <w:rFonts w:hint="eastAsia" w:ascii="宋体" w:hAnsi="宋体" w:eastAsia="宋体" w:cs="宋体"/>
                <w:sz w:val="24"/>
                <w:vertAlign w:val="superscript"/>
              </w:rPr>
              <w:t>3</w:t>
            </w:r>
          </w:p>
        </w:tc>
        <w:tc>
          <w:tcPr>
            <w:tcW w:w="1527" w:type="dxa"/>
            <w:noWrap w:val="0"/>
            <w:vAlign w:val="center"/>
          </w:tcPr>
          <w:p w14:paraId="2FCFD2A8">
            <w:pPr>
              <w:jc w:val="center"/>
              <w:rPr>
                <w:rFonts w:hint="eastAsia" w:ascii="宋体" w:hAnsi="宋体" w:eastAsia="宋体" w:cs="宋体"/>
                <w:sz w:val="24"/>
              </w:rPr>
            </w:pPr>
            <w:r>
              <w:rPr>
                <w:rFonts w:hint="eastAsia" w:ascii="宋体" w:hAnsi="宋体" w:eastAsia="宋体" w:cs="宋体"/>
                <w:sz w:val="24"/>
              </w:rPr>
              <w:t>1台</w:t>
            </w:r>
          </w:p>
        </w:tc>
        <w:tc>
          <w:tcPr>
            <w:tcW w:w="1609" w:type="dxa"/>
            <w:noWrap w:val="0"/>
            <w:vAlign w:val="center"/>
          </w:tcPr>
          <w:p w14:paraId="0FB7A2BF">
            <w:pPr>
              <w:jc w:val="center"/>
              <w:rPr>
                <w:rFonts w:hint="eastAsia" w:ascii="宋体" w:hAnsi="宋体" w:eastAsia="宋体" w:cs="宋体"/>
                <w:sz w:val="24"/>
              </w:rPr>
            </w:pPr>
            <w:r>
              <w:rPr>
                <w:rFonts w:hint="eastAsia" w:ascii="宋体" w:hAnsi="宋体" w:eastAsia="宋体" w:cs="宋体"/>
                <w:sz w:val="24"/>
              </w:rPr>
              <w:t>珠海共同机械设备有限公司</w:t>
            </w:r>
          </w:p>
        </w:tc>
      </w:tr>
      <w:tr w14:paraId="7C4C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18" w:type="dxa"/>
            <w:noWrap w:val="0"/>
            <w:vAlign w:val="center"/>
          </w:tcPr>
          <w:p w14:paraId="47234220">
            <w:pPr>
              <w:jc w:val="center"/>
              <w:rPr>
                <w:rFonts w:hint="eastAsia" w:ascii="宋体" w:hAnsi="宋体" w:eastAsia="宋体" w:cs="宋体"/>
                <w:sz w:val="24"/>
              </w:rPr>
            </w:pPr>
            <w:r>
              <w:rPr>
                <w:rFonts w:hint="eastAsia" w:ascii="宋体" w:hAnsi="宋体" w:eastAsia="宋体" w:cs="宋体"/>
                <w:sz w:val="24"/>
              </w:rPr>
              <w:t>3</w:t>
            </w:r>
          </w:p>
        </w:tc>
        <w:tc>
          <w:tcPr>
            <w:tcW w:w="1064" w:type="dxa"/>
            <w:noWrap w:val="0"/>
            <w:vAlign w:val="center"/>
          </w:tcPr>
          <w:p w14:paraId="68B7FF20">
            <w:pPr>
              <w:jc w:val="center"/>
              <w:rPr>
                <w:rFonts w:hint="eastAsia" w:ascii="宋体" w:hAnsi="宋体" w:eastAsia="宋体" w:cs="宋体"/>
                <w:sz w:val="24"/>
              </w:rPr>
            </w:pPr>
            <w:r>
              <w:rPr>
                <w:rFonts w:hint="eastAsia" w:ascii="宋体" w:hAnsi="宋体" w:eastAsia="宋体" w:cs="宋体"/>
                <w:sz w:val="24"/>
              </w:rPr>
              <w:t>T-502</w:t>
            </w:r>
          </w:p>
        </w:tc>
        <w:tc>
          <w:tcPr>
            <w:tcW w:w="1213" w:type="dxa"/>
            <w:noWrap w:val="0"/>
            <w:vAlign w:val="center"/>
          </w:tcPr>
          <w:p w14:paraId="04C9E6D9">
            <w:pPr>
              <w:jc w:val="center"/>
              <w:rPr>
                <w:rFonts w:hint="eastAsia" w:ascii="宋体" w:hAnsi="宋体" w:eastAsia="宋体" w:cs="宋体"/>
                <w:sz w:val="24"/>
              </w:rPr>
            </w:pPr>
            <w:r>
              <w:rPr>
                <w:rFonts w:hint="eastAsia" w:ascii="宋体" w:hAnsi="宋体" w:eastAsia="宋体" w:cs="宋体"/>
                <w:sz w:val="24"/>
              </w:rPr>
              <w:t>水解塔</w:t>
            </w:r>
          </w:p>
        </w:tc>
        <w:tc>
          <w:tcPr>
            <w:tcW w:w="2441" w:type="dxa"/>
            <w:noWrap w:val="0"/>
            <w:vAlign w:val="center"/>
          </w:tcPr>
          <w:p w14:paraId="7DBBB32C">
            <w:pPr>
              <w:jc w:val="center"/>
              <w:rPr>
                <w:rFonts w:hint="eastAsia" w:ascii="宋体" w:hAnsi="宋体" w:eastAsia="宋体" w:cs="宋体"/>
                <w:sz w:val="24"/>
              </w:rPr>
            </w:pPr>
            <w:r>
              <w:rPr>
                <w:rFonts w:hint="eastAsia" w:ascii="宋体" w:hAnsi="宋体" w:eastAsia="宋体" w:cs="宋体"/>
                <w:sz w:val="24"/>
              </w:rPr>
              <w:t>圆柱立式填料塔Φ=2600×48 L=10320总高：13843 V:68m</w:t>
            </w:r>
            <w:r>
              <w:rPr>
                <w:rFonts w:hint="eastAsia" w:ascii="宋体" w:hAnsi="宋体" w:eastAsia="宋体" w:cs="宋体"/>
                <w:sz w:val="24"/>
                <w:vertAlign w:val="superscript"/>
              </w:rPr>
              <w:t>3</w:t>
            </w:r>
          </w:p>
        </w:tc>
        <w:tc>
          <w:tcPr>
            <w:tcW w:w="1527" w:type="dxa"/>
            <w:noWrap w:val="0"/>
            <w:vAlign w:val="center"/>
          </w:tcPr>
          <w:p w14:paraId="78A97497">
            <w:pPr>
              <w:jc w:val="center"/>
              <w:rPr>
                <w:rFonts w:hint="eastAsia" w:ascii="宋体" w:hAnsi="宋体" w:eastAsia="宋体" w:cs="宋体"/>
                <w:sz w:val="24"/>
              </w:rPr>
            </w:pPr>
            <w:r>
              <w:rPr>
                <w:rFonts w:hint="eastAsia" w:ascii="宋体" w:hAnsi="宋体" w:eastAsia="宋体" w:cs="宋体"/>
                <w:sz w:val="24"/>
              </w:rPr>
              <w:t>1台</w:t>
            </w:r>
          </w:p>
        </w:tc>
        <w:tc>
          <w:tcPr>
            <w:tcW w:w="1609" w:type="dxa"/>
            <w:noWrap w:val="0"/>
            <w:vAlign w:val="center"/>
          </w:tcPr>
          <w:p w14:paraId="73F97324">
            <w:pPr>
              <w:jc w:val="center"/>
              <w:rPr>
                <w:rFonts w:hint="eastAsia" w:ascii="宋体" w:hAnsi="宋体" w:eastAsia="宋体" w:cs="宋体"/>
                <w:sz w:val="24"/>
              </w:rPr>
            </w:pPr>
            <w:r>
              <w:rPr>
                <w:rFonts w:hint="eastAsia" w:ascii="宋体" w:hAnsi="宋体" w:eastAsia="宋体" w:cs="宋体"/>
                <w:sz w:val="24"/>
              </w:rPr>
              <w:t>常州万象化工机械有限公司</w:t>
            </w:r>
          </w:p>
        </w:tc>
      </w:tr>
      <w:tr w14:paraId="0E96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18" w:type="dxa"/>
            <w:noWrap w:val="0"/>
            <w:vAlign w:val="center"/>
          </w:tcPr>
          <w:p w14:paraId="5ED350BD">
            <w:pPr>
              <w:jc w:val="center"/>
              <w:rPr>
                <w:rFonts w:hint="eastAsia" w:ascii="宋体" w:hAnsi="宋体" w:eastAsia="宋体" w:cs="宋体"/>
                <w:sz w:val="24"/>
              </w:rPr>
            </w:pPr>
            <w:r>
              <w:rPr>
                <w:rFonts w:hint="eastAsia" w:ascii="宋体" w:hAnsi="宋体" w:eastAsia="宋体" w:cs="宋体"/>
                <w:sz w:val="24"/>
              </w:rPr>
              <w:t>4</w:t>
            </w:r>
          </w:p>
        </w:tc>
        <w:tc>
          <w:tcPr>
            <w:tcW w:w="1064" w:type="dxa"/>
            <w:noWrap w:val="0"/>
            <w:vAlign w:val="center"/>
          </w:tcPr>
          <w:p w14:paraId="6327B3FC">
            <w:pPr>
              <w:jc w:val="center"/>
              <w:rPr>
                <w:rFonts w:hint="eastAsia" w:ascii="宋体" w:hAnsi="宋体" w:eastAsia="宋体" w:cs="宋体"/>
                <w:sz w:val="24"/>
              </w:rPr>
            </w:pPr>
            <w:r>
              <w:rPr>
                <w:rFonts w:hint="eastAsia" w:ascii="宋体" w:hAnsi="宋体" w:eastAsia="宋体" w:cs="宋体"/>
                <w:sz w:val="24"/>
              </w:rPr>
              <w:t>T-501</w:t>
            </w:r>
          </w:p>
        </w:tc>
        <w:tc>
          <w:tcPr>
            <w:tcW w:w="1213" w:type="dxa"/>
            <w:noWrap w:val="0"/>
            <w:vAlign w:val="center"/>
          </w:tcPr>
          <w:p w14:paraId="3665FD21">
            <w:pPr>
              <w:jc w:val="center"/>
              <w:rPr>
                <w:rFonts w:hint="eastAsia" w:ascii="宋体" w:hAnsi="宋体" w:eastAsia="宋体" w:cs="宋体"/>
                <w:sz w:val="24"/>
              </w:rPr>
            </w:pPr>
            <w:r>
              <w:rPr>
                <w:rFonts w:hint="eastAsia" w:ascii="宋体" w:hAnsi="宋体" w:eastAsia="宋体" w:cs="宋体"/>
                <w:sz w:val="24"/>
              </w:rPr>
              <w:t>脱硫塔</w:t>
            </w:r>
          </w:p>
        </w:tc>
        <w:tc>
          <w:tcPr>
            <w:tcW w:w="2441" w:type="dxa"/>
            <w:noWrap w:val="0"/>
            <w:vAlign w:val="center"/>
          </w:tcPr>
          <w:p w14:paraId="236562C3">
            <w:pPr>
              <w:jc w:val="center"/>
              <w:rPr>
                <w:rFonts w:hint="eastAsia" w:ascii="宋体" w:hAnsi="宋体" w:eastAsia="宋体" w:cs="宋体"/>
                <w:sz w:val="24"/>
              </w:rPr>
            </w:pPr>
            <w:r>
              <w:rPr>
                <w:rFonts w:hint="eastAsia" w:ascii="宋体" w:hAnsi="宋体" w:eastAsia="宋体" w:cs="宋体"/>
                <w:sz w:val="24"/>
              </w:rPr>
              <w:t>圆柱立式填料塔Φ=2000×38 L=8350总高：11660 V:29m</w:t>
            </w:r>
            <w:r>
              <w:rPr>
                <w:rFonts w:hint="eastAsia" w:ascii="宋体" w:hAnsi="宋体" w:eastAsia="宋体" w:cs="宋体"/>
                <w:sz w:val="24"/>
                <w:vertAlign w:val="superscript"/>
              </w:rPr>
              <w:t>3</w:t>
            </w:r>
          </w:p>
        </w:tc>
        <w:tc>
          <w:tcPr>
            <w:tcW w:w="1527" w:type="dxa"/>
            <w:noWrap w:val="0"/>
            <w:vAlign w:val="center"/>
          </w:tcPr>
          <w:p w14:paraId="75D0E6B4">
            <w:pPr>
              <w:jc w:val="center"/>
              <w:rPr>
                <w:rFonts w:hint="eastAsia" w:ascii="宋体" w:hAnsi="宋体" w:eastAsia="宋体" w:cs="宋体"/>
                <w:sz w:val="24"/>
              </w:rPr>
            </w:pPr>
            <w:r>
              <w:rPr>
                <w:rFonts w:hint="eastAsia" w:ascii="宋体" w:hAnsi="宋体" w:eastAsia="宋体" w:cs="宋体"/>
                <w:sz w:val="24"/>
              </w:rPr>
              <w:t>1台</w:t>
            </w:r>
          </w:p>
        </w:tc>
        <w:tc>
          <w:tcPr>
            <w:tcW w:w="1609" w:type="dxa"/>
            <w:noWrap w:val="0"/>
            <w:vAlign w:val="center"/>
          </w:tcPr>
          <w:p w14:paraId="7F9E94F2">
            <w:pPr>
              <w:jc w:val="center"/>
              <w:rPr>
                <w:rFonts w:hint="eastAsia" w:ascii="宋体" w:hAnsi="宋体" w:eastAsia="宋体" w:cs="宋体"/>
                <w:sz w:val="24"/>
              </w:rPr>
            </w:pPr>
            <w:r>
              <w:rPr>
                <w:rFonts w:hint="eastAsia" w:ascii="宋体" w:hAnsi="宋体" w:eastAsia="宋体" w:cs="宋体"/>
                <w:sz w:val="24"/>
              </w:rPr>
              <w:t>常州万象化工机械有限公司</w:t>
            </w:r>
          </w:p>
        </w:tc>
      </w:tr>
    </w:tbl>
    <w:p w14:paraId="328A255D">
      <w:pPr>
        <w:outlineLvl w:val="0"/>
        <w:rPr>
          <w:rFonts w:hint="eastAsia" w:ascii="宋体" w:hAnsi="宋体" w:eastAsia="宋体" w:cs="宋体"/>
          <w:sz w:val="24"/>
        </w:rPr>
      </w:pPr>
      <w:r>
        <w:rPr>
          <w:rFonts w:hint="eastAsia" w:ascii="宋体" w:hAnsi="宋体" w:eastAsia="宋体" w:cs="宋体"/>
          <w:sz w:val="24"/>
        </w:rPr>
        <w:t>3.设备对应催化剂用量</w:t>
      </w:r>
    </w:p>
    <w:tbl>
      <w:tblPr>
        <w:tblStyle w:val="27"/>
        <w:tblW w:w="4998" w:type="pct"/>
        <w:jc w:val="center"/>
        <w:tblLayout w:type="autofit"/>
        <w:tblCellMar>
          <w:top w:w="0" w:type="dxa"/>
          <w:left w:w="108" w:type="dxa"/>
          <w:bottom w:w="0" w:type="dxa"/>
          <w:right w:w="108" w:type="dxa"/>
        </w:tblCellMar>
      </w:tblPr>
      <w:tblGrid>
        <w:gridCol w:w="456"/>
        <w:gridCol w:w="1314"/>
        <w:gridCol w:w="2925"/>
        <w:gridCol w:w="1091"/>
        <w:gridCol w:w="1342"/>
        <w:gridCol w:w="1391"/>
      </w:tblGrid>
      <w:tr w14:paraId="7CAAB1AF">
        <w:tblPrEx>
          <w:tblCellMar>
            <w:top w:w="0" w:type="dxa"/>
            <w:left w:w="108" w:type="dxa"/>
            <w:bottom w:w="0" w:type="dxa"/>
            <w:right w:w="108" w:type="dxa"/>
          </w:tblCellMar>
        </w:tblPrEx>
        <w:trPr>
          <w:trHeight w:val="421" w:hRule="atLeast"/>
          <w:jc w:val="center"/>
        </w:trPr>
        <w:tc>
          <w:tcPr>
            <w:tcW w:w="232" w:type="pct"/>
            <w:tcBorders>
              <w:top w:val="single" w:color="000000" w:sz="4" w:space="0"/>
              <w:left w:val="single" w:color="000000" w:sz="4" w:space="0"/>
              <w:bottom w:val="single" w:color="000000" w:sz="4" w:space="0"/>
              <w:right w:val="single" w:color="000000" w:sz="4" w:space="0"/>
            </w:tcBorders>
            <w:noWrap w:val="0"/>
            <w:vAlign w:val="top"/>
          </w:tcPr>
          <w:p w14:paraId="25F67767">
            <w:pPr>
              <w:outlineLvl w:val="0"/>
              <w:rPr>
                <w:rFonts w:hint="eastAsia" w:ascii="宋体" w:hAnsi="宋体" w:eastAsia="宋体" w:cs="宋体"/>
                <w:sz w:val="24"/>
              </w:rPr>
            </w:pPr>
            <w:r>
              <w:rPr>
                <w:rFonts w:hint="eastAsia" w:ascii="宋体" w:hAnsi="宋体" w:eastAsia="宋体" w:cs="宋体"/>
                <w:sz w:val="24"/>
              </w:rPr>
              <w:t>序号</w:t>
            </w:r>
          </w:p>
        </w:tc>
        <w:tc>
          <w:tcPr>
            <w:tcW w:w="778" w:type="pct"/>
            <w:tcBorders>
              <w:top w:val="single" w:color="000000" w:sz="4" w:space="0"/>
              <w:left w:val="single" w:color="000000" w:sz="4" w:space="0"/>
              <w:bottom w:val="single" w:color="000000" w:sz="4" w:space="0"/>
              <w:right w:val="single" w:color="000000" w:sz="4" w:space="0"/>
            </w:tcBorders>
            <w:noWrap w:val="0"/>
            <w:vAlign w:val="top"/>
          </w:tcPr>
          <w:p w14:paraId="3533B754">
            <w:pPr>
              <w:outlineLvl w:val="0"/>
              <w:rPr>
                <w:rFonts w:hint="eastAsia" w:ascii="宋体" w:hAnsi="宋体" w:eastAsia="宋体" w:cs="宋体"/>
                <w:sz w:val="24"/>
              </w:rPr>
            </w:pPr>
            <w:r>
              <w:rPr>
                <w:rFonts w:hint="eastAsia" w:ascii="宋体" w:hAnsi="宋体" w:eastAsia="宋体" w:cs="宋体"/>
                <w:sz w:val="24"/>
              </w:rPr>
              <w:t>设备位号</w:t>
            </w:r>
          </w:p>
        </w:tc>
        <w:tc>
          <w:tcPr>
            <w:tcW w:w="1723" w:type="pct"/>
            <w:tcBorders>
              <w:top w:val="single" w:color="000000" w:sz="4" w:space="0"/>
              <w:left w:val="single" w:color="000000" w:sz="4" w:space="0"/>
              <w:bottom w:val="single" w:color="000000" w:sz="4" w:space="0"/>
              <w:right w:val="single" w:color="000000" w:sz="4" w:space="0"/>
            </w:tcBorders>
            <w:noWrap w:val="0"/>
            <w:vAlign w:val="top"/>
          </w:tcPr>
          <w:p w14:paraId="0556914E">
            <w:pPr>
              <w:outlineLvl w:val="0"/>
              <w:rPr>
                <w:rFonts w:hint="eastAsia" w:ascii="宋体" w:hAnsi="宋体" w:eastAsia="宋体" w:cs="宋体"/>
                <w:sz w:val="24"/>
              </w:rPr>
            </w:pPr>
            <w:r>
              <w:rPr>
                <w:rFonts w:hint="eastAsia" w:ascii="宋体" w:hAnsi="宋体" w:eastAsia="宋体" w:cs="宋体"/>
                <w:sz w:val="24"/>
              </w:rPr>
              <w:t>催化剂</w:t>
            </w:r>
          </w:p>
        </w:tc>
        <w:tc>
          <w:tcPr>
            <w:tcW w:w="647" w:type="pct"/>
            <w:tcBorders>
              <w:top w:val="single" w:color="000000" w:sz="4" w:space="0"/>
              <w:left w:val="single" w:color="000000" w:sz="4" w:space="0"/>
              <w:bottom w:val="single" w:color="000000" w:sz="4" w:space="0"/>
              <w:right w:val="single" w:color="000000" w:sz="4" w:space="0"/>
            </w:tcBorders>
            <w:noWrap w:val="0"/>
            <w:vAlign w:val="top"/>
          </w:tcPr>
          <w:p w14:paraId="6AF3BD17">
            <w:pPr>
              <w:outlineLvl w:val="0"/>
              <w:rPr>
                <w:rFonts w:hint="eastAsia" w:ascii="宋体" w:hAnsi="宋体" w:eastAsia="宋体" w:cs="宋体"/>
                <w:sz w:val="24"/>
              </w:rPr>
            </w:pPr>
            <w:r>
              <w:rPr>
                <w:rFonts w:hint="eastAsia" w:ascii="宋体" w:hAnsi="宋体" w:eastAsia="宋体" w:cs="宋体"/>
                <w:sz w:val="24"/>
              </w:rPr>
              <w:t>数量</w:t>
            </w:r>
            <w:bookmarkStart w:id="2" w:name="OLE_LINK6"/>
            <w:bookmarkStart w:id="3" w:name="OLE_LINK5"/>
            <w:r>
              <w:rPr>
                <w:rFonts w:hint="eastAsia" w:ascii="宋体" w:hAnsi="宋体" w:eastAsia="宋体" w:cs="宋体"/>
                <w:sz w:val="24"/>
              </w:rPr>
              <w:t>m</w:t>
            </w:r>
            <w:r>
              <w:rPr>
                <w:rFonts w:hint="eastAsia" w:ascii="宋体" w:hAnsi="宋体" w:eastAsia="宋体" w:cs="宋体"/>
                <w:sz w:val="24"/>
                <w:vertAlign w:val="superscript"/>
              </w:rPr>
              <w:t>3</w:t>
            </w:r>
            <w:bookmarkEnd w:id="2"/>
            <w:bookmarkEnd w:id="3"/>
          </w:p>
        </w:tc>
        <w:tc>
          <w:tcPr>
            <w:tcW w:w="794" w:type="pct"/>
            <w:tcBorders>
              <w:top w:val="single" w:color="000000" w:sz="4" w:space="0"/>
              <w:left w:val="single" w:color="000000" w:sz="4" w:space="0"/>
              <w:bottom w:val="single" w:color="000000" w:sz="4" w:space="0"/>
              <w:right w:val="single" w:color="000000" w:sz="4" w:space="0"/>
            </w:tcBorders>
            <w:noWrap w:val="0"/>
            <w:vAlign w:val="top"/>
          </w:tcPr>
          <w:p w14:paraId="70BB5A17">
            <w:pPr>
              <w:outlineLvl w:val="0"/>
              <w:rPr>
                <w:rFonts w:hint="eastAsia" w:ascii="宋体" w:hAnsi="宋体" w:eastAsia="宋体" w:cs="宋体"/>
                <w:sz w:val="24"/>
              </w:rPr>
            </w:pPr>
            <w:r>
              <w:rPr>
                <w:rFonts w:hint="eastAsia" w:ascii="宋体" w:hAnsi="宋体" w:eastAsia="宋体" w:cs="宋体"/>
                <w:sz w:val="24"/>
              </w:rPr>
              <w:t>更换周期</w:t>
            </w:r>
          </w:p>
        </w:tc>
        <w:tc>
          <w:tcPr>
            <w:tcW w:w="823" w:type="pct"/>
            <w:tcBorders>
              <w:top w:val="single" w:color="000000" w:sz="4" w:space="0"/>
              <w:left w:val="single" w:color="000000" w:sz="4" w:space="0"/>
              <w:bottom w:val="single" w:color="000000" w:sz="4" w:space="0"/>
              <w:right w:val="single" w:color="000000" w:sz="4" w:space="0"/>
            </w:tcBorders>
            <w:noWrap w:val="0"/>
            <w:vAlign w:val="top"/>
          </w:tcPr>
          <w:p w14:paraId="356D6792">
            <w:pPr>
              <w:outlineLvl w:val="0"/>
              <w:rPr>
                <w:rFonts w:hint="eastAsia" w:ascii="宋体" w:hAnsi="宋体" w:eastAsia="宋体" w:cs="宋体"/>
                <w:sz w:val="24"/>
              </w:rPr>
            </w:pPr>
            <w:r>
              <w:rPr>
                <w:rFonts w:hint="eastAsia" w:ascii="宋体" w:hAnsi="宋体" w:eastAsia="宋体" w:cs="宋体"/>
                <w:sz w:val="24"/>
              </w:rPr>
              <w:t>备注</w:t>
            </w:r>
          </w:p>
        </w:tc>
      </w:tr>
      <w:tr w14:paraId="7150190F">
        <w:tblPrEx>
          <w:tblCellMar>
            <w:top w:w="0" w:type="dxa"/>
            <w:left w:w="108" w:type="dxa"/>
            <w:bottom w:w="0" w:type="dxa"/>
            <w:right w:w="108" w:type="dxa"/>
          </w:tblCellMar>
        </w:tblPrEx>
        <w:trPr>
          <w:trHeight w:val="421" w:hRule="atLeast"/>
          <w:jc w:val="center"/>
        </w:trPr>
        <w:tc>
          <w:tcPr>
            <w:tcW w:w="232" w:type="pct"/>
            <w:tcBorders>
              <w:top w:val="single" w:color="000000" w:sz="4" w:space="0"/>
              <w:left w:val="single" w:color="000000" w:sz="4" w:space="0"/>
              <w:bottom w:val="single" w:color="000000" w:sz="4" w:space="0"/>
              <w:right w:val="single" w:color="000000" w:sz="4" w:space="0"/>
            </w:tcBorders>
            <w:noWrap/>
            <w:vAlign w:val="center"/>
          </w:tcPr>
          <w:p w14:paraId="3E30DAEA">
            <w:pPr>
              <w:outlineLvl w:val="0"/>
              <w:rPr>
                <w:rFonts w:hint="eastAsia" w:ascii="宋体" w:hAnsi="宋体" w:eastAsia="宋体" w:cs="宋体"/>
                <w:sz w:val="24"/>
              </w:rPr>
            </w:pPr>
            <w:r>
              <w:rPr>
                <w:rFonts w:hint="eastAsia" w:ascii="宋体" w:hAnsi="宋体" w:eastAsia="宋体" w:cs="宋体"/>
                <w:sz w:val="24"/>
              </w:rPr>
              <w:t>1</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5A5C4015">
            <w:pPr>
              <w:outlineLvl w:val="0"/>
              <w:rPr>
                <w:rFonts w:hint="eastAsia" w:ascii="宋体" w:hAnsi="宋体" w:eastAsia="宋体" w:cs="宋体"/>
                <w:sz w:val="24"/>
              </w:rPr>
            </w:pPr>
            <w:r>
              <w:rPr>
                <w:rFonts w:hint="eastAsia" w:ascii="宋体" w:hAnsi="宋体" w:eastAsia="宋体" w:cs="宋体"/>
                <w:sz w:val="24"/>
              </w:rPr>
              <w:t>脱硫塔</w:t>
            </w:r>
          </w:p>
        </w:tc>
        <w:tc>
          <w:tcPr>
            <w:tcW w:w="1723" w:type="pct"/>
            <w:tcBorders>
              <w:top w:val="single" w:color="000000" w:sz="4" w:space="0"/>
              <w:left w:val="single" w:color="000000" w:sz="4" w:space="0"/>
              <w:bottom w:val="single" w:color="000000" w:sz="4" w:space="0"/>
              <w:right w:val="single" w:color="000000" w:sz="4" w:space="0"/>
            </w:tcBorders>
            <w:noWrap/>
            <w:vAlign w:val="center"/>
          </w:tcPr>
          <w:p w14:paraId="5199FDE2">
            <w:pPr>
              <w:outlineLvl w:val="0"/>
              <w:rPr>
                <w:rFonts w:hint="eastAsia" w:ascii="宋体" w:hAnsi="宋体" w:eastAsia="宋体" w:cs="宋体"/>
                <w:sz w:val="24"/>
              </w:rPr>
            </w:pPr>
            <w:r>
              <w:rPr>
                <w:rFonts w:hint="eastAsia" w:ascii="宋体" w:hAnsi="宋体" w:eastAsia="宋体" w:cs="宋体"/>
                <w:sz w:val="24"/>
              </w:rPr>
              <w:t>氧化铁精脱硫剂</w:t>
            </w:r>
          </w:p>
          <w:p w14:paraId="69508FBB">
            <w:pPr>
              <w:outlineLvl w:val="0"/>
              <w:rPr>
                <w:rFonts w:hint="eastAsia" w:ascii="宋体" w:hAnsi="宋体" w:eastAsia="宋体" w:cs="宋体"/>
                <w:sz w:val="24"/>
              </w:rPr>
            </w:pPr>
            <w:r>
              <w:rPr>
                <w:rFonts w:hint="eastAsia" w:ascii="宋体" w:hAnsi="宋体" w:eastAsia="宋体" w:cs="宋体"/>
                <w:sz w:val="24"/>
              </w:rPr>
              <w:t>活性炭精脱</w:t>
            </w:r>
            <w:bookmarkStart w:id="4" w:name="OLE_LINK8"/>
            <w:bookmarkStart w:id="5" w:name="OLE_LINK7"/>
            <w:r>
              <w:rPr>
                <w:rFonts w:hint="eastAsia" w:ascii="宋体" w:hAnsi="宋体" w:eastAsia="宋体" w:cs="宋体"/>
                <w:sz w:val="24"/>
              </w:rPr>
              <w:t>硫剂</w:t>
            </w:r>
            <w:bookmarkEnd w:id="4"/>
            <w:bookmarkEnd w:id="5"/>
          </w:p>
        </w:tc>
        <w:tc>
          <w:tcPr>
            <w:tcW w:w="647" w:type="pct"/>
            <w:tcBorders>
              <w:top w:val="single" w:color="000000" w:sz="4" w:space="0"/>
              <w:left w:val="single" w:color="000000" w:sz="4" w:space="0"/>
              <w:bottom w:val="single" w:color="000000" w:sz="4" w:space="0"/>
              <w:right w:val="single" w:color="000000" w:sz="4" w:space="0"/>
            </w:tcBorders>
            <w:noWrap/>
            <w:vAlign w:val="center"/>
          </w:tcPr>
          <w:p w14:paraId="03591BA5">
            <w:pPr>
              <w:outlineLvl w:val="0"/>
              <w:rPr>
                <w:rFonts w:hint="eastAsia" w:ascii="宋体" w:hAnsi="宋体" w:eastAsia="宋体" w:cs="宋体"/>
                <w:sz w:val="24"/>
              </w:rPr>
            </w:pPr>
            <w:r>
              <w:rPr>
                <w:rFonts w:hint="eastAsia" w:ascii="宋体" w:hAnsi="宋体" w:eastAsia="宋体" w:cs="宋体"/>
                <w:sz w:val="24"/>
              </w:rPr>
              <w:t>10 m</w:t>
            </w:r>
            <w:r>
              <w:rPr>
                <w:rFonts w:hint="eastAsia" w:ascii="宋体" w:hAnsi="宋体" w:eastAsia="宋体" w:cs="宋体"/>
                <w:sz w:val="24"/>
                <w:vertAlign w:val="superscript"/>
              </w:rPr>
              <w:t>3</w:t>
            </w:r>
          </w:p>
          <w:p w14:paraId="36E84AB3">
            <w:pPr>
              <w:outlineLvl w:val="0"/>
              <w:rPr>
                <w:rFonts w:hint="eastAsia" w:ascii="宋体" w:hAnsi="宋体" w:eastAsia="宋体" w:cs="宋体"/>
                <w:sz w:val="24"/>
              </w:rPr>
            </w:pPr>
            <w:r>
              <w:rPr>
                <w:rFonts w:hint="eastAsia" w:ascii="宋体" w:hAnsi="宋体" w:eastAsia="宋体" w:cs="宋体"/>
                <w:sz w:val="24"/>
              </w:rPr>
              <w:t>5 m</w:t>
            </w:r>
            <w:r>
              <w:rPr>
                <w:rFonts w:hint="eastAsia" w:ascii="宋体" w:hAnsi="宋体" w:eastAsia="宋体" w:cs="宋体"/>
                <w:sz w:val="24"/>
                <w:vertAlign w:val="superscript"/>
              </w:rPr>
              <w:t>3</w:t>
            </w:r>
          </w:p>
        </w:tc>
        <w:tc>
          <w:tcPr>
            <w:tcW w:w="794" w:type="pct"/>
            <w:tcBorders>
              <w:top w:val="single" w:color="000000" w:sz="4" w:space="0"/>
              <w:left w:val="single" w:color="000000" w:sz="4" w:space="0"/>
              <w:bottom w:val="single" w:color="000000" w:sz="4" w:space="0"/>
              <w:right w:val="single" w:color="000000" w:sz="4" w:space="0"/>
            </w:tcBorders>
            <w:noWrap/>
            <w:vAlign w:val="center"/>
          </w:tcPr>
          <w:p w14:paraId="77159338">
            <w:pPr>
              <w:outlineLvl w:val="0"/>
              <w:rPr>
                <w:rFonts w:hint="eastAsia" w:ascii="宋体" w:hAnsi="宋体" w:eastAsia="宋体" w:cs="宋体"/>
                <w:sz w:val="24"/>
              </w:rPr>
            </w:pPr>
            <w:r>
              <w:rPr>
                <w:rFonts w:hint="eastAsia" w:ascii="宋体" w:hAnsi="宋体" w:eastAsia="宋体" w:cs="宋体"/>
                <w:sz w:val="24"/>
              </w:rPr>
              <w:t>3年</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E6D82C8">
            <w:pPr>
              <w:outlineLvl w:val="0"/>
              <w:rPr>
                <w:rFonts w:hint="eastAsia" w:ascii="宋体" w:hAnsi="宋体" w:eastAsia="宋体" w:cs="宋体"/>
                <w:sz w:val="24"/>
              </w:rPr>
            </w:pPr>
            <w:r>
              <w:rPr>
                <w:rFonts w:hint="eastAsia" w:ascii="宋体" w:hAnsi="宋体" w:eastAsia="宋体" w:cs="宋体"/>
                <w:sz w:val="24"/>
              </w:rPr>
              <w:t>两层装填</w:t>
            </w:r>
          </w:p>
        </w:tc>
      </w:tr>
      <w:tr w14:paraId="46FCAAB4">
        <w:tblPrEx>
          <w:tblCellMar>
            <w:top w:w="0" w:type="dxa"/>
            <w:left w:w="108" w:type="dxa"/>
            <w:bottom w:w="0" w:type="dxa"/>
            <w:right w:w="108" w:type="dxa"/>
          </w:tblCellMar>
        </w:tblPrEx>
        <w:trPr>
          <w:trHeight w:val="421" w:hRule="atLeast"/>
          <w:jc w:val="center"/>
        </w:trPr>
        <w:tc>
          <w:tcPr>
            <w:tcW w:w="232" w:type="pct"/>
            <w:tcBorders>
              <w:top w:val="single" w:color="000000" w:sz="4" w:space="0"/>
              <w:left w:val="single" w:color="000000" w:sz="4" w:space="0"/>
              <w:bottom w:val="single" w:color="000000" w:sz="4" w:space="0"/>
              <w:right w:val="single" w:color="000000" w:sz="4" w:space="0"/>
            </w:tcBorders>
            <w:noWrap/>
            <w:vAlign w:val="center"/>
          </w:tcPr>
          <w:p w14:paraId="73C9AEF9">
            <w:pPr>
              <w:outlineLvl w:val="0"/>
              <w:rPr>
                <w:rFonts w:hint="eastAsia" w:ascii="宋体" w:hAnsi="宋体" w:eastAsia="宋体" w:cs="宋体"/>
                <w:sz w:val="24"/>
              </w:rPr>
            </w:pPr>
            <w:r>
              <w:rPr>
                <w:rFonts w:hint="eastAsia" w:ascii="宋体" w:hAnsi="宋体" w:eastAsia="宋体" w:cs="宋体"/>
                <w:sz w:val="24"/>
              </w:rPr>
              <w:t>2</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0D985CEF">
            <w:pPr>
              <w:outlineLvl w:val="0"/>
              <w:rPr>
                <w:rFonts w:hint="eastAsia" w:ascii="宋体" w:hAnsi="宋体" w:eastAsia="宋体" w:cs="宋体"/>
                <w:sz w:val="24"/>
              </w:rPr>
            </w:pPr>
            <w:r>
              <w:rPr>
                <w:rFonts w:hint="eastAsia" w:ascii="宋体" w:hAnsi="宋体" w:eastAsia="宋体" w:cs="宋体"/>
                <w:sz w:val="24"/>
              </w:rPr>
              <w:t>水解塔</w:t>
            </w:r>
          </w:p>
        </w:tc>
        <w:tc>
          <w:tcPr>
            <w:tcW w:w="1723" w:type="pct"/>
            <w:tcBorders>
              <w:top w:val="single" w:color="000000" w:sz="4" w:space="0"/>
              <w:left w:val="single" w:color="000000" w:sz="4" w:space="0"/>
              <w:bottom w:val="single" w:color="000000" w:sz="4" w:space="0"/>
              <w:right w:val="single" w:color="000000" w:sz="4" w:space="0"/>
            </w:tcBorders>
            <w:noWrap/>
            <w:vAlign w:val="center"/>
          </w:tcPr>
          <w:p w14:paraId="3BBB71DF">
            <w:pPr>
              <w:outlineLvl w:val="0"/>
              <w:rPr>
                <w:rFonts w:hint="eastAsia" w:ascii="宋体" w:hAnsi="宋体" w:eastAsia="宋体" w:cs="宋体"/>
                <w:sz w:val="24"/>
              </w:rPr>
            </w:pPr>
            <w:r>
              <w:rPr>
                <w:rFonts w:hint="eastAsia" w:ascii="宋体" w:hAnsi="宋体" w:eastAsia="宋体" w:cs="宋体"/>
                <w:sz w:val="24"/>
              </w:rPr>
              <w:t>常温COS水解催化剂</w:t>
            </w:r>
          </w:p>
        </w:tc>
        <w:tc>
          <w:tcPr>
            <w:tcW w:w="647" w:type="pct"/>
            <w:tcBorders>
              <w:top w:val="single" w:color="000000" w:sz="4" w:space="0"/>
              <w:left w:val="single" w:color="000000" w:sz="4" w:space="0"/>
              <w:bottom w:val="single" w:color="000000" w:sz="4" w:space="0"/>
              <w:right w:val="single" w:color="000000" w:sz="4" w:space="0"/>
            </w:tcBorders>
            <w:noWrap/>
            <w:vAlign w:val="center"/>
          </w:tcPr>
          <w:p w14:paraId="78B02F31">
            <w:pPr>
              <w:outlineLvl w:val="0"/>
              <w:rPr>
                <w:rFonts w:hint="eastAsia" w:ascii="宋体" w:hAnsi="宋体" w:eastAsia="宋体" w:cs="宋体"/>
                <w:sz w:val="24"/>
              </w:rPr>
            </w:pPr>
            <w:r>
              <w:rPr>
                <w:rFonts w:hint="eastAsia" w:ascii="宋体" w:hAnsi="宋体" w:eastAsia="宋体" w:cs="宋体"/>
                <w:sz w:val="24"/>
              </w:rPr>
              <w:t>35 m</w:t>
            </w:r>
            <w:r>
              <w:rPr>
                <w:rFonts w:hint="eastAsia" w:ascii="宋体" w:hAnsi="宋体" w:eastAsia="宋体" w:cs="宋体"/>
                <w:sz w:val="24"/>
                <w:vertAlign w:val="superscript"/>
              </w:rPr>
              <w:t>3</w:t>
            </w:r>
          </w:p>
        </w:tc>
        <w:tc>
          <w:tcPr>
            <w:tcW w:w="794" w:type="pct"/>
            <w:tcBorders>
              <w:top w:val="single" w:color="000000" w:sz="4" w:space="0"/>
              <w:left w:val="single" w:color="000000" w:sz="4" w:space="0"/>
              <w:bottom w:val="single" w:color="000000" w:sz="4" w:space="0"/>
              <w:right w:val="single" w:color="000000" w:sz="4" w:space="0"/>
            </w:tcBorders>
            <w:noWrap/>
            <w:vAlign w:val="center"/>
          </w:tcPr>
          <w:p w14:paraId="20508735">
            <w:pPr>
              <w:outlineLvl w:val="0"/>
              <w:rPr>
                <w:rFonts w:hint="eastAsia" w:ascii="宋体" w:hAnsi="宋体" w:eastAsia="宋体" w:cs="宋体"/>
                <w:sz w:val="24"/>
              </w:rPr>
            </w:pPr>
            <w:r>
              <w:rPr>
                <w:rFonts w:hint="eastAsia" w:ascii="宋体" w:hAnsi="宋体" w:eastAsia="宋体" w:cs="宋体"/>
                <w:sz w:val="24"/>
              </w:rPr>
              <w:t>3年</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03F3535B">
            <w:pPr>
              <w:outlineLvl w:val="0"/>
              <w:rPr>
                <w:rFonts w:hint="eastAsia" w:ascii="宋体" w:hAnsi="宋体" w:eastAsia="宋体" w:cs="宋体"/>
                <w:sz w:val="24"/>
              </w:rPr>
            </w:pPr>
          </w:p>
        </w:tc>
      </w:tr>
      <w:tr w14:paraId="23B380C6">
        <w:tblPrEx>
          <w:tblCellMar>
            <w:top w:w="0" w:type="dxa"/>
            <w:left w:w="108" w:type="dxa"/>
            <w:bottom w:w="0" w:type="dxa"/>
            <w:right w:w="108" w:type="dxa"/>
          </w:tblCellMar>
        </w:tblPrEx>
        <w:trPr>
          <w:trHeight w:val="421" w:hRule="atLeast"/>
          <w:jc w:val="center"/>
        </w:trPr>
        <w:tc>
          <w:tcPr>
            <w:tcW w:w="232" w:type="pct"/>
            <w:tcBorders>
              <w:top w:val="single" w:color="000000" w:sz="4" w:space="0"/>
              <w:left w:val="single" w:color="000000" w:sz="4" w:space="0"/>
              <w:bottom w:val="single" w:color="000000" w:sz="4" w:space="0"/>
              <w:right w:val="single" w:color="000000" w:sz="4" w:space="0"/>
            </w:tcBorders>
            <w:noWrap/>
            <w:vAlign w:val="center"/>
          </w:tcPr>
          <w:p w14:paraId="31FDF077">
            <w:pPr>
              <w:outlineLvl w:val="0"/>
              <w:rPr>
                <w:rFonts w:hint="eastAsia" w:ascii="宋体" w:hAnsi="宋体" w:eastAsia="宋体" w:cs="宋体"/>
                <w:sz w:val="24"/>
              </w:rPr>
            </w:pPr>
            <w:r>
              <w:rPr>
                <w:rFonts w:hint="eastAsia" w:ascii="宋体" w:hAnsi="宋体" w:eastAsia="宋体" w:cs="宋体"/>
                <w:sz w:val="24"/>
              </w:rPr>
              <w:t>3</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3449B22F">
            <w:pPr>
              <w:outlineLvl w:val="0"/>
              <w:rPr>
                <w:rFonts w:hint="eastAsia" w:ascii="宋体" w:hAnsi="宋体" w:eastAsia="宋体" w:cs="宋体"/>
                <w:sz w:val="24"/>
              </w:rPr>
            </w:pPr>
            <w:r>
              <w:rPr>
                <w:rFonts w:hint="eastAsia" w:ascii="宋体" w:hAnsi="宋体" w:eastAsia="宋体" w:cs="宋体"/>
                <w:sz w:val="24"/>
              </w:rPr>
              <w:t>纯化器A</w:t>
            </w:r>
          </w:p>
        </w:tc>
        <w:tc>
          <w:tcPr>
            <w:tcW w:w="1723" w:type="pct"/>
            <w:tcBorders>
              <w:top w:val="single" w:color="000000" w:sz="4" w:space="0"/>
              <w:left w:val="single" w:color="000000" w:sz="4" w:space="0"/>
              <w:bottom w:val="single" w:color="000000" w:sz="4" w:space="0"/>
              <w:right w:val="single" w:color="000000" w:sz="4" w:space="0"/>
            </w:tcBorders>
            <w:noWrap/>
            <w:vAlign w:val="center"/>
          </w:tcPr>
          <w:p w14:paraId="7F5D121F">
            <w:pPr>
              <w:outlineLvl w:val="0"/>
              <w:rPr>
                <w:rFonts w:hint="eastAsia" w:ascii="宋体" w:hAnsi="宋体" w:eastAsia="宋体" w:cs="宋体"/>
                <w:sz w:val="24"/>
              </w:rPr>
            </w:pPr>
            <w:r>
              <w:rPr>
                <w:rFonts w:hint="eastAsia" w:ascii="宋体" w:hAnsi="宋体" w:eastAsia="宋体" w:cs="宋体"/>
                <w:sz w:val="24"/>
              </w:rPr>
              <w:t>氧活性炭精脱硫剂</w:t>
            </w:r>
          </w:p>
        </w:tc>
        <w:tc>
          <w:tcPr>
            <w:tcW w:w="647" w:type="pct"/>
            <w:tcBorders>
              <w:top w:val="single" w:color="000000" w:sz="4" w:space="0"/>
              <w:left w:val="single" w:color="000000" w:sz="4" w:space="0"/>
              <w:bottom w:val="single" w:color="000000" w:sz="4" w:space="0"/>
              <w:right w:val="single" w:color="000000" w:sz="4" w:space="0"/>
            </w:tcBorders>
            <w:noWrap/>
            <w:vAlign w:val="center"/>
          </w:tcPr>
          <w:p w14:paraId="36B910BB">
            <w:pPr>
              <w:outlineLvl w:val="0"/>
              <w:rPr>
                <w:rFonts w:hint="eastAsia" w:ascii="宋体" w:hAnsi="宋体" w:eastAsia="宋体" w:cs="宋体"/>
                <w:sz w:val="24"/>
              </w:rPr>
            </w:pPr>
            <w:r>
              <w:rPr>
                <w:rFonts w:hint="eastAsia" w:ascii="宋体" w:hAnsi="宋体" w:eastAsia="宋体" w:cs="宋体"/>
                <w:sz w:val="24"/>
              </w:rPr>
              <w:t>15 m</w:t>
            </w:r>
            <w:r>
              <w:rPr>
                <w:rFonts w:hint="eastAsia" w:ascii="宋体" w:hAnsi="宋体" w:eastAsia="宋体" w:cs="宋体"/>
                <w:sz w:val="24"/>
                <w:vertAlign w:val="superscript"/>
              </w:rPr>
              <w:t>3</w:t>
            </w:r>
          </w:p>
        </w:tc>
        <w:tc>
          <w:tcPr>
            <w:tcW w:w="794" w:type="pct"/>
            <w:tcBorders>
              <w:top w:val="single" w:color="000000" w:sz="4" w:space="0"/>
              <w:left w:val="single" w:color="000000" w:sz="4" w:space="0"/>
              <w:bottom w:val="single" w:color="000000" w:sz="4" w:space="0"/>
              <w:right w:val="single" w:color="000000" w:sz="4" w:space="0"/>
            </w:tcBorders>
            <w:noWrap/>
            <w:vAlign w:val="center"/>
          </w:tcPr>
          <w:p w14:paraId="4D36E780">
            <w:pPr>
              <w:outlineLvl w:val="0"/>
              <w:rPr>
                <w:rFonts w:hint="eastAsia" w:ascii="宋体" w:hAnsi="宋体" w:eastAsia="宋体" w:cs="宋体"/>
                <w:sz w:val="24"/>
              </w:rPr>
            </w:pPr>
            <w:r>
              <w:rPr>
                <w:rFonts w:hint="eastAsia" w:ascii="宋体" w:hAnsi="宋体" w:eastAsia="宋体" w:cs="宋体"/>
                <w:sz w:val="24"/>
              </w:rPr>
              <w:t>3年</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6585C3E9">
            <w:pPr>
              <w:outlineLvl w:val="0"/>
              <w:rPr>
                <w:rFonts w:hint="eastAsia" w:ascii="宋体" w:hAnsi="宋体" w:eastAsia="宋体" w:cs="宋体"/>
                <w:sz w:val="24"/>
              </w:rPr>
            </w:pPr>
          </w:p>
        </w:tc>
      </w:tr>
      <w:tr w14:paraId="7ECA5E46">
        <w:tblPrEx>
          <w:tblCellMar>
            <w:top w:w="0" w:type="dxa"/>
            <w:left w:w="108" w:type="dxa"/>
            <w:bottom w:w="0" w:type="dxa"/>
            <w:right w:w="108" w:type="dxa"/>
          </w:tblCellMar>
        </w:tblPrEx>
        <w:trPr>
          <w:trHeight w:val="421" w:hRule="atLeast"/>
          <w:jc w:val="center"/>
        </w:trPr>
        <w:tc>
          <w:tcPr>
            <w:tcW w:w="232" w:type="pct"/>
            <w:tcBorders>
              <w:top w:val="single" w:color="000000" w:sz="4" w:space="0"/>
              <w:left w:val="single" w:color="000000" w:sz="4" w:space="0"/>
              <w:bottom w:val="single" w:color="000000" w:sz="4" w:space="0"/>
              <w:right w:val="single" w:color="000000" w:sz="4" w:space="0"/>
            </w:tcBorders>
            <w:noWrap/>
            <w:vAlign w:val="center"/>
          </w:tcPr>
          <w:p w14:paraId="5160580B">
            <w:pPr>
              <w:outlineLvl w:val="0"/>
              <w:rPr>
                <w:rFonts w:hint="eastAsia" w:ascii="宋体" w:hAnsi="宋体" w:eastAsia="宋体" w:cs="宋体"/>
                <w:sz w:val="24"/>
              </w:rPr>
            </w:pPr>
            <w:r>
              <w:rPr>
                <w:rFonts w:hint="eastAsia" w:ascii="宋体" w:hAnsi="宋体" w:eastAsia="宋体" w:cs="宋体"/>
                <w:sz w:val="24"/>
              </w:rPr>
              <w:t>4</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41A2E080">
            <w:pPr>
              <w:outlineLvl w:val="0"/>
              <w:rPr>
                <w:rFonts w:hint="eastAsia" w:ascii="宋体" w:hAnsi="宋体" w:eastAsia="宋体" w:cs="宋体"/>
                <w:sz w:val="24"/>
              </w:rPr>
            </w:pPr>
            <w:r>
              <w:rPr>
                <w:rFonts w:hint="eastAsia" w:ascii="宋体" w:hAnsi="宋体" w:eastAsia="宋体" w:cs="宋体"/>
                <w:sz w:val="24"/>
              </w:rPr>
              <w:t>纯化器B</w:t>
            </w:r>
          </w:p>
        </w:tc>
        <w:tc>
          <w:tcPr>
            <w:tcW w:w="1723" w:type="pct"/>
            <w:tcBorders>
              <w:top w:val="single" w:color="000000" w:sz="4" w:space="0"/>
              <w:left w:val="single" w:color="000000" w:sz="4" w:space="0"/>
              <w:bottom w:val="single" w:color="000000" w:sz="4" w:space="0"/>
              <w:right w:val="single" w:color="000000" w:sz="4" w:space="0"/>
            </w:tcBorders>
            <w:noWrap/>
            <w:vAlign w:val="center"/>
          </w:tcPr>
          <w:p w14:paraId="117DBEA6">
            <w:pPr>
              <w:outlineLvl w:val="0"/>
              <w:rPr>
                <w:rFonts w:hint="eastAsia" w:ascii="宋体" w:hAnsi="宋体" w:eastAsia="宋体" w:cs="宋体"/>
                <w:sz w:val="24"/>
              </w:rPr>
            </w:pPr>
            <w:r>
              <w:rPr>
                <w:rFonts w:hint="eastAsia" w:ascii="宋体" w:hAnsi="宋体" w:eastAsia="宋体" w:cs="宋体"/>
                <w:sz w:val="24"/>
              </w:rPr>
              <w:t>氧活性炭精脱硫剂</w:t>
            </w:r>
          </w:p>
        </w:tc>
        <w:tc>
          <w:tcPr>
            <w:tcW w:w="647" w:type="pct"/>
            <w:tcBorders>
              <w:top w:val="single" w:color="000000" w:sz="4" w:space="0"/>
              <w:left w:val="single" w:color="000000" w:sz="4" w:space="0"/>
              <w:bottom w:val="single" w:color="000000" w:sz="4" w:space="0"/>
              <w:right w:val="single" w:color="000000" w:sz="4" w:space="0"/>
            </w:tcBorders>
            <w:noWrap/>
            <w:vAlign w:val="center"/>
          </w:tcPr>
          <w:p w14:paraId="0BFFD773">
            <w:pPr>
              <w:outlineLvl w:val="0"/>
              <w:rPr>
                <w:rFonts w:hint="eastAsia" w:ascii="宋体" w:hAnsi="宋体" w:eastAsia="宋体" w:cs="宋体"/>
                <w:sz w:val="24"/>
              </w:rPr>
            </w:pPr>
            <w:r>
              <w:rPr>
                <w:rFonts w:hint="eastAsia" w:ascii="宋体" w:hAnsi="宋体" w:eastAsia="宋体" w:cs="宋体"/>
                <w:sz w:val="24"/>
              </w:rPr>
              <w:t>10 m</w:t>
            </w:r>
            <w:r>
              <w:rPr>
                <w:rFonts w:hint="eastAsia" w:ascii="宋体" w:hAnsi="宋体" w:eastAsia="宋体" w:cs="宋体"/>
                <w:sz w:val="24"/>
                <w:vertAlign w:val="superscript"/>
              </w:rPr>
              <w:t>3</w:t>
            </w:r>
          </w:p>
        </w:tc>
        <w:tc>
          <w:tcPr>
            <w:tcW w:w="794" w:type="pct"/>
            <w:tcBorders>
              <w:top w:val="single" w:color="000000" w:sz="4" w:space="0"/>
              <w:left w:val="single" w:color="000000" w:sz="4" w:space="0"/>
              <w:bottom w:val="single" w:color="000000" w:sz="4" w:space="0"/>
              <w:right w:val="single" w:color="000000" w:sz="4" w:space="0"/>
            </w:tcBorders>
            <w:noWrap/>
            <w:vAlign w:val="center"/>
          </w:tcPr>
          <w:p w14:paraId="6CC3E6CB">
            <w:pPr>
              <w:outlineLvl w:val="0"/>
              <w:rPr>
                <w:rFonts w:hint="eastAsia" w:ascii="宋体" w:hAnsi="宋体" w:eastAsia="宋体" w:cs="宋体"/>
                <w:sz w:val="24"/>
              </w:rPr>
            </w:pPr>
            <w:r>
              <w:rPr>
                <w:rFonts w:hint="eastAsia" w:ascii="宋体" w:hAnsi="宋体" w:eastAsia="宋体" w:cs="宋体"/>
                <w:sz w:val="24"/>
              </w:rPr>
              <w:t>3年</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3565AFA1">
            <w:pPr>
              <w:outlineLvl w:val="0"/>
              <w:rPr>
                <w:rFonts w:hint="eastAsia" w:ascii="宋体" w:hAnsi="宋体" w:eastAsia="宋体" w:cs="宋体"/>
                <w:sz w:val="24"/>
              </w:rPr>
            </w:pPr>
          </w:p>
        </w:tc>
      </w:tr>
      <w:tr w14:paraId="6178890D">
        <w:tblPrEx>
          <w:tblCellMar>
            <w:top w:w="0" w:type="dxa"/>
            <w:left w:w="108" w:type="dxa"/>
            <w:bottom w:w="0" w:type="dxa"/>
            <w:right w:w="108" w:type="dxa"/>
          </w:tblCellMar>
        </w:tblPrEx>
        <w:trPr>
          <w:trHeight w:val="434" w:hRule="atLeast"/>
          <w:jc w:val="center"/>
        </w:trPr>
        <w:tc>
          <w:tcPr>
            <w:tcW w:w="232" w:type="pct"/>
            <w:tcBorders>
              <w:top w:val="single" w:color="000000" w:sz="4" w:space="0"/>
              <w:left w:val="single" w:color="000000" w:sz="4" w:space="0"/>
              <w:bottom w:val="single" w:color="000000" w:sz="4" w:space="0"/>
              <w:right w:val="single" w:color="000000" w:sz="4" w:space="0"/>
            </w:tcBorders>
            <w:noWrap/>
            <w:vAlign w:val="center"/>
          </w:tcPr>
          <w:p w14:paraId="36A10757">
            <w:pPr>
              <w:outlineLvl w:val="0"/>
              <w:rPr>
                <w:rFonts w:hint="eastAsia" w:ascii="宋体" w:hAnsi="宋体" w:eastAsia="宋体" w:cs="宋体"/>
                <w:sz w:val="24"/>
              </w:rPr>
            </w:pPr>
            <w:r>
              <w:rPr>
                <w:rFonts w:hint="eastAsia" w:ascii="宋体" w:hAnsi="宋体" w:eastAsia="宋体" w:cs="宋体"/>
                <w:sz w:val="24"/>
              </w:rPr>
              <w:t>5</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13162F57">
            <w:pPr>
              <w:outlineLvl w:val="0"/>
              <w:rPr>
                <w:rFonts w:hint="eastAsia" w:ascii="宋体" w:hAnsi="宋体" w:eastAsia="宋体" w:cs="宋体"/>
                <w:sz w:val="24"/>
              </w:rPr>
            </w:pPr>
          </w:p>
        </w:tc>
        <w:tc>
          <w:tcPr>
            <w:tcW w:w="1723" w:type="pct"/>
            <w:tcBorders>
              <w:top w:val="single" w:color="000000" w:sz="4" w:space="0"/>
              <w:left w:val="single" w:color="000000" w:sz="4" w:space="0"/>
              <w:bottom w:val="single" w:color="000000" w:sz="4" w:space="0"/>
              <w:right w:val="single" w:color="000000" w:sz="4" w:space="0"/>
            </w:tcBorders>
            <w:noWrap/>
            <w:vAlign w:val="center"/>
          </w:tcPr>
          <w:p w14:paraId="32257C42">
            <w:pPr>
              <w:outlineLvl w:val="0"/>
              <w:rPr>
                <w:rFonts w:hint="eastAsia" w:ascii="宋体" w:hAnsi="宋体" w:eastAsia="宋体" w:cs="宋体"/>
                <w:sz w:val="24"/>
              </w:rPr>
            </w:pPr>
            <w:r>
              <w:rPr>
                <w:rFonts w:hint="eastAsia" w:ascii="宋体" w:hAnsi="宋体" w:eastAsia="宋体" w:cs="宋体"/>
                <w:sz w:val="24"/>
              </w:rPr>
              <w:t>瓷球</w:t>
            </w:r>
          </w:p>
        </w:tc>
        <w:tc>
          <w:tcPr>
            <w:tcW w:w="647" w:type="pct"/>
            <w:tcBorders>
              <w:top w:val="single" w:color="000000" w:sz="4" w:space="0"/>
              <w:left w:val="single" w:color="000000" w:sz="4" w:space="0"/>
              <w:bottom w:val="single" w:color="000000" w:sz="4" w:space="0"/>
              <w:right w:val="single" w:color="000000" w:sz="4" w:space="0"/>
            </w:tcBorders>
            <w:noWrap/>
            <w:vAlign w:val="center"/>
          </w:tcPr>
          <w:p w14:paraId="059D8039">
            <w:pPr>
              <w:outlineLvl w:val="0"/>
              <w:rPr>
                <w:rFonts w:hint="eastAsia" w:ascii="宋体" w:hAnsi="宋体" w:eastAsia="宋体" w:cs="宋体"/>
                <w:sz w:val="24"/>
              </w:rPr>
            </w:pPr>
            <w:r>
              <w:rPr>
                <w:rFonts w:hint="eastAsia" w:ascii="宋体" w:hAnsi="宋体" w:eastAsia="宋体" w:cs="宋体"/>
                <w:sz w:val="24"/>
              </w:rPr>
              <w:t>4 m</w:t>
            </w:r>
            <w:r>
              <w:rPr>
                <w:rFonts w:hint="eastAsia" w:ascii="宋体" w:hAnsi="宋体" w:eastAsia="宋体" w:cs="宋体"/>
                <w:sz w:val="24"/>
                <w:vertAlign w:val="superscript"/>
              </w:rPr>
              <w:t>3</w:t>
            </w:r>
          </w:p>
        </w:tc>
        <w:tc>
          <w:tcPr>
            <w:tcW w:w="794" w:type="pct"/>
            <w:tcBorders>
              <w:top w:val="single" w:color="000000" w:sz="4" w:space="0"/>
              <w:left w:val="single" w:color="000000" w:sz="4" w:space="0"/>
              <w:bottom w:val="single" w:color="000000" w:sz="4" w:space="0"/>
              <w:right w:val="single" w:color="000000" w:sz="4" w:space="0"/>
            </w:tcBorders>
            <w:noWrap/>
            <w:vAlign w:val="center"/>
          </w:tcPr>
          <w:p w14:paraId="71E06664">
            <w:pPr>
              <w:outlineLvl w:val="0"/>
              <w:rPr>
                <w:rFonts w:hint="eastAsia" w:ascii="宋体" w:hAnsi="宋体" w:eastAsia="宋体" w:cs="宋体"/>
                <w:sz w:val="24"/>
              </w:rPr>
            </w:pPr>
            <w:r>
              <w:rPr>
                <w:rFonts w:hint="eastAsia" w:ascii="宋体" w:hAnsi="宋体" w:eastAsia="宋体" w:cs="宋体"/>
                <w:sz w:val="24"/>
              </w:rPr>
              <w:t>3年</w:t>
            </w:r>
          </w:p>
        </w:tc>
        <w:tc>
          <w:tcPr>
            <w:tcW w:w="823" w:type="pct"/>
            <w:tcBorders>
              <w:top w:val="single" w:color="000000" w:sz="4" w:space="0"/>
              <w:left w:val="single" w:color="000000" w:sz="4" w:space="0"/>
              <w:bottom w:val="single" w:color="000000" w:sz="4" w:space="0"/>
              <w:right w:val="single" w:color="000000" w:sz="4" w:space="0"/>
            </w:tcBorders>
            <w:noWrap/>
            <w:vAlign w:val="center"/>
          </w:tcPr>
          <w:p w14:paraId="6B2C8300">
            <w:pPr>
              <w:outlineLvl w:val="0"/>
              <w:rPr>
                <w:rFonts w:hint="eastAsia" w:ascii="宋体" w:hAnsi="宋体" w:eastAsia="宋体" w:cs="宋体"/>
                <w:sz w:val="24"/>
              </w:rPr>
            </w:pPr>
            <w:r>
              <w:rPr>
                <w:rFonts w:hint="eastAsia" w:ascii="宋体" w:hAnsi="宋体" w:eastAsia="宋体" w:cs="宋体"/>
                <w:sz w:val="24"/>
              </w:rPr>
              <w:t>底部一层</w:t>
            </w:r>
          </w:p>
        </w:tc>
      </w:tr>
    </w:tbl>
    <w:p w14:paraId="5B7A25B4">
      <w:pPr>
        <w:jc w:val="left"/>
        <w:rPr>
          <w:rFonts w:hint="eastAsia" w:ascii="宋体" w:hAnsi="宋体" w:eastAsia="宋体" w:cs="宋体"/>
          <w:sz w:val="24"/>
        </w:rPr>
      </w:pPr>
      <w:r>
        <w:rPr>
          <w:rFonts w:hint="eastAsia" w:ascii="宋体" w:hAnsi="宋体" w:eastAsia="宋体" w:cs="宋体"/>
          <w:sz w:val="24"/>
        </w:rPr>
        <w:t>4.故障情况说明</w:t>
      </w:r>
    </w:p>
    <w:p w14:paraId="5571C503">
      <w:pPr>
        <w:jc w:val="left"/>
        <w:rPr>
          <w:rFonts w:hint="eastAsia" w:ascii="宋体" w:hAnsi="宋体" w:eastAsia="宋体" w:cs="宋体"/>
          <w:sz w:val="24"/>
        </w:rPr>
      </w:pPr>
      <w:r>
        <w:rPr>
          <w:rFonts w:hint="eastAsia" w:ascii="宋体" w:hAnsi="宋体" w:eastAsia="宋体" w:cs="宋体"/>
          <w:sz w:val="24"/>
        </w:rPr>
        <w:t>脱硫塔内脱硫剂、纯化器脱硫剂已连续投用6年以上，水解塔水解催化剂已投用3年以上，均已达到规定的最高使用年限。上述脱硫剂、水解催化剂长期运行后，吸附、催化活性会出现衰减，脱硫、水解处理能力大幅下降，会造成原料气净化指标不达标，直接影响CO₂产品生产的纯度、产量以及装置稳定连续运行。为保障CO₂生产装置安全稳定运行，确保CO₂产品质量达标，需对上述脱硫剂、水解催化剂进行更换处置。</w:t>
      </w:r>
    </w:p>
    <w:p w14:paraId="6C804172">
      <w:pPr>
        <w:jc w:val="left"/>
        <w:rPr>
          <w:rFonts w:hint="eastAsia" w:ascii="宋体" w:hAnsi="宋体" w:eastAsia="宋体" w:cs="宋体"/>
          <w:sz w:val="24"/>
        </w:rPr>
      </w:pPr>
      <w:r>
        <w:rPr>
          <w:rFonts w:hint="eastAsia" w:ascii="宋体" w:hAnsi="宋体" w:eastAsia="宋体" w:cs="宋体"/>
          <w:sz w:val="24"/>
        </w:rPr>
        <w:t>原催化剂、瓷球由湖北华特尔净化科技股份有限公司供应。</w:t>
      </w:r>
    </w:p>
    <w:p w14:paraId="644B4646">
      <w:pPr>
        <w:numPr>
          <w:ilvl w:val="0"/>
          <w:numId w:val="9"/>
        </w:numPr>
        <w:jc w:val="left"/>
        <w:rPr>
          <w:rFonts w:hint="eastAsia" w:ascii="宋体" w:hAnsi="宋体" w:eastAsia="宋体" w:cs="宋体"/>
          <w:sz w:val="24"/>
        </w:rPr>
      </w:pPr>
      <w:r>
        <w:rPr>
          <w:rFonts w:hint="eastAsia" w:ascii="宋体" w:hAnsi="宋体" w:eastAsia="宋体" w:cs="宋体"/>
          <w:sz w:val="24"/>
        </w:rPr>
        <w:t>维修内容</w:t>
      </w:r>
    </w:p>
    <w:p w14:paraId="324A1620">
      <w:pPr>
        <w:jc w:val="left"/>
        <w:rPr>
          <w:rFonts w:hint="eastAsia" w:ascii="宋体" w:hAnsi="宋体" w:eastAsia="宋体" w:cs="宋体"/>
          <w:sz w:val="24"/>
        </w:rPr>
      </w:pPr>
      <w:r>
        <w:rPr>
          <w:rFonts w:hint="eastAsia" w:ascii="宋体" w:hAnsi="宋体" w:eastAsia="宋体" w:cs="宋体"/>
          <w:sz w:val="24"/>
        </w:rPr>
        <w:t>4.1 施工前的准备工作</w:t>
      </w:r>
    </w:p>
    <w:p w14:paraId="7E7B7A05">
      <w:pPr>
        <w:jc w:val="left"/>
        <w:rPr>
          <w:rFonts w:hint="eastAsia" w:ascii="宋体" w:hAnsi="宋体" w:eastAsia="宋体" w:cs="宋体"/>
          <w:sz w:val="24"/>
        </w:rPr>
      </w:pPr>
      <w:r>
        <w:rPr>
          <w:rFonts w:hint="eastAsia" w:ascii="宋体" w:hAnsi="宋体" w:eastAsia="宋体" w:cs="宋体"/>
          <w:sz w:val="24"/>
        </w:rPr>
        <w:t>4.1.1 乙方负责配备施工所需真空泵、软料斗、帆布溜筒（控制物料下落高度≤0.5‑1m，避免催化剂颗粒受冲击破碎粉化）、振碎器、耙子、筛网（用于筛分破碎粉尘）及全套防爆工具。</w:t>
      </w:r>
    </w:p>
    <w:p w14:paraId="7E80A771">
      <w:pPr>
        <w:jc w:val="left"/>
        <w:rPr>
          <w:rFonts w:hint="eastAsia" w:ascii="宋体" w:hAnsi="宋体" w:eastAsia="宋体" w:cs="宋体"/>
          <w:sz w:val="24"/>
        </w:rPr>
      </w:pPr>
      <w:r>
        <w:rPr>
          <w:rFonts w:hint="eastAsia" w:ascii="宋体" w:hAnsi="宋体" w:eastAsia="宋体" w:cs="宋体"/>
          <w:sz w:val="24"/>
        </w:rPr>
        <w:t>4.1.2 甲方按照乙方施工要求搭设施工平台，并提前完成塔器保温层拆除工作。</w:t>
      </w:r>
    </w:p>
    <w:p w14:paraId="5E053E84">
      <w:pPr>
        <w:jc w:val="left"/>
        <w:rPr>
          <w:rFonts w:hint="eastAsia" w:ascii="宋体" w:hAnsi="宋体" w:eastAsia="宋体" w:cs="宋体"/>
          <w:sz w:val="24"/>
          <w:lang w:val="en-US" w:eastAsia="zh-CN"/>
        </w:rPr>
      </w:pPr>
      <w:r>
        <w:rPr>
          <w:rFonts w:hint="eastAsia" w:ascii="宋体" w:hAnsi="宋体" w:eastAsia="宋体" w:cs="宋体"/>
          <w:sz w:val="24"/>
        </w:rPr>
        <w:t>4.2 催化剂、瓷球卸出</w:t>
      </w:r>
    </w:p>
    <w:p w14:paraId="473266CC">
      <w:pPr>
        <w:jc w:val="left"/>
        <w:rPr>
          <w:rFonts w:hint="eastAsia" w:ascii="宋体" w:hAnsi="宋体" w:eastAsia="宋体" w:cs="宋体"/>
          <w:sz w:val="24"/>
        </w:rPr>
      </w:pPr>
      <w:r>
        <w:rPr>
          <w:rFonts w:hint="eastAsia" w:ascii="宋体" w:hAnsi="宋体" w:eastAsia="宋体" w:cs="宋体"/>
          <w:sz w:val="24"/>
        </w:rPr>
        <w:t xml:space="preserve">4.2.1 </w:t>
      </w:r>
      <w:r>
        <w:rPr>
          <w:rFonts w:hint="eastAsia" w:ascii="宋体" w:hAnsi="宋体" w:eastAsia="宋体" w:cs="宋体"/>
          <w:sz w:val="24"/>
          <w:lang w:val="en-US" w:eastAsia="zh-CN"/>
        </w:rPr>
        <w:t>甲方</w:t>
      </w:r>
      <w:r>
        <w:rPr>
          <w:rFonts w:hint="eastAsia" w:ascii="宋体" w:hAnsi="宋体" w:eastAsia="宋体" w:cs="宋体"/>
          <w:sz w:val="24"/>
        </w:rPr>
        <w:t>作业前检查施工平台，确认平台结构稳固，满足安全作业要求。</w:t>
      </w:r>
    </w:p>
    <w:p w14:paraId="2E0D7259">
      <w:pPr>
        <w:jc w:val="left"/>
        <w:rPr>
          <w:rFonts w:hint="eastAsia" w:ascii="宋体" w:hAnsi="宋体" w:eastAsia="宋体" w:cs="宋体"/>
          <w:sz w:val="24"/>
        </w:rPr>
      </w:pPr>
      <w:r>
        <w:rPr>
          <w:rFonts w:hint="eastAsia" w:ascii="宋体" w:hAnsi="宋体" w:eastAsia="宋体" w:cs="宋体"/>
          <w:sz w:val="24"/>
        </w:rPr>
        <w:t xml:space="preserve">4.2.2 </w:t>
      </w:r>
      <w:r>
        <w:rPr>
          <w:rFonts w:hint="eastAsia" w:ascii="宋体" w:hAnsi="宋体" w:eastAsia="宋体" w:cs="宋体"/>
          <w:sz w:val="24"/>
          <w:lang w:val="en-US" w:eastAsia="zh-CN"/>
        </w:rPr>
        <w:t>甲方</w:t>
      </w:r>
      <w:r>
        <w:rPr>
          <w:rFonts w:hint="eastAsia" w:ascii="宋体" w:hAnsi="宋体" w:eastAsia="宋体" w:cs="宋体"/>
          <w:sz w:val="24"/>
        </w:rPr>
        <w:t>拆除塔器人孔盖板，开启人孔。</w:t>
      </w:r>
    </w:p>
    <w:p w14:paraId="1EB98E58">
      <w:pPr>
        <w:jc w:val="left"/>
        <w:rPr>
          <w:rFonts w:hint="eastAsia" w:ascii="宋体" w:hAnsi="宋体" w:eastAsia="宋体" w:cs="宋体"/>
          <w:sz w:val="24"/>
        </w:rPr>
      </w:pPr>
      <w:r>
        <w:rPr>
          <w:rFonts w:hint="eastAsia" w:ascii="宋体" w:hAnsi="宋体" w:eastAsia="宋体" w:cs="宋体"/>
          <w:sz w:val="24"/>
        </w:rPr>
        <w:t xml:space="preserve">4.2.3 </w:t>
      </w:r>
      <w:r>
        <w:rPr>
          <w:rFonts w:hint="eastAsia" w:ascii="宋体" w:hAnsi="宋体" w:eastAsia="宋体" w:cs="宋体"/>
          <w:sz w:val="24"/>
          <w:lang w:val="en-US" w:eastAsia="zh-CN"/>
        </w:rPr>
        <w:t>乙方</w:t>
      </w:r>
      <w:r>
        <w:rPr>
          <w:rFonts w:hint="eastAsia" w:ascii="宋体" w:hAnsi="宋体" w:eastAsia="宋体" w:cs="宋体"/>
          <w:sz w:val="24"/>
        </w:rPr>
        <w:t>完成抽料系统准备，吸料设备就位布置，控制箱完成接线通电。</w:t>
      </w:r>
    </w:p>
    <w:p w14:paraId="7A9E3133">
      <w:pPr>
        <w:jc w:val="left"/>
        <w:rPr>
          <w:rFonts w:hint="eastAsia" w:ascii="宋体" w:hAnsi="宋体" w:eastAsia="宋体" w:cs="宋体"/>
          <w:sz w:val="24"/>
        </w:rPr>
      </w:pPr>
      <w:r>
        <w:rPr>
          <w:rFonts w:hint="eastAsia" w:ascii="宋体" w:hAnsi="宋体" w:eastAsia="宋体" w:cs="宋体"/>
          <w:sz w:val="24"/>
        </w:rPr>
        <w:t xml:space="preserve">4.2.4 </w:t>
      </w:r>
      <w:r>
        <w:rPr>
          <w:rFonts w:hint="eastAsia" w:ascii="宋体" w:hAnsi="宋体" w:eastAsia="宋体" w:cs="宋体"/>
          <w:sz w:val="24"/>
          <w:lang w:val="en-US" w:eastAsia="zh-CN"/>
        </w:rPr>
        <w:t>乙方</w:t>
      </w:r>
      <w:r>
        <w:rPr>
          <w:rFonts w:hint="eastAsia" w:ascii="宋体" w:hAnsi="宋体" w:eastAsia="宋体" w:cs="宋体"/>
          <w:sz w:val="24"/>
        </w:rPr>
        <w:t>启动吸料设备，开展催化剂、瓷球抽吸作业，做好物料收集。</w:t>
      </w:r>
    </w:p>
    <w:p w14:paraId="459A72A5">
      <w:pPr>
        <w:jc w:val="left"/>
        <w:rPr>
          <w:rFonts w:hint="eastAsia" w:ascii="宋体" w:hAnsi="宋体" w:eastAsia="宋体" w:cs="宋体"/>
          <w:sz w:val="24"/>
        </w:rPr>
      </w:pPr>
      <w:r>
        <w:rPr>
          <w:rFonts w:hint="eastAsia" w:ascii="宋体" w:hAnsi="宋体" w:eastAsia="宋体" w:cs="宋体"/>
          <w:sz w:val="24"/>
        </w:rPr>
        <w:t xml:space="preserve">4.2.5 </w:t>
      </w:r>
      <w:r>
        <w:rPr>
          <w:rFonts w:hint="eastAsia" w:ascii="宋体" w:hAnsi="宋体" w:eastAsia="宋体" w:cs="宋体"/>
          <w:sz w:val="24"/>
          <w:lang w:val="en-US" w:eastAsia="zh-CN"/>
        </w:rPr>
        <w:t>乙方</w:t>
      </w:r>
      <w:r>
        <w:rPr>
          <w:rFonts w:hint="eastAsia" w:ascii="宋体" w:hAnsi="宋体" w:eastAsia="宋体" w:cs="宋体"/>
          <w:sz w:val="24"/>
        </w:rPr>
        <w:t>抽吸出来的废催化剂及瓷球装入吨袋</w:t>
      </w:r>
      <w:r>
        <w:rPr>
          <w:rFonts w:hint="eastAsia" w:ascii="宋体" w:hAnsi="宋体" w:eastAsia="宋体" w:cs="宋体"/>
          <w:sz w:val="24"/>
          <w:lang w:eastAsia="zh-CN"/>
        </w:rPr>
        <w:t>（</w:t>
      </w:r>
      <w:r>
        <w:rPr>
          <w:rFonts w:hint="eastAsia" w:ascii="宋体" w:hAnsi="宋体" w:eastAsia="宋体" w:cs="宋体"/>
          <w:sz w:val="24"/>
          <w:lang w:val="en-US" w:eastAsia="zh-CN"/>
        </w:rPr>
        <w:t>乙方提供）</w:t>
      </w:r>
      <w:r>
        <w:rPr>
          <w:rFonts w:hint="eastAsia" w:ascii="宋体" w:hAnsi="宋体" w:eastAsia="宋体" w:cs="宋体"/>
          <w:sz w:val="24"/>
        </w:rPr>
        <w:t>，采用吊车吊运至塔外，再使用叉车转运至施工区域以外指定位置定置堆放。</w:t>
      </w:r>
    </w:p>
    <w:p w14:paraId="385B12F7">
      <w:pPr>
        <w:jc w:val="left"/>
        <w:rPr>
          <w:rFonts w:hint="eastAsia" w:ascii="宋体" w:hAnsi="宋体" w:eastAsia="宋体" w:cs="宋体"/>
          <w:sz w:val="24"/>
        </w:rPr>
      </w:pPr>
      <w:r>
        <w:rPr>
          <w:rFonts w:hint="eastAsia" w:ascii="宋体" w:hAnsi="宋体" w:eastAsia="宋体" w:cs="宋体"/>
          <w:sz w:val="24"/>
        </w:rPr>
        <w:t>4.3 新催化剂、瓷球装填前准备工作</w:t>
      </w:r>
    </w:p>
    <w:p w14:paraId="28664094">
      <w:pPr>
        <w:jc w:val="left"/>
        <w:rPr>
          <w:rFonts w:hint="eastAsia" w:ascii="宋体" w:hAnsi="宋体" w:eastAsia="宋体" w:cs="宋体"/>
          <w:sz w:val="24"/>
        </w:rPr>
      </w:pPr>
      <w:r>
        <w:rPr>
          <w:rFonts w:hint="eastAsia" w:ascii="宋体" w:hAnsi="宋体" w:eastAsia="宋体" w:cs="宋体"/>
          <w:sz w:val="24"/>
        </w:rPr>
        <w:t xml:space="preserve">4.3.1 </w:t>
      </w:r>
      <w:r>
        <w:rPr>
          <w:rFonts w:hint="eastAsia" w:ascii="宋体" w:hAnsi="宋体" w:eastAsia="宋体" w:cs="宋体"/>
          <w:sz w:val="24"/>
          <w:lang w:val="en-US" w:eastAsia="zh-CN"/>
        </w:rPr>
        <w:t>乙方</w:t>
      </w:r>
      <w:r>
        <w:rPr>
          <w:rFonts w:hint="eastAsia" w:ascii="宋体" w:hAnsi="宋体" w:eastAsia="宋体" w:cs="宋体"/>
          <w:sz w:val="24"/>
        </w:rPr>
        <w:t>清理作业现场，做到场地整洁，无杂物、无残留旧催化剂。</w:t>
      </w:r>
    </w:p>
    <w:p w14:paraId="41713F0A">
      <w:pPr>
        <w:jc w:val="left"/>
        <w:rPr>
          <w:rFonts w:hint="eastAsia" w:ascii="宋体" w:hAnsi="宋体" w:eastAsia="宋体" w:cs="宋体"/>
          <w:sz w:val="24"/>
        </w:rPr>
      </w:pPr>
      <w:r>
        <w:rPr>
          <w:rFonts w:hint="eastAsia" w:ascii="宋体" w:hAnsi="宋体" w:eastAsia="宋体" w:cs="宋体"/>
          <w:sz w:val="24"/>
        </w:rPr>
        <w:t xml:space="preserve">4.3.2 </w:t>
      </w:r>
      <w:r>
        <w:rPr>
          <w:rFonts w:hint="eastAsia" w:ascii="宋体" w:hAnsi="宋体" w:eastAsia="宋体" w:cs="宋体"/>
          <w:sz w:val="24"/>
          <w:lang w:val="en-US" w:eastAsia="zh-CN"/>
        </w:rPr>
        <w:t>甲方</w:t>
      </w:r>
      <w:r>
        <w:rPr>
          <w:rFonts w:hint="eastAsia" w:ascii="宋体" w:hAnsi="宋体" w:eastAsia="宋体" w:cs="宋体"/>
          <w:sz w:val="24"/>
        </w:rPr>
        <w:t>配齐吊装机具及各类施工工器具，办理完成全部施工作业票证。</w:t>
      </w:r>
    </w:p>
    <w:p w14:paraId="5342A7CA">
      <w:pPr>
        <w:jc w:val="left"/>
        <w:rPr>
          <w:rFonts w:hint="eastAsia" w:ascii="宋体" w:hAnsi="宋体" w:eastAsia="宋体" w:cs="宋体"/>
          <w:sz w:val="24"/>
        </w:rPr>
      </w:pPr>
      <w:r>
        <w:rPr>
          <w:rFonts w:hint="eastAsia" w:ascii="宋体" w:hAnsi="宋体" w:eastAsia="宋体" w:cs="宋体"/>
          <w:sz w:val="24"/>
        </w:rPr>
        <w:t>4.4 新剂装填过程</w:t>
      </w:r>
    </w:p>
    <w:p w14:paraId="388F0603">
      <w:pPr>
        <w:jc w:val="left"/>
        <w:rPr>
          <w:rFonts w:hint="eastAsia" w:ascii="宋体" w:hAnsi="宋体" w:eastAsia="宋体" w:cs="宋体"/>
          <w:sz w:val="24"/>
        </w:rPr>
      </w:pPr>
      <w:r>
        <w:rPr>
          <w:rFonts w:hint="eastAsia" w:ascii="宋体" w:hAnsi="宋体" w:eastAsia="宋体" w:cs="宋体"/>
          <w:sz w:val="24"/>
        </w:rPr>
        <w:t xml:space="preserve">4.4.1 </w:t>
      </w:r>
      <w:r>
        <w:rPr>
          <w:rFonts w:hint="eastAsia" w:ascii="宋体" w:hAnsi="宋体" w:eastAsia="宋体" w:cs="宋体"/>
          <w:sz w:val="24"/>
          <w:lang w:val="en-US" w:eastAsia="zh-CN"/>
        </w:rPr>
        <w:t>甲方</w:t>
      </w:r>
      <w:r>
        <w:rPr>
          <w:rFonts w:hint="eastAsia" w:ascii="宋体" w:hAnsi="宋体" w:eastAsia="宋体" w:cs="宋体"/>
          <w:sz w:val="24"/>
        </w:rPr>
        <w:t>装填前由叉车将催化剂、瓷球等转运至作业现场，检查催化剂有无受潮、污染，确认完好后方可装入吊斗。</w:t>
      </w:r>
    </w:p>
    <w:p w14:paraId="6058FCB9">
      <w:pPr>
        <w:jc w:val="left"/>
        <w:rPr>
          <w:rFonts w:hint="eastAsia" w:ascii="宋体" w:hAnsi="宋体" w:eastAsia="宋体" w:cs="宋体"/>
          <w:sz w:val="24"/>
        </w:rPr>
      </w:pPr>
      <w:r>
        <w:rPr>
          <w:rFonts w:hint="eastAsia" w:ascii="宋体" w:hAnsi="宋体" w:eastAsia="宋体" w:cs="宋体"/>
          <w:sz w:val="24"/>
        </w:rPr>
        <w:t xml:space="preserve">4.4.2 </w:t>
      </w:r>
      <w:r>
        <w:rPr>
          <w:rFonts w:hint="eastAsia" w:ascii="宋体" w:hAnsi="宋体" w:eastAsia="宋体" w:cs="宋体"/>
          <w:sz w:val="24"/>
          <w:lang w:val="en-US" w:eastAsia="zh-CN"/>
        </w:rPr>
        <w:t>甲方</w:t>
      </w:r>
      <w:r>
        <w:rPr>
          <w:rFonts w:hint="eastAsia" w:ascii="宋体" w:hAnsi="宋体" w:eastAsia="宋体" w:cs="宋体"/>
          <w:sz w:val="24"/>
        </w:rPr>
        <w:t>按照设计装填量分批转运催化剂至现场，落实新料防雨防护措施。</w:t>
      </w:r>
    </w:p>
    <w:p w14:paraId="4A47484E">
      <w:pPr>
        <w:jc w:val="left"/>
        <w:rPr>
          <w:rFonts w:hint="eastAsia" w:ascii="宋体" w:hAnsi="宋体" w:eastAsia="宋体" w:cs="宋体"/>
          <w:sz w:val="24"/>
        </w:rPr>
      </w:pPr>
      <w:r>
        <w:rPr>
          <w:rFonts w:hint="eastAsia" w:ascii="宋体" w:hAnsi="宋体" w:eastAsia="宋体" w:cs="宋体"/>
          <w:sz w:val="24"/>
        </w:rPr>
        <w:t xml:space="preserve">4.4.3 </w:t>
      </w:r>
      <w:r>
        <w:rPr>
          <w:rFonts w:hint="eastAsia" w:ascii="宋体" w:hAnsi="宋体" w:eastAsia="宋体" w:cs="宋体"/>
          <w:sz w:val="24"/>
          <w:lang w:val="en-US" w:eastAsia="zh-CN"/>
        </w:rPr>
        <w:t>甲方</w:t>
      </w:r>
      <w:r>
        <w:rPr>
          <w:rFonts w:hint="eastAsia" w:ascii="宋体" w:hAnsi="宋体" w:eastAsia="宋体" w:cs="宋体"/>
          <w:sz w:val="24"/>
        </w:rPr>
        <w:t>将吊斗吊运至装填作业平台，</w:t>
      </w:r>
      <w:r>
        <w:rPr>
          <w:rFonts w:hint="eastAsia" w:ascii="宋体" w:hAnsi="宋体" w:eastAsia="宋体" w:cs="宋体"/>
          <w:sz w:val="24"/>
          <w:lang w:val="en-US" w:eastAsia="zh-CN"/>
        </w:rPr>
        <w:t>乙方</w:t>
      </w:r>
      <w:r>
        <w:rPr>
          <w:rFonts w:hint="eastAsia" w:ascii="宋体" w:hAnsi="宋体" w:eastAsia="宋体" w:cs="宋体"/>
          <w:sz w:val="24"/>
        </w:rPr>
        <w:t>将瓷球、催化剂从人孔装填进塔器。</w:t>
      </w:r>
    </w:p>
    <w:p w14:paraId="33C2DE5A">
      <w:pPr>
        <w:jc w:val="left"/>
        <w:rPr>
          <w:rFonts w:hint="eastAsia" w:ascii="宋体" w:hAnsi="宋体" w:eastAsia="宋体" w:cs="宋体"/>
          <w:sz w:val="24"/>
        </w:rPr>
      </w:pPr>
      <w:r>
        <w:rPr>
          <w:rFonts w:hint="eastAsia" w:ascii="宋体" w:hAnsi="宋体" w:eastAsia="宋体" w:cs="宋体"/>
          <w:sz w:val="24"/>
        </w:rPr>
        <w:t xml:space="preserve">4.4.4 </w:t>
      </w:r>
      <w:r>
        <w:rPr>
          <w:rFonts w:hint="eastAsia" w:ascii="宋体" w:hAnsi="宋体" w:eastAsia="宋体" w:cs="宋体"/>
          <w:sz w:val="24"/>
          <w:lang w:val="en-US" w:eastAsia="zh-CN"/>
        </w:rPr>
        <w:t>乙方</w:t>
      </w:r>
      <w:r>
        <w:rPr>
          <w:rFonts w:hint="eastAsia" w:ascii="宋体" w:hAnsi="宋体" w:eastAsia="宋体" w:cs="宋体"/>
          <w:sz w:val="24"/>
        </w:rPr>
        <w:t>装填过程实时观察床层平整度，若床层出现高低不平，使用专用工具将床层扒平。</w:t>
      </w:r>
    </w:p>
    <w:p w14:paraId="69219EFB">
      <w:pPr>
        <w:jc w:val="left"/>
        <w:rPr>
          <w:rFonts w:hint="eastAsia" w:ascii="宋体" w:hAnsi="宋体" w:eastAsia="宋体" w:cs="宋体"/>
          <w:sz w:val="24"/>
        </w:rPr>
      </w:pPr>
      <w:r>
        <w:rPr>
          <w:rFonts w:hint="eastAsia" w:ascii="宋体" w:hAnsi="宋体" w:eastAsia="宋体" w:cs="宋体"/>
          <w:sz w:val="24"/>
        </w:rPr>
        <w:t xml:space="preserve">4.4.5 </w:t>
      </w:r>
      <w:r>
        <w:rPr>
          <w:rFonts w:hint="eastAsia" w:ascii="宋体" w:hAnsi="宋体" w:eastAsia="宋体" w:cs="宋体"/>
          <w:sz w:val="24"/>
          <w:lang w:val="en-US" w:eastAsia="zh-CN"/>
        </w:rPr>
        <w:t>乙方</w:t>
      </w:r>
      <w:r>
        <w:rPr>
          <w:rFonts w:hint="eastAsia" w:ascii="宋体" w:hAnsi="宋体" w:eastAsia="宋体" w:cs="宋体"/>
          <w:sz w:val="24"/>
        </w:rPr>
        <w:t>装填作业完成后，通知甲方到场检查确认。</w:t>
      </w:r>
    </w:p>
    <w:p w14:paraId="279AF5D1">
      <w:pPr>
        <w:jc w:val="left"/>
        <w:rPr>
          <w:rFonts w:hint="eastAsia" w:ascii="宋体" w:hAnsi="宋体" w:eastAsia="宋体" w:cs="宋体"/>
          <w:sz w:val="24"/>
        </w:rPr>
      </w:pPr>
      <w:r>
        <w:rPr>
          <w:rFonts w:hint="eastAsia" w:ascii="宋体" w:hAnsi="宋体" w:eastAsia="宋体" w:cs="宋体"/>
          <w:sz w:val="24"/>
        </w:rPr>
        <w:t>4.4.6 经甲方验收合格后，</w:t>
      </w:r>
      <w:r>
        <w:rPr>
          <w:rFonts w:hint="eastAsia" w:ascii="宋体" w:hAnsi="宋体" w:eastAsia="宋体" w:cs="宋体"/>
          <w:sz w:val="24"/>
          <w:lang w:val="en-US" w:eastAsia="zh-CN"/>
        </w:rPr>
        <w:t>乙方</w:t>
      </w:r>
      <w:r>
        <w:rPr>
          <w:rFonts w:hint="eastAsia" w:ascii="宋体" w:hAnsi="宋体" w:eastAsia="宋体" w:cs="宋体"/>
          <w:sz w:val="24"/>
        </w:rPr>
        <w:t>清理撤出全部施工工器具，</w:t>
      </w:r>
      <w:r>
        <w:rPr>
          <w:rFonts w:hint="eastAsia" w:ascii="宋体" w:hAnsi="宋体" w:eastAsia="宋体" w:cs="宋体"/>
          <w:sz w:val="24"/>
          <w:lang w:val="en-US" w:eastAsia="zh-CN"/>
        </w:rPr>
        <w:t>甲方</w:t>
      </w:r>
      <w:r>
        <w:rPr>
          <w:rFonts w:hint="eastAsia" w:ascii="宋体" w:hAnsi="宋体" w:eastAsia="宋体" w:cs="宋体"/>
          <w:sz w:val="24"/>
        </w:rPr>
        <w:t>恢复安装各装填口部件。</w:t>
      </w:r>
    </w:p>
    <w:p w14:paraId="5BCB4A9C">
      <w:pPr>
        <w:numPr>
          <w:ilvl w:val="0"/>
          <w:numId w:val="9"/>
        </w:numPr>
        <w:jc w:val="left"/>
        <w:rPr>
          <w:rFonts w:hint="eastAsia" w:ascii="宋体" w:hAnsi="宋体" w:eastAsia="宋体" w:cs="宋体"/>
          <w:sz w:val="24"/>
        </w:rPr>
      </w:pPr>
      <w:r>
        <w:rPr>
          <w:rFonts w:hint="eastAsia" w:ascii="宋体" w:hAnsi="宋体" w:eastAsia="宋体" w:cs="宋体"/>
          <w:sz w:val="24"/>
        </w:rPr>
        <w:t>检修过程中涉及的</w:t>
      </w:r>
      <w:r>
        <w:rPr>
          <w:rFonts w:hint="eastAsia" w:ascii="宋体" w:hAnsi="宋体" w:eastAsia="宋体" w:cs="宋体"/>
          <w:sz w:val="24"/>
          <w:lang w:val="en-US" w:eastAsia="zh-CN"/>
        </w:rPr>
        <w:t>装填</w:t>
      </w:r>
      <w:r>
        <w:rPr>
          <w:rFonts w:hint="eastAsia" w:ascii="宋体" w:hAnsi="宋体" w:eastAsia="宋体" w:cs="宋体"/>
          <w:sz w:val="24"/>
        </w:rPr>
        <w:t>专业工器具由乙方提供。</w:t>
      </w:r>
    </w:p>
    <w:p w14:paraId="7A1CDA68">
      <w:pPr>
        <w:numPr>
          <w:ilvl w:val="0"/>
          <w:numId w:val="9"/>
        </w:numPr>
        <w:jc w:val="left"/>
        <w:rPr>
          <w:rFonts w:hint="eastAsia" w:ascii="宋体" w:hAnsi="宋体" w:eastAsia="宋体" w:cs="宋体"/>
          <w:sz w:val="24"/>
        </w:rPr>
      </w:pPr>
      <w:r>
        <w:rPr>
          <w:rFonts w:hint="eastAsia" w:ascii="宋体" w:hAnsi="宋体" w:eastAsia="宋体" w:cs="宋体"/>
          <w:sz w:val="24"/>
        </w:rPr>
        <w:t>检修过程中涉及的人孔垫片由甲方负责。</w:t>
      </w:r>
    </w:p>
    <w:p w14:paraId="507840DD">
      <w:pPr>
        <w:jc w:val="left"/>
        <w:rPr>
          <w:rFonts w:hint="eastAsia" w:ascii="宋体" w:hAnsi="宋体" w:eastAsia="宋体" w:cs="宋体"/>
          <w:sz w:val="24"/>
        </w:rPr>
      </w:pPr>
      <w:r>
        <w:rPr>
          <w:rFonts w:hint="eastAsia" w:ascii="宋体" w:hAnsi="宋体" w:eastAsia="宋体" w:cs="宋体"/>
          <w:sz w:val="24"/>
        </w:rPr>
        <w:t>5.检修过程中涉及的催化剂、瓷球由甲方提供。</w:t>
      </w:r>
    </w:p>
    <w:p w14:paraId="497A81CC">
      <w:pPr>
        <w:jc w:val="left"/>
        <w:rPr>
          <w:rFonts w:hint="eastAsia" w:ascii="宋体" w:hAnsi="宋体" w:eastAsia="宋体" w:cs="宋体"/>
          <w:sz w:val="24"/>
        </w:rPr>
      </w:pPr>
      <w:r>
        <w:rPr>
          <w:rFonts w:hint="eastAsia" w:ascii="宋体" w:hAnsi="宋体" w:eastAsia="宋体" w:cs="宋体"/>
          <w:sz w:val="24"/>
        </w:rPr>
        <w:t>5.1甲方提供备件</w:t>
      </w:r>
    </w:p>
    <w:p w14:paraId="758026E6">
      <w:pPr>
        <w:jc w:val="left"/>
        <w:rPr>
          <w:rFonts w:hint="eastAsia" w:ascii="宋体" w:hAnsi="宋体" w:eastAsia="宋体" w:cs="宋体"/>
          <w:sz w:val="24"/>
        </w:rPr>
      </w:pPr>
      <w:r>
        <w:rPr>
          <w:rFonts w:hint="eastAsia" w:ascii="宋体" w:hAnsi="宋体" w:eastAsia="宋体" w:cs="宋体"/>
          <w:sz w:val="24"/>
        </w:rPr>
        <w:t>5.1.1必须更换备件清单</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04"/>
        <w:gridCol w:w="2373"/>
        <w:gridCol w:w="896"/>
        <w:gridCol w:w="1218"/>
        <w:gridCol w:w="1290"/>
        <w:gridCol w:w="1290"/>
      </w:tblGrid>
      <w:tr w14:paraId="0102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8F4BA48">
            <w:pPr>
              <w:jc w:val="center"/>
              <w:rPr>
                <w:rFonts w:hint="eastAsia" w:ascii="宋体" w:hAnsi="宋体" w:eastAsia="宋体" w:cs="宋体"/>
                <w:szCs w:val="21"/>
              </w:rPr>
            </w:pPr>
            <w:r>
              <w:rPr>
                <w:rFonts w:hint="eastAsia" w:ascii="宋体" w:hAnsi="宋体" w:eastAsia="宋体" w:cs="宋体"/>
                <w:szCs w:val="21"/>
              </w:rPr>
              <w:t>序号</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6590A808">
            <w:pPr>
              <w:jc w:val="center"/>
              <w:rPr>
                <w:rFonts w:hint="eastAsia" w:ascii="宋体" w:hAnsi="宋体" w:eastAsia="宋体" w:cs="宋体"/>
                <w:szCs w:val="21"/>
              </w:rPr>
            </w:pPr>
            <w:r>
              <w:rPr>
                <w:rFonts w:hint="eastAsia" w:ascii="宋体" w:hAnsi="宋体" w:eastAsia="宋体" w:cs="宋体"/>
                <w:szCs w:val="21"/>
              </w:rPr>
              <w:t>名称</w:t>
            </w:r>
          </w:p>
        </w:tc>
        <w:tc>
          <w:tcPr>
            <w:tcW w:w="2373" w:type="dxa"/>
            <w:tcBorders>
              <w:top w:val="single" w:color="auto" w:sz="4" w:space="0"/>
              <w:left w:val="single" w:color="auto" w:sz="4" w:space="0"/>
              <w:bottom w:val="single" w:color="auto" w:sz="4" w:space="0"/>
              <w:right w:val="single" w:color="auto" w:sz="4" w:space="0"/>
            </w:tcBorders>
            <w:noWrap w:val="0"/>
            <w:vAlign w:val="center"/>
          </w:tcPr>
          <w:p w14:paraId="2F8352FD">
            <w:pPr>
              <w:jc w:val="center"/>
              <w:rPr>
                <w:rFonts w:hint="eastAsia" w:ascii="宋体" w:hAnsi="宋体" w:eastAsia="宋体" w:cs="宋体"/>
                <w:szCs w:val="21"/>
              </w:rPr>
            </w:pPr>
            <w:r>
              <w:rPr>
                <w:rFonts w:hint="eastAsia" w:ascii="宋体" w:hAnsi="宋体" w:eastAsia="宋体" w:cs="宋体"/>
                <w:kern w:val="0"/>
                <w:szCs w:val="21"/>
                <w:lang w:bidi="ar"/>
              </w:rPr>
              <w:t>型号</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DC94ED2">
            <w:pPr>
              <w:jc w:val="center"/>
              <w:rPr>
                <w:rFonts w:hint="eastAsia" w:ascii="宋体" w:hAnsi="宋体" w:eastAsia="宋体" w:cs="宋体"/>
                <w:szCs w:val="21"/>
              </w:rPr>
            </w:pPr>
            <w:r>
              <w:rPr>
                <w:rFonts w:hint="eastAsia" w:ascii="宋体" w:hAnsi="宋体" w:eastAsia="宋体" w:cs="宋体"/>
                <w:szCs w:val="21"/>
              </w:rPr>
              <w:t>单位</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330A58A4">
            <w:pPr>
              <w:jc w:val="center"/>
              <w:rPr>
                <w:rFonts w:hint="eastAsia" w:ascii="宋体" w:hAnsi="宋体" w:eastAsia="宋体" w:cs="宋体"/>
                <w:szCs w:val="21"/>
              </w:rPr>
            </w:pPr>
            <w:r>
              <w:rPr>
                <w:rFonts w:hint="eastAsia" w:ascii="宋体" w:hAnsi="宋体" w:eastAsia="宋体" w:cs="宋体"/>
                <w:szCs w:val="21"/>
              </w:rPr>
              <w:t>数量</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208EA8">
            <w:pPr>
              <w:jc w:val="center"/>
              <w:rPr>
                <w:rFonts w:hint="eastAsia" w:ascii="宋体" w:hAnsi="宋体" w:eastAsia="宋体" w:cs="宋体"/>
                <w:szCs w:val="21"/>
              </w:rPr>
            </w:pPr>
            <w:r>
              <w:rPr>
                <w:rFonts w:hint="eastAsia" w:ascii="宋体" w:hAnsi="宋体" w:eastAsia="宋体" w:cs="宋体"/>
                <w:szCs w:val="21"/>
              </w:rPr>
              <w:t>材质</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93000C">
            <w:pPr>
              <w:jc w:val="center"/>
              <w:rPr>
                <w:rFonts w:hint="eastAsia" w:ascii="宋体" w:hAnsi="宋体" w:eastAsia="宋体" w:cs="宋体"/>
                <w:szCs w:val="21"/>
              </w:rPr>
            </w:pPr>
            <w:r>
              <w:rPr>
                <w:rFonts w:hint="eastAsia" w:ascii="宋体" w:hAnsi="宋体" w:eastAsia="宋体" w:cs="宋体"/>
                <w:szCs w:val="21"/>
              </w:rPr>
              <w:t>备注</w:t>
            </w:r>
          </w:p>
        </w:tc>
      </w:tr>
      <w:tr w14:paraId="1B4C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B45DAF6">
            <w:pPr>
              <w:jc w:val="center"/>
              <w:rPr>
                <w:rFonts w:hint="eastAsia" w:ascii="宋体" w:hAnsi="宋体" w:eastAsia="宋体" w:cs="宋体"/>
                <w:szCs w:val="21"/>
              </w:rPr>
            </w:pPr>
            <w:r>
              <w:rPr>
                <w:rFonts w:hint="eastAsia" w:ascii="宋体" w:hAnsi="宋体" w:eastAsia="宋体" w:cs="宋体"/>
                <w:szCs w:val="21"/>
              </w:rPr>
              <w:t>1</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5D00205">
            <w:pPr>
              <w:jc w:val="center"/>
              <w:rPr>
                <w:rFonts w:hint="eastAsia" w:ascii="宋体" w:hAnsi="宋体" w:eastAsia="宋体" w:cs="宋体"/>
                <w:szCs w:val="21"/>
              </w:rPr>
            </w:pPr>
            <w:r>
              <w:rPr>
                <w:rFonts w:hint="eastAsia" w:ascii="宋体" w:hAnsi="宋体" w:eastAsia="宋体" w:cs="宋体"/>
                <w:szCs w:val="21"/>
              </w:rPr>
              <w:t>活性炭精脱硫剂</w:t>
            </w:r>
          </w:p>
        </w:tc>
        <w:tc>
          <w:tcPr>
            <w:tcW w:w="2373" w:type="dxa"/>
            <w:tcBorders>
              <w:top w:val="single" w:color="auto" w:sz="4" w:space="0"/>
              <w:left w:val="single" w:color="auto" w:sz="4" w:space="0"/>
              <w:bottom w:val="single" w:color="auto" w:sz="4" w:space="0"/>
              <w:right w:val="single" w:color="auto" w:sz="4" w:space="0"/>
            </w:tcBorders>
            <w:noWrap w:val="0"/>
            <w:vAlign w:val="center"/>
          </w:tcPr>
          <w:p w14:paraId="0098DF21">
            <w:pPr>
              <w:jc w:val="center"/>
              <w:rPr>
                <w:rFonts w:hint="eastAsia" w:ascii="宋体" w:hAnsi="宋体" w:eastAsia="宋体" w:cs="宋体"/>
                <w:szCs w:val="21"/>
              </w:rPr>
            </w:pPr>
            <w:r>
              <w:rPr>
                <w:rFonts w:hint="eastAsia" w:ascii="宋体" w:hAnsi="宋体" w:eastAsia="宋体" w:cs="宋体"/>
                <w:szCs w:val="21"/>
              </w:rPr>
              <w:t>Φ(4-5)×(3-15)</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0450631">
            <w:pPr>
              <w:jc w:val="center"/>
              <w:rPr>
                <w:rFonts w:hint="eastAsia" w:ascii="宋体" w:hAnsi="宋体" w:eastAsia="宋体" w:cs="宋体"/>
                <w:szCs w:val="21"/>
              </w:rPr>
            </w:pPr>
            <w:bookmarkStart w:id="6" w:name="OLE_LINK22"/>
            <w:r>
              <w:rPr>
                <w:rFonts w:hint="eastAsia" w:ascii="宋体" w:hAnsi="宋体" w:eastAsia="宋体" w:cs="宋体"/>
                <w:szCs w:val="21"/>
              </w:rPr>
              <w:t>m</w:t>
            </w:r>
            <w:r>
              <w:rPr>
                <w:rFonts w:hint="eastAsia" w:ascii="宋体" w:hAnsi="宋体" w:eastAsia="宋体" w:cs="宋体"/>
                <w:szCs w:val="21"/>
                <w:vertAlign w:val="superscript"/>
              </w:rPr>
              <w:t>3</w:t>
            </w:r>
            <w:bookmarkEnd w:id="6"/>
          </w:p>
        </w:tc>
        <w:tc>
          <w:tcPr>
            <w:tcW w:w="1218" w:type="dxa"/>
            <w:tcBorders>
              <w:top w:val="single" w:color="auto" w:sz="4" w:space="0"/>
              <w:left w:val="single" w:color="auto" w:sz="4" w:space="0"/>
              <w:bottom w:val="single" w:color="auto" w:sz="4" w:space="0"/>
              <w:right w:val="single" w:color="auto" w:sz="4" w:space="0"/>
            </w:tcBorders>
            <w:noWrap w:val="0"/>
            <w:vAlign w:val="center"/>
          </w:tcPr>
          <w:p w14:paraId="32E8FF4E">
            <w:pPr>
              <w:jc w:val="center"/>
              <w:rPr>
                <w:rFonts w:hint="eastAsia" w:ascii="宋体" w:hAnsi="宋体" w:eastAsia="宋体" w:cs="宋体"/>
                <w:szCs w:val="21"/>
              </w:rPr>
            </w:pPr>
            <w:r>
              <w:rPr>
                <w:rFonts w:hint="eastAsia" w:ascii="宋体" w:hAnsi="宋体" w:eastAsia="宋体" w:cs="宋体"/>
                <w:szCs w:val="21"/>
              </w:rPr>
              <w:t>30</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572E74">
            <w:pPr>
              <w:spacing w:line="560" w:lineRule="exact"/>
              <w:jc w:val="center"/>
              <w:rPr>
                <w:rFonts w:hint="eastAsia" w:ascii="宋体" w:hAnsi="宋体" w:eastAsia="宋体" w:cs="宋体"/>
                <w:szCs w:val="21"/>
              </w:rPr>
            </w:pPr>
            <w:r>
              <w:rPr>
                <w:rFonts w:hint="eastAsia" w:ascii="宋体" w:hAnsi="宋体" w:eastAsia="宋体" w:cs="宋体"/>
              </w:rPr>
              <w:t>氧化铁活性组份+特种促进剂</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26C7FDF">
            <w:pPr>
              <w:spacing w:line="560" w:lineRule="exact"/>
              <w:jc w:val="center"/>
              <w:rPr>
                <w:rFonts w:hint="eastAsia" w:ascii="宋体" w:hAnsi="宋体" w:eastAsia="宋体" w:cs="宋体"/>
                <w:szCs w:val="21"/>
              </w:rPr>
            </w:pPr>
          </w:p>
        </w:tc>
      </w:tr>
      <w:tr w14:paraId="25E1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3B9E58E">
            <w:pPr>
              <w:jc w:val="center"/>
              <w:rPr>
                <w:rFonts w:hint="eastAsia" w:ascii="宋体" w:hAnsi="宋体" w:eastAsia="宋体" w:cs="宋体"/>
                <w:szCs w:val="21"/>
              </w:rPr>
            </w:pPr>
            <w:r>
              <w:rPr>
                <w:rFonts w:hint="eastAsia" w:ascii="宋体" w:hAnsi="宋体" w:eastAsia="宋体" w:cs="宋体"/>
                <w:szCs w:val="21"/>
              </w:rPr>
              <w:t>2</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22593424">
            <w:pPr>
              <w:jc w:val="center"/>
              <w:rPr>
                <w:rFonts w:hint="eastAsia" w:ascii="宋体" w:hAnsi="宋体" w:eastAsia="宋体" w:cs="宋体"/>
                <w:szCs w:val="21"/>
              </w:rPr>
            </w:pPr>
            <w:r>
              <w:rPr>
                <w:rFonts w:hint="eastAsia" w:ascii="宋体" w:hAnsi="宋体" w:eastAsia="宋体" w:cs="宋体"/>
                <w:szCs w:val="21"/>
              </w:rPr>
              <w:t>水解催化剂</w:t>
            </w:r>
          </w:p>
        </w:tc>
        <w:tc>
          <w:tcPr>
            <w:tcW w:w="2373" w:type="dxa"/>
            <w:tcBorders>
              <w:top w:val="single" w:color="auto" w:sz="4" w:space="0"/>
              <w:left w:val="single" w:color="auto" w:sz="4" w:space="0"/>
              <w:bottom w:val="single" w:color="auto" w:sz="4" w:space="0"/>
              <w:right w:val="single" w:color="auto" w:sz="4" w:space="0"/>
            </w:tcBorders>
            <w:noWrap w:val="0"/>
            <w:vAlign w:val="center"/>
          </w:tcPr>
          <w:p w14:paraId="36B97EDE">
            <w:pPr>
              <w:jc w:val="center"/>
              <w:rPr>
                <w:rFonts w:hint="eastAsia" w:ascii="宋体" w:hAnsi="宋体" w:eastAsia="宋体" w:cs="宋体"/>
                <w:szCs w:val="21"/>
              </w:rPr>
            </w:pPr>
            <w:r>
              <w:rPr>
                <w:rFonts w:hint="eastAsia" w:ascii="宋体" w:hAnsi="宋体" w:eastAsia="宋体" w:cs="宋体"/>
                <w:szCs w:val="21"/>
              </w:rPr>
              <w:t>Φ(2-4)、Φ(3-5)</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3A9C01E4">
            <w:pPr>
              <w:jc w:val="center"/>
              <w:rPr>
                <w:rFonts w:hint="eastAsia" w:ascii="宋体" w:hAnsi="宋体" w:eastAsia="宋体" w:cs="宋体"/>
                <w:szCs w:val="21"/>
              </w:rPr>
            </w:pPr>
            <w:r>
              <w:rPr>
                <w:rFonts w:hint="eastAsia" w:ascii="宋体" w:hAnsi="宋体" w:eastAsia="宋体" w:cs="宋体"/>
                <w:szCs w:val="21"/>
              </w:rPr>
              <w:t>m</w:t>
            </w:r>
            <w:r>
              <w:rPr>
                <w:rFonts w:hint="eastAsia" w:ascii="宋体" w:hAnsi="宋体" w:eastAsia="宋体" w:cs="宋体"/>
                <w:szCs w:val="21"/>
                <w:vertAlign w:val="superscript"/>
              </w:rPr>
              <w:t>3</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4E76A03C">
            <w:pPr>
              <w:jc w:val="center"/>
              <w:rPr>
                <w:rFonts w:hint="eastAsia" w:ascii="宋体" w:hAnsi="宋体" w:eastAsia="宋体" w:cs="宋体"/>
                <w:szCs w:val="21"/>
              </w:rPr>
            </w:pPr>
            <w:r>
              <w:rPr>
                <w:rFonts w:hint="eastAsia" w:ascii="宋体" w:hAnsi="宋体" w:eastAsia="宋体" w:cs="宋体"/>
                <w:szCs w:val="21"/>
              </w:rPr>
              <w:t>35</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4074894">
            <w:pPr>
              <w:spacing w:line="560" w:lineRule="exact"/>
              <w:jc w:val="center"/>
              <w:rPr>
                <w:rFonts w:hint="eastAsia" w:ascii="宋体" w:hAnsi="宋体" w:eastAsia="宋体" w:cs="宋体"/>
                <w:szCs w:val="21"/>
              </w:rPr>
            </w:pPr>
            <w:r>
              <w:rPr>
                <w:rFonts w:hint="eastAsia" w:ascii="宋体" w:hAnsi="宋体" w:eastAsia="宋体" w:cs="宋体"/>
              </w:rPr>
              <w:t>优质活性氧化铝球+特种促进剂</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B2A175">
            <w:pPr>
              <w:spacing w:line="560" w:lineRule="exact"/>
              <w:jc w:val="center"/>
              <w:rPr>
                <w:rFonts w:hint="eastAsia" w:ascii="宋体" w:hAnsi="宋体" w:eastAsia="宋体" w:cs="宋体"/>
                <w:szCs w:val="21"/>
              </w:rPr>
            </w:pPr>
          </w:p>
        </w:tc>
      </w:tr>
      <w:tr w14:paraId="3CC2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47B95E6">
            <w:pPr>
              <w:jc w:val="center"/>
              <w:rPr>
                <w:rFonts w:hint="eastAsia" w:ascii="宋体" w:hAnsi="宋体" w:eastAsia="宋体" w:cs="宋体"/>
                <w:szCs w:val="21"/>
              </w:rPr>
            </w:pPr>
            <w:r>
              <w:rPr>
                <w:rFonts w:hint="eastAsia" w:ascii="宋体" w:hAnsi="宋体" w:eastAsia="宋体" w:cs="宋体"/>
                <w:szCs w:val="21"/>
              </w:rPr>
              <w:t>3</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40D3EEF">
            <w:pPr>
              <w:jc w:val="center"/>
              <w:rPr>
                <w:rFonts w:hint="eastAsia" w:ascii="宋体" w:hAnsi="宋体" w:eastAsia="宋体" w:cs="宋体"/>
                <w:szCs w:val="21"/>
              </w:rPr>
            </w:pPr>
            <w:r>
              <w:rPr>
                <w:rFonts w:hint="eastAsia" w:ascii="宋体" w:hAnsi="宋体" w:eastAsia="宋体" w:cs="宋体"/>
                <w:szCs w:val="21"/>
              </w:rPr>
              <w:t>氧化铁精脱硫剂</w:t>
            </w:r>
          </w:p>
        </w:tc>
        <w:tc>
          <w:tcPr>
            <w:tcW w:w="2373" w:type="dxa"/>
            <w:tcBorders>
              <w:top w:val="single" w:color="auto" w:sz="4" w:space="0"/>
              <w:left w:val="single" w:color="auto" w:sz="4" w:space="0"/>
              <w:bottom w:val="single" w:color="auto" w:sz="4" w:space="0"/>
              <w:right w:val="single" w:color="auto" w:sz="4" w:space="0"/>
            </w:tcBorders>
            <w:noWrap w:val="0"/>
            <w:vAlign w:val="center"/>
          </w:tcPr>
          <w:p w14:paraId="7121E958">
            <w:pPr>
              <w:jc w:val="center"/>
              <w:rPr>
                <w:rFonts w:hint="eastAsia" w:ascii="宋体" w:hAnsi="宋体" w:eastAsia="宋体" w:cs="宋体"/>
                <w:szCs w:val="21"/>
              </w:rPr>
            </w:pPr>
            <w:r>
              <w:rPr>
                <w:rFonts w:hint="eastAsia" w:ascii="宋体" w:hAnsi="宋体" w:eastAsia="宋体" w:cs="宋体"/>
                <w:szCs w:val="21"/>
              </w:rPr>
              <w:t>Ф（3~5）×（3~15）</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7805753C">
            <w:pPr>
              <w:jc w:val="center"/>
              <w:rPr>
                <w:rFonts w:hint="eastAsia" w:ascii="宋体" w:hAnsi="宋体" w:eastAsia="宋体" w:cs="宋体"/>
                <w:szCs w:val="21"/>
              </w:rPr>
            </w:pPr>
            <w:r>
              <w:rPr>
                <w:rFonts w:hint="eastAsia" w:ascii="宋体" w:hAnsi="宋体" w:eastAsia="宋体" w:cs="宋体"/>
                <w:szCs w:val="21"/>
              </w:rPr>
              <w:t>m</w:t>
            </w:r>
            <w:r>
              <w:rPr>
                <w:rFonts w:hint="eastAsia" w:ascii="宋体" w:hAnsi="宋体" w:eastAsia="宋体" w:cs="宋体"/>
                <w:szCs w:val="21"/>
                <w:vertAlign w:val="superscript"/>
              </w:rPr>
              <w:t>3</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10A416C7">
            <w:pPr>
              <w:jc w:val="center"/>
              <w:rPr>
                <w:rFonts w:hint="eastAsia" w:ascii="宋体" w:hAnsi="宋体" w:eastAsia="宋体" w:cs="宋体"/>
                <w:szCs w:val="21"/>
              </w:rPr>
            </w:pPr>
            <w:r>
              <w:rPr>
                <w:rFonts w:hint="eastAsia" w:ascii="宋体" w:hAnsi="宋体" w:eastAsia="宋体" w:cs="宋体"/>
                <w:szCs w:val="21"/>
              </w:rPr>
              <w:t>10</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064C9C1">
            <w:pPr>
              <w:spacing w:line="560" w:lineRule="exact"/>
              <w:jc w:val="center"/>
              <w:rPr>
                <w:rFonts w:hint="eastAsia" w:ascii="宋体" w:hAnsi="宋体" w:eastAsia="宋体" w:cs="宋体"/>
                <w:szCs w:val="21"/>
              </w:rPr>
            </w:pPr>
            <w:r>
              <w:rPr>
                <w:rFonts w:hint="eastAsia" w:ascii="宋体" w:hAnsi="宋体" w:eastAsia="宋体" w:cs="宋体"/>
              </w:rPr>
              <w:t>优质活性炭+活性组份+特种促进剂</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5D1B301">
            <w:pPr>
              <w:spacing w:line="560" w:lineRule="exact"/>
              <w:jc w:val="center"/>
              <w:rPr>
                <w:rFonts w:hint="eastAsia" w:ascii="宋体" w:hAnsi="宋体" w:eastAsia="宋体" w:cs="宋体"/>
                <w:szCs w:val="21"/>
              </w:rPr>
            </w:pPr>
          </w:p>
        </w:tc>
      </w:tr>
      <w:tr w14:paraId="575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D0FD5EE">
            <w:pPr>
              <w:jc w:val="center"/>
              <w:rPr>
                <w:rFonts w:hint="eastAsia" w:ascii="宋体" w:hAnsi="宋体" w:eastAsia="宋体" w:cs="宋体"/>
                <w:szCs w:val="21"/>
              </w:rPr>
            </w:pPr>
            <w:r>
              <w:rPr>
                <w:rFonts w:hint="eastAsia" w:ascii="宋体" w:hAnsi="宋体" w:eastAsia="宋体" w:cs="宋体"/>
                <w:szCs w:val="21"/>
              </w:rPr>
              <w:t>4</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472E637C">
            <w:pPr>
              <w:jc w:val="center"/>
              <w:rPr>
                <w:rFonts w:hint="eastAsia" w:ascii="宋体" w:hAnsi="宋体" w:eastAsia="宋体" w:cs="宋体"/>
                <w:szCs w:val="21"/>
              </w:rPr>
            </w:pPr>
            <w:bookmarkStart w:id="7" w:name="OLE_LINK21"/>
            <w:r>
              <w:rPr>
                <w:rFonts w:hint="eastAsia" w:ascii="宋体" w:hAnsi="宋体" w:eastAsia="宋体" w:cs="宋体"/>
                <w:szCs w:val="21"/>
              </w:rPr>
              <w:t>瓷球</w:t>
            </w:r>
            <w:bookmarkEnd w:id="7"/>
          </w:p>
        </w:tc>
        <w:tc>
          <w:tcPr>
            <w:tcW w:w="2373" w:type="dxa"/>
            <w:tcBorders>
              <w:top w:val="single" w:color="auto" w:sz="4" w:space="0"/>
              <w:left w:val="single" w:color="auto" w:sz="4" w:space="0"/>
              <w:bottom w:val="single" w:color="auto" w:sz="4" w:space="0"/>
              <w:right w:val="single" w:color="auto" w:sz="4" w:space="0"/>
            </w:tcBorders>
            <w:noWrap w:val="0"/>
            <w:vAlign w:val="center"/>
          </w:tcPr>
          <w:p w14:paraId="271591B1">
            <w:pPr>
              <w:jc w:val="center"/>
              <w:rPr>
                <w:rFonts w:hint="eastAsia" w:ascii="宋体" w:hAnsi="宋体" w:eastAsia="宋体" w:cs="宋体"/>
                <w:szCs w:val="21"/>
              </w:rPr>
            </w:pPr>
            <w:bookmarkStart w:id="8" w:name="OLE_LINK18"/>
            <w:r>
              <w:rPr>
                <w:rFonts w:hint="eastAsia" w:ascii="宋体" w:hAnsi="宋体" w:eastAsia="宋体" w:cs="宋体"/>
                <w:szCs w:val="21"/>
              </w:rPr>
              <w:t>￠25</w:t>
            </w:r>
            <w:bookmarkEnd w:id="8"/>
          </w:p>
        </w:tc>
        <w:tc>
          <w:tcPr>
            <w:tcW w:w="896" w:type="dxa"/>
            <w:tcBorders>
              <w:top w:val="single" w:color="auto" w:sz="4" w:space="0"/>
              <w:left w:val="single" w:color="auto" w:sz="4" w:space="0"/>
              <w:bottom w:val="single" w:color="auto" w:sz="4" w:space="0"/>
              <w:right w:val="single" w:color="auto" w:sz="4" w:space="0"/>
            </w:tcBorders>
            <w:noWrap w:val="0"/>
            <w:vAlign w:val="center"/>
          </w:tcPr>
          <w:p w14:paraId="349B923B">
            <w:pPr>
              <w:jc w:val="center"/>
              <w:rPr>
                <w:rFonts w:hint="eastAsia" w:ascii="宋体" w:hAnsi="宋体" w:eastAsia="宋体" w:cs="宋体"/>
                <w:szCs w:val="21"/>
              </w:rPr>
            </w:pPr>
            <w:bookmarkStart w:id="9" w:name="OLE_LINK20"/>
            <w:bookmarkStart w:id="10" w:name="OLE_LINK19"/>
            <w:r>
              <w:rPr>
                <w:rFonts w:hint="eastAsia" w:ascii="宋体" w:hAnsi="宋体" w:eastAsia="宋体" w:cs="宋体"/>
                <w:szCs w:val="21"/>
              </w:rPr>
              <w:t>m</w:t>
            </w:r>
            <w:r>
              <w:rPr>
                <w:rFonts w:hint="eastAsia" w:ascii="宋体" w:hAnsi="宋体" w:eastAsia="宋体" w:cs="宋体"/>
                <w:szCs w:val="21"/>
                <w:vertAlign w:val="superscript"/>
              </w:rPr>
              <w:t>3</w:t>
            </w:r>
            <w:bookmarkEnd w:id="9"/>
            <w:bookmarkEnd w:id="10"/>
          </w:p>
        </w:tc>
        <w:tc>
          <w:tcPr>
            <w:tcW w:w="1218" w:type="dxa"/>
            <w:tcBorders>
              <w:top w:val="single" w:color="auto" w:sz="4" w:space="0"/>
              <w:left w:val="single" w:color="auto" w:sz="4" w:space="0"/>
              <w:bottom w:val="single" w:color="auto" w:sz="4" w:space="0"/>
              <w:right w:val="single" w:color="auto" w:sz="4" w:space="0"/>
            </w:tcBorders>
            <w:noWrap w:val="0"/>
            <w:vAlign w:val="center"/>
          </w:tcPr>
          <w:p w14:paraId="6582E86E">
            <w:pPr>
              <w:jc w:val="center"/>
              <w:rPr>
                <w:rFonts w:hint="eastAsia" w:ascii="宋体" w:hAnsi="宋体" w:eastAsia="宋体" w:cs="宋体"/>
                <w:szCs w:val="21"/>
              </w:rPr>
            </w:pPr>
            <w:r>
              <w:rPr>
                <w:rFonts w:hint="eastAsia" w:ascii="宋体" w:hAnsi="宋体" w:eastAsia="宋体" w:cs="宋体"/>
                <w:szCs w:val="21"/>
              </w:rPr>
              <w:t>2</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FC047D6">
            <w:pPr>
              <w:spacing w:line="560" w:lineRule="exact"/>
              <w:jc w:val="center"/>
              <w:rPr>
                <w:rFonts w:hint="eastAsia" w:ascii="宋体" w:hAnsi="宋体" w:eastAsia="宋体" w:cs="宋体"/>
                <w:szCs w:val="21"/>
              </w:rPr>
            </w:pPr>
            <w:r>
              <w:rPr>
                <w:rFonts w:hint="eastAsia" w:ascii="宋体" w:hAnsi="宋体" w:eastAsia="宋体" w:cs="宋体"/>
                <w:szCs w:val="21"/>
              </w:rPr>
              <w:t>详见技术指标</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E135A9B">
            <w:pPr>
              <w:spacing w:line="560" w:lineRule="exact"/>
              <w:jc w:val="center"/>
              <w:rPr>
                <w:rFonts w:hint="eastAsia" w:ascii="宋体" w:hAnsi="宋体" w:eastAsia="宋体" w:cs="宋体"/>
                <w:szCs w:val="21"/>
              </w:rPr>
            </w:pPr>
            <w:r>
              <w:rPr>
                <w:rFonts w:hint="eastAsia" w:ascii="宋体" w:hAnsi="宋体" w:eastAsia="宋体" w:cs="宋体"/>
                <w:szCs w:val="21"/>
              </w:rPr>
              <w:t>底部一层</w:t>
            </w:r>
          </w:p>
        </w:tc>
      </w:tr>
      <w:tr w14:paraId="74E9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D087FA9">
            <w:pPr>
              <w:jc w:val="center"/>
              <w:rPr>
                <w:rFonts w:hint="eastAsia" w:ascii="宋体" w:hAnsi="宋体" w:eastAsia="宋体" w:cs="宋体"/>
                <w:szCs w:val="21"/>
              </w:rPr>
            </w:pPr>
            <w:r>
              <w:rPr>
                <w:rFonts w:hint="eastAsia" w:ascii="宋体" w:hAnsi="宋体" w:eastAsia="宋体" w:cs="宋体"/>
                <w:szCs w:val="21"/>
              </w:rPr>
              <w:t>5</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2AB6AB7E">
            <w:pPr>
              <w:jc w:val="center"/>
              <w:rPr>
                <w:rFonts w:hint="eastAsia" w:ascii="宋体" w:hAnsi="宋体" w:eastAsia="宋体" w:cs="宋体"/>
                <w:szCs w:val="21"/>
              </w:rPr>
            </w:pPr>
            <w:r>
              <w:rPr>
                <w:rFonts w:hint="eastAsia" w:ascii="宋体" w:hAnsi="宋体" w:eastAsia="宋体" w:cs="宋体"/>
                <w:szCs w:val="21"/>
              </w:rPr>
              <w:t>瓷球</w:t>
            </w:r>
          </w:p>
        </w:tc>
        <w:tc>
          <w:tcPr>
            <w:tcW w:w="2373" w:type="dxa"/>
            <w:tcBorders>
              <w:top w:val="single" w:color="auto" w:sz="4" w:space="0"/>
              <w:left w:val="single" w:color="auto" w:sz="4" w:space="0"/>
              <w:bottom w:val="single" w:color="auto" w:sz="4" w:space="0"/>
              <w:right w:val="single" w:color="auto" w:sz="4" w:space="0"/>
            </w:tcBorders>
            <w:noWrap w:val="0"/>
            <w:vAlign w:val="center"/>
          </w:tcPr>
          <w:p w14:paraId="2461E531">
            <w:pPr>
              <w:jc w:val="center"/>
              <w:rPr>
                <w:rFonts w:hint="eastAsia" w:ascii="宋体" w:hAnsi="宋体" w:eastAsia="宋体" w:cs="宋体"/>
                <w:szCs w:val="21"/>
              </w:rPr>
            </w:pPr>
            <w:r>
              <w:rPr>
                <w:rFonts w:hint="eastAsia" w:ascii="宋体" w:hAnsi="宋体" w:eastAsia="宋体" w:cs="宋体"/>
                <w:szCs w:val="21"/>
              </w:rPr>
              <w:t>￠50</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E2A1C92">
            <w:pPr>
              <w:jc w:val="center"/>
              <w:rPr>
                <w:rFonts w:hint="eastAsia" w:ascii="宋体" w:hAnsi="宋体" w:eastAsia="宋体" w:cs="宋体"/>
                <w:szCs w:val="21"/>
              </w:rPr>
            </w:pPr>
            <w:r>
              <w:rPr>
                <w:rFonts w:hint="eastAsia" w:ascii="宋体" w:hAnsi="宋体" w:eastAsia="宋体" w:cs="宋体"/>
                <w:szCs w:val="21"/>
              </w:rPr>
              <w:t>m</w:t>
            </w:r>
            <w:r>
              <w:rPr>
                <w:rFonts w:hint="eastAsia" w:ascii="宋体" w:hAnsi="宋体" w:eastAsia="宋体" w:cs="宋体"/>
                <w:szCs w:val="21"/>
                <w:vertAlign w:val="superscript"/>
              </w:rPr>
              <w:t>3</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26B5C514">
            <w:pPr>
              <w:jc w:val="center"/>
              <w:rPr>
                <w:rFonts w:hint="eastAsia" w:ascii="宋体" w:hAnsi="宋体" w:eastAsia="宋体" w:cs="宋体"/>
                <w:szCs w:val="21"/>
              </w:rPr>
            </w:pPr>
            <w:r>
              <w:rPr>
                <w:rFonts w:hint="eastAsia" w:ascii="宋体" w:hAnsi="宋体" w:eastAsia="宋体" w:cs="宋体"/>
                <w:szCs w:val="21"/>
              </w:rPr>
              <w:t>2</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4661FB2">
            <w:pPr>
              <w:spacing w:line="560" w:lineRule="exact"/>
              <w:jc w:val="center"/>
              <w:rPr>
                <w:rFonts w:hint="eastAsia" w:ascii="宋体" w:hAnsi="宋体" w:eastAsia="宋体" w:cs="宋体"/>
                <w:szCs w:val="21"/>
              </w:rPr>
            </w:pPr>
            <w:r>
              <w:rPr>
                <w:rFonts w:hint="eastAsia" w:ascii="宋体" w:hAnsi="宋体" w:eastAsia="宋体" w:cs="宋体"/>
                <w:szCs w:val="21"/>
              </w:rPr>
              <w:t>详见技术指标</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DD05B91">
            <w:pPr>
              <w:spacing w:line="560" w:lineRule="exact"/>
              <w:jc w:val="center"/>
              <w:rPr>
                <w:rFonts w:hint="eastAsia" w:ascii="宋体" w:hAnsi="宋体" w:eastAsia="宋体" w:cs="宋体"/>
                <w:szCs w:val="21"/>
              </w:rPr>
            </w:pPr>
            <w:r>
              <w:rPr>
                <w:rFonts w:hint="eastAsia" w:ascii="宋体" w:hAnsi="宋体" w:eastAsia="宋体" w:cs="宋体"/>
                <w:szCs w:val="21"/>
              </w:rPr>
              <w:t>底部一层</w:t>
            </w:r>
          </w:p>
        </w:tc>
      </w:tr>
    </w:tbl>
    <w:p w14:paraId="08538E8E">
      <w:pPr>
        <w:jc w:val="left"/>
        <w:rPr>
          <w:rFonts w:hint="eastAsia" w:ascii="宋体" w:hAnsi="宋体" w:eastAsia="宋体" w:cs="宋体"/>
          <w:sz w:val="24"/>
        </w:rPr>
      </w:pPr>
      <w:r>
        <w:rPr>
          <w:rFonts w:hint="eastAsia" w:ascii="宋体" w:hAnsi="宋体" w:eastAsia="宋体" w:cs="宋体"/>
          <w:sz w:val="24"/>
        </w:rPr>
        <w:t>三、工期要求</w:t>
      </w:r>
    </w:p>
    <w:p w14:paraId="13F20B68">
      <w:pPr>
        <w:jc w:val="left"/>
        <w:rPr>
          <w:rFonts w:hint="eastAsia" w:ascii="宋体" w:hAnsi="宋体" w:eastAsia="宋体" w:cs="宋体"/>
          <w:color w:val="000000"/>
          <w:kern w:val="0"/>
          <w:sz w:val="24"/>
          <w:lang w:bidi="ar"/>
        </w:rPr>
      </w:pPr>
      <w:bookmarkStart w:id="11" w:name="OLE_LINK31"/>
      <w:bookmarkStart w:id="12" w:name="OLE_LINK32"/>
      <w:r>
        <w:rPr>
          <w:rFonts w:hint="eastAsia" w:ascii="宋体" w:hAnsi="宋体" w:eastAsia="宋体" w:cs="宋体"/>
          <w:color w:val="000000"/>
          <w:kern w:val="0"/>
          <w:sz w:val="24"/>
          <w:lang w:bidi="ar"/>
        </w:rPr>
        <w:t>脱硫塔脱硫剂、纯化器脱硫剂、水解塔水解催化剂经过长期运行，吸附及催化活性逐步衰减，脱硫、水解处理能力大幅下降，已达到使用年限。本次检修具体开工时间需结合装置实际运行工况及CO₂产品库存情况综合确定，计划施工月份为10月。</w:t>
      </w:r>
    </w:p>
    <w:p w14:paraId="3BBDC671">
      <w:pPr>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单台塔器施工工期2天，</w:t>
      </w:r>
      <w:r>
        <w:rPr>
          <w:rFonts w:hint="eastAsia" w:ascii="宋体" w:hAnsi="宋体" w:eastAsia="宋体" w:cs="宋体"/>
          <w:color w:val="000000"/>
          <w:kern w:val="0"/>
          <w:sz w:val="24"/>
          <w:lang w:val="en-US" w:eastAsia="zh-CN" w:bidi="ar"/>
        </w:rPr>
        <w:t>连续施工，</w:t>
      </w:r>
      <w:r>
        <w:rPr>
          <w:rFonts w:hint="eastAsia" w:ascii="宋体" w:hAnsi="宋体" w:eastAsia="宋体" w:cs="宋体"/>
          <w:color w:val="000000"/>
          <w:kern w:val="0"/>
          <w:sz w:val="24"/>
          <w:lang w:bidi="ar"/>
        </w:rPr>
        <w:t>项目总工期8天。施工单位须做好人员、机具、物资待命准备，具备随时进场施工条件；接到甲方施工指令后，能够快速响应，按照安全、合规要求组织开展施工作业，按期完成全部检修施工任务。</w:t>
      </w:r>
    </w:p>
    <w:p w14:paraId="61E801D5">
      <w:pPr>
        <w:jc w:val="left"/>
        <w:rPr>
          <w:rFonts w:hint="eastAsia" w:ascii="宋体" w:hAnsi="宋体" w:eastAsia="宋体" w:cs="宋体"/>
          <w:sz w:val="24"/>
        </w:rPr>
      </w:pPr>
      <w:r>
        <w:rPr>
          <w:rFonts w:hint="eastAsia" w:ascii="宋体" w:hAnsi="宋体" w:eastAsia="宋体" w:cs="宋体"/>
          <w:sz w:val="24"/>
        </w:rPr>
        <w:t>四、验收标准</w:t>
      </w:r>
    </w:p>
    <w:p w14:paraId="1EE554D1">
      <w:pPr>
        <w:jc w:val="left"/>
        <w:rPr>
          <w:rFonts w:hint="eastAsia" w:ascii="宋体" w:hAnsi="宋体" w:eastAsia="宋体" w:cs="宋体"/>
          <w:sz w:val="24"/>
        </w:rPr>
      </w:pPr>
      <w:r>
        <w:rPr>
          <w:rFonts w:hint="eastAsia" w:ascii="宋体" w:hAnsi="宋体" w:eastAsia="宋体" w:cs="宋体"/>
          <w:sz w:val="24"/>
        </w:rPr>
        <w:t>1. 催化剂、瓷球实际装填量满足设计技术要求，装填过程无架桥、偏床现象，床层平整，装填记录完整齐全。</w:t>
      </w:r>
    </w:p>
    <w:p w14:paraId="2DF74D62">
      <w:pPr>
        <w:jc w:val="left"/>
        <w:rPr>
          <w:rFonts w:hint="eastAsia" w:ascii="宋体" w:hAnsi="宋体" w:eastAsia="宋体" w:cs="宋体"/>
          <w:sz w:val="24"/>
        </w:rPr>
      </w:pPr>
      <w:r>
        <w:rPr>
          <w:rFonts w:hint="eastAsia" w:ascii="宋体" w:hAnsi="宋体" w:eastAsia="宋体" w:cs="宋体"/>
          <w:sz w:val="24"/>
        </w:rPr>
        <w:t>2. 施工完成后，塔器装填口、人孔等密封部位安装到位，现场施工废料、工器具全部清理离场，现场环境恢复。</w:t>
      </w:r>
    </w:p>
    <w:bookmarkEnd w:id="11"/>
    <w:bookmarkEnd w:id="12"/>
    <w:p w14:paraId="6CCDD5FE">
      <w:pPr>
        <w:jc w:val="left"/>
        <w:rPr>
          <w:rFonts w:hint="eastAsia" w:ascii="宋体" w:hAnsi="宋体" w:eastAsia="宋体" w:cs="宋体"/>
          <w:sz w:val="24"/>
        </w:rPr>
      </w:pPr>
      <w:r>
        <w:rPr>
          <w:rFonts w:hint="eastAsia" w:ascii="宋体" w:hAnsi="宋体" w:eastAsia="宋体" w:cs="宋体"/>
          <w:sz w:val="24"/>
        </w:rPr>
        <w:t>五、质保要求</w:t>
      </w:r>
    </w:p>
    <w:p w14:paraId="406A75A2">
      <w:pPr>
        <w:jc w:val="left"/>
        <w:rPr>
          <w:rFonts w:hint="eastAsia" w:ascii="宋体" w:hAnsi="宋体" w:eastAsia="宋体" w:cs="宋体"/>
          <w:sz w:val="24"/>
        </w:rPr>
      </w:pPr>
      <w:r>
        <w:rPr>
          <w:rFonts w:hint="eastAsia" w:ascii="宋体" w:hAnsi="宋体" w:eastAsia="宋体" w:cs="宋体"/>
          <w:sz w:val="24"/>
        </w:rPr>
        <w:t>1.维修质量质保期半年。</w:t>
      </w:r>
    </w:p>
    <w:p w14:paraId="08F7A7C0">
      <w:pPr>
        <w:jc w:val="left"/>
        <w:rPr>
          <w:rFonts w:hint="eastAsia" w:ascii="宋体" w:hAnsi="宋体" w:eastAsia="宋体" w:cs="宋体"/>
          <w:sz w:val="24"/>
        </w:rPr>
      </w:pPr>
      <w:r>
        <w:rPr>
          <w:rFonts w:hint="eastAsia" w:ascii="宋体" w:hAnsi="宋体" w:eastAsia="宋体" w:cs="宋体"/>
          <w:sz w:val="24"/>
        </w:rPr>
        <w:t>2.质保期限内因质量问题由乙方负责维修，全部费用由乙方负责，质保期限从甲方验收合格后重新计算。</w:t>
      </w:r>
    </w:p>
    <w:p w14:paraId="47BD120E">
      <w:pPr>
        <w:jc w:val="left"/>
        <w:rPr>
          <w:rFonts w:hint="eastAsia" w:ascii="宋体" w:hAnsi="宋体" w:eastAsia="宋体" w:cs="宋体"/>
          <w:sz w:val="24"/>
        </w:rPr>
      </w:pPr>
      <w:r>
        <w:rPr>
          <w:rFonts w:hint="eastAsia" w:ascii="宋体" w:hAnsi="宋体" w:eastAsia="宋体" w:cs="宋体"/>
          <w:sz w:val="24"/>
        </w:rPr>
        <w:t>六、维修人员要求:</w:t>
      </w:r>
    </w:p>
    <w:p w14:paraId="1EAE971C">
      <w:pPr>
        <w:jc w:val="left"/>
        <w:rPr>
          <w:rFonts w:hint="eastAsia" w:ascii="宋体" w:hAnsi="宋体" w:eastAsia="宋体" w:cs="宋体"/>
          <w:sz w:val="24"/>
        </w:rPr>
      </w:pPr>
      <w:r>
        <w:rPr>
          <w:rFonts w:hint="eastAsia" w:ascii="宋体" w:hAnsi="宋体" w:eastAsia="宋体" w:cs="宋体"/>
          <w:sz w:val="24"/>
        </w:rPr>
        <w:t>1.现场施工人员必须提供一年内有效健康体检报告，常规基础项目包括：五官、血常规、血压、心电图指标符合要求。</w:t>
      </w:r>
    </w:p>
    <w:p w14:paraId="52F97142">
      <w:pPr>
        <w:jc w:val="left"/>
        <w:rPr>
          <w:rFonts w:hint="eastAsia" w:ascii="宋体" w:hAnsi="宋体" w:eastAsia="宋体" w:cs="宋体"/>
          <w:sz w:val="24"/>
        </w:rPr>
      </w:pPr>
      <w:r>
        <w:rPr>
          <w:rFonts w:hint="eastAsia" w:ascii="宋体" w:hAnsi="宋体" w:eastAsia="宋体" w:cs="宋体"/>
          <w:sz w:val="24"/>
        </w:rPr>
        <w:t>2.登高人员持有有效登高安全作业证。</w:t>
      </w:r>
    </w:p>
    <w:p w14:paraId="1FD40202">
      <w:pPr>
        <w:jc w:val="left"/>
        <w:rPr>
          <w:rFonts w:hint="eastAsia" w:ascii="宋体" w:hAnsi="宋体" w:eastAsia="宋体" w:cs="宋体"/>
          <w:sz w:val="24"/>
        </w:rPr>
      </w:pPr>
      <w:r>
        <w:rPr>
          <w:rFonts w:hint="eastAsia" w:ascii="宋体" w:hAnsi="宋体" w:eastAsia="宋体" w:cs="宋体"/>
          <w:sz w:val="24"/>
        </w:rPr>
        <w:t>3.乙方提供的控制箱、真空泵等移动电气设备需经甲方专业电工检查并检验合格后方可使用。</w:t>
      </w:r>
    </w:p>
    <w:p w14:paraId="27238C6B">
      <w:pPr>
        <w:spacing w:line="360" w:lineRule="auto"/>
        <w:rPr>
          <w:rFonts w:hint="eastAsia" w:ascii="宋体" w:hAnsi="宋体" w:eastAsia="宋体" w:cs="宋体"/>
          <w:sz w:val="24"/>
        </w:rPr>
      </w:pPr>
      <w:r>
        <w:rPr>
          <w:rFonts w:hint="eastAsia" w:ascii="宋体" w:hAnsi="宋体" w:eastAsia="宋体" w:cs="宋体"/>
          <w:sz w:val="24"/>
        </w:rPr>
        <w:t>七、</w:t>
      </w:r>
      <w:bookmarkStart w:id="13" w:name="_Toc7993"/>
      <w:bookmarkStart w:id="14" w:name="_Toc25351"/>
      <w:r>
        <w:rPr>
          <w:rFonts w:hint="eastAsia" w:ascii="宋体" w:hAnsi="宋体" w:eastAsia="宋体" w:cs="宋体"/>
          <w:sz w:val="24"/>
        </w:rPr>
        <w:t>施工业绩</w:t>
      </w:r>
      <w:bookmarkEnd w:id="13"/>
      <w:bookmarkEnd w:id="14"/>
      <w:r>
        <w:rPr>
          <w:rFonts w:hint="eastAsia" w:ascii="宋体" w:hAnsi="宋体" w:eastAsia="宋体" w:cs="宋体"/>
          <w:sz w:val="24"/>
        </w:rPr>
        <w:t>要求</w:t>
      </w:r>
    </w:p>
    <w:p w14:paraId="4F8AB798">
      <w:pPr>
        <w:jc w:val="left"/>
        <w:rPr>
          <w:rFonts w:hint="eastAsia" w:ascii="宋体" w:hAnsi="宋体" w:eastAsia="宋体" w:cs="宋体"/>
          <w:sz w:val="24"/>
          <w:lang w:eastAsia="zh-CN"/>
        </w:rPr>
      </w:pPr>
      <w:r>
        <w:rPr>
          <w:rFonts w:hint="eastAsia" w:ascii="宋体" w:hAnsi="宋体" w:eastAsia="宋体" w:cs="宋体"/>
          <w:sz w:val="24"/>
        </w:rPr>
        <w:t>近 3 年内至少 3 套及以上催化剂装填完整业绩，提供合同关键页</w:t>
      </w:r>
      <w:r>
        <w:rPr>
          <w:rFonts w:hint="eastAsia" w:ascii="宋体" w:hAnsi="宋体" w:eastAsia="宋体" w:cs="宋体"/>
          <w:sz w:val="24"/>
          <w:lang w:eastAsia="zh-CN"/>
        </w:rPr>
        <w:t>。</w:t>
      </w:r>
    </w:p>
    <w:p w14:paraId="75B1A046">
      <w:pPr>
        <w:jc w:val="left"/>
        <w:rPr>
          <w:rFonts w:hint="eastAsia" w:ascii="宋体" w:hAnsi="宋体" w:eastAsia="宋体" w:cs="宋体"/>
          <w:sz w:val="24"/>
        </w:rPr>
      </w:pPr>
      <w:r>
        <w:rPr>
          <w:rFonts w:hint="eastAsia" w:ascii="宋体" w:hAnsi="宋体" w:eastAsia="宋体" w:cs="宋体"/>
          <w:sz w:val="24"/>
        </w:rPr>
        <w:t>八、废催化剂、瓷球处置</w:t>
      </w:r>
    </w:p>
    <w:p w14:paraId="3713496B">
      <w:pPr>
        <w:jc w:val="left"/>
        <w:rPr>
          <w:rFonts w:hint="eastAsia" w:ascii="宋体" w:hAnsi="宋体" w:eastAsia="宋体" w:cs="宋体"/>
          <w:sz w:val="24"/>
        </w:rPr>
      </w:pPr>
      <w:r>
        <w:rPr>
          <w:rFonts w:hint="eastAsia" w:ascii="宋体" w:hAnsi="宋体" w:eastAsia="宋体" w:cs="宋体"/>
          <w:sz w:val="24"/>
        </w:rPr>
        <w:t>废催化剂、瓷球由甲方处置，乙方施工过程中做好密封集装袋</w:t>
      </w:r>
      <w:r>
        <w:rPr>
          <w:rFonts w:hint="eastAsia" w:ascii="宋体" w:hAnsi="宋体" w:eastAsia="宋体" w:cs="宋体"/>
          <w:sz w:val="24"/>
          <w:lang w:val="en-US" w:eastAsia="zh-CN"/>
        </w:rPr>
        <w:t>(乙方提供）</w:t>
      </w:r>
      <w:r>
        <w:rPr>
          <w:rFonts w:hint="eastAsia" w:ascii="宋体" w:hAnsi="宋体" w:eastAsia="宋体" w:cs="宋体"/>
          <w:sz w:val="24"/>
        </w:rPr>
        <w:t>、布好防尘收集装置；废脱硫剂含硫化物，防止遇空气自燃风险。</w:t>
      </w:r>
    </w:p>
    <w:p w14:paraId="3C81013F">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1" w:fontKey="{E74BD6F9-B658-4597-BED5-DBBC6FCDA942}"/>
  </w:font>
  <w:font w:name="方正公文小标宋">
    <w:panose1 w:val="02000500000000000000"/>
    <w:charset w:val="86"/>
    <w:family w:val="auto"/>
    <w:pitch w:val="default"/>
    <w:sig w:usb0="A00002BF" w:usb1="38CF7CFA" w:usb2="00000016" w:usb3="00000000" w:csb0="00040001" w:csb1="00000000"/>
    <w:embedRegular r:id="rId2" w:fontKey="{BDEC4D2F-8142-4008-8E13-A1B0CD32D3A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398EC267"/>
    <w:multiLevelType w:val="singleLevel"/>
    <w:tmpl w:val="398EC267"/>
    <w:lvl w:ilvl="0" w:tentative="0">
      <w:start w:val="1"/>
      <w:numFmt w:val="chineseCounting"/>
      <w:suff w:val="nothing"/>
      <w:lvlText w:val="%1、"/>
      <w:lvlJc w:val="left"/>
      <w:rPr>
        <w:rFonts w:hint="eastAsia"/>
      </w:rPr>
    </w:lvl>
  </w:abstractNum>
  <w:abstractNum w:abstractNumId="4">
    <w:nsid w:val="3E270DCF"/>
    <w:multiLevelType w:val="multilevel"/>
    <w:tmpl w:val="3E270DCF"/>
    <w:lvl w:ilvl="0" w:tentative="0">
      <w:start w:val="1"/>
      <w:numFmt w:val="decimal"/>
      <w:pStyle w:val="2"/>
      <w:suff w:val="space"/>
      <w:lvlText w:val="%1."/>
      <w:lvlJc w:val="left"/>
      <w:pPr>
        <w:ind w:left="0" w:leftChars="0" w:firstLine="0" w:firstLineChars="0"/>
      </w:pPr>
      <w:rPr>
        <w:rFonts w:hint="default" w:ascii="微软雅黑" w:hAnsi="微软雅黑" w:eastAsia="微软雅黑"/>
      </w:rPr>
    </w:lvl>
    <w:lvl w:ilvl="1" w:tentative="0">
      <w:start w:val="1"/>
      <w:numFmt w:val="decimal"/>
      <w:pStyle w:val="3"/>
      <w:suff w:val="space"/>
      <w:lvlText w:val="%1.%2."/>
      <w:lvlJc w:val="left"/>
      <w:pPr>
        <w:ind w:left="0" w:leftChars="0" w:firstLine="0" w:firstLineChars="0"/>
      </w:pPr>
      <w:rPr>
        <w:rFonts w:hint="default" w:ascii="微软雅黑" w:hAnsi="微软雅黑" w:eastAsia="微软雅黑"/>
      </w:rPr>
    </w:lvl>
    <w:lvl w:ilvl="2" w:tentative="0">
      <w:start w:val="1"/>
      <w:numFmt w:val="decimal"/>
      <w:pStyle w:val="4"/>
      <w:suff w:val="space"/>
      <w:lvlText w:val="%1.%2.%3."/>
      <w:lvlJc w:val="left"/>
      <w:pPr>
        <w:ind w:left="0" w:leftChars="0" w:firstLine="0" w:firstLineChars="0"/>
      </w:pPr>
      <w:rPr>
        <w:rFonts w:hint="default" w:ascii="微软雅黑" w:hAnsi="微软雅黑" w:eastAsia="微软雅黑"/>
      </w:rPr>
    </w:lvl>
    <w:lvl w:ilvl="3" w:tentative="0">
      <w:start w:val="1"/>
      <w:numFmt w:val="decimal"/>
      <w:pStyle w:val="5"/>
      <w:suff w:val="space"/>
      <w:lvlText w:val="%1.%2.%3.%4."/>
      <w:lvlJc w:val="left"/>
      <w:pPr>
        <w:ind w:left="0" w:leftChars="0" w:firstLine="0" w:firstLineChars="0"/>
      </w:pPr>
      <w:rPr>
        <w:rFonts w:hint="default" w:ascii="微软雅黑" w:hAnsi="微软雅黑" w:eastAsia="微软雅黑"/>
      </w:rPr>
    </w:lvl>
    <w:lvl w:ilvl="4" w:tentative="0">
      <w:start w:val="1"/>
      <w:numFmt w:val="decimal"/>
      <w:pStyle w:val="6"/>
      <w:lvlText w:val="%1.%2.%3.%4.%5."/>
      <w:lvlJc w:val="left"/>
      <w:pPr>
        <w:tabs>
          <w:tab w:val="left" w:pos="0"/>
        </w:tabs>
        <w:ind w:left="0" w:leftChars="0" w:firstLine="0" w:firstLineChars="0"/>
      </w:pPr>
      <w:rPr>
        <w:rFonts w:hint="default" w:ascii="微软雅黑" w:hAnsi="微软雅黑" w:eastAsia="微软雅黑"/>
      </w:rPr>
    </w:lvl>
    <w:lvl w:ilvl="5" w:tentative="0">
      <w:start w:val="1"/>
      <w:numFmt w:val="decimal"/>
      <w:pStyle w:val="9"/>
      <w:suff w:val="space"/>
      <w:lvlText w:val="%1.%2.%3.%4.%5.%6."/>
      <w:lvlJc w:val="left"/>
      <w:pPr>
        <w:ind w:left="0" w:leftChars="0" w:firstLine="0" w:firstLineChars="0"/>
      </w:pPr>
      <w:rPr>
        <w:rFonts w:hint="default"/>
      </w:rPr>
    </w:lvl>
    <w:lvl w:ilvl="6" w:tentative="0">
      <w:start w:val="1"/>
      <w:numFmt w:val="decimal"/>
      <w:pStyle w:val="10"/>
      <w:lvlText w:val="%1.%2.%3.%4.%5.%6.%7."/>
      <w:lvlJc w:val="left"/>
      <w:pPr>
        <w:tabs>
          <w:tab w:val="left" w:pos="0"/>
        </w:tabs>
        <w:ind w:left="0" w:leftChars="0" w:firstLine="0" w:firstLineChars="0"/>
      </w:pPr>
      <w:rPr>
        <w:rFonts w:hint="default"/>
      </w:rPr>
    </w:lvl>
    <w:lvl w:ilvl="7" w:tentative="0">
      <w:start w:val="1"/>
      <w:numFmt w:val="decimal"/>
      <w:pStyle w:val="11"/>
      <w:suff w:val="space"/>
      <w:lvlText w:val="%1.%2.%3.%4.%5.%6.%7.%8."/>
      <w:lvlJc w:val="left"/>
      <w:pPr>
        <w:ind w:left="0" w:leftChars="0" w:firstLine="0" w:firstLineChars="0"/>
      </w:pPr>
      <w:rPr>
        <w:rFonts w:hint="default"/>
      </w:rPr>
    </w:lvl>
    <w:lvl w:ilvl="8" w:tentative="0">
      <w:start w:val="1"/>
      <w:numFmt w:val="decimal"/>
      <w:pStyle w:val="12"/>
      <w:lvlText w:val="%1.%2.%3.%4.%5.%6.%7.%8.%9."/>
      <w:lvlJc w:val="left"/>
      <w:pPr>
        <w:tabs>
          <w:tab w:val="left" w:pos="0"/>
        </w:tabs>
        <w:ind w:left="0" w:leftChars="0" w:firstLine="0" w:firstLineChars="0"/>
      </w:pPr>
      <w:rPr>
        <w:rFonts w:hint="default"/>
      </w:rPr>
    </w:lvl>
  </w:abstractNum>
  <w:abstractNum w:abstractNumId="5">
    <w:nsid w:val="4F708CF4"/>
    <w:multiLevelType w:val="singleLevel"/>
    <w:tmpl w:val="4F708CF4"/>
    <w:lvl w:ilvl="0" w:tentative="0">
      <w:start w:val="2"/>
      <w:numFmt w:val="chineseCounting"/>
      <w:suff w:val="nothing"/>
      <w:lvlText w:val="%1、"/>
      <w:lvlJc w:val="left"/>
      <w:rPr>
        <w:rFonts w:hint="eastAsia"/>
      </w:rPr>
    </w:lvl>
  </w:abstractNum>
  <w:abstractNum w:abstractNumId="6">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7">
    <w:nsid w:val="5D65CF30"/>
    <w:multiLevelType w:val="singleLevel"/>
    <w:tmpl w:val="5D65CF30"/>
    <w:lvl w:ilvl="0" w:tentative="0">
      <w:start w:val="4"/>
      <w:numFmt w:val="decimal"/>
      <w:lvlText w:val="%1."/>
      <w:lvlJc w:val="left"/>
      <w:pPr>
        <w:tabs>
          <w:tab w:val="left" w:pos="312"/>
        </w:tabs>
      </w:pPr>
    </w:lvl>
  </w:abstractNum>
  <w:abstractNum w:abstractNumId="8">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num w:numId="1">
    <w:abstractNumId w:val="4"/>
  </w:num>
  <w:num w:numId="2">
    <w:abstractNumId w:val="3"/>
  </w:num>
  <w:num w:numId="3">
    <w:abstractNumId w:val="5"/>
  </w:num>
  <w:num w:numId="4">
    <w:abstractNumId w:val="1"/>
  </w:num>
  <w:num w:numId="5">
    <w:abstractNumId w:val="8"/>
  </w:num>
  <w:num w:numId="6">
    <w:abstractNumId w:val="6"/>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74AD"/>
    <w:rsid w:val="00101E7C"/>
    <w:rsid w:val="00456228"/>
    <w:rsid w:val="007200AE"/>
    <w:rsid w:val="01D23F28"/>
    <w:rsid w:val="02380E83"/>
    <w:rsid w:val="027125E7"/>
    <w:rsid w:val="028C7BBC"/>
    <w:rsid w:val="028D7D74"/>
    <w:rsid w:val="03661A20"/>
    <w:rsid w:val="037E6D6A"/>
    <w:rsid w:val="04473600"/>
    <w:rsid w:val="04EB042F"/>
    <w:rsid w:val="053E4A03"/>
    <w:rsid w:val="05695E15"/>
    <w:rsid w:val="061E65E2"/>
    <w:rsid w:val="06FF6413"/>
    <w:rsid w:val="07A86AAB"/>
    <w:rsid w:val="07D16002"/>
    <w:rsid w:val="087814E9"/>
    <w:rsid w:val="091D3705"/>
    <w:rsid w:val="09D073A9"/>
    <w:rsid w:val="0A6F38B0"/>
    <w:rsid w:val="0AAC68B2"/>
    <w:rsid w:val="0AB654F5"/>
    <w:rsid w:val="0AD876A7"/>
    <w:rsid w:val="0B1408EB"/>
    <w:rsid w:val="0B3011FA"/>
    <w:rsid w:val="0B977253"/>
    <w:rsid w:val="0B9A495D"/>
    <w:rsid w:val="0C4C5CF7"/>
    <w:rsid w:val="0D4A5F0F"/>
    <w:rsid w:val="0D746DB5"/>
    <w:rsid w:val="0DF540CC"/>
    <w:rsid w:val="0E2350DD"/>
    <w:rsid w:val="0EED1247"/>
    <w:rsid w:val="0FB26719"/>
    <w:rsid w:val="102D22A1"/>
    <w:rsid w:val="106612B1"/>
    <w:rsid w:val="107378B7"/>
    <w:rsid w:val="10F1501F"/>
    <w:rsid w:val="119C17B8"/>
    <w:rsid w:val="11A742E8"/>
    <w:rsid w:val="12463148"/>
    <w:rsid w:val="12922C84"/>
    <w:rsid w:val="12DB5F87"/>
    <w:rsid w:val="133B4C77"/>
    <w:rsid w:val="134678C7"/>
    <w:rsid w:val="147931F1"/>
    <w:rsid w:val="14D05D11"/>
    <w:rsid w:val="15386004"/>
    <w:rsid w:val="15455939"/>
    <w:rsid w:val="15F1304B"/>
    <w:rsid w:val="163A6CA3"/>
    <w:rsid w:val="166E2C6E"/>
    <w:rsid w:val="169A7F07"/>
    <w:rsid w:val="16B8213B"/>
    <w:rsid w:val="17920BDE"/>
    <w:rsid w:val="17B172B6"/>
    <w:rsid w:val="17FD24FB"/>
    <w:rsid w:val="180D097D"/>
    <w:rsid w:val="18C33745"/>
    <w:rsid w:val="18FF364C"/>
    <w:rsid w:val="190D676E"/>
    <w:rsid w:val="195F2D42"/>
    <w:rsid w:val="196A0064"/>
    <w:rsid w:val="19D61256"/>
    <w:rsid w:val="1AA650CC"/>
    <w:rsid w:val="1ABF1CEA"/>
    <w:rsid w:val="1AC612CA"/>
    <w:rsid w:val="1B1C0EEA"/>
    <w:rsid w:val="1B4A2A90"/>
    <w:rsid w:val="1B6B3C20"/>
    <w:rsid w:val="1BF754B3"/>
    <w:rsid w:val="1C0D408C"/>
    <w:rsid w:val="1D7C655F"/>
    <w:rsid w:val="1DEF6D8A"/>
    <w:rsid w:val="1E454BFC"/>
    <w:rsid w:val="1E9236E8"/>
    <w:rsid w:val="1EC21DA9"/>
    <w:rsid w:val="1F0625DD"/>
    <w:rsid w:val="1FF93EF0"/>
    <w:rsid w:val="200D34F7"/>
    <w:rsid w:val="21AE4866"/>
    <w:rsid w:val="227B299A"/>
    <w:rsid w:val="228D7161"/>
    <w:rsid w:val="23117159"/>
    <w:rsid w:val="2342795C"/>
    <w:rsid w:val="245D2963"/>
    <w:rsid w:val="247C629F"/>
    <w:rsid w:val="24960418"/>
    <w:rsid w:val="249E6E14"/>
    <w:rsid w:val="24D665AE"/>
    <w:rsid w:val="24E05525"/>
    <w:rsid w:val="2503117D"/>
    <w:rsid w:val="25300011"/>
    <w:rsid w:val="25E21092"/>
    <w:rsid w:val="26AF355A"/>
    <w:rsid w:val="270A2BB5"/>
    <w:rsid w:val="27505DD9"/>
    <w:rsid w:val="277F117F"/>
    <w:rsid w:val="27AF0059"/>
    <w:rsid w:val="27CE7C21"/>
    <w:rsid w:val="293B24DD"/>
    <w:rsid w:val="29986528"/>
    <w:rsid w:val="2A035C0F"/>
    <w:rsid w:val="2A895E70"/>
    <w:rsid w:val="2AAA3162"/>
    <w:rsid w:val="2B8C00D9"/>
    <w:rsid w:val="2D6D29C6"/>
    <w:rsid w:val="2E187C37"/>
    <w:rsid w:val="2E730AF8"/>
    <w:rsid w:val="2EEE0779"/>
    <w:rsid w:val="2F94153F"/>
    <w:rsid w:val="30DA11D4"/>
    <w:rsid w:val="31215055"/>
    <w:rsid w:val="313136FF"/>
    <w:rsid w:val="31E06CBE"/>
    <w:rsid w:val="3283574E"/>
    <w:rsid w:val="32D63C1D"/>
    <w:rsid w:val="32EE540A"/>
    <w:rsid w:val="32F43417"/>
    <w:rsid w:val="33A31D51"/>
    <w:rsid w:val="33C1667B"/>
    <w:rsid w:val="34847DD4"/>
    <w:rsid w:val="34D4418C"/>
    <w:rsid w:val="355359F9"/>
    <w:rsid w:val="356814A4"/>
    <w:rsid w:val="35727C2D"/>
    <w:rsid w:val="360867E3"/>
    <w:rsid w:val="363C7066"/>
    <w:rsid w:val="37092813"/>
    <w:rsid w:val="3772660A"/>
    <w:rsid w:val="389C4005"/>
    <w:rsid w:val="38C211D8"/>
    <w:rsid w:val="38CD7870"/>
    <w:rsid w:val="39E62997"/>
    <w:rsid w:val="39EB4452"/>
    <w:rsid w:val="3A3E7B24"/>
    <w:rsid w:val="3A9C399E"/>
    <w:rsid w:val="3AB42A96"/>
    <w:rsid w:val="3AFE23CB"/>
    <w:rsid w:val="3B9F72A2"/>
    <w:rsid w:val="3BC60CD2"/>
    <w:rsid w:val="3C355E58"/>
    <w:rsid w:val="3C9E39FD"/>
    <w:rsid w:val="3E7762B4"/>
    <w:rsid w:val="3F051B12"/>
    <w:rsid w:val="3F067638"/>
    <w:rsid w:val="3F355BAD"/>
    <w:rsid w:val="3F584337"/>
    <w:rsid w:val="3FB25E7B"/>
    <w:rsid w:val="3FFF47B3"/>
    <w:rsid w:val="40116FFB"/>
    <w:rsid w:val="4084115C"/>
    <w:rsid w:val="40964908"/>
    <w:rsid w:val="409D71A2"/>
    <w:rsid w:val="40DE086C"/>
    <w:rsid w:val="41962EF5"/>
    <w:rsid w:val="41E6251B"/>
    <w:rsid w:val="41F12821"/>
    <w:rsid w:val="42AA5F72"/>
    <w:rsid w:val="42F425C9"/>
    <w:rsid w:val="43594E0B"/>
    <w:rsid w:val="44EB3558"/>
    <w:rsid w:val="45E36925"/>
    <w:rsid w:val="4609638B"/>
    <w:rsid w:val="466229CE"/>
    <w:rsid w:val="46790A87"/>
    <w:rsid w:val="486036B2"/>
    <w:rsid w:val="4A121195"/>
    <w:rsid w:val="4AC251FD"/>
    <w:rsid w:val="4AE1260F"/>
    <w:rsid w:val="4B992026"/>
    <w:rsid w:val="4BD96800"/>
    <w:rsid w:val="4BE96317"/>
    <w:rsid w:val="4C8F3363"/>
    <w:rsid w:val="4D18678F"/>
    <w:rsid w:val="4D930C30"/>
    <w:rsid w:val="4E680654"/>
    <w:rsid w:val="4E8D742E"/>
    <w:rsid w:val="4E9C455D"/>
    <w:rsid w:val="4F3D2C02"/>
    <w:rsid w:val="4F6E725F"/>
    <w:rsid w:val="50B44ECF"/>
    <w:rsid w:val="50CA6717"/>
    <w:rsid w:val="513A2283"/>
    <w:rsid w:val="51656440"/>
    <w:rsid w:val="518C1C1F"/>
    <w:rsid w:val="51CB2747"/>
    <w:rsid w:val="51FB0B52"/>
    <w:rsid w:val="52374280"/>
    <w:rsid w:val="52662470"/>
    <w:rsid w:val="527B23BF"/>
    <w:rsid w:val="52FB5CEB"/>
    <w:rsid w:val="53D8739D"/>
    <w:rsid w:val="54460F40"/>
    <w:rsid w:val="549270A0"/>
    <w:rsid w:val="54FE1085"/>
    <w:rsid w:val="55286102"/>
    <w:rsid w:val="556E620B"/>
    <w:rsid w:val="56F2575C"/>
    <w:rsid w:val="58113834"/>
    <w:rsid w:val="58C16652"/>
    <w:rsid w:val="58D83B72"/>
    <w:rsid w:val="59934492"/>
    <w:rsid w:val="59993355"/>
    <w:rsid w:val="59B9557B"/>
    <w:rsid w:val="59DB3743"/>
    <w:rsid w:val="5A113609"/>
    <w:rsid w:val="5A4D36A5"/>
    <w:rsid w:val="5A702373"/>
    <w:rsid w:val="5B11777E"/>
    <w:rsid w:val="5B2337F0"/>
    <w:rsid w:val="5B975D90"/>
    <w:rsid w:val="5C274FC8"/>
    <w:rsid w:val="5C700ABB"/>
    <w:rsid w:val="5C8A1451"/>
    <w:rsid w:val="5CB577A7"/>
    <w:rsid w:val="5D0A3648"/>
    <w:rsid w:val="5D192F00"/>
    <w:rsid w:val="5D296EBB"/>
    <w:rsid w:val="5D5F6439"/>
    <w:rsid w:val="5D710097"/>
    <w:rsid w:val="5D810AA5"/>
    <w:rsid w:val="5E070FAB"/>
    <w:rsid w:val="5EFB5B8B"/>
    <w:rsid w:val="5F017DB1"/>
    <w:rsid w:val="5F092B01"/>
    <w:rsid w:val="5F746106"/>
    <w:rsid w:val="5FCE46C2"/>
    <w:rsid w:val="5FED582A"/>
    <w:rsid w:val="601E082E"/>
    <w:rsid w:val="60681AA9"/>
    <w:rsid w:val="60805044"/>
    <w:rsid w:val="615736B4"/>
    <w:rsid w:val="6189617B"/>
    <w:rsid w:val="61C07816"/>
    <w:rsid w:val="626F711E"/>
    <w:rsid w:val="630C0E11"/>
    <w:rsid w:val="6326564D"/>
    <w:rsid w:val="63F87D96"/>
    <w:rsid w:val="641C32D6"/>
    <w:rsid w:val="646507D9"/>
    <w:rsid w:val="64B43F9C"/>
    <w:rsid w:val="64B90B25"/>
    <w:rsid w:val="64C363ED"/>
    <w:rsid w:val="65624D19"/>
    <w:rsid w:val="65EA31DF"/>
    <w:rsid w:val="65FC33BF"/>
    <w:rsid w:val="66216982"/>
    <w:rsid w:val="66263F98"/>
    <w:rsid w:val="66467226"/>
    <w:rsid w:val="67B57CC9"/>
    <w:rsid w:val="67CB4700"/>
    <w:rsid w:val="67E22141"/>
    <w:rsid w:val="681E586F"/>
    <w:rsid w:val="68925915"/>
    <w:rsid w:val="689717D8"/>
    <w:rsid w:val="694037F5"/>
    <w:rsid w:val="694A38A3"/>
    <w:rsid w:val="69605A13"/>
    <w:rsid w:val="697E40EB"/>
    <w:rsid w:val="69EC72A7"/>
    <w:rsid w:val="69F17728"/>
    <w:rsid w:val="6A38073E"/>
    <w:rsid w:val="6A89220C"/>
    <w:rsid w:val="6B212499"/>
    <w:rsid w:val="6B741C4A"/>
    <w:rsid w:val="6B8852CA"/>
    <w:rsid w:val="6BD149A6"/>
    <w:rsid w:val="6BD57112"/>
    <w:rsid w:val="6BD772B4"/>
    <w:rsid w:val="6C0A7EB8"/>
    <w:rsid w:val="6C4C227F"/>
    <w:rsid w:val="6CDE1D90"/>
    <w:rsid w:val="6CFC1A15"/>
    <w:rsid w:val="6D042B59"/>
    <w:rsid w:val="6D2B076D"/>
    <w:rsid w:val="6D2D0302"/>
    <w:rsid w:val="6D981C1F"/>
    <w:rsid w:val="6DD76B71"/>
    <w:rsid w:val="6ECE1671"/>
    <w:rsid w:val="6F3A0AB4"/>
    <w:rsid w:val="6F573414"/>
    <w:rsid w:val="704020FA"/>
    <w:rsid w:val="70634A52"/>
    <w:rsid w:val="70742BE9"/>
    <w:rsid w:val="70883BA0"/>
    <w:rsid w:val="70F750B1"/>
    <w:rsid w:val="7137174F"/>
    <w:rsid w:val="718304F0"/>
    <w:rsid w:val="72565C05"/>
    <w:rsid w:val="72CB00BA"/>
    <w:rsid w:val="75397D24"/>
    <w:rsid w:val="75894543"/>
    <w:rsid w:val="76F65C09"/>
    <w:rsid w:val="775F730A"/>
    <w:rsid w:val="77F71C38"/>
    <w:rsid w:val="78E26444"/>
    <w:rsid w:val="78F9553C"/>
    <w:rsid w:val="7902536C"/>
    <w:rsid w:val="79053EE1"/>
    <w:rsid w:val="79295E21"/>
    <w:rsid w:val="793547C6"/>
    <w:rsid w:val="7A5E7D4D"/>
    <w:rsid w:val="7A995229"/>
    <w:rsid w:val="7B106F4E"/>
    <w:rsid w:val="7C0C5586"/>
    <w:rsid w:val="7C29147F"/>
    <w:rsid w:val="7CED7166"/>
    <w:rsid w:val="7D197F5B"/>
    <w:rsid w:val="7E2E3EDA"/>
    <w:rsid w:val="7E5F5E41"/>
    <w:rsid w:val="7EE03426"/>
    <w:rsid w:val="7F2C0419"/>
    <w:rsid w:val="7F73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eastAsia="微软雅黑" w:asciiTheme="minorAscii" w:hAnsiTheme="minorAscii" w:cstheme="minorBidi"/>
      <w:snapToGrid/>
      <w:kern w:val="2"/>
      <w:sz w:val="21"/>
      <w:szCs w:val="24"/>
      <w:lang w:val="en-US" w:eastAsia="zh-CN" w:bidi="ar-SA"/>
    </w:rPr>
  </w:style>
  <w:style w:type="paragraph" w:styleId="2">
    <w:name w:val="heading 1"/>
    <w:next w:val="1"/>
    <w:qFormat/>
    <w:uiPriority w:val="9"/>
    <w:pPr>
      <w:keepNext/>
      <w:keepLines/>
      <w:numPr>
        <w:ilvl w:val="0"/>
        <w:numId w:val="1"/>
      </w:numPr>
      <w:tabs>
        <w:tab w:val="left" w:pos="0"/>
      </w:tabs>
      <w:adjustRightInd w:val="0"/>
      <w:snapToGrid w:val="0"/>
      <w:spacing w:before="50" w:beforeLines="50" w:after="20" w:afterLines="20" w:line="288" w:lineRule="auto"/>
      <w:ind w:left="0" w:firstLine="0"/>
      <w:outlineLvl w:val="0"/>
    </w:pPr>
    <w:rPr>
      <w:rFonts w:ascii="微软雅黑" w:hAnsi="微软雅黑" w:eastAsia="微软雅黑" w:cstheme="minorBidi"/>
      <w:b/>
      <w:bCs/>
      <w:kern w:val="44"/>
      <w:sz w:val="36"/>
      <w:szCs w:val="36"/>
    </w:rPr>
  </w:style>
  <w:style w:type="paragraph" w:styleId="3">
    <w:name w:val="heading 2"/>
    <w:next w:val="1"/>
    <w:unhideWhenUsed/>
    <w:qFormat/>
    <w:uiPriority w:val="9"/>
    <w:pPr>
      <w:numPr>
        <w:ilvl w:val="1"/>
        <w:numId w:val="1"/>
      </w:numPr>
      <w:tabs>
        <w:tab w:val="left" w:pos="0"/>
      </w:tabs>
      <w:adjustRightInd w:val="0"/>
      <w:snapToGrid w:val="0"/>
      <w:spacing w:before="50" w:beforeLines="50" w:after="20" w:afterLines="20" w:line="288" w:lineRule="auto"/>
      <w:ind w:left="0" w:firstLine="0"/>
      <w:outlineLvl w:val="1"/>
    </w:pPr>
    <w:rPr>
      <w:rFonts w:ascii="微软雅黑" w:hAnsi="微软雅黑" w:eastAsia="微软雅黑" w:cstheme="minorBidi"/>
      <w:b/>
      <w:bCs/>
      <w:kern w:val="2"/>
      <w:sz w:val="32"/>
      <w:szCs w:val="32"/>
    </w:rPr>
  </w:style>
  <w:style w:type="paragraph" w:styleId="4">
    <w:name w:val="heading 3"/>
    <w:next w:val="1"/>
    <w:unhideWhenUsed/>
    <w:qFormat/>
    <w:uiPriority w:val="9"/>
    <w:pPr>
      <w:numPr>
        <w:ilvl w:val="2"/>
        <w:numId w:val="1"/>
      </w:numPr>
      <w:tabs>
        <w:tab w:val="left" w:pos="0"/>
        <w:tab w:val="left" w:pos="312"/>
      </w:tabs>
      <w:adjustRightInd w:val="0"/>
      <w:snapToGrid w:val="0"/>
      <w:spacing w:before="50" w:beforeLines="50" w:after="20" w:afterLines="20" w:line="288" w:lineRule="auto"/>
      <w:ind w:left="0" w:firstLine="0"/>
      <w:outlineLvl w:val="2"/>
    </w:pPr>
    <w:rPr>
      <w:rFonts w:ascii="微软雅黑" w:hAnsi="微软雅黑" w:eastAsia="微软雅黑" w:cstheme="minorBidi"/>
      <w:b/>
      <w:kern w:val="2"/>
      <w:sz w:val="30"/>
      <w:szCs w:val="30"/>
    </w:rPr>
  </w:style>
  <w:style w:type="paragraph" w:styleId="5">
    <w:name w:val="heading 4"/>
    <w:next w:val="1"/>
    <w:unhideWhenUsed/>
    <w:qFormat/>
    <w:uiPriority w:val="9"/>
    <w:pPr>
      <w:numPr>
        <w:ilvl w:val="3"/>
        <w:numId w:val="1"/>
      </w:numPr>
      <w:tabs>
        <w:tab w:val="left" w:pos="0"/>
      </w:tabs>
      <w:adjustRightInd w:val="0"/>
      <w:snapToGrid w:val="0"/>
      <w:spacing w:before="50" w:beforeLines="50" w:after="20" w:afterLines="20" w:line="288" w:lineRule="auto"/>
      <w:ind w:left="0" w:firstLine="0"/>
      <w:outlineLvl w:val="3"/>
    </w:pPr>
    <w:rPr>
      <w:rFonts w:ascii="微软雅黑" w:hAnsi="微软雅黑" w:eastAsia="微软雅黑" w:cstheme="minorBidi"/>
      <w:b/>
      <w:bCs/>
      <w:sz w:val="28"/>
      <w:szCs w:val="28"/>
    </w:rPr>
  </w:style>
  <w:style w:type="paragraph" w:styleId="6">
    <w:name w:val="heading 5"/>
    <w:basedOn w:val="1"/>
    <w:next w:val="7"/>
    <w:unhideWhenUsed/>
    <w:qFormat/>
    <w:uiPriority w:val="9"/>
    <w:pPr>
      <w:numPr>
        <w:ilvl w:val="4"/>
        <w:numId w:val="1"/>
      </w:numPr>
      <w:tabs>
        <w:tab w:val="left" w:pos="312"/>
      </w:tabs>
      <w:spacing w:before="50" w:beforeLines="50" w:after="20" w:afterLines="20"/>
      <w:ind w:left="0" w:firstLine="0"/>
      <w:jc w:val="left"/>
      <w:outlineLvl w:val="4"/>
    </w:pPr>
    <w:rPr>
      <w:rFonts w:ascii="Arial" w:hAnsi="Arial"/>
      <w:b/>
      <w:sz w:val="24"/>
      <w:szCs w:val="22"/>
    </w:rPr>
  </w:style>
  <w:style w:type="paragraph" w:styleId="9">
    <w:name w:val="heading 6"/>
    <w:basedOn w:val="1"/>
    <w:next w:val="7"/>
    <w:unhideWhenUsed/>
    <w:qFormat/>
    <w:uiPriority w:val="0"/>
    <w:pPr>
      <w:numPr>
        <w:ilvl w:val="5"/>
        <w:numId w:val="1"/>
      </w:numPr>
      <w:tabs>
        <w:tab w:val="left" w:pos="0"/>
      </w:tabs>
      <w:spacing w:before="50" w:beforeLines="50" w:after="20" w:afterLines="20" w:line="288" w:lineRule="auto"/>
      <w:ind w:left="0" w:firstLine="0"/>
      <w:outlineLvl w:val="5"/>
    </w:pPr>
    <w:rPr>
      <w:rFonts w:ascii="微软雅黑" w:hAnsi="微软雅黑"/>
      <w:b/>
      <w:bCs/>
      <w:sz w:val="24"/>
    </w:rPr>
  </w:style>
  <w:style w:type="paragraph" w:styleId="10">
    <w:name w:val="heading 7"/>
    <w:basedOn w:val="1"/>
    <w:next w:val="7"/>
    <w:unhideWhenUsed/>
    <w:qFormat/>
    <w:uiPriority w:val="0"/>
    <w:pPr>
      <w:numPr>
        <w:ilvl w:val="6"/>
        <w:numId w:val="1"/>
      </w:numPr>
      <w:spacing w:before="50" w:beforeLines="50" w:after="20" w:afterLines="20" w:line="288" w:lineRule="auto"/>
      <w:ind w:left="0" w:firstLine="0"/>
      <w:jc w:val="left"/>
      <w:outlineLvl w:val="6"/>
    </w:pPr>
    <w:rPr>
      <w:rFonts w:ascii="微软雅黑" w:hAnsi="微软雅黑"/>
      <w:b/>
      <w:bCs/>
      <w:sz w:val="24"/>
    </w:rPr>
  </w:style>
  <w:style w:type="paragraph" w:styleId="11">
    <w:name w:val="heading 8"/>
    <w:basedOn w:val="1"/>
    <w:next w:val="7"/>
    <w:unhideWhenUsed/>
    <w:qFormat/>
    <w:uiPriority w:val="0"/>
    <w:pPr>
      <w:numPr>
        <w:ilvl w:val="7"/>
        <w:numId w:val="1"/>
      </w:numPr>
      <w:tabs>
        <w:tab w:val="left" w:pos="0"/>
      </w:tabs>
      <w:spacing w:before="50" w:beforeLines="50" w:after="20" w:afterLines="20" w:line="288" w:lineRule="auto"/>
      <w:ind w:left="0" w:firstLine="0"/>
      <w:outlineLvl w:val="7"/>
    </w:pPr>
    <w:rPr>
      <w:rFonts w:ascii="微软雅黑" w:hAnsi="微软雅黑" w:cstheme="majorBidi"/>
      <w:b/>
      <w:bCs/>
      <w:sz w:val="24"/>
    </w:rPr>
  </w:style>
  <w:style w:type="paragraph" w:styleId="12">
    <w:name w:val="heading 9"/>
    <w:basedOn w:val="1"/>
    <w:next w:val="7"/>
    <w:unhideWhenUsed/>
    <w:qFormat/>
    <w:uiPriority w:val="0"/>
    <w:pPr>
      <w:numPr>
        <w:ilvl w:val="8"/>
        <w:numId w:val="1"/>
      </w:numPr>
      <w:spacing w:before="50" w:beforeLines="50" w:after="20" w:afterLines="20" w:line="288" w:lineRule="auto"/>
      <w:ind w:left="0" w:firstLine="0"/>
      <w:outlineLvl w:val="8"/>
    </w:pPr>
    <w:rPr>
      <w:rFonts w:ascii="微软雅黑" w:hAnsi="微软雅黑" w:cstheme="majorBidi"/>
      <w:b/>
      <w:bCs/>
      <w:sz w:val="24"/>
      <w:szCs w:val="24"/>
    </w:rPr>
  </w:style>
  <w:style w:type="character" w:default="1" w:styleId="28">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7">
    <w:name w:val="Body Text"/>
    <w:basedOn w:val="1"/>
    <w:next w:val="8"/>
    <w:qFormat/>
    <w:uiPriority w:val="0"/>
    <w:pPr>
      <w:spacing w:after="20" w:afterLines="20" w:afterAutospacing="0" w:line="288" w:lineRule="auto"/>
      <w:ind w:firstLine="0" w:firstLineChars="0"/>
    </w:pPr>
    <w:rPr>
      <w:rFonts w:ascii="微软雅黑" w:hAnsi="微软雅黑"/>
      <w:szCs w:val="21"/>
    </w:rPr>
  </w:style>
  <w:style w:type="paragraph" w:styleId="8">
    <w:name w:val="Plain Text"/>
    <w:basedOn w:val="1"/>
    <w:qFormat/>
    <w:uiPriority w:val="0"/>
    <w:rPr>
      <w:rFonts w:ascii="宋体" w:hAnsi="Courier New"/>
    </w:rPr>
  </w:style>
  <w:style w:type="paragraph" w:styleId="13">
    <w:name w:val="caption"/>
    <w:basedOn w:val="1"/>
    <w:next w:val="1"/>
    <w:unhideWhenUsed/>
    <w:qFormat/>
    <w:uiPriority w:val="0"/>
    <w:pPr>
      <w:ind w:firstLine="0" w:firstLineChars="0"/>
    </w:pPr>
    <w:rPr>
      <w:rFonts w:ascii="微软雅黑" w:hAnsi="微软雅黑" w:cs="Times New Roman"/>
      <w:sz w:val="20"/>
      <w:szCs w:val="20"/>
    </w:rPr>
  </w:style>
  <w:style w:type="paragraph" w:styleId="14">
    <w:name w:val="annotation text"/>
    <w:basedOn w:val="1"/>
    <w:qFormat/>
    <w:uiPriority w:val="0"/>
    <w:pPr>
      <w:jc w:val="lef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5">
    <w:name w:val="Salutation"/>
    <w:basedOn w:val="1"/>
    <w:next w:val="1"/>
    <w:qFormat/>
    <w:uiPriority w:val="0"/>
    <w:pPr>
      <w:ind w:firstLine="0" w:firstLineChars="0"/>
    </w:pPr>
    <w:rPr>
      <w:rFonts w:ascii="微软雅黑" w:hAnsi="微软雅黑"/>
      <w:szCs w:val="21"/>
    </w:rPr>
  </w:style>
  <w:style w:type="paragraph" w:styleId="16">
    <w:name w:val="Date"/>
    <w:basedOn w:val="1"/>
    <w:next w:val="1"/>
    <w:qFormat/>
    <w:uiPriority w:val="0"/>
    <w:pPr>
      <w:ind w:firstLine="0" w:firstLineChars="0"/>
      <w:jc w:val="righ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7">
    <w:name w:val="endnote text"/>
    <w:basedOn w:val="1"/>
    <w:qFormat/>
    <w:uiPriority w:val="0"/>
    <w:pPr>
      <w:jc w:val="lef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8">
    <w:name w:val="Balloon Text"/>
    <w:basedOn w:val="1"/>
    <w:qFormat/>
    <w:uiPriority w:val="0"/>
    <w:rPr>
      <w:rFonts w:ascii="微软雅黑" w:hAnsi="微软雅黑"/>
      <w:sz w:val="18"/>
      <w:szCs w:val="18"/>
    </w:rPr>
  </w:style>
  <w:style w:type="paragraph" w:styleId="19">
    <w:name w:val="footer"/>
    <w:basedOn w:val="1"/>
    <w:qFormat/>
    <w:uiPriority w:val="0"/>
    <w:pPr>
      <w:tabs>
        <w:tab w:val="center" w:pos="4153"/>
        <w:tab w:val="right" w:pos="8306"/>
      </w:tabs>
      <w:ind w:firstLine="0" w:firstLineChars="0"/>
      <w:jc w:val="left"/>
    </w:pPr>
    <w:rPr>
      <w:rFonts w:ascii="微软雅黑" w:hAnsi="微软雅黑"/>
      <w:sz w:val="18"/>
      <w:szCs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pPr>
    <w:rPr>
      <w:rFonts w:ascii="微软雅黑" w:hAnsi="微软雅黑"/>
      <w:sz w:val="18"/>
      <w:szCs w:val="18"/>
    </w:rPr>
  </w:style>
  <w:style w:type="paragraph" w:styleId="21">
    <w:name w:val="Signature"/>
    <w:basedOn w:val="1"/>
    <w:qFormat/>
    <w:uiPriority w:val="0"/>
    <w:pPr>
      <w:ind w:firstLine="0" w:firstLineChars="0"/>
      <w:jc w:val="righ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22">
    <w:name w:val="Subtitle"/>
    <w:basedOn w:val="1"/>
    <w:next w:val="7"/>
    <w:qFormat/>
    <w:uiPriority w:val="0"/>
    <w:pPr>
      <w:spacing w:beforeLines="0" w:beforeAutospacing="0" w:after="100" w:afterLines="100" w:afterAutospacing="0" w:line="240" w:lineRule="auto"/>
      <w:jc w:val="center"/>
      <w:outlineLvl w:val="9"/>
    </w:pPr>
    <w:rPr>
      <w:rFonts w:ascii="微软雅黑" w:hAnsi="微软雅黑"/>
      <w:b/>
      <w:bCs/>
      <w:kern w:val="28"/>
      <w:sz w:val="36"/>
      <w:szCs w:val="36"/>
    </w:rPr>
  </w:style>
  <w:style w:type="paragraph" w:styleId="23">
    <w:name w:val="footnote text"/>
    <w:basedOn w:val="1"/>
    <w:qFormat/>
    <w:uiPriority w:val="0"/>
    <w:pPr>
      <w:jc w:val="left"/>
    </w:pPr>
    <w:rPr>
      <w:rFonts w:ascii="微软雅黑" w:hAnsi="微软雅黑" w:eastAsia="微软雅黑"/>
      <w:sz w:val="24"/>
    </w:rPr>
  </w:style>
  <w:style w:type="paragraph" w:styleId="24">
    <w:name w:val="Normal (Web)"/>
    <w:basedOn w:val="1"/>
    <w:qFormat/>
    <w:uiPriority w:val="0"/>
    <w:rPr>
      <w:rFonts w:ascii="微软雅黑" w:hAnsi="微软雅黑"/>
      <w:sz w:val="24"/>
    </w:rPr>
  </w:style>
  <w:style w:type="paragraph" w:styleId="25">
    <w:name w:val="Title"/>
    <w:basedOn w:val="1"/>
    <w:qFormat/>
    <w:uiPriority w:val="10"/>
    <w:pPr>
      <w:spacing w:after="100" w:afterLines="100" w:line="288" w:lineRule="auto"/>
      <w:jc w:val="center"/>
      <w:outlineLvl w:val="9"/>
    </w:pPr>
    <w:rPr>
      <w:rFonts w:ascii="微软雅黑" w:hAnsi="微软雅黑"/>
      <w:b/>
      <w:bCs/>
      <w:sz w:val="48"/>
      <w:szCs w:val="48"/>
    </w:rPr>
  </w:style>
  <w:style w:type="paragraph" w:styleId="26">
    <w:name w:val="annotation subject"/>
    <w:basedOn w:val="14"/>
    <w:next w:val="14"/>
    <w:qFormat/>
    <w:uiPriority w:val="0"/>
    <w:rPr>
      <w:b/>
      <w:bCs/>
    </w:rPr>
  </w:style>
  <w:style w:type="character" w:styleId="29">
    <w:name w:val="Strong"/>
    <w:basedOn w:val="28"/>
    <w:qFormat/>
    <w:uiPriority w:val="22"/>
    <w:rPr>
      <w:rFonts w:ascii="微软雅黑" w:hAnsi="微软雅黑" w:eastAsia="微软雅黑"/>
      <w:b/>
      <w:color w:val="auto"/>
      <w:u w:val="single"/>
    </w:rPr>
  </w:style>
  <w:style w:type="character" w:styleId="30">
    <w:name w:val="endnote reference"/>
    <w:basedOn w:val="28"/>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character" w:styleId="31">
    <w:name w:val="page number"/>
    <w:qFormat/>
    <w:uiPriority w:val="0"/>
    <w:rPr>
      <w:rFonts w:ascii="微软雅黑" w:hAnsi="微软雅黑" w:eastAsia="微软雅黑" w:cs="Times New Roman"/>
      <w:color w:val="262626" w:themeColor="text1" w:themeTint="D9"/>
      <w:spacing w:val="-6"/>
      <w:kern w:val="2"/>
      <w:sz w:val="21"/>
      <w:szCs w:val="21"/>
      <w:lang w:val="en-US" w:eastAsia="zh-CN" w:bidi="ar-SA"/>
      <w14:textFill>
        <w14:solidFill>
          <w14:schemeClr w14:val="tx1">
            <w14:lumMod w14:val="85000"/>
            <w14:lumOff w14:val="15000"/>
          </w14:schemeClr>
        </w14:solidFill>
      </w14:textFill>
    </w:rPr>
  </w:style>
  <w:style w:type="character" w:styleId="32">
    <w:name w:val="FollowedHyperlink"/>
    <w:basedOn w:val="28"/>
    <w:qFormat/>
    <w:uiPriority w:val="0"/>
    <w:rPr>
      <w:rFonts w:ascii="微软雅黑" w:hAnsi="微软雅黑" w:eastAsia="微软雅黑" w:cs="Times New Roman"/>
      <w:color w:val="800080"/>
      <w:spacing w:val="-6"/>
      <w:kern w:val="2"/>
      <w:sz w:val="24"/>
      <w:szCs w:val="24"/>
      <w:u w:val="single"/>
      <w:lang w:val="en-US" w:eastAsia="zh-CN" w:bidi="ar-SA"/>
    </w:rPr>
  </w:style>
  <w:style w:type="character" w:styleId="33">
    <w:name w:val="Emphasis"/>
    <w:basedOn w:val="28"/>
    <w:qFormat/>
    <w:uiPriority w:val="20"/>
    <w:rPr>
      <w:rFonts w:ascii="Arial" w:hAnsi="Arial" w:eastAsia="微软雅黑"/>
      <w:b/>
      <w:bCs/>
      <w:i/>
      <w:color w:val="auto"/>
      <w:sz w:val="24"/>
      <w:szCs w:val="22"/>
    </w:rPr>
  </w:style>
  <w:style w:type="character" w:styleId="34">
    <w:name w:val="Hyperlink"/>
    <w:basedOn w:val="28"/>
    <w:qFormat/>
    <w:uiPriority w:val="0"/>
    <w:rPr>
      <w:rFonts w:ascii="微软雅黑" w:hAnsi="微软雅黑" w:eastAsia="微软雅黑" w:cs="Times New Roman"/>
      <w:caps/>
      <w:color w:val="0000FF"/>
      <w:spacing w:val="-6"/>
      <w:kern w:val="2"/>
      <w:sz w:val="24"/>
      <w:szCs w:val="24"/>
      <w:u w:val="single"/>
      <w:lang w:val="en-US" w:eastAsia="zh-CN" w:bidi="ar-SA"/>
    </w:rPr>
  </w:style>
  <w:style w:type="character" w:styleId="35">
    <w:name w:val="annotation reference"/>
    <w:basedOn w:val="28"/>
    <w:qFormat/>
    <w:uiPriority w:val="0"/>
    <w:rPr>
      <w:rFonts w:ascii="微软雅黑" w:hAnsi="微软雅黑" w:eastAsia="微软雅黑"/>
      <w:color w:val="262626" w:themeColor="text1" w:themeTint="D9"/>
      <w:sz w:val="21"/>
      <w:szCs w:val="21"/>
      <w14:textFill>
        <w14:solidFill>
          <w14:schemeClr w14:val="tx1">
            <w14:lumMod w14:val="85000"/>
            <w14:lumOff w14:val="15000"/>
          </w14:schemeClr>
        </w14:solidFill>
      </w14:textFill>
    </w:rPr>
  </w:style>
  <w:style w:type="character" w:styleId="36">
    <w:name w:val="footnote reference"/>
    <w:basedOn w:val="28"/>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character" w:customStyle="1" w:styleId="37">
    <w:name w:val="font91"/>
    <w:basedOn w:val="28"/>
    <w:qFormat/>
    <w:uiPriority w:val="0"/>
    <w:rPr>
      <w:rFonts w:hint="eastAsia" w:ascii="宋体" w:hAnsi="宋体" w:eastAsia="宋体" w:cs="宋体"/>
      <w:color w:val="000000"/>
      <w:sz w:val="16"/>
      <w:szCs w:val="16"/>
      <w:u w:val="none"/>
    </w:rPr>
  </w:style>
  <w:style w:type="character" w:customStyle="1" w:styleId="38">
    <w:name w:val="font101"/>
    <w:basedOn w:val="28"/>
    <w:qFormat/>
    <w:uiPriority w:val="0"/>
    <w:rPr>
      <w:rFonts w:hint="default" w:ascii="Times New Roman" w:hAnsi="Times New Roman" w:cs="Times New Roman"/>
      <w:color w:val="000000"/>
      <w:sz w:val="16"/>
      <w:szCs w:val="16"/>
      <w:u w:val="none"/>
    </w:rPr>
  </w:style>
  <w:style w:type="character" w:customStyle="1" w:styleId="39">
    <w:name w:val="font41"/>
    <w:basedOn w:val="28"/>
    <w:qFormat/>
    <w:uiPriority w:val="0"/>
    <w:rPr>
      <w:rFonts w:hint="eastAsia" w:ascii="宋体" w:hAnsi="宋体" w:eastAsia="宋体" w:cs="宋体"/>
      <w:color w:val="000000"/>
      <w:sz w:val="18"/>
      <w:szCs w:val="18"/>
      <w:u w:val="none"/>
    </w:rPr>
  </w:style>
  <w:style w:type="character" w:customStyle="1" w:styleId="40">
    <w:name w:val="font112"/>
    <w:basedOn w:val="28"/>
    <w:qFormat/>
    <w:uiPriority w:val="0"/>
    <w:rPr>
      <w:rFonts w:hint="eastAsia" w:ascii="宋体" w:hAnsi="宋体" w:eastAsia="宋体" w:cs="宋体"/>
      <w:color w:val="000000"/>
      <w:sz w:val="14"/>
      <w:szCs w:val="14"/>
      <w:u w:val="none"/>
    </w:rPr>
  </w:style>
  <w:style w:type="character" w:customStyle="1" w:styleId="41">
    <w:name w:val="font21"/>
    <w:basedOn w:val="28"/>
    <w:qFormat/>
    <w:uiPriority w:val="0"/>
    <w:rPr>
      <w:rFonts w:hint="eastAsia" w:ascii="宋体" w:hAnsi="宋体" w:eastAsia="宋体" w:cs="宋体"/>
      <w:color w:val="000000"/>
      <w:sz w:val="18"/>
      <w:szCs w:val="18"/>
      <w:u w:val="none"/>
    </w:rPr>
  </w:style>
  <w:style w:type="character" w:customStyle="1" w:styleId="42">
    <w:name w:val="font31"/>
    <w:basedOn w:val="28"/>
    <w:qFormat/>
    <w:uiPriority w:val="0"/>
    <w:rPr>
      <w:rFonts w:hint="default" w:ascii="Times New Roman" w:hAnsi="Times New Roman" w:cs="Times New Roman"/>
      <w:color w:val="000000"/>
      <w:sz w:val="18"/>
      <w:szCs w:val="18"/>
      <w:u w:val="none"/>
    </w:rPr>
  </w:style>
  <w:style w:type="character" w:customStyle="1" w:styleId="43">
    <w:name w:val="font11"/>
    <w:basedOn w:val="28"/>
    <w:qFormat/>
    <w:uiPriority w:val="0"/>
    <w:rPr>
      <w:rFonts w:hint="default" w:ascii="Times New Roman" w:hAnsi="Times New Roman" w:cs="Times New Roman"/>
      <w:color w:val="000000"/>
      <w:sz w:val="18"/>
      <w:szCs w:val="18"/>
      <w:u w:val="none"/>
    </w:rPr>
  </w:style>
  <w:style w:type="character" w:customStyle="1" w:styleId="44">
    <w:name w:val="font81"/>
    <w:basedOn w:val="28"/>
    <w:qFormat/>
    <w:uiPriority w:val="0"/>
    <w:rPr>
      <w:rFonts w:hint="eastAsia" w:ascii="宋体" w:hAnsi="宋体" w:eastAsia="宋体" w:cs="宋体"/>
      <w:color w:val="000000"/>
      <w:sz w:val="18"/>
      <w:szCs w:val="18"/>
      <w:u w:val="none"/>
    </w:rPr>
  </w:style>
  <w:style w:type="character" w:customStyle="1" w:styleId="45">
    <w:name w:val="font71"/>
    <w:basedOn w:val="28"/>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4858</Words>
  <Characters>5360</Characters>
  <Lines>0</Lines>
  <Paragraphs>0</Paragraphs>
  <TotalTime>0</TotalTime>
  <ScaleCrop>false</ScaleCrop>
  <LinksUpToDate>false</LinksUpToDate>
  <CharactersWithSpaces>5460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梦追人</cp:lastModifiedBy>
  <cp:lastPrinted>2026-01-13T08:37:00Z</cp:lastPrinted>
  <dcterms:modified xsi:type="dcterms:W3CDTF">2026-09-08T01:12:53Z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eyJoZGlkIjoiOTlhNDc2MWFiNjFlZWVhNTNmZDRkZTM0YWU4MWYxNzUiLCJ1c2VySWQiOiI1MDkyNzAzMjcifQ==</vt:lpwstr>
  </property>
  <property fmtid="{D5CDD505-2E9C-101B-9397-08002B2CF9AE}" pid="4" name="ICV">
    <vt:lpwstr>AC08B15DEC824E5996F0D7D741009FFB_12</vt:lpwstr>
  </property>
</Properties>
</file>