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DF462">
      <w:pPr>
        <w:pStyle w:val="2"/>
        <w:rPr>
          <w:rFonts w:ascii="方正小标宋_GBK" w:hAnsi="宋体" w:eastAsia="方正小标宋_GBK" w:cs="宋体"/>
        </w:rPr>
      </w:pPr>
      <w:r>
        <w:rPr>
          <w:rFonts w:hint="eastAsia" w:ascii="方正小标宋_GBK" w:hAnsi="宋体" w:eastAsia="方正小标宋_GBK" w:cs="宋体"/>
        </w:rPr>
        <w:t>镇江海纳川公铁运输有限公司</w:t>
      </w:r>
    </w:p>
    <w:p w14:paraId="172FB0FC">
      <w:pPr>
        <w:pStyle w:val="2"/>
        <w:rPr>
          <w:rFonts w:ascii="方正小标宋_GBK" w:eastAsia="方正小标宋_GBK" w:cs="宋体"/>
        </w:rPr>
      </w:pPr>
      <w:r>
        <w:rPr>
          <w:rFonts w:hint="eastAsia" w:ascii="方正小标宋_GBK" w:hAnsi="宋体" w:eastAsia="方正小标宋_GBK" w:cs="宋体"/>
        </w:rPr>
        <w:t>比选文书</w:t>
      </w:r>
    </w:p>
    <w:p w14:paraId="2738B799">
      <w:pPr>
        <w:spacing w:line="600" w:lineRule="exact"/>
        <w:ind w:firstLine="640" w:firstLineChars="200"/>
        <w:rPr>
          <w:rFonts w:eastAsia="方正仿宋_GBK"/>
          <w:bCs/>
          <w:sz w:val="32"/>
          <w:szCs w:val="32"/>
        </w:rPr>
      </w:pPr>
      <w:r>
        <w:rPr>
          <w:rFonts w:eastAsia="方正仿宋_GBK"/>
          <w:bCs/>
          <w:sz w:val="32"/>
          <w:szCs w:val="32"/>
        </w:rPr>
        <w:t>我公司现</w:t>
      </w:r>
      <w:r>
        <w:rPr>
          <w:rFonts w:eastAsia="方正仿宋_GBK"/>
          <w:bCs/>
          <w:sz w:val="32"/>
          <w:szCs w:val="32"/>
          <w:lang w:val="zh-CN"/>
        </w:rPr>
        <w:t>采用自主公开</w:t>
      </w:r>
      <w:r>
        <w:rPr>
          <w:rFonts w:eastAsia="方正仿宋_GBK"/>
          <w:bCs/>
          <w:sz w:val="32"/>
          <w:szCs w:val="32"/>
        </w:rPr>
        <w:t>采购</w:t>
      </w:r>
      <w:r>
        <w:rPr>
          <w:rFonts w:eastAsia="方正仿宋_GBK"/>
          <w:bCs/>
          <w:sz w:val="32"/>
          <w:szCs w:val="32"/>
          <w:lang w:val="zh-CN"/>
        </w:rPr>
        <w:t>的方式选定供应商，</w:t>
      </w:r>
      <w:r>
        <w:rPr>
          <w:rFonts w:eastAsia="方正仿宋_GBK"/>
          <w:sz w:val="32"/>
          <w:szCs w:val="32"/>
        </w:rPr>
        <w:t>欢迎具有相关资质的厂商前来报价。</w:t>
      </w:r>
    </w:p>
    <w:p w14:paraId="29115A67">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一、采购概况</w:t>
      </w:r>
    </w:p>
    <w:p w14:paraId="6226748F">
      <w:pPr>
        <w:spacing w:line="600" w:lineRule="exact"/>
        <w:ind w:firstLine="640" w:firstLineChars="200"/>
        <w:jc w:val="left"/>
        <w:rPr>
          <w:rFonts w:eastAsia="方正仿宋_GBK"/>
          <w:sz w:val="32"/>
          <w:szCs w:val="32"/>
          <w:u w:val="single"/>
        </w:rPr>
      </w:pPr>
      <w:r>
        <w:rPr>
          <w:rFonts w:eastAsia="方正仿宋_GBK"/>
          <w:sz w:val="32"/>
          <w:szCs w:val="32"/>
        </w:rPr>
        <w:t>（一）</w:t>
      </w:r>
      <w:r>
        <w:rPr>
          <w:rFonts w:eastAsia="方正仿宋_GBK"/>
          <w:bCs/>
          <w:sz w:val="32"/>
          <w:szCs w:val="32"/>
        </w:rPr>
        <w:t>项目名称：</w:t>
      </w:r>
      <w:r>
        <w:rPr>
          <w:rFonts w:hint="eastAsia" w:eastAsia="方正仿宋_GBK"/>
          <w:bCs/>
          <w:sz w:val="32"/>
          <w:szCs w:val="32"/>
          <w:u w:val="single"/>
        </w:rPr>
        <w:t>20260831公铁门吊轨道拆安校正基础找平</w:t>
      </w:r>
      <w:r>
        <w:rPr>
          <w:rFonts w:eastAsia="方正仿宋_GBK"/>
          <w:kern w:val="44"/>
          <w:sz w:val="32"/>
          <w:szCs w:val="32"/>
          <w:u w:val="single"/>
        </w:rPr>
        <w:t>；</w:t>
      </w:r>
    </w:p>
    <w:p w14:paraId="6A26EE73">
      <w:pPr>
        <w:widowControl/>
        <w:spacing w:line="600" w:lineRule="exact"/>
        <w:ind w:firstLine="640" w:firstLineChars="200"/>
        <w:jc w:val="left"/>
        <w:rPr>
          <w:rFonts w:eastAsia="方正仿宋_GBK"/>
          <w:kern w:val="44"/>
          <w:sz w:val="32"/>
          <w:szCs w:val="32"/>
          <w:u w:val="single"/>
        </w:rPr>
      </w:pPr>
      <w:r>
        <w:rPr>
          <w:rFonts w:eastAsia="方正仿宋_GBK"/>
          <w:sz w:val="32"/>
          <w:szCs w:val="32"/>
        </w:rPr>
        <w:t>（二）</w:t>
      </w:r>
      <w:r>
        <w:rPr>
          <w:rFonts w:eastAsia="方正仿宋_GBK"/>
          <w:bCs/>
          <w:sz w:val="32"/>
          <w:szCs w:val="32"/>
        </w:rPr>
        <w:t>交货及施工时间</w:t>
      </w:r>
      <w:r>
        <w:rPr>
          <w:rFonts w:eastAsia="方正仿宋_GBK"/>
          <w:sz w:val="32"/>
          <w:szCs w:val="32"/>
        </w:rPr>
        <w:t>：</w:t>
      </w:r>
      <w:r>
        <w:rPr>
          <w:rFonts w:eastAsia="方正仿宋_GBK"/>
          <w:sz w:val="32"/>
          <w:szCs w:val="32"/>
          <w:u w:val="single"/>
        </w:rPr>
        <w:t>合同签订且采购方具备施工条件</w:t>
      </w:r>
      <w:r>
        <w:rPr>
          <w:rFonts w:eastAsia="方正仿宋_GBK"/>
          <w:color w:val="FF0000"/>
          <w:sz w:val="32"/>
          <w:szCs w:val="32"/>
          <w:u w:val="single"/>
        </w:rPr>
        <w:t>20个</w:t>
      </w:r>
      <w:r>
        <w:rPr>
          <w:rFonts w:hint="eastAsia" w:eastAsia="方正仿宋_GBK"/>
          <w:color w:val="FF0000"/>
          <w:sz w:val="32"/>
          <w:szCs w:val="32"/>
          <w:u w:val="single"/>
        </w:rPr>
        <w:t>自然</w:t>
      </w:r>
      <w:r>
        <w:rPr>
          <w:rFonts w:eastAsia="方正仿宋_GBK"/>
          <w:color w:val="FF0000"/>
          <w:sz w:val="32"/>
          <w:szCs w:val="32"/>
          <w:u w:val="single"/>
        </w:rPr>
        <w:t>日内</w:t>
      </w:r>
      <w:r>
        <w:rPr>
          <w:rFonts w:eastAsia="方正仿宋_GBK"/>
          <w:sz w:val="32"/>
          <w:szCs w:val="32"/>
          <w:u w:val="single"/>
        </w:rPr>
        <w:t>完成</w:t>
      </w:r>
      <w:r>
        <w:rPr>
          <w:rFonts w:eastAsia="方正仿宋_GBK"/>
          <w:kern w:val="44"/>
          <w:sz w:val="32"/>
          <w:szCs w:val="32"/>
          <w:u w:val="single"/>
        </w:rPr>
        <w:t>；</w:t>
      </w:r>
    </w:p>
    <w:p w14:paraId="206C0E15">
      <w:pPr>
        <w:pStyle w:val="2"/>
        <w:ind w:firstLine="640" w:firstLineChars="200"/>
        <w:jc w:val="both"/>
        <w:rPr>
          <w:rFonts w:ascii="Times New Roman" w:hAnsi="Times New Roman" w:eastAsia="方正仿宋_GBK"/>
          <w:sz w:val="28"/>
          <w:szCs w:val="28"/>
          <w:u w:val="single"/>
        </w:rPr>
      </w:pPr>
      <w:r>
        <w:rPr>
          <w:rFonts w:ascii="Times New Roman" w:hAnsi="Times New Roman" w:eastAsia="方正仿宋_GBK"/>
          <w:sz w:val="32"/>
          <w:szCs w:val="32"/>
        </w:rPr>
        <w:t>（三）施工地点：</w:t>
      </w:r>
      <w:r>
        <w:rPr>
          <w:rFonts w:hint="eastAsia" w:ascii="Times New Roman" w:hAnsi="Times New Roman" w:eastAsia="方正仿宋_GBK"/>
          <w:sz w:val="32"/>
          <w:szCs w:val="32"/>
          <w:u w:val="single"/>
        </w:rPr>
        <w:t>公铁运输</w:t>
      </w:r>
      <w:r>
        <w:rPr>
          <w:rFonts w:ascii="Times New Roman" w:hAnsi="Times New Roman" w:eastAsia="方正仿宋_GBK"/>
          <w:sz w:val="32"/>
          <w:szCs w:val="32"/>
          <w:u w:val="single"/>
        </w:rPr>
        <w:t>；</w:t>
      </w:r>
    </w:p>
    <w:p w14:paraId="09500A87">
      <w:pPr>
        <w:spacing w:line="600" w:lineRule="exact"/>
        <w:ind w:firstLine="640" w:firstLineChars="200"/>
        <w:jc w:val="left"/>
        <w:rPr>
          <w:rFonts w:eastAsia="方正仿宋_GBK"/>
          <w:sz w:val="32"/>
          <w:szCs w:val="32"/>
        </w:rPr>
      </w:pPr>
      <w:r>
        <w:rPr>
          <w:rFonts w:eastAsia="方正仿宋_GBK"/>
          <w:sz w:val="32"/>
          <w:szCs w:val="32"/>
        </w:rPr>
        <w:t>（四）报价截止时间：</w:t>
      </w:r>
      <w:r>
        <w:rPr>
          <w:rFonts w:eastAsia="方正仿宋_GBK"/>
          <w:bCs/>
          <w:sz w:val="32"/>
          <w:szCs w:val="32"/>
          <w:u w:val="single"/>
        </w:rPr>
        <w:t xml:space="preserve"> </w:t>
      </w:r>
      <w:r>
        <w:rPr>
          <w:rFonts w:hint="eastAsia" w:ascii="方正仿宋_GBK" w:hAnsi="方正仿宋_GBK" w:eastAsia="方正仿宋_GBK" w:cs="方正仿宋_GBK"/>
          <w:bCs/>
          <w:sz w:val="32"/>
          <w:szCs w:val="32"/>
          <w:u w:val="single"/>
          <w:lang w:val="en-US" w:eastAsia="zh-CN"/>
        </w:rPr>
        <w:t>2026年9月17日上午10:40</w:t>
      </w:r>
      <w:r>
        <w:rPr>
          <w:rFonts w:eastAsia="方正仿宋_GBK"/>
          <w:kern w:val="44"/>
          <w:sz w:val="32"/>
          <w:szCs w:val="32"/>
          <w:u w:val="single"/>
        </w:rPr>
        <w:t>；</w:t>
      </w:r>
    </w:p>
    <w:p w14:paraId="052B23F1">
      <w:pPr>
        <w:spacing w:line="600" w:lineRule="exact"/>
        <w:ind w:firstLine="640" w:firstLineChars="200"/>
        <w:jc w:val="left"/>
        <w:rPr>
          <w:rFonts w:eastAsia="方正仿宋_GBK"/>
          <w:sz w:val="32"/>
          <w:szCs w:val="32"/>
        </w:rPr>
      </w:pPr>
      <w:r>
        <w:rPr>
          <w:rFonts w:eastAsia="方正仿宋_GBK"/>
          <w:sz w:val="32"/>
          <w:szCs w:val="32"/>
        </w:rPr>
        <w:t>（五）评审时间：</w:t>
      </w:r>
      <w:r>
        <w:rPr>
          <w:rFonts w:hint="eastAsia" w:ascii="方正仿宋_GBK" w:hAnsi="方正仿宋_GBK" w:eastAsia="方正仿宋_GBK" w:cs="方正仿宋_GBK"/>
          <w:bCs/>
          <w:sz w:val="32"/>
          <w:szCs w:val="32"/>
          <w:u w:val="single"/>
          <w:lang w:val="en-US" w:eastAsia="zh-CN"/>
        </w:rPr>
        <w:t>2026年9月17日上午10:40</w:t>
      </w:r>
      <w:r>
        <w:rPr>
          <w:rFonts w:eastAsia="方正仿宋_GBK"/>
          <w:kern w:val="44"/>
          <w:sz w:val="32"/>
          <w:szCs w:val="32"/>
          <w:u w:val="single"/>
        </w:rPr>
        <w:t>；</w:t>
      </w:r>
    </w:p>
    <w:p w14:paraId="1F040BA7">
      <w:pPr>
        <w:spacing w:line="600" w:lineRule="exact"/>
        <w:ind w:firstLine="640" w:firstLineChars="200"/>
        <w:jc w:val="left"/>
        <w:rPr>
          <w:rFonts w:eastAsia="方正仿宋_GBK"/>
          <w:sz w:val="32"/>
          <w:szCs w:val="32"/>
        </w:rPr>
      </w:pPr>
      <w:r>
        <w:rPr>
          <w:rFonts w:eastAsia="方正仿宋_GBK"/>
          <w:sz w:val="32"/>
          <w:szCs w:val="32"/>
        </w:rPr>
        <w:t>（六）评审地点：</w:t>
      </w:r>
      <w:r>
        <w:rPr>
          <w:rFonts w:eastAsia="方正仿宋_GBK"/>
          <w:sz w:val="32"/>
          <w:szCs w:val="32"/>
          <w:u w:val="single"/>
        </w:rPr>
        <w:t>镇江海纳川物流产业发展有限责任公</w:t>
      </w:r>
      <w:bookmarkStart w:id="4" w:name="_GoBack"/>
      <w:bookmarkEnd w:id="4"/>
      <w:r>
        <w:rPr>
          <w:rFonts w:eastAsia="方正仿宋_GBK"/>
          <w:sz w:val="32"/>
          <w:szCs w:val="32"/>
          <w:u w:val="single"/>
        </w:rPr>
        <w:t>司210</w:t>
      </w:r>
      <w:r>
        <w:rPr>
          <w:rFonts w:eastAsia="方正仿宋_GBK"/>
          <w:sz w:val="32"/>
          <w:szCs w:val="32"/>
        </w:rPr>
        <w:t>；</w:t>
      </w:r>
    </w:p>
    <w:p w14:paraId="5C7339FC">
      <w:pPr>
        <w:pStyle w:val="7"/>
        <w:spacing w:after="0" w:line="600" w:lineRule="exact"/>
        <w:ind w:firstLine="640" w:firstLineChars="200"/>
        <w:rPr>
          <w:rFonts w:eastAsia="方正仿宋_GBK"/>
          <w:sz w:val="32"/>
          <w:szCs w:val="32"/>
        </w:rPr>
      </w:pPr>
      <w:r>
        <w:rPr>
          <w:rFonts w:eastAsia="方正仿宋_GBK"/>
          <w:sz w:val="32"/>
          <w:szCs w:val="32"/>
        </w:rPr>
        <w:t>（七）中选公示：中选信息将于评审后在江苏索普集团官网公示，请各报价人登录</w:t>
      </w:r>
      <w:r>
        <w:rPr>
          <w:rFonts w:eastAsia="方正仿宋_GBK"/>
          <w:bCs/>
          <w:sz w:val="32"/>
          <w:szCs w:val="32"/>
        </w:rPr>
        <w:t>http://www.sopo.com.cn/</w:t>
      </w:r>
      <w:r>
        <w:rPr>
          <w:rFonts w:eastAsia="方正仿宋_GBK"/>
          <w:sz w:val="32"/>
          <w:szCs w:val="32"/>
        </w:rPr>
        <w:t>查询。</w:t>
      </w:r>
    </w:p>
    <w:p w14:paraId="51084149">
      <w:pPr>
        <w:wordWrap w:val="0"/>
        <w:ind w:firstLine="640" w:firstLineChars="200"/>
        <w:jc w:val="left"/>
        <w:rPr>
          <w:rFonts w:ascii="方正黑体_GBK" w:eastAsia="方正黑体_GBK"/>
          <w:sz w:val="32"/>
          <w:szCs w:val="32"/>
        </w:rPr>
      </w:pPr>
      <w:r>
        <w:rPr>
          <w:rFonts w:hint="eastAsia" w:ascii="方正黑体_GBK" w:eastAsia="方正黑体_GBK"/>
          <w:sz w:val="32"/>
          <w:szCs w:val="32"/>
        </w:rPr>
        <w:t>二、采购内容</w:t>
      </w:r>
    </w:p>
    <w:p w14:paraId="55E7BD69">
      <w:pPr>
        <w:adjustRightInd w:val="0"/>
        <w:snapToGrid w:val="0"/>
        <w:spacing w:line="600" w:lineRule="exact"/>
        <w:ind w:firstLine="640" w:firstLineChars="200"/>
        <w:rPr>
          <w:rFonts w:eastAsia="方正仿宋_GBK"/>
          <w:bCs/>
          <w:kern w:val="1"/>
          <w:sz w:val="32"/>
          <w:szCs w:val="32"/>
        </w:rPr>
      </w:pPr>
      <w:r>
        <w:rPr>
          <w:rFonts w:eastAsia="方正仿宋_GBK"/>
          <w:sz w:val="32"/>
          <w:szCs w:val="32"/>
        </w:rPr>
        <w:t>（一）标的物内容</w:t>
      </w:r>
      <w:r>
        <w:rPr>
          <w:rFonts w:eastAsia="方正仿宋_GBK"/>
          <w:bCs/>
          <w:kern w:val="1"/>
          <w:sz w:val="32"/>
          <w:szCs w:val="32"/>
        </w:rPr>
        <w:t xml:space="preserve"> </w:t>
      </w:r>
    </w:p>
    <w:p w14:paraId="007A0854">
      <w:pPr>
        <w:spacing w:line="600" w:lineRule="exact"/>
        <w:ind w:firstLine="640" w:firstLineChars="200"/>
        <w:jc w:val="left"/>
        <w:rPr>
          <w:rFonts w:eastAsia="方正仿宋_GBK"/>
          <w:bCs/>
          <w:sz w:val="32"/>
          <w:szCs w:val="32"/>
        </w:rPr>
      </w:pPr>
      <w:r>
        <w:rPr>
          <w:rFonts w:hint="eastAsia" w:eastAsia="方正仿宋_GBK"/>
          <w:bCs/>
          <w:sz w:val="32"/>
          <w:szCs w:val="32"/>
        </w:rPr>
        <w:t>公铁门吊轨道拆安校正基础找平</w:t>
      </w:r>
    </w:p>
    <w:p w14:paraId="75FB7B0E">
      <w:pPr>
        <w:spacing w:line="600" w:lineRule="exact"/>
        <w:ind w:firstLine="640" w:firstLineChars="200"/>
        <w:jc w:val="left"/>
        <w:rPr>
          <w:rFonts w:eastAsia="方正仿宋_GBK"/>
          <w:sz w:val="32"/>
          <w:szCs w:val="32"/>
        </w:rPr>
      </w:pPr>
      <w:r>
        <w:rPr>
          <w:rFonts w:eastAsia="方正仿宋_GBK"/>
          <w:sz w:val="32"/>
          <w:szCs w:val="32"/>
        </w:rPr>
        <w:t>（二）</w:t>
      </w:r>
      <w:r>
        <w:rPr>
          <w:rFonts w:eastAsia="方正仿宋_GBK"/>
          <w:kern w:val="1"/>
          <w:sz w:val="32"/>
          <w:szCs w:val="32"/>
        </w:rPr>
        <w:t>技术要求</w:t>
      </w:r>
    </w:p>
    <w:p w14:paraId="6B00C5DF">
      <w:pPr>
        <w:pStyle w:val="13"/>
        <w:widowControl/>
        <w:shd w:val="clear" w:color="auto" w:fill="FFFFFF"/>
        <w:spacing w:line="600" w:lineRule="exact"/>
        <w:ind w:firstLine="640" w:firstLineChars="200"/>
        <w:rPr>
          <w:rFonts w:hint="default" w:ascii="Times New Roman" w:hAnsi="Times New Roman" w:eastAsia="方正仿宋_GBK"/>
          <w:bCs/>
          <w:sz w:val="32"/>
          <w:szCs w:val="32"/>
        </w:rPr>
      </w:pPr>
      <w:r>
        <w:rPr>
          <w:rFonts w:hint="default" w:ascii="Times New Roman" w:hAnsi="Times New Roman" w:eastAsia="方正仿宋_GBK"/>
          <w:bCs/>
          <w:sz w:val="32"/>
          <w:szCs w:val="32"/>
        </w:rPr>
        <w:t>1.</w:t>
      </w:r>
      <w:r>
        <w:rPr>
          <w:rFonts w:eastAsia="方正仿宋_GBK"/>
          <w:bCs/>
          <w:sz w:val="32"/>
          <w:szCs w:val="32"/>
        </w:rPr>
        <w:t xml:space="preserve"> 公铁门吊轨道拆安校正基础找平</w:t>
      </w:r>
      <w:r>
        <w:rPr>
          <w:rFonts w:hint="default" w:ascii="Times New Roman" w:hAnsi="Times New Roman" w:eastAsia="方正仿宋_GBK"/>
          <w:bCs/>
          <w:sz w:val="32"/>
          <w:szCs w:val="32"/>
        </w:rPr>
        <w:t>：</w:t>
      </w:r>
    </w:p>
    <w:p w14:paraId="6F01ABC4">
      <w:pPr>
        <w:adjustRightInd w:val="0"/>
        <w:snapToGrid w:val="0"/>
        <w:spacing w:line="600" w:lineRule="exact"/>
        <w:ind w:firstLine="640" w:firstLineChars="200"/>
        <w:rPr>
          <w:rFonts w:eastAsia="方正仿宋_GBK"/>
          <w:sz w:val="32"/>
          <w:szCs w:val="32"/>
        </w:rPr>
      </w:pPr>
      <w:r>
        <w:rPr>
          <w:rFonts w:hint="eastAsia" w:eastAsia="方正仿宋_GBK"/>
          <w:sz w:val="32"/>
          <w:szCs w:val="32"/>
        </w:rPr>
        <w:t>（1）</w:t>
      </w:r>
      <w:r>
        <w:rPr>
          <w:rFonts w:eastAsia="方正仿宋_GBK"/>
          <w:sz w:val="32"/>
          <w:szCs w:val="32"/>
        </w:rPr>
        <w:t>拆除门吊P50钢轨280m（材料利旧）</w:t>
      </w:r>
      <w:r>
        <w:rPr>
          <w:rFonts w:hint="eastAsia" w:eastAsia="方正仿宋_GBK"/>
          <w:sz w:val="32"/>
          <w:szCs w:val="32"/>
        </w:rPr>
        <w:t>；</w:t>
      </w:r>
    </w:p>
    <w:p w14:paraId="0A72066E">
      <w:pPr>
        <w:adjustRightInd w:val="0"/>
        <w:snapToGrid w:val="0"/>
        <w:spacing w:line="600" w:lineRule="exact"/>
        <w:ind w:firstLine="640" w:firstLineChars="200"/>
        <w:rPr>
          <w:rFonts w:eastAsia="方正仿宋_GBK"/>
          <w:sz w:val="32"/>
          <w:szCs w:val="32"/>
        </w:rPr>
      </w:pPr>
      <w:r>
        <w:rPr>
          <w:rFonts w:hint="eastAsia" w:eastAsia="方正仿宋_GBK"/>
          <w:sz w:val="32"/>
          <w:szCs w:val="32"/>
        </w:rPr>
        <w:t>（2）</w:t>
      </w:r>
      <w:r>
        <w:rPr>
          <w:rFonts w:eastAsia="方正仿宋_GBK"/>
          <w:sz w:val="32"/>
          <w:szCs w:val="32"/>
        </w:rPr>
        <w:t>凿除预埋钢板下方破损混凝土，用无收缩灌浆料找平安装钢轨预埋件—340*360*12mm=470块（乙供材）</w:t>
      </w:r>
      <w:r>
        <w:rPr>
          <w:rFonts w:hint="eastAsia" w:eastAsia="方正仿宋_GBK"/>
          <w:sz w:val="32"/>
          <w:szCs w:val="32"/>
        </w:rPr>
        <w:t>；</w:t>
      </w:r>
    </w:p>
    <w:p w14:paraId="451AB18F">
      <w:pPr>
        <w:adjustRightInd w:val="0"/>
        <w:snapToGrid w:val="0"/>
        <w:spacing w:line="600" w:lineRule="exact"/>
        <w:ind w:firstLine="640" w:firstLineChars="200"/>
        <w:rPr>
          <w:rFonts w:eastAsia="方正仿宋_GBK"/>
          <w:sz w:val="32"/>
          <w:szCs w:val="32"/>
        </w:rPr>
      </w:pPr>
      <w:r>
        <w:rPr>
          <w:rFonts w:hint="eastAsia" w:eastAsia="方正仿宋_GBK"/>
          <w:sz w:val="32"/>
          <w:szCs w:val="32"/>
        </w:rPr>
        <w:t>（3）</w:t>
      </w:r>
      <w:r>
        <w:rPr>
          <w:rFonts w:eastAsia="方正仿宋_GBK"/>
          <w:sz w:val="32"/>
          <w:szCs w:val="32"/>
        </w:rPr>
        <w:t>安装钢轨垫板—120*450*10mm=470块（乙供材）</w:t>
      </w:r>
      <w:r>
        <w:rPr>
          <w:rFonts w:hint="eastAsia" w:eastAsia="方正仿宋_GBK"/>
          <w:sz w:val="32"/>
          <w:szCs w:val="32"/>
        </w:rPr>
        <w:t>；</w:t>
      </w:r>
    </w:p>
    <w:p w14:paraId="1E686C71">
      <w:pPr>
        <w:adjustRightInd w:val="0"/>
        <w:snapToGrid w:val="0"/>
        <w:spacing w:line="600" w:lineRule="exact"/>
        <w:ind w:firstLine="640" w:firstLineChars="200"/>
        <w:rPr>
          <w:rFonts w:eastAsia="方正仿宋_GBK"/>
          <w:sz w:val="32"/>
          <w:szCs w:val="32"/>
        </w:rPr>
      </w:pPr>
      <w:r>
        <w:rPr>
          <w:rFonts w:hint="eastAsia" w:eastAsia="方正仿宋_GBK"/>
          <w:sz w:val="32"/>
          <w:szCs w:val="32"/>
        </w:rPr>
        <w:t>（4）</w:t>
      </w:r>
      <w:r>
        <w:rPr>
          <w:rFonts w:eastAsia="方正仿宋_GBK"/>
          <w:sz w:val="32"/>
          <w:szCs w:val="32"/>
        </w:rPr>
        <w:t>安装钢轨橡胶板—120*180*14mm=470块（乙供材）</w:t>
      </w:r>
      <w:r>
        <w:rPr>
          <w:rFonts w:hint="eastAsia" w:eastAsia="方正仿宋_GBK"/>
          <w:sz w:val="32"/>
          <w:szCs w:val="32"/>
        </w:rPr>
        <w:t>；</w:t>
      </w:r>
    </w:p>
    <w:p w14:paraId="546EABFD">
      <w:pPr>
        <w:adjustRightInd w:val="0"/>
        <w:snapToGrid w:val="0"/>
        <w:spacing w:line="600" w:lineRule="exact"/>
        <w:ind w:firstLine="640" w:firstLineChars="200"/>
        <w:rPr>
          <w:rFonts w:eastAsia="方正仿宋_GBK"/>
          <w:sz w:val="32"/>
          <w:szCs w:val="32"/>
        </w:rPr>
      </w:pPr>
      <w:r>
        <w:rPr>
          <w:rFonts w:hint="eastAsia" w:eastAsia="方正仿宋_GBK"/>
          <w:sz w:val="32"/>
          <w:szCs w:val="32"/>
        </w:rPr>
        <w:t>（5）</w:t>
      </w:r>
      <w:r>
        <w:rPr>
          <w:rFonts w:eastAsia="方正仿宋_GBK"/>
          <w:sz w:val="32"/>
          <w:szCs w:val="32"/>
        </w:rPr>
        <w:t>安装校正门吊P50钢轨280m，钢轨压板940块（材料利旧）</w:t>
      </w:r>
      <w:r>
        <w:rPr>
          <w:rFonts w:hint="eastAsia" w:eastAsia="方正仿宋_GBK"/>
          <w:sz w:val="32"/>
          <w:szCs w:val="32"/>
        </w:rPr>
        <w:t>；</w:t>
      </w:r>
    </w:p>
    <w:p w14:paraId="7705D4E1">
      <w:pPr>
        <w:adjustRightInd w:val="0"/>
        <w:snapToGrid w:val="0"/>
        <w:spacing w:line="600" w:lineRule="exact"/>
        <w:ind w:firstLine="640" w:firstLineChars="200"/>
        <w:rPr>
          <w:rFonts w:eastAsia="方正仿宋_GBK"/>
          <w:sz w:val="32"/>
          <w:szCs w:val="32"/>
        </w:rPr>
      </w:pPr>
      <w:r>
        <w:rPr>
          <w:rFonts w:hint="eastAsia" w:eastAsia="方正仿宋_GBK"/>
          <w:sz w:val="32"/>
          <w:szCs w:val="32"/>
        </w:rPr>
        <w:t>（6）</w:t>
      </w:r>
      <w:r>
        <w:rPr>
          <w:rFonts w:eastAsia="方正仿宋_GBK"/>
          <w:sz w:val="32"/>
          <w:szCs w:val="32"/>
        </w:rPr>
        <w:t>更换M22平垫、弹簧垫片、螺帽940套（乙供材）</w:t>
      </w:r>
      <w:r>
        <w:rPr>
          <w:rFonts w:hint="eastAsia" w:eastAsia="方正仿宋_GBK"/>
          <w:sz w:val="32"/>
          <w:szCs w:val="32"/>
        </w:rPr>
        <w:t>；</w:t>
      </w:r>
    </w:p>
    <w:p w14:paraId="703ED5D3">
      <w:pPr>
        <w:adjustRightInd w:val="0"/>
        <w:snapToGrid w:val="0"/>
        <w:spacing w:line="600" w:lineRule="exact"/>
        <w:ind w:firstLine="640" w:firstLineChars="200"/>
        <w:rPr>
          <w:rFonts w:eastAsia="方正仿宋_GBK"/>
          <w:sz w:val="32"/>
          <w:szCs w:val="32"/>
        </w:rPr>
      </w:pPr>
      <w:r>
        <w:rPr>
          <w:rFonts w:hint="eastAsia" w:eastAsia="方正仿宋_GBK"/>
          <w:sz w:val="32"/>
          <w:szCs w:val="32"/>
        </w:rPr>
        <w:t>（7）</w:t>
      </w:r>
      <w:r>
        <w:rPr>
          <w:rFonts w:eastAsia="方正仿宋_GBK"/>
          <w:sz w:val="32"/>
          <w:szCs w:val="32"/>
        </w:rPr>
        <w:t>钢轨拆装分两次进行，需在中间位置制安临时车挡2只：槽钢12#=12米，钢板δ10=1.5㎡（乙供材）。</w:t>
      </w:r>
    </w:p>
    <w:p w14:paraId="16772298">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2.承包方式：以技术要求为准，工作量</w:t>
      </w:r>
      <w:r>
        <w:rPr>
          <w:rFonts w:hint="default" w:ascii="Times New Roman" w:hAnsi="Times New Roman" w:eastAsia="方正仿宋_GBK"/>
          <w:color w:val="FF0000"/>
          <w:kern w:val="2"/>
          <w:sz w:val="32"/>
          <w:szCs w:val="32"/>
        </w:rPr>
        <w:t>按实结算</w:t>
      </w:r>
      <w:r>
        <w:rPr>
          <w:rFonts w:hint="default" w:ascii="Times New Roman" w:hAnsi="Times New Roman" w:eastAsia="方正仿宋_GBK"/>
          <w:kern w:val="2"/>
          <w:sz w:val="32"/>
          <w:szCs w:val="32"/>
        </w:rPr>
        <w:t>。</w:t>
      </w:r>
    </w:p>
    <w:p w14:paraId="2781801C">
      <w:pPr>
        <w:pStyle w:val="30"/>
        <w:spacing w:line="600" w:lineRule="exact"/>
        <w:ind w:firstLine="640"/>
        <w:rPr>
          <w:rFonts w:eastAsia="方正仿宋_GBK"/>
          <w:color w:val="FF0000"/>
          <w:sz w:val="32"/>
          <w:szCs w:val="32"/>
        </w:rPr>
      </w:pPr>
      <w:r>
        <w:rPr>
          <w:rFonts w:eastAsia="方正仿宋_GBK"/>
          <w:sz w:val="32"/>
          <w:szCs w:val="32"/>
        </w:rPr>
        <w:t>3.</w:t>
      </w:r>
      <w:r>
        <w:rPr>
          <w:rFonts w:eastAsia="方正仿宋_GBK"/>
          <w:color w:val="FF0000"/>
          <w:sz w:val="32"/>
          <w:szCs w:val="32"/>
        </w:rPr>
        <w:t>本项目施工涉及特殊作业，每天须办理、审批危险作业票证（如动火作业等），施工时间原则上只安排在白天工作时段</w:t>
      </w:r>
      <w:r>
        <w:rPr>
          <w:rFonts w:eastAsia="方正仿宋_GBK"/>
          <w:bCs/>
          <w:sz w:val="32"/>
          <w:szCs w:val="32"/>
        </w:rPr>
        <w:t>，</w:t>
      </w:r>
      <w:r>
        <w:rPr>
          <w:rFonts w:eastAsia="方正仿宋_GBK"/>
          <w:color w:val="FF0000"/>
          <w:sz w:val="32"/>
          <w:szCs w:val="32"/>
        </w:rPr>
        <w:t>相关施工准备、票证办理和工艺处置等所需时间。</w:t>
      </w:r>
      <w:r>
        <w:rPr>
          <w:rFonts w:eastAsia="方正仿宋_GBK"/>
          <w:color w:val="FF0000"/>
          <w:sz w:val="32"/>
          <w:szCs w:val="32"/>
          <w:highlight w:val="yellow"/>
        </w:rPr>
        <w:t>本项目施工涉及轨道基础加固交叉作业，存在相互影响。</w:t>
      </w:r>
      <w:r>
        <w:rPr>
          <w:rFonts w:eastAsia="方正仿宋_GBK"/>
          <w:color w:val="FF0000"/>
          <w:sz w:val="32"/>
          <w:szCs w:val="32"/>
        </w:rPr>
        <w:t>报价方报价中需充分考虑实际施工效率，合理报价。</w:t>
      </w:r>
    </w:p>
    <w:p w14:paraId="6C48DC24">
      <w:pPr>
        <w:pStyle w:val="13"/>
        <w:widowControl/>
        <w:shd w:val="clear" w:color="auto" w:fill="FFFFFF"/>
        <w:spacing w:line="600" w:lineRule="exact"/>
        <w:ind w:firstLine="640" w:firstLineChars="200"/>
        <w:jc w:val="both"/>
        <w:rPr>
          <w:rFonts w:hint="default" w:ascii="Times New Roman" w:hAnsi="Times New Roman" w:eastAsia="方正仿宋_GBK"/>
          <w:sz w:val="32"/>
          <w:szCs w:val="32"/>
        </w:rPr>
      </w:pPr>
      <w:r>
        <w:rPr>
          <w:rFonts w:hint="default" w:ascii="Times New Roman" w:hAnsi="Times New Roman" w:eastAsia="方正仿宋_GBK"/>
          <w:sz w:val="32"/>
          <w:szCs w:val="32"/>
        </w:rPr>
        <w:t>4.一切机械辅助设施（叉车、吊车、曲臂车、脚手架、平板车等）须在符合安全规范及安全性能的前提下由成交方自行解决，其它在施工中任何可能发生的费用，如</w:t>
      </w:r>
      <w:r>
        <w:rPr>
          <w:rFonts w:hint="default" w:ascii="Times New Roman" w:hAnsi="Times New Roman" w:eastAsia="方正仿宋_GBK"/>
          <w:color w:val="FF0000"/>
          <w:sz w:val="32"/>
          <w:szCs w:val="32"/>
        </w:rPr>
        <w:t>拆除费</w:t>
      </w:r>
      <w:r>
        <w:rPr>
          <w:rFonts w:hint="default" w:ascii="Times New Roman" w:hAnsi="Times New Roman" w:eastAsia="方正仿宋_GBK"/>
          <w:sz w:val="32"/>
          <w:szCs w:val="32"/>
        </w:rPr>
        <w:t>、赶工加班费、设备材料保管费、短途运输搬运费、</w:t>
      </w:r>
      <w:r>
        <w:rPr>
          <w:rFonts w:hint="default" w:ascii="Times New Roman" w:hAnsi="Times New Roman" w:eastAsia="方正仿宋_GBK"/>
          <w:color w:val="FF0000"/>
          <w:sz w:val="32"/>
          <w:szCs w:val="32"/>
        </w:rPr>
        <w:t>施工垃圾清理费（政府指定垃圾处理点）</w:t>
      </w:r>
      <w:r>
        <w:rPr>
          <w:rFonts w:hint="default" w:ascii="Times New Roman" w:hAnsi="Times New Roman" w:eastAsia="方正仿宋_GBK"/>
          <w:sz w:val="32"/>
          <w:szCs w:val="32"/>
        </w:rPr>
        <w:t>、围挡搭设费等都应包含在报价中。</w:t>
      </w:r>
    </w:p>
    <w:p w14:paraId="0B3A72D8">
      <w:pPr>
        <w:spacing w:line="600" w:lineRule="exact"/>
        <w:ind w:firstLine="640" w:firstLineChars="200"/>
        <w:rPr>
          <w:rFonts w:eastAsia="方正仿宋_GBK"/>
          <w:sz w:val="32"/>
          <w:szCs w:val="32"/>
        </w:rPr>
      </w:pPr>
      <w:r>
        <w:rPr>
          <w:rFonts w:eastAsia="方正仿宋_GBK"/>
          <w:sz w:val="32"/>
          <w:szCs w:val="32"/>
        </w:rPr>
        <w:t>5.质量要求及技术标准：</w:t>
      </w:r>
      <w:r>
        <w:rPr>
          <w:rFonts w:hint="eastAsia" w:eastAsia="方正仿宋_GBK"/>
          <w:sz w:val="32"/>
          <w:szCs w:val="32"/>
          <w:lang w:val="zh-CN"/>
        </w:rPr>
        <w:t>《建筑工程施工质量验收统一标准》GB</w:t>
      </w:r>
      <w:r>
        <w:rPr>
          <w:rFonts w:eastAsia="方正仿宋_GBK"/>
          <w:sz w:val="32"/>
          <w:szCs w:val="32"/>
          <w:lang w:val="zh-CN"/>
        </w:rPr>
        <w:t xml:space="preserve"> </w:t>
      </w:r>
      <w:r>
        <w:rPr>
          <w:rFonts w:hint="eastAsia" w:eastAsia="方正仿宋_GBK"/>
          <w:sz w:val="32"/>
          <w:szCs w:val="32"/>
          <w:lang w:val="zh-CN"/>
        </w:rPr>
        <w:t>50300-2013</w:t>
      </w:r>
      <w:r>
        <w:rPr>
          <w:rFonts w:eastAsia="方正仿宋_GBK"/>
          <w:sz w:val="32"/>
          <w:szCs w:val="32"/>
          <w:lang w:val="zh-CN"/>
        </w:rPr>
        <w:t>、</w:t>
      </w:r>
      <w:r>
        <w:rPr>
          <w:rFonts w:hint="eastAsia" w:eastAsia="方正仿宋_GBK"/>
          <w:sz w:val="32"/>
          <w:szCs w:val="32"/>
          <w:lang w:val="zh-CN"/>
        </w:rPr>
        <w:t>《起重设备安装工程施工及验收规范》GB 50278-2010</w:t>
      </w:r>
      <w:r>
        <w:rPr>
          <w:rFonts w:eastAsia="方正仿宋_GBK"/>
          <w:sz w:val="32"/>
          <w:szCs w:val="32"/>
        </w:rPr>
        <w:t>。</w:t>
      </w:r>
    </w:p>
    <w:p w14:paraId="4EE34F83">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6.工程报价为含税价，请注明税率。</w:t>
      </w:r>
    </w:p>
    <w:p w14:paraId="7DD1638A">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7.如涉及防爆区域作业，报价单位应使用具备防爆功能的工器具。</w:t>
      </w:r>
    </w:p>
    <w:p w14:paraId="1ED4AB67">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8.质保期，竣工验收之日</w:t>
      </w:r>
      <w:r>
        <w:rPr>
          <w:rFonts w:hint="default" w:ascii="Times New Roman" w:hAnsi="Times New Roman" w:eastAsia="方正仿宋_GBK"/>
          <w:kern w:val="2"/>
          <w:sz w:val="32"/>
          <w:szCs w:val="32"/>
          <w:u w:val="single"/>
        </w:rPr>
        <w:t>2</w:t>
      </w:r>
      <w:r>
        <w:rPr>
          <w:rFonts w:hint="default" w:ascii="Times New Roman" w:hAnsi="Times New Roman" w:eastAsia="方正仿宋_GBK"/>
          <w:kern w:val="2"/>
          <w:sz w:val="32"/>
          <w:szCs w:val="32"/>
        </w:rPr>
        <w:t>年。</w:t>
      </w:r>
    </w:p>
    <w:p w14:paraId="1EDC8013">
      <w:pPr>
        <w:spacing w:line="600" w:lineRule="exact"/>
        <w:ind w:firstLine="640" w:firstLineChars="200"/>
        <w:rPr>
          <w:rFonts w:eastAsia="方正仿宋_GBK"/>
          <w:sz w:val="32"/>
          <w:szCs w:val="32"/>
        </w:rPr>
      </w:pPr>
      <w:r>
        <w:rPr>
          <w:rFonts w:eastAsia="方正仿宋_GBK"/>
          <w:sz w:val="32"/>
          <w:szCs w:val="32"/>
        </w:rPr>
        <w:t>9.</w:t>
      </w:r>
      <w:r>
        <w:rPr>
          <w:rFonts w:eastAsia="方正仿宋_GBK"/>
          <w:bCs/>
          <w:color w:val="FF0000"/>
          <w:sz w:val="32"/>
          <w:szCs w:val="32"/>
        </w:rPr>
        <w:t>出现下列情形时，工期应相应顺延：（1）遭遇恶劣天气等不可抗力；（2）因采购方提出变更或要求暂停；（3） 其他非报价方原因造成的停工。</w:t>
      </w:r>
    </w:p>
    <w:p w14:paraId="2B2A2AC1">
      <w:pPr>
        <w:wordWrap w:val="0"/>
        <w:ind w:firstLine="640" w:firstLineChars="200"/>
        <w:jc w:val="left"/>
        <w:rPr>
          <w:rFonts w:eastAsia="方正仿宋_GBK"/>
          <w:bCs/>
          <w:sz w:val="32"/>
          <w:szCs w:val="32"/>
        </w:rPr>
      </w:pPr>
      <w:r>
        <w:rPr>
          <w:rFonts w:ascii="方正黑体_GBK" w:eastAsia="方正黑体_GBK"/>
          <w:sz w:val="32"/>
          <w:szCs w:val="32"/>
        </w:rPr>
        <w:t>三、报价人资质与要求</w:t>
      </w:r>
    </w:p>
    <w:p w14:paraId="6CB673EC">
      <w:pPr>
        <w:spacing w:line="600" w:lineRule="exact"/>
        <w:ind w:firstLine="640" w:firstLineChars="200"/>
        <w:jc w:val="left"/>
        <w:rPr>
          <w:rFonts w:eastAsia="方正仿宋_GBK"/>
          <w:sz w:val="32"/>
          <w:szCs w:val="32"/>
        </w:rPr>
      </w:pPr>
      <w:r>
        <w:rPr>
          <w:rFonts w:eastAsia="方正仿宋_GBK"/>
          <w:sz w:val="32"/>
          <w:szCs w:val="32"/>
        </w:rPr>
        <w:t>（一）报价人必须具备中华人民共和国境内生产或经营应具备的合法资质;</w:t>
      </w:r>
    </w:p>
    <w:p w14:paraId="6EB2CB2B">
      <w:pPr>
        <w:spacing w:line="600" w:lineRule="exact"/>
        <w:ind w:firstLine="640" w:firstLineChars="200"/>
        <w:jc w:val="left"/>
        <w:rPr>
          <w:rFonts w:eastAsia="方正仿宋_GBK"/>
          <w:sz w:val="32"/>
          <w:szCs w:val="32"/>
        </w:rPr>
      </w:pPr>
      <w:r>
        <w:rPr>
          <w:rFonts w:eastAsia="方正仿宋_GBK"/>
          <w:sz w:val="32"/>
          <w:szCs w:val="32"/>
        </w:rPr>
        <w:t>（二）其他资质要求：</w:t>
      </w:r>
    </w:p>
    <w:p w14:paraId="5765E59D">
      <w:pPr>
        <w:spacing w:line="600" w:lineRule="exact"/>
        <w:ind w:firstLine="640" w:firstLineChars="200"/>
        <w:jc w:val="left"/>
        <w:rPr>
          <w:rFonts w:eastAsia="方正仿宋_GBK"/>
          <w:sz w:val="32"/>
          <w:szCs w:val="32"/>
        </w:rPr>
      </w:pPr>
      <w:r>
        <w:rPr>
          <w:rFonts w:eastAsia="方正仿宋_GBK"/>
          <w:sz w:val="32"/>
          <w:szCs w:val="32"/>
        </w:rPr>
        <w:t>1.报价时需提供</w:t>
      </w:r>
      <w:bookmarkStart w:id="0" w:name="OLE_LINK2"/>
      <w:r>
        <w:rPr>
          <w:rFonts w:eastAsia="方正仿宋_GBK"/>
          <w:color w:val="FF0000"/>
          <w:sz w:val="32"/>
          <w:szCs w:val="32"/>
        </w:rPr>
        <w:t>企业法人营业执照（三证合一）；</w:t>
      </w:r>
      <w:r>
        <w:rPr>
          <w:rFonts w:eastAsia="方正仿宋_GBK"/>
          <w:sz w:val="32"/>
          <w:szCs w:val="32"/>
        </w:rPr>
        <w:t>报价函；</w:t>
      </w:r>
      <w:bookmarkEnd w:id="0"/>
      <w:r>
        <w:rPr>
          <w:rFonts w:hint="eastAsia" w:eastAsia="方正仿宋_GBK"/>
          <w:color w:val="FF0000"/>
          <w:sz w:val="32"/>
          <w:szCs w:val="32"/>
        </w:rPr>
        <w:t>起重设备安装工程专业承包三级及以上</w:t>
      </w:r>
      <w:r>
        <w:rPr>
          <w:rFonts w:eastAsia="方正仿宋_GBK"/>
          <w:color w:val="FF0000"/>
          <w:sz w:val="32"/>
          <w:szCs w:val="32"/>
        </w:rPr>
        <w:t>；</w:t>
      </w:r>
      <w:r>
        <w:rPr>
          <w:rFonts w:hint="eastAsia" w:eastAsia="方正仿宋_GBK"/>
          <w:color w:val="FF0000"/>
          <w:sz w:val="32"/>
          <w:szCs w:val="32"/>
        </w:rPr>
        <w:t>《中华人民共和国特种设备生产许可证》（门式起重机B级许可）</w:t>
      </w:r>
      <w:r>
        <w:rPr>
          <w:rFonts w:eastAsia="方正仿宋_GBK"/>
          <w:color w:val="FF0000"/>
          <w:sz w:val="32"/>
          <w:szCs w:val="32"/>
        </w:rPr>
        <w:t>；安全生产许可证；专职安全员证书1本（安全生产考核合格证书：C证）；具备履行合同所必需的设备和专业技术能力的书面声明（详见附件2）、法人授权委托书（详见附件3）、参加采购活动前3年内在经营活动中没有重大违法记录的书面声明（详见附件4）</w:t>
      </w:r>
      <w:r>
        <w:rPr>
          <w:rFonts w:eastAsia="方正仿宋_GBK"/>
          <w:sz w:val="32"/>
          <w:szCs w:val="32"/>
        </w:rPr>
        <w:t>（以上资格证明文件均可提供复印件，但需加盖</w:t>
      </w:r>
      <w:r>
        <w:rPr>
          <w:rFonts w:eastAsia="方正仿宋_GBK"/>
          <w:b/>
          <w:bCs/>
          <w:color w:val="FF0000"/>
          <w:sz w:val="32"/>
          <w:szCs w:val="32"/>
        </w:rPr>
        <w:t>公章</w:t>
      </w:r>
      <w:r>
        <w:rPr>
          <w:rFonts w:eastAsia="方正仿宋_GBK"/>
          <w:sz w:val="32"/>
          <w:szCs w:val="32"/>
        </w:rPr>
        <w:t>或报价</w:t>
      </w:r>
      <w:r>
        <w:rPr>
          <w:rFonts w:eastAsia="方正仿宋_GBK"/>
          <w:b/>
          <w:bCs/>
          <w:sz w:val="32"/>
          <w:szCs w:val="32"/>
        </w:rPr>
        <w:t>专用章</w:t>
      </w:r>
      <w:r>
        <w:rPr>
          <w:rFonts w:eastAsia="方正仿宋_GBK"/>
          <w:sz w:val="32"/>
          <w:szCs w:val="32"/>
        </w:rPr>
        <w:t>。</w:t>
      </w:r>
      <w:r>
        <w:rPr>
          <w:rFonts w:eastAsia="方正仿宋_GBK"/>
          <w:color w:val="FF0000"/>
          <w:sz w:val="32"/>
          <w:szCs w:val="32"/>
        </w:rPr>
        <w:t>注：</w:t>
      </w:r>
      <w:r>
        <w:rPr>
          <w:rFonts w:eastAsia="方正仿宋_GBK"/>
          <w:sz w:val="32"/>
          <w:szCs w:val="32"/>
        </w:rPr>
        <w:t>在采购单位1年内有同类型业绩且以上资格证明文件均合法有效的企业可不提供以上资格证明文件）。</w:t>
      </w:r>
    </w:p>
    <w:p w14:paraId="4B496473">
      <w:pPr>
        <w:spacing w:line="600" w:lineRule="exact"/>
        <w:ind w:firstLine="640" w:firstLineChars="200"/>
        <w:jc w:val="left"/>
        <w:rPr>
          <w:rFonts w:eastAsia="方正仿宋_GBK"/>
          <w:color w:val="FF0000"/>
          <w:sz w:val="32"/>
          <w:szCs w:val="32"/>
        </w:rPr>
      </w:pPr>
      <w:r>
        <w:rPr>
          <w:rFonts w:eastAsia="方正仿宋_GBK"/>
          <w:sz w:val="32"/>
          <w:szCs w:val="32"/>
        </w:rPr>
        <w:t>确定中选后，在签订合同前，</w:t>
      </w:r>
      <w:r>
        <w:rPr>
          <w:rFonts w:eastAsia="方正仿宋_GBK"/>
          <w:color w:val="FF0000"/>
          <w:kern w:val="1"/>
          <w:sz w:val="32"/>
          <w:szCs w:val="32"/>
        </w:rPr>
        <w:t>需提供</w:t>
      </w:r>
      <w:r>
        <w:rPr>
          <w:rFonts w:eastAsia="方正仿宋_GBK"/>
          <w:color w:val="FF0000"/>
          <w:sz w:val="32"/>
          <w:szCs w:val="32"/>
        </w:rPr>
        <w:t>一般纳税人证明材料、承包单位与派遣作业人员的劳务合同或劳动合同、作业人员工伤保险证明或人身意外伤害保险缴纳证明。根据施工工期要求，至少提供本单位2位工人的缴纳证明，同时须提供本公司安全生产责任险缴纳证明。现场配备1名专职安全员，具有专职安全员证书，负责现场安全文明施工</w:t>
      </w:r>
      <w:r>
        <w:rPr>
          <w:rFonts w:eastAsia="方正仿宋_GBK"/>
          <w:sz w:val="32"/>
          <w:szCs w:val="32"/>
        </w:rPr>
        <w:t>(以上资格证明证件均可提供复印件，但需加盖公章)</w:t>
      </w:r>
      <w:r>
        <w:rPr>
          <w:rFonts w:eastAsia="方正仿宋_GBK"/>
          <w:color w:val="FF0000"/>
          <w:sz w:val="32"/>
          <w:szCs w:val="32"/>
        </w:rPr>
        <w:t>。</w:t>
      </w:r>
    </w:p>
    <w:p w14:paraId="17EE54A9">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2.中选单位与采购单位签订合同时，须按照海纳川相关安全管理规定签订或提供《外包项目(工程)安全生产管理协议书》并依照《海纳川承包商安全环保管理制度》管理；施工前，采购方应按《生产经营单位安全生产培训规范》(DB32/4530-2023)对成交方施工人员进行培训和考试（</w:t>
      </w:r>
      <w:r>
        <w:rPr>
          <w:rFonts w:eastAsia="方正仿宋_GBK"/>
          <w:color w:val="FF0000"/>
          <w:kern w:val="1"/>
          <w:sz w:val="32"/>
          <w:szCs w:val="32"/>
        </w:rPr>
        <w:t>培训地点：</w:t>
      </w:r>
      <w:r>
        <w:rPr>
          <w:rFonts w:hint="eastAsia" w:eastAsia="方正仿宋_GBK"/>
          <w:color w:val="FF0000"/>
          <w:kern w:val="1"/>
          <w:sz w:val="32"/>
          <w:szCs w:val="32"/>
        </w:rPr>
        <w:t>公铁运输</w:t>
      </w:r>
      <w:r>
        <w:rPr>
          <w:rFonts w:eastAsia="方正仿宋_GBK"/>
          <w:color w:val="FF0000"/>
          <w:kern w:val="1"/>
          <w:sz w:val="32"/>
          <w:szCs w:val="32"/>
        </w:rPr>
        <w:t>，集中培训时间：1天。</w:t>
      </w:r>
      <w:r>
        <w:rPr>
          <w:rFonts w:eastAsia="方正仿宋_GBK"/>
          <w:kern w:val="1"/>
          <w:sz w:val="32"/>
          <w:szCs w:val="32"/>
        </w:rPr>
        <w:t>），考试合格人员，方能赴属地办理作业票证进行作业</w:t>
      </w:r>
      <w:r>
        <w:rPr>
          <w:rFonts w:eastAsia="方正仿宋_GBK"/>
          <w:sz w:val="32"/>
          <w:szCs w:val="32"/>
        </w:rPr>
        <w:t>。</w:t>
      </w:r>
    </w:p>
    <w:p w14:paraId="704C9026">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3.作业过程中，若涉及特种作业（如登高等）的需提供相应的特种作业证，必须人证一致，且在有效期内。</w:t>
      </w:r>
    </w:p>
    <w:p w14:paraId="584AF53C">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4.不接受被列入失信被执行人、重大违法案件当事人报价。</w:t>
      </w:r>
    </w:p>
    <w:p w14:paraId="642CC40E">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5.报价人应具备良好的售后服务能力，要求电话联系后</w:t>
      </w:r>
      <w:r>
        <w:rPr>
          <w:rFonts w:eastAsia="方正仿宋_GBK"/>
          <w:color w:val="FF0000"/>
          <w:kern w:val="1"/>
          <w:sz w:val="32"/>
          <w:szCs w:val="32"/>
          <w:u w:val="single"/>
        </w:rPr>
        <w:t>8小时</w:t>
      </w:r>
      <w:r>
        <w:rPr>
          <w:rFonts w:eastAsia="方正仿宋_GBK"/>
          <w:kern w:val="1"/>
          <w:sz w:val="32"/>
          <w:szCs w:val="32"/>
        </w:rPr>
        <w:t>内必须给予回复，明确解决方案，必要时需来我公司作技术指导。</w:t>
      </w:r>
    </w:p>
    <w:p w14:paraId="2DB62B13">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6.报价人所供产品引起的知识产权方面的纠纷，由成交人承担一切后果，采购人不承担任何责任。</w:t>
      </w:r>
    </w:p>
    <w:p w14:paraId="01CB5942">
      <w:pPr>
        <w:wordWrap w:val="0"/>
        <w:ind w:firstLine="640" w:firstLineChars="200"/>
        <w:jc w:val="left"/>
        <w:rPr>
          <w:rFonts w:eastAsia="方正仿宋_GBK"/>
          <w:sz w:val="32"/>
          <w:szCs w:val="32"/>
        </w:rPr>
      </w:pPr>
      <w:r>
        <w:rPr>
          <w:rFonts w:ascii="方正黑体_GBK" w:eastAsia="方正黑体_GBK"/>
          <w:sz w:val="32"/>
          <w:szCs w:val="32"/>
        </w:rPr>
        <w:t>四、现场踏勘</w:t>
      </w:r>
    </w:p>
    <w:p w14:paraId="1DC1B843">
      <w:pPr>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楷体_GBK" w:eastAsia="方正仿宋_GBK" w:cs="方正楷体_GBK"/>
          <w:kern w:val="1"/>
          <w:sz w:val="32"/>
          <w:szCs w:val="32"/>
        </w:rPr>
        <w:t>（一）</w:t>
      </w:r>
      <w:r>
        <w:rPr>
          <w:rFonts w:hint="eastAsia" w:ascii="方正仿宋_GBK" w:hAnsi="方正仿宋简体" w:eastAsia="方正仿宋_GBK" w:cs="方正仿宋简体"/>
          <w:kern w:val="1"/>
          <w:sz w:val="32"/>
          <w:szCs w:val="32"/>
        </w:rPr>
        <w:t>报价人须在报价截止日前联系采购方技术联系人（</w:t>
      </w:r>
      <w:r>
        <w:rPr>
          <w:rFonts w:hint="eastAsia" w:ascii="方正仿宋_GBK" w:hAnsi="方正仿宋简体" w:eastAsia="方正仿宋_GBK" w:cs="方正仿宋简体"/>
          <w:color w:val="FF0000"/>
          <w:kern w:val="1"/>
          <w:sz w:val="32"/>
          <w:szCs w:val="32"/>
        </w:rPr>
        <w:t>工作日</w:t>
      </w:r>
      <w:r>
        <w:rPr>
          <w:rFonts w:hint="eastAsia" w:ascii="方正仿宋_GBK" w:hAnsi="方正仿宋简体" w:eastAsia="方正仿宋_GBK" w:cs="方正仿宋简体"/>
          <w:kern w:val="1"/>
          <w:sz w:val="32"/>
          <w:szCs w:val="32"/>
        </w:rPr>
        <w:t>），对实地进行踏勘，采购方将做好踏勘记录（</w:t>
      </w:r>
      <w:r>
        <w:rPr>
          <w:rFonts w:hint="eastAsia" w:ascii="方正仿宋_GBK" w:hAnsi="方正仿宋简体" w:eastAsia="方正仿宋_GBK" w:cs="方正仿宋简体"/>
          <w:color w:val="FF0000"/>
          <w:kern w:val="1"/>
          <w:sz w:val="32"/>
          <w:szCs w:val="32"/>
        </w:rPr>
        <w:t>附件5：现场踏勘证明书</w:t>
      </w:r>
      <w:r>
        <w:rPr>
          <w:rFonts w:hint="eastAsia" w:ascii="方正仿宋_GBK" w:hAnsi="方正仿宋简体" w:eastAsia="方正仿宋_GBK" w:cs="方正仿宋简体"/>
          <w:kern w:val="1"/>
          <w:sz w:val="32"/>
          <w:szCs w:val="32"/>
        </w:rPr>
        <w:t>）。</w:t>
      </w:r>
    </w:p>
    <w:p w14:paraId="5B9731DC">
      <w:pPr>
        <w:spacing w:line="600" w:lineRule="exact"/>
        <w:ind w:firstLine="640" w:firstLineChars="200"/>
        <w:rPr>
          <w:rFonts w:ascii="方正仿宋_GBK" w:hAnsi="方正仿宋简体" w:eastAsia="方正仿宋_GBK" w:cs="方正仿宋简体"/>
          <w:kern w:val="1"/>
          <w:sz w:val="32"/>
          <w:szCs w:val="32"/>
        </w:rPr>
      </w:pPr>
      <w:r>
        <w:rPr>
          <w:rFonts w:hint="eastAsia" w:ascii="方正仿宋_GBK" w:hAnsi="方正楷体_GBK" w:eastAsia="方正仿宋_GBK" w:cs="方正楷体_GBK"/>
          <w:kern w:val="1"/>
          <w:sz w:val="32"/>
          <w:szCs w:val="32"/>
        </w:rPr>
        <w:t>（二）</w:t>
      </w:r>
      <w:r>
        <w:rPr>
          <w:rFonts w:hint="eastAsia" w:ascii="方正仿宋_GBK" w:hAnsi="方正仿宋简体" w:eastAsia="方正仿宋_GBK" w:cs="方正仿宋简体"/>
          <w:kern w:val="1"/>
          <w:sz w:val="32"/>
          <w:szCs w:val="32"/>
        </w:rPr>
        <w:t>现场踏勘后对报价人所提问题的澄清（如果有），采购方在报价截止时间前1天，以书面形式通知所有报名的报价人。该澄清内容为比选文件的组成部分。本项目由于施工环境的复杂性，报价人应认真踏勘并承担踏勘不实所产生的一切后果。</w:t>
      </w:r>
    </w:p>
    <w:p w14:paraId="1F9C66ED">
      <w:pPr>
        <w:wordWrap w:val="0"/>
        <w:adjustRightInd w:val="0"/>
        <w:snapToGrid w:val="0"/>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楷体_GBK" w:eastAsia="方正仿宋_GBK" w:cs="方正楷体_GBK"/>
          <w:kern w:val="1"/>
          <w:sz w:val="32"/>
          <w:szCs w:val="32"/>
        </w:rPr>
        <w:t>（三）</w:t>
      </w:r>
      <w:r>
        <w:rPr>
          <w:rFonts w:hint="eastAsia" w:ascii="方正仿宋_GBK" w:hAnsi="方正仿宋简体" w:eastAsia="方正仿宋_GBK" w:cs="方正仿宋简体"/>
          <w:kern w:val="1"/>
          <w:sz w:val="32"/>
          <w:szCs w:val="32"/>
        </w:rPr>
        <w:t>不参加现场踏勘的报价人（</w:t>
      </w:r>
      <w:r>
        <w:rPr>
          <w:rFonts w:hint="eastAsia" w:ascii="方正仿宋_GBK" w:hAnsi="方正仿宋简体" w:eastAsia="方正仿宋_GBK" w:cs="方正仿宋简体"/>
          <w:color w:val="FF0000"/>
          <w:kern w:val="1"/>
          <w:sz w:val="32"/>
          <w:szCs w:val="32"/>
        </w:rPr>
        <w:t>以踏勘证明书为准，需双方签字确认</w:t>
      </w:r>
      <w:r>
        <w:rPr>
          <w:rFonts w:hint="eastAsia" w:ascii="方正仿宋_GBK" w:hAnsi="方正仿宋简体" w:eastAsia="方正仿宋_GBK" w:cs="方正仿宋简体"/>
          <w:kern w:val="1"/>
          <w:sz w:val="32"/>
          <w:szCs w:val="32"/>
        </w:rPr>
        <w:t>），若踏勘证明书无该单位书面记录，其比选文件将不被接受。</w:t>
      </w:r>
    </w:p>
    <w:p w14:paraId="269DE016">
      <w:pPr>
        <w:spacing w:line="600" w:lineRule="exact"/>
        <w:ind w:firstLine="640" w:firstLineChars="200"/>
        <w:rPr>
          <w:rFonts w:ascii="方正仿宋_GBK" w:hAnsi="方正仿宋简体" w:eastAsia="方正仿宋_GBK" w:cs="方正仿宋简体"/>
          <w:kern w:val="1"/>
          <w:sz w:val="32"/>
          <w:szCs w:val="32"/>
        </w:rPr>
      </w:pPr>
      <w:r>
        <w:rPr>
          <w:rFonts w:hint="eastAsia" w:ascii="方正仿宋_GBK" w:hAnsi="方正楷体_GBK" w:eastAsia="方正仿宋_GBK" w:cs="方正楷体_GBK"/>
          <w:sz w:val="32"/>
          <w:szCs w:val="32"/>
        </w:rPr>
        <w:t>（四）</w:t>
      </w:r>
      <w:r>
        <w:rPr>
          <w:rFonts w:hint="eastAsia" w:ascii="方正仿宋_GBK" w:hAnsi="方正仿宋简体" w:eastAsia="方正仿宋_GBK" w:cs="方正仿宋简体"/>
          <w:b/>
          <w:kern w:val="1"/>
          <w:sz w:val="32"/>
          <w:szCs w:val="32"/>
        </w:rPr>
        <w:t>报价人必须参加现场踏勘，否则判为无效报价，本次现场踏勘方式为</w:t>
      </w:r>
      <w:r>
        <w:rPr>
          <w:rFonts w:hint="eastAsia" w:ascii="方正仿宋_GBK" w:hAnsi="方正仿宋简体" w:eastAsia="方正仿宋_GBK" w:cs="方正仿宋简体"/>
          <w:b/>
          <w:bCs/>
          <w:color w:val="FF0000"/>
          <w:kern w:val="1"/>
          <w:sz w:val="32"/>
          <w:szCs w:val="32"/>
          <w:u w:val="single"/>
        </w:rPr>
        <w:t>非集中踏勘，报价截止日前均可联系采购方技术联系人（工作日）现场踏勘</w:t>
      </w:r>
      <w:r>
        <w:rPr>
          <w:rFonts w:hint="eastAsia" w:ascii="方正仿宋_GBK" w:hAnsi="方正仿宋简体" w:eastAsia="方正仿宋_GBK" w:cs="方正仿宋简体"/>
          <w:b/>
          <w:kern w:val="1"/>
          <w:sz w:val="32"/>
          <w:szCs w:val="32"/>
        </w:rPr>
        <w:t>。</w:t>
      </w:r>
    </w:p>
    <w:p w14:paraId="4A19C6BD">
      <w:pPr>
        <w:spacing w:line="600" w:lineRule="exact"/>
        <w:ind w:firstLine="640" w:firstLineChars="200"/>
        <w:jc w:val="left"/>
        <w:rPr>
          <w:rFonts w:ascii="方正仿宋_GBK" w:eastAsia="方正仿宋_GBK"/>
          <w:sz w:val="32"/>
          <w:szCs w:val="32"/>
        </w:rPr>
      </w:pPr>
      <w:r>
        <w:rPr>
          <w:rFonts w:hint="eastAsia" w:ascii="方正仿宋_GBK" w:hAnsi="方正楷体_GBK" w:eastAsia="方正仿宋_GBK" w:cs="方正楷体_GBK"/>
          <w:kern w:val="1"/>
          <w:sz w:val="32"/>
          <w:szCs w:val="32"/>
        </w:rPr>
        <w:t>（五）</w:t>
      </w:r>
      <w:r>
        <w:rPr>
          <w:rFonts w:hint="eastAsia" w:ascii="方正仿宋_GBK" w:hAnsi="方正仿宋简体" w:eastAsia="方正仿宋_GBK" w:cs="方正仿宋简体"/>
          <w:kern w:val="1"/>
          <w:sz w:val="32"/>
          <w:szCs w:val="32"/>
        </w:rPr>
        <w:t>凡来我公司现场踏勘人员需按照我公司的相关规定进行有关安全规定及安全注意事项的培训教育。</w:t>
      </w:r>
    </w:p>
    <w:p w14:paraId="1EBD21B8">
      <w:pPr>
        <w:wordWrap w:val="0"/>
        <w:ind w:firstLine="640" w:firstLineChars="200"/>
        <w:jc w:val="left"/>
        <w:rPr>
          <w:rFonts w:eastAsia="方正仿宋_GBK"/>
          <w:bCs/>
          <w:sz w:val="32"/>
          <w:szCs w:val="32"/>
        </w:rPr>
      </w:pPr>
      <w:r>
        <w:rPr>
          <w:rFonts w:ascii="方正黑体_GBK" w:eastAsia="方正黑体_GBK"/>
          <w:sz w:val="32"/>
          <w:szCs w:val="32"/>
        </w:rPr>
        <w:t>五、报价</w:t>
      </w:r>
    </w:p>
    <w:p w14:paraId="46DF439D">
      <w:pPr>
        <w:tabs>
          <w:tab w:val="left" w:pos="960"/>
          <w:tab w:val="left" w:pos="1920"/>
          <w:tab w:val="left" w:pos="8222"/>
        </w:tabs>
        <w:spacing w:line="560" w:lineRule="exact"/>
        <w:ind w:firstLine="640" w:firstLineChars="200"/>
        <w:rPr>
          <w:rFonts w:eastAsia="方正仿宋_GBK"/>
          <w:bCs/>
          <w:sz w:val="32"/>
          <w:szCs w:val="32"/>
        </w:rPr>
      </w:pPr>
      <w:r>
        <w:rPr>
          <w:rFonts w:eastAsia="方正仿宋_GBK"/>
          <w:bCs/>
          <w:kern w:val="1"/>
          <w:sz w:val="32"/>
          <w:szCs w:val="32"/>
        </w:rPr>
        <w:t>（一）报价方式：</w:t>
      </w:r>
      <w:r>
        <w:rPr>
          <w:rFonts w:eastAsia="方正仿宋_GBK"/>
          <w:bCs/>
          <w:sz w:val="32"/>
          <w:szCs w:val="32"/>
        </w:rPr>
        <w:t>报价为含增值税总价。如国家税率进行调整，则本合同不含增值税单价不变，按照调整后的增值税税率进行结算调整含税总价。</w:t>
      </w:r>
    </w:p>
    <w:p w14:paraId="64109138">
      <w:pPr>
        <w:adjustRightInd w:val="0"/>
        <w:snapToGrid w:val="0"/>
        <w:spacing w:line="600" w:lineRule="exact"/>
        <w:ind w:firstLine="640" w:firstLineChars="200"/>
        <w:jc w:val="left"/>
        <w:rPr>
          <w:rFonts w:eastAsia="方正仿宋_GBK"/>
          <w:bCs/>
          <w:color w:val="0000FF"/>
          <w:kern w:val="0"/>
          <w:sz w:val="32"/>
          <w:szCs w:val="32"/>
        </w:rPr>
      </w:pPr>
      <w:r>
        <w:rPr>
          <w:rFonts w:eastAsia="方正仿宋_GBK"/>
          <w:bCs/>
          <w:kern w:val="1"/>
          <w:sz w:val="32"/>
          <w:szCs w:val="32"/>
        </w:rPr>
        <w:t>（二）付款方式：</w:t>
      </w:r>
      <w:r>
        <w:rPr>
          <w:rFonts w:eastAsia="方正仿宋_GBK"/>
          <w:bCs/>
          <w:kern w:val="1"/>
          <w:sz w:val="32"/>
          <w:szCs w:val="32"/>
          <w:u w:val="single"/>
        </w:rPr>
        <w:t>项目</w:t>
      </w:r>
      <w:r>
        <w:rPr>
          <w:rFonts w:eastAsia="方正仿宋_GBK"/>
          <w:bCs/>
          <w:kern w:val="0"/>
          <w:sz w:val="32"/>
          <w:szCs w:val="32"/>
          <w:u w:val="single"/>
        </w:rPr>
        <w:t>竣工验收合格后，成交方根据采购方提供的审计认定单价格开具增值税专用发票，采购方收到发票后60日内</w:t>
      </w:r>
      <w:r>
        <w:rPr>
          <w:rFonts w:eastAsia="方正仿宋_GBK"/>
          <w:kern w:val="1"/>
          <w:sz w:val="32"/>
          <w:szCs w:val="32"/>
          <w:u w:val="single"/>
        </w:rPr>
        <w:t>方式付款90</w:t>
      </w:r>
      <w:r>
        <w:rPr>
          <w:rFonts w:eastAsia="方正仿宋_GBK"/>
          <w:bCs/>
          <w:kern w:val="0"/>
          <w:sz w:val="32"/>
          <w:szCs w:val="32"/>
          <w:u w:val="single"/>
        </w:rPr>
        <w:t>%，剩余</w:t>
      </w:r>
      <w:r>
        <w:rPr>
          <w:rFonts w:hint="eastAsia" w:eastAsia="方正仿宋_GBK"/>
          <w:bCs/>
          <w:kern w:val="0"/>
          <w:sz w:val="32"/>
          <w:szCs w:val="32"/>
          <w:u w:val="single"/>
        </w:rPr>
        <w:t>1</w:t>
      </w:r>
      <w:r>
        <w:rPr>
          <w:rFonts w:eastAsia="方正仿宋_GBK"/>
          <w:bCs/>
          <w:kern w:val="0"/>
          <w:sz w:val="32"/>
          <w:szCs w:val="32"/>
          <w:u w:val="single"/>
        </w:rPr>
        <w:t>0%质保期内无质量问题后支付，</w:t>
      </w:r>
      <w:r>
        <w:rPr>
          <w:rFonts w:eastAsia="方正仿宋_GBK"/>
          <w:bCs/>
          <w:kern w:val="1"/>
          <w:sz w:val="32"/>
          <w:szCs w:val="32"/>
          <w:u w:val="single"/>
        </w:rPr>
        <w:t>付款方式：</w:t>
      </w:r>
      <w:r>
        <w:rPr>
          <w:rFonts w:hint="eastAsia" w:eastAsia="方正仿宋_GBK"/>
          <w:bCs/>
          <w:kern w:val="1"/>
          <w:sz w:val="32"/>
          <w:szCs w:val="32"/>
          <w:u w:val="single"/>
        </w:rPr>
        <w:t>银行承兑汇票</w:t>
      </w:r>
      <w:r>
        <w:rPr>
          <w:rFonts w:eastAsia="方正仿宋_GBK"/>
          <w:bCs/>
          <w:kern w:val="1"/>
          <w:sz w:val="32"/>
          <w:szCs w:val="32"/>
          <w:u w:val="single"/>
        </w:rPr>
        <w:t>。</w:t>
      </w:r>
      <w:r>
        <w:rPr>
          <w:rFonts w:eastAsia="方正仿宋_GBK"/>
          <w:bCs/>
          <w:kern w:val="1"/>
          <w:sz w:val="32"/>
          <w:szCs w:val="32"/>
        </w:rPr>
        <w:t>（</w:t>
      </w:r>
      <w:r>
        <w:rPr>
          <w:rFonts w:eastAsia="方正仿宋_GBK"/>
          <w:bCs/>
          <w:kern w:val="0"/>
          <w:sz w:val="32"/>
          <w:szCs w:val="32"/>
        </w:rPr>
        <w:t>如报价人不接受采购人提出的付款方式，可在报价书中明确能够接受的付款方式及付款时间，评审时作为参考。报价为含税价，请注明税率。</w:t>
      </w:r>
      <w:r>
        <w:rPr>
          <w:rFonts w:eastAsia="方正仿宋_GBK"/>
          <w:bCs/>
          <w:kern w:val="1"/>
          <w:sz w:val="32"/>
          <w:szCs w:val="32"/>
        </w:rPr>
        <w:t>）</w:t>
      </w:r>
      <w:r>
        <w:rPr>
          <w:rFonts w:eastAsia="方正仿宋_GBK"/>
          <w:bCs/>
          <w:kern w:val="0"/>
          <w:sz w:val="32"/>
          <w:szCs w:val="32"/>
        </w:rPr>
        <w:t>如付款方式涉及到预付款，报价人必须在报价文件中提供评审前3个月内中国人民银行征信中心出具的企业信用报告并加盖企业公章。</w:t>
      </w:r>
    </w:p>
    <w:p w14:paraId="1307AFC2">
      <w:pPr>
        <w:pStyle w:val="16"/>
        <w:spacing w:line="560" w:lineRule="exact"/>
        <w:ind w:left="0" w:firstLine="640" w:firstLineChars="200"/>
        <w:rPr>
          <w:rFonts w:eastAsia="方正仿宋_GBK"/>
          <w:bCs/>
          <w:kern w:val="1"/>
          <w:szCs w:val="32"/>
        </w:rPr>
      </w:pPr>
      <w:r>
        <w:rPr>
          <w:rFonts w:eastAsia="方正仿宋_GBK"/>
          <w:bCs/>
          <w:kern w:val="1"/>
          <w:szCs w:val="32"/>
        </w:rPr>
        <w:t>（三）竣工结算按实际工作量结算，若施工过程中发生工程变更，相关单价确定，合同中有约定的按合同约定执行，合同中有类似的参照类似的执行，如无参照，则按2014 年《江苏省安装工程计价表》，《江苏省建筑与装饰工程计价表（2014年版）》、《江苏省建设工程费用定额（2014年）》苏建价[2014]299号。主、辅价格按照镇江市当期造价信息价计价。如当期信息价没有的，以甲方核定的为准。甲方委托索普集团审计部进行审计，除本合同特别约定的外，其余参照索普集团相关规定执行。</w:t>
      </w:r>
    </w:p>
    <w:p w14:paraId="4E425D64">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（四）本项目报价通过</w:t>
      </w:r>
      <w:r>
        <w:rPr>
          <w:rFonts w:eastAsia="方正仿宋_GBK"/>
          <w:bCs/>
          <w:color w:val="FF0000"/>
          <w:kern w:val="1"/>
          <w:sz w:val="32"/>
          <w:szCs w:val="32"/>
        </w:rPr>
        <w:t>线下</w:t>
      </w:r>
      <w:r>
        <w:rPr>
          <w:rFonts w:eastAsia="方正仿宋_GBK"/>
          <w:bCs/>
          <w:kern w:val="1"/>
          <w:sz w:val="32"/>
          <w:szCs w:val="32"/>
        </w:rPr>
        <w:t>方式进行：</w:t>
      </w:r>
    </w:p>
    <w:p w14:paraId="04D26996">
      <w:pPr>
        <w:pStyle w:val="7"/>
        <w:spacing w:after="0" w:line="600" w:lineRule="exact"/>
        <w:ind w:firstLine="640" w:firstLineChars="200"/>
        <w:rPr>
          <w:rFonts w:eastAsia="方正仿宋_GBK"/>
          <w:sz w:val="32"/>
          <w:szCs w:val="32"/>
        </w:rPr>
      </w:pPr>
      <w:r>
        <w:rPr>
          <w:rFonts w:eastAsia="方正仿宋_GBK"/>
          <w:bCs/>
          <w:kern w:val="1"/>
          <w:sz w:val="32"/>
          <w:szCs w:val="32"/>
        </w:rPr>
        <w:t>采用线下报价应</w:t>
      </w:r>
      <w:r>
        <w:rPr>
          <w:rFonts w:eastAsia="方正仿宋_GBK"/>
          <w:bCs/>
          <w:sz w:val="32"/>
          <w:szCs w:val="32"/>
        </w:rPr>
        <w:t>将报价书及相关资料以密封袋形式送达并加盖公章；在密封袋封面上需注明报价项目名称、报价方名称、联系人、联系电话等；</w:t>
      </w:r>
      <w:r>
        <w:rPr>
          <w:rFonts w:eastAsia="方正仿宋_GBK"/>
          <w:kern w:val="1"/>
          <w:sz w:val="32"/>
          <w:szCs w:val="32"/>
        </w:rPr>
        <w:t>并要求在报价截止时间之前送达，逾期将作为无效报价处理</w:t>
      </w:r>
      <w:r>
        <w:rPr>
          <w:rFonts w:eastAsia="方正仿宋_GBK"/>
          <w:bCs/>
          <w:kern w:val="1"/>
          <w:sz w:val="32"/>
          <w:szCs w:val="32"/>
        </w:rPr>
        <w:t>。</w:t>
      </w:r>
    </w:p>
    <w:p w14:paraId="48D7FD5E">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（五）采用线下报价的，报价文件请密封邮寄：</w:t>
      </w:r>
    </w:p>
    <w:p w14:paraId="0A03355F">
      <w:pPr>
        <w:pStyle w:val="28"/>
        <w:tabs>
          <w:tab w:val="left" w:pos="180"/>
        </w:tabs>
        <w:wordWrap w:val="0"/>
        <w:adjustRightInd w:val="0"/>
        <w:snapToGrid w:val="0"/>
        <w:spacing w:line="600" w:lineRule="exact"/>
        <w:ind w:firstLine="640"/>
        <w:jc w:val="left"/>
        <w:rPr>
          <w:rFonts w:eastAsia="方正仿宋_GBK"/>
          <w:bCs/>
          <w:kern w:val="1"/>
          <w:sz w:val="30"/>
          <w:szCs w:val="30"/>
        </w:rPr>
      </w:pPr>
      <w:r>
        <w:rPr>
          <w:rFonts w:eastAsia="方正仿宋_GBK"/>
          <w:bCs/>
          <w:kern w:val="1"/>
          <w:sz w:val="32"/>
          <w:szCs w:val="32"/>
        </w:rPr>
        <w:t>公司：</w:t>
      </w:r>
      <w:r>
        <w:rPr>
          <w:rFonts w:eastAsia="方正仿宋_GBK"/>
          <w:bCs/>
          <w:kern w:val="1"/>
          <w:sz w:val="30"/>
          <w:szCs w:val="30"/>
        </w:rPr>
        <w:t>镇江海纳川物流产业发展有限责任公司</w:t>
      </w:r>
      <w:r>
        <w:rPr>
          <w:rFonts w:hint="eastAsia" w:eastAsia="方正仿宋_GBK"/>
          <w:bCs/>
          <w:kern w:val="1"/>
          <w:sz w:val="30"/>
          <w:szCs w:val="30"/>
        </w:rPr>
        <w:t>商务合作部</w:t>
      </w:r>
    </w:p>
    <w:p w14:paraId="3BAECE9F">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地址：江苏省镇江市京口区求索路66号</w:t>
      </w:r>
    </w:p>
    <w:p w14:paraId="3F811DAE">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邮编：212006</w:t>
      </w:r>
    </w:p>
    <w:p w14:paraId="6BA72FF7">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收件人：</w:t>
      </w:r>
      <w:r>
        <w:rPr>
          <w:rFonts w:hint="eastAsia" w:ascii="方正仿宋简体" w:hAnsi="方正仿宋简体" w:eastAsia="方正仿宋简体" w:cs="方正仿宋简体"/>
          <w:bCs/>
          <w:kern w:val="1"/>
          <w:sz w:val="32"/>
          <w:szCs w:val="32"/>
        </w:rPr>
        <w:t>陆琦</w:t>
      </w:r>
    </w:p>
    <w:p w14:paraId="5ECE7EF3">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联系电话：</w:t>
      </w:r>
      <w:r>
        <w:rPr>
          <w:rFonts w:hint="eastAsia" w:ascii="方正仿宋简体" w:hAnsi="方正仿宋简体" w:eastAsia="方正仿宋简体" w:cs="方正仿宋简体"/>
          <w:bCs/>
          <w:kern w:val="1"/>
          <w:sz w:val="32"/>
          <w:szCs w:val="32"/>
        </w:rPr>
        <w:t>15189186660</w:t>
      </w:r>
    </w:p>
    <w:p w14:paraId="74F46FA8">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（六）凡对比选文书条款有疑义的，请在评审前按以下方式联系：</w:t>
      </w:r>
    </w:p>
    <w:p w14:paraId="6D4CA0CD">
      <w:pPr>
        <w:pStyle w:val="28"/>
        <w:tabs>
          <w:tab w:val="left" w:pos="180"/>
        </w:tabs>
        <w:wordWrap w:val="0"/>
        <w:adjustRightInd w:val="0"/>
        <w:snapToGrid w:val="0"/>
        <w:spacing w:line="600" w:lineRule="exact"/>
        <w:ind w:firstLine="640"/>
        <w:jc w:val="left"/>
        <w:rPr>
          <w:rFonts w:eastAsia="方正仿宋_GBK"/>
          <w:bCs/>
          <w:kern w:val="1"/>
          <w:sz w:val="32"/>
          <w:szCs w:val="32"/>
        </w:rPr>
      </w:pPr>
      <w:r>
        <w:rPr>
          <w:rFonts w:eastAsia="方正仿宋_GBK"/>
          <w:bCs/>
          <w:kern w:val="1"/>
          <w:sz w:val="32"/>
          <w:szCs w:val="32"/>
        </w:rPr>
        <w:t>联系单位：镇江海纳川物流产业发展有限责任公司</w:t>
      </w:r>
    </w:p>
    <w:p w14:paraId="0F482E99">
      <w:pPr>
        <w:adjustRightInd w:val="0"/>
        <w:snapToGrid w:val="0"/>
        <w:spacing w:line="600" w:lineRule="exact"/>
        <w:jc w:val="left"/>
        <w:rPr>
          <w:rFonts w:eastAsia="方正仿宋_GBK"/>
          <w:bCs/>
          <w:kern w:val="1"/>
          <w:sz w:val="32"/>
          <w:szCs w:val="32"/>
        </w:rPr>
      </w:pPr>
      <w:r>
        <w:rPr>
          <w:rFonts w:eastAsia="方正仿宋_GBK"/>
          <w:bCs/>
          <w:kern w:val="1"/>
          <w:sz w:val="32"/>
          <w:szCs w:val="32"/>
        </w:rPr>
        <w:t xml:space="preserve">    地址：江苏省镇江市京口区求索路66号，邮编：212006</w:t>
      </w:r>
    </w:p>
    <w:p w14:paraId="10BFE7AD">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采购部门联系人：</w:t>
      </w:r>
      <w:r>
        <w:rPr>
          <w:rFonts w:hint="eastAsia" w:eastAsia="方正仿宋_GBK"/>
          <w:bCs/>
          <w:kern w:val="1"/>
          <w:sz w:val="32"/>
          <w:szCs w:val="32"/>
        </w:rPr>
        <w:t>王帆</w:t>
      </w:r>
      <w:r>
        <w:rPr>
          <w:rFonts w:eastAsia="方正仿宋_GBK"/>
          <w:bCs/>
          <w:kern w:val="1"/>
          <w:sz w:val="32"/>
          <w:szCs w:val="32"/>
        </w:rPr>
        <w:t xml:space="preserve">      电话：18261973530</w:t>
      </w:r>
    </w:p>
    <w:p w14:paraId="5610A914">
      <w:pPr>
        <w:wordWrap w:val="0"/>
        <w:ind w:firstLine="640" w:firstLineChars="200"/>
        <w:jc w:val="left"/>
        <w:rPr>
          <w:rFonts w:eastAsia="方正仿宋_GBK"/>
          <w:sz w:val="32"/>
          <w:szCs w:val="32"/>
        </w:rPr>
      </w:pPr>
      <w:r>
        <w:rPr>
          <w:rFonts w:ascii="方正黑体_GBK" w:eastAsia="方正黑体_GBK"/>
          <w:sz w:val="32"/>
          <w:szCs w:val="32"/>
        </w:rPr>
        <w:t>六、评审流程</w:t>
      </w:r>
    </w:p>
    <w:p w14:paraId="64AFFB8F">
      <w:pPr>
        <w:pStyle w:val="8"/>
        <w:spacing w:line="600" w:lineRule="exact"/>
        <w:ind w:firstLine="640" w:firstLineChars="200"/>
        <w:rPr>
          <w:rFonts w:ascii="Times New Roman" w:hAnsi="Times New Roman" w:eastAsia="方正仿宋_GBK"/>
          <w:kern w:val="2"/>
          <w:sz w:val="32"/>
          <w:szCs w:val="32"/>
        </w:rPr>
      </w:pPr>
      <w:r>
        <w:rPr>
          <w:rFonts w:ascii="Times New Roman" w:hAnsi="Times New Roman" w:eastAsia="方正仿宋_GBK"/>
          <w:bCs/>
          <w:kern w:val="1"/>
          <w:sz w:val="32"/>
          <w:szCs w:val="32"/>
        </w:rPr>
        <w:t>（一）评审</w:t>
      </w:r>
    </w:p>
    <w:p w14:paraId="43762260">
      <w:pPr>
        <w:pStyle w:val="7"/>
        <w:spacing w:after="0" w:line="600" w:lineRule="exact"/>
        <w:ind w:firstLine="640" w:firstLineChars="200"/>
        <w:rPr>
          <w:rFonts w:eastAsia="方正仿宋_GBK"/>
          <w:bCs/>
          <w:kern w:val="1"/>
          <w:sz w:val="32"/>
          <w:szCs w:val="32"/>
        </w:rPr>
      </w:pPr>
      <w:r>
        <w:rPr>
          <w:rFonts w:eastAsia="方正仿宋_GBK"/>
          <w:bCs/>
          <w:kern w:val="1"/>
          <w:sz w:val="32"/>
          <w:szCs w:val="32"/>
        </w:rPr>
        <w:t>本项目由采购人组织评审小组负责评审工作，对各供应商报价进行评审，确定最终成交人。</w:t>
      </w:r>
    </w:p>
    <w:p w14:paraId="56BD197D">
      <w:pPr>
        <w:pStyle w:val="7"/>
        <w:spacing w:after="0" w:line="600" w:lineRule="exact"/>
        <w:ind w:firstLine="640" w:firstLineChars="200"/>
        <w:rPr>
          <w:rFonts w:eastAsia="方正仿宋_GBK"/>
          <w:bCs/>
          <w:kern w:val="1"/>
          <w:sz w:val="32"/>
          <w:szCs w:val="32"/>
        </w:rPr>
      </w:pPr>
      <w:r>
        <w:rPr>
          <w:rFonts w:eastAsia="方正仿宋_GBK"/>
          <w:bCs/>
          <w:kern w:val="1"/>
          <w:sz w:val="32"/>
          <w:szCs w:val="32"/>
        </w:rPr>
        <w:t>1.请各供应商保持通讯畅通，便于评审小组在评审现场电话联系</w:t>
      </w:r>
      <w:r>
        <w:rPr>
          <w:rFonts w:eastAsia="方正仿宋_GBK"/>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eastAsia="方正仿宋_GBK"/>
          <w:bCs/>
          <w:kern w:val="1"/>
          <w:sz w:val="32"/>
          <w:szCs w:val="32"/>
        </w:rPr>
        <w:t>。</w:t>
      </w:r>
    </w:p>
    <w:p w14:paraId="4A89A7B4">
      <w:pPr>
        <w:pStyle w:val="7"/>
        <w:spacing w:after="0" w:line="600" w:lineRule="exact"/>
        <w:ind w:firstLine="640" w:firstLineChars="200"/>
        <w:rPr>
          <w:rFonts w:eastAsia="方正仿宋_GBK"/>
          <w:sz w:val="32"/>
          <w:szCs w:val="32"/>
        </w:rPr>
      </w:pPr>
      <w:r>
        <w:rPr>
          <w:rFonts w:eastAsia="方正仿宋_GBK"/>
          <w:bCs/>
          <w:kern w:val="1"/>
          <w:sz w:val="32"/>
          <w:szCs w:val="32"/>
        </w:rPr>
        <w:t xml:space="preserve">2.评审小组不得泄露各供应商的报价。   </w:t>
      </w:r>
    </w:p>
    <w:p w14:paraId="3C531908">
      <w:pPr>
        <w:spacing w:line="360" w:lineRule="auto"/>
        <w:ind w:firstLine="640" w:firstLineChars="200"/>
        <w:jc w:val="left"/>
        <w:rPr>
          <w:rFonts w:eastAsia="方正仿宋_GBK"/>
          <w:sz w:val="32"/>
          <w:szCs w:val="32"/>
        </w:rPr>
      </w:pPr>
      <w:r>
        <w:rPr>
          <w:rFonts w:eastAsia="方正仿宋_GBK"/>
          <w:bCs/>
          <w:kern w:val="1"/>
          <w:sz w:val="32"/>
          <w:szCs w:val="32"/>
        </w:rPr>
        <w:t>（二）评定</w:t>
      </w:r>
    </w:p>
    <w:p w14:paraId="099D18C5">
      <w:pPr>
        <w:spacing w:line="600" w:lineRule="exact"/>
        <w:ind w:firstLine="640" w:firstLineChars="200"/>
        <w:jc w:val="left"/>
        <w:rPr>
          <w:rFonts w:eastAsia="方正仿宋_GBK"/>
          <w:bCs/>
          <w:kern w:val="1"/>
          <w:sz w:val="32"/>
          <w:szCs w:val="32"/>
        </w:rPr>
      </w:pPr>
      <w:r>
        <w:rPr>
          <w:rFonts w:eastAsia="方正仿宋_GBK"/>
          <w:bCs/>
          <w:kern w:val="1"/>
          <w:sz w:val="32"/>
          <w:szCs w:val="32"/>
        </w:rPr>
        <w:t>1.综合</w:t>
      </w:r>
    </w:p>
    <w:p w14:paraId="5ACEA5C7">
      <w:pPr>
        <w:spacing w:line="600" w:lineRule="exact"/>
        <w:ind w:firstLine="640" w:firstLineChars="200"/>
        <w:jc w:val="left"/>
        <w:rPr>
          <w:rFonts w:eastAsia="方正仿宋_GBK"/>
          <w:bCs/>
          <w:kern w:val="1"/>
          <w:sz w:val="32"/>
          <w:szCs w:val="32"/>
        </w:rPr>
      </w:pPr>
      <w:r>
        <w:rPr>
          <w:rFonts w:eastAsia="方正仿宋_GBK"/>
          <w:bCs/>
          <w:kern w:val="1"/>
          <w:sz w:val="32"/>
          <w:szCs w:val="32"/>
        </w:rPr>
        <w:t>采取综合评审方法进行打分，具体按价格得分、技术得分、商务得分（得分比例根据货物内容确定）三个方面进行评审，并按综合得分由高到低顺序推选一名成交人。</w:t>
      </w:r>
    </w:p>
    <w:p w14:paraId="1C82775E">
      <w:pPr>
        <w:spacing w:line="600" w:lineRule="exact"/>
        <w:ind w:firstLine="640" w:firstLineChars="200"/>
        <w:jc w:val="left"/>
        <w:rPr>
          <w:rFonts w:eastAsia="方正仿宋_GBK"/>
          <w:bCs/>
          <w:kern w:val="1"/>
          <w:sz w:val="32"/>
          <w:szCs w:val="32"/>
        </w:rPr>
      </w:pPr>
      <w:r>
        <w:rPr>
          <w:rFonts w:eastAsia="方正仿宋_GBK"/>
          <w:bCs/>
          <w:kern w:val="1"/>
          <w:sz w:val="32"/>
          <w:szCs w:val="32"/>
        </w:rPr>
        <w:t>2.通用</w:t>
      </w:r>
      <w:r>
        <w:rPr>
          <w:rFonts w:eastAsia="方正仿宋_GBK"/>
          <w:color w:val="FF0000"/>
          <w:sz w:val="32"/>
          <w:szCs w:val="32"/>
        </w:rPr>
        <w:t>（本次采用该种评审方式）</w:t>
      </w:r>
    </w:p>
    <w:p w14:paraId="5A06E07C">
      <w:pPr>
        <w:spacing w:line="600" w:lineRule="exact"/>
        <w:ind w:firstLine="640" w:firstLineChars="200"/>
        <w:jc w:val="left"/>
        <w:rPr>
          <w:rFonts w:eastAsia="方正仿宋_GBK"/>
          <w:bCs/>
          <w:kern w:val="1"/>
          <w:sz w:val="32"/>
          <w:szCs w:val="32"/>
        </w:rPr>
      </w:pPr>
      <w:r>
        <w:rPr>
          <w:rFonts w:eastAsia="方正仿宋_GBK"/>
          <w:bCs/>
          <w:kern w:val="1"/>
          <w:sz w:val="32"/>
          <w:szCs w:val="32"/>
        </w:rPr>
        <w:t xml:space="preserve"> 在能够满足采购人技术要求及供货期要求的供应商中选择总价最低的一家供应商作为成交人。评审中出现两家或多家单位价格一致且同时属于最低价时，优先考虑与我司长期合作的单位。</w:t>
      </w:r>
    </w:p>
    <w:p w14:paraId="741B9D5E">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（三）询价废止及无效报价</w:t>
      </w:r>
    </w:p>
    <w:p w14:paraId="061A523C">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1.采购人如发现询比价过程中有串通报价、陪同报价等扰乱采购人经营秩序的</w:t>
      </w:r>
      <w:r>
        <w:rPr>
          <w:rFonts w:eastAsia="方正仿宋_GBK"/>
          <w:color w:val="2C2C2C"/>
          <w:sz w:val="30"/>
          <w:szCs w:val="30"/>
          <w:shd w:val="clear" w:color="auto" w:fill="FFFFFF"/>
        </w:rPr>
        <w:t>恶劣情况</w:t>
      </w:r>
      <w:r>
        <w:rPr>
          <w:rFonts w:eastAsia="方正仿宋_GBK"/>
          <w:bCs/>
          <w:kern w:val="1"/>
          <w:sz w:val="32"/>
          <w:szCs w:val="32"/>
        </w:rPr>
        <w:t>，经采购人评审小组评定可作询价废止处理，并可将相关供应商列入供应商负面清单，一年内不再接受参与报价工作。</w:t>
      </w:r>
    </w:p>
    <w:p w14:paraId="1D64D56F">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2.凡报价人不具备</w:t>
      </w:r>
      <w:r>
        <w:rPr>
          <w:rFonts w:eastAsia="方正仿宋_GBK"/>
          <w:bCs/>
          <w:color w:val="FF0000"/>
          <w:kern w:val="1"/>
          <w:sz w:val="32"/>
          <w:szCs w:val="32"/>
        </w:rPr>
        <w:t>采购人明确要求资质的</w:t>
      </w:r>
      <w:r>
        <w:rPr>
          <w:rFonts w:eastAsia="方正仿宋_GBK"/>
          <w:bCs/>
          <w:kern w:val="1"/>
          <w:sz w:val="32"/>
          <w:szCs w:val="32"/>
        </w:rPr>
        <w:t>，或报价文件填写不完整、报价有空项的，或不符合技术要求条款的，或者存在其他不符合采购人有关要求的问题，经采购人评审小组评定，可作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50C67E57">
      <w:pPr>
        <w:adjustRightInd w:val="0"/>
        <w:snapToGrid w:val="0"/>
        <w:spacing w:line="600" w:lineRule="exact"/>
        <w:ind w:firstLine="640" w:firstLineChars="200"/>
        <w:jc w:val="left"/>
        <w:rPr>
          <w:rFonts w:eastAsia="方正仿宋_GBK"/>
          <w:bCs/>
          <w:color w:val="0000FF"/>
          <w:kern w:val="1"/>
          <w:sz w:val="32"/>
          <w:szCs w:val="32"/>
        </w:rPr>
      </w:pPr>
      <w:r>
        <w:rPr>
          <w:rFonts w:eastAsia="方正仿宋_GBK"/>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65B27BFF">
      <w:pPr>
        <w:wordWrap w:val="0"/>
        <w:ind w:firstLine="640" w:firstLineChars="200"/>
        <w:jc w:val="left"/>
        <w:rPr>
          <w:rFonts w:eastAsia="方正仿宋_GBK"/>
          <w:bCs/>
          <w:color w:val="FF0000"/>
          <w:kern w:val="1"/>
          <w:sz w:val="32"/>
          <w:szCs w:val="32"/>
          <w:highlight w:val="green"/>
        </w:rPr>
      </w:pPr>
      <w:r>
        <w:rPr>
          <w:rFonts w:ascii="方正黑体_GBK" w:eastAsia="方正黑体_GBK"/>
          <w:sz w:val="32"/>
          <w:szCs w:val="32"/>
        </w:rPr>
        <w:t>七、其他注意事项</w:t>
      </w:r>
    </w:p>
    <w:p w14:paraId="075C24EE">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（一）未经采购人允许,报价人不得以任何方式将本项目分包给第三方，否则按本合同总价的10%作为违约金，同时采购人有权终止本合同。　　</w:t>
      </w:r>
    </w:p>
    <w:p w14:paraId="01B1EE22">
      <w:pPr>
        <w:adjustRightInd w:val="0"/>
        <w:snapToGrid w:val="0"/>
        <w:spacing w:line="600" w:lineRule="exact"/>
        <w:ind w:firstLine="640" w:firstLineChars="200"/>
        <w:jc w:val="left"/>
        <w:rPr>
          <w:rFonts w:eastAsia="方正仿宋_GBK"/>
          <w:color w:val="000000"/>
          <w:sz w:val="32"/>
          <w:szCs w:val="32"/>
        </w:rPr>
      </w:pPr>
      <w:r>
        <w:rPr>
          <w:rFonts w:eastAsia="方正仿宋_GBK"/>
          <w:bCs/>
          <w:color w:val="000000"/>
          <w:kern w:val="1"/>
          <w:sz w:val="32"/>
          <w:szCs w:val="32"/>
        </w:rPr>
        <w:t>（二）成交人中选以后应严格按照比选文书约定与采购方签定供需合同，并按合同约定做好物资供应和服务工作。对成交人所有违背比选文书及合同约定的行为，采购人均可持续保留与成交方中止合作的一切权利。</w:t>
      </w:r>
    </w:p>
    <w:p w14:paraId="45D86EAF">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三）对需检验的品种，经采购人检验部门检验合格后方能收货，否则做退、换货处理；长期合约的成交人如出现三次产品质量不合格的情况，视为成交人无能力保障产品质量，采购人有权终止此次采购合同的执行。</w:t>
      </w:r>
    </w:p>
    <w:p w14:paraId="37DECBC0">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（四）如因报价人不能正常履约，对采购人生产经营活动造成影响的，报价人除承担合同总价10%的违约金外，由此产生的营运损失由报价人另行承担。</w:t>
      </w:r>
    </w:p>
    <w:p w14:paraId="67CD8FD7">
      <w:pPr>
        <w:adjustRightInd w:val="0"/>
        <w:snapToGrid w:val="0"/>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（五）因报价人原因，工作不能按比选文书规定的期限完成，违约金从本项目款中扣除，每延迟一天按本项目款的</w:t>
      </w:r>
      <w:r>
        <w:rPr>
          <w:rFonts w:eastAsia="方正仿宋_GBK"/>
          <w:bCs/>
          <w:color w:val="FF0000"/>
          <w:kern w:val="1"/>
          <w:sz w:val="32"/>
          <w:szCs w:val="32"/>
          <w:u w:val="single"/>
        </w:rPr>
        <w:t>千分之三</w:t>
      </w:r>
      <w:r>
        <w:rPr>
          <w:rFonts w:eastAsia="方正仿宋_GBK"/>
          <w:bCs/>
          <w:color w:val="000000"/>
          <w:kern w:val="1"/>
          <w:sz w:val="32"/>
          <w:szCs w:val="32"/>
        </w:rPr>
        <w:t>计收违约金，违约金从本合同款中扣除，不足部分由报价人另行支付（如有异议请在报价时注明）。不能在规定的期限完成本项目，延期超过20日（含20天），采购人有权解除合同，要求报价方应自收到采购方通知后五日内返还未完成的项目款，以上述约定的每日逾期违约金比例为基准，计算至实际履行之日，最高不超过合同总价款的10%。（如有异议请在报价时注明）。因报价人违约给采购人造成的损失违约金不足以弥补的，由报价人另行补足。</w:t>
      </w:r>
    </w:p>
    <w:p w14:paraId="589219CE">
      <w:pPr>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（六）报价人项目完成后，经验收不合格的，采购人可选择以下处理方式：</w:t>
      </w:r>
    </w:p>
    <w:p w14:paraId="69DD735F">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1.采购人选择重新维修的，重新维修过程中产生的费用由报价人全部承担，且需在采购人第一次验收不合格之日起1日内开始重新维修，逾期未完成的，违约责任参照（五）执行。如果出现两次验收不合格的情况，采购人有权解除合同，并有权要求报价人赔偿合同总价款的10%违约金给采购人（如有异议请在报价时注明）。报价人造成的损失违约金不足以弥补的，由报价人另行补足。</w:t>
      </w:r>
    </w:p>
    <w:p w14:paraId="77B720FB">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2.采购人选择解除合同的，报价人需无条件返还本项目采购人提供的所有物品，并按采购人要求的时间运输至采购人指定地点，采购人有权要求报价人赔偿合同总价款的10%违约金给采购人（如有异议请在报价时注明）。</w:t>
      </w:r>
    </w:p>
    <w:p w14:paraId="2ACE47FA">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3.因报价人的项目质量、逾期完成等原因给采购人造成经济损失的，由报价人承担全部责任（如有异议请在报价时注明）。</w:t>
      </w:r>
    </w:p>
    <w:p w14:paraId="34A43C8C">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（七）成交人应严格按照比选文书约定与采购方签定供需合同，并按合同约定做好物资供应和服务工作。对成交人所有违背比选文书及合同约定的行为，采购人均可持续保留与成交方中止合作的一切权利。　</w:t>
      </w:r>
    </w:p>
    <w:p w14:paraId="09E92779">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（八）报价人在中选后无正当理由不与采购人签订合同的，将承担违约责任，列入采购人供应商负面清单。</w:t>
      </w:r>
    </w:p>
    <w:p w14:paraId="04B416E5">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（九）报价人应详细阅读本招比选文书，参与报价即视为对本招比选文书所列之条款均表示接受。</w:t>
      </w:r>
    </w:p>
    <w:p w14:paraId="28A78872">
      <w:pPr>
        <w:adjustRightInd w:val="0"/>
        <w:snapToGrid w:val="0"/>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（十）采购人对违反约定的报价人或成交人将按《镇江</w:t>
      </w:r>
    </w:p>
    <w:p w14:paraId="135DE67D">
      <w:pPr>
        <w:spacing w:line="560" w:lineRule="exact"/>
        <w:rPr>
          <w:rFonts w:eastAsia="方正仿宋_GBK"/>
          <w:bCs/>
          <w:color w:val="000000"/>
          <w:kern w:val="1"/>
          <w:sz w:val="32"/>
          <w:szCs w:val="32"/>
        </w:rPr>
      </w:pPr>
      <w:r>
        <w:rPr>
          <w:rFonts w:eastAsia="方正仿宋_GBK"/>
          <w:bCs/>
          <w:color w:val="000000"/>
          <w:kern w:val="1"/>
          <w:sz w:val="32"/>
          <w:szCs w:val="32"/>
        </w:rPr>
        <w:t>海纳川采购管理规定》中供应商管理对报价人进行管理考核（详见附件1）。</w:t>
      </w:r>
    </w:p>
    <w:p w14:paraId="58F2369D">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（十一）外协作业人员需先进行安全教育培训。</w:t>
      </w:r>
    </w:p>
    <w:p w14:paraId="75AC1884">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（十二）本次采购为企业自主公开采购，属生产经营性商务行为，解释权归镇江海纳川物流产业发展有限责任公司所有。</w:t>
      </w:r>
    </w:p>
    <w:p w14:paraId="0D8F7AF5">
      <w:pPr>
        <w:pStyle w:val="2"/>
        <w:rPr>
          <w:rFonts w:ascii="方正小标宋简体" w:hAnsi="方正小标宋简体" w:eastAsia="方正小标宋简体" w:cs="方正小标宋简体"/>
          <w:szCs w:val="44"/>
        </w:rPr>
      </w:pPr>
      <w:r>
        <w:rPr>
          <w:rFonts w:ascii="Times New Roman" w:hAnsi="Times New Roman" w:eastAsia="方正仿宋_GBK"/>
          <w:szCs w:val="44"/>
        </w:rPr>
        <w:br w:type="page"/>
      </w:r>
      <w:r>
        <w:rPr>
          <w:rFonts w:hint="eastAsia" w:ascii="方正小标宋简体" w:hAnsi="方正小标宋简体" w:eastAsia="方正小标宋简体" w:cs="方正小标宋简体"/>
          <w:szCs w:val="44"/>
        </w:rPr>
        <w:t>报价函</w:t>
      </w:r>
    </w:p>
    <w:p w14:paraId="428E4477">
      <w:pPr>
        <w:tabs>
          <w:tab w:val="left" w:pos="180"/>
        </w:tabs>
        <w:spacing w:line="600" w:lineRule="exact"/>
        <w:rPr>
          <w:rFonts w:ascii="方正仿宋简体" w:hAnsi="方正仿宋简体" w:eastAsia="方正仿宋简体" w:cs="方正仿宋简体"/>
          <w:kern w:val="1"/>
          <w:sz w:val="32"/>
          <w:szCs w:val="32"/>
        </w:rPr>
      </w:pPr>
    </w:p>
    <w:p w14:paraId="68466DBD">
      <w:pPr>
        <w:tabs>
          <w:tab w:val="left" w:pos="180"/>
        </w:tabs>
        <w:spacing w:line="580" w:lineRule="exac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bCs/>
          <w:sz w:val="32"/>
          <w:szCs w:val="32"/>
        </w:rPr>
        <w:t>镇江海纳川公铁运输有限公司</w:t>
      </w:r>
      <w:r>
        <w:rPr>
          <w:rFonts w:hint="eastAsia" w:ascii="方正仿宋_GBK" w:hAnsi="方正仿宋简体" w:eastAsia="方正仿宋_GBK" w:cs="方正仿宋简体"/>
          <w:kern w:val="1"/>
          <w:sz w:val="32"/>
          <w:szCs w:val="32"/>
        </w:rPr>
        <w:t>：</w:t>
      </w:r>
    </w:p>
    <w:p w14:paraId="5AA4DF03">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报价单位全称：</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；授权全权代表姓名：</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为全权代表，参加贵方组织的采购有关活动，并对该项目进行报价。</w:t>
      </w:r>
    </w:p>
    <w:p w14:paraId="3BA3D70C">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一、报价项目的总报价（含税）为</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 xml:space="preserve"> (大写）元人民币；不含税价款:</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，税额:</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；税率</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%。（若存在小数点，最多保留2位。）</w:t>
      </w:r>
    </w:p>
    <w:p w14:paraId="7907AA0E">
      <w:pPr>
        <w:spacing w:line="58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二、报价格式</w:t>
      </w:r>
    </w:p>
    <w:tbl>
      <w:tblPr>
        <w:tblStyle w:val="17"/>
        <w:tblW w:w="10065" w:type="dxa"/>
        <w:tblInd w:w="-743" w:type="dxa"/>
        <w:tblLayout w:type="autofit"/>
        <w:tblCellMar>
          <w:top w:w="0" w:type="dxa"/>
          <w:left w:w="108" w:type="dxa"/>
          <w:bottom w:w="0" w:type="dxa"/>
          <w:right w:w="108" w:type="dxa"/>
        </w:tblCellMar>
      </w:tblPr>
      <w:tblGrid>
        <w:gridCol w:w="708"/>
        <w:gridCol w:w="1136"/>
        <w:gridCol w:w="2268"/>
        <w:gridCol w:w="1701"/>
        <w:gridCol w:w="708"/>
        <w:gridCol w:w="709"/>
        <w:gridCol w:w="1109"/>
        <w:gridCol w:w="876"/>
        <w:gridCol w:w="850"/>
      </w:tblGrid>
      <w:tr w14:paraId="5AE511FD">
        <w:tblPrEx>
          <w:tblCellMar>
            <w:top w:w="0" w:type="dxa"/>
            <w:left w:w="108" w:type="dxa"/>
            <w:bottom w:w="0" w:type="dxa"/>
            <w:right w:w="108" w:type="dxa"/>
          </w:tblCellMar>
        </w:tblPrEx>
        <w:trPr>
          <w:trHeight w:val="315" w:hRule="atLeast"/>
        </w:trPr>
        <w:tc>
          <w:tcPr>
            <w:tcW w:w="70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7F4361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序号</w:t>
            </w:r>
          </w:p>
        </w:tc>
        <w:tc>
          <w:tcPr>
            <w:tcW w:w="113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DADF304">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项目主体</w:t>
            </w:r>
          </w:p>
        </w:tc>
        <w:tc>
          <w:tcPr>
            <w:tcW w:w="226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A13141A">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项目内容</w:t>
            </w:r>
          </w:p>
        </w:tc>
        <w:tc>
          <w:tcPr>
            <w:tcW w:w="170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B1195DD">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尺寸</w:t>
            </w:r>
          </w:p>
        </w:tc>
        <w:tc>
          <w:tcPr>
            <w:tcW w:w="70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5C0191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数量</w:t>
            </w:r>
          </w:p>
        </w:tc>
        <w:tc>
          <w:tcPr>
            <w:tcW w:w="70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382616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单位</w:t>
            </w:r>
          </w:p>
        </w:tc>
        <w:tc>
          <w:tcPr>
            <w:tcW w:w="1109" w:type="dxa"/>
            <w:tcBorders>
              <w:top w:val="single" w:color="000000" w:sz="8" w:space="0"/>
              <w:left w:val="nil"/>
              <w:bottom w:val="single" w:color="000000" w:sz="8" w:space="0"/>
              <w:right w:val="single" w:color="000000" w:sz="8" w:space="0"/>
            </w:tcBorders>
            <w:shd w:val="clear" w:color="auto" w:fill="auto"/>
            <w:vAlign w:val="center"/>
          </w:tcPr>
          <w:p w14:paraId="4A934A11">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综合单价</w:t>
            </w:r>
          </w:p>
        </w:tc>
        <w:tc>
          <w:tcPr>
            <w:tcW w:w="876" w:type="dxa"/>
            <w:tcBorders>
              <w:top w:val="single" w:color="000000" w:sz="8" w:space="0"/>
              <w:left w:val="nil"/>
              <w:bottom w:val="single" w:color="000000" w:sz="8" w:space="0"/>
              <w:right w:val="single" w:color="000000" w:sz="8" w:space="0"/>
            </w:tcBorders>
            <w:shd w:val="clear" w:color="auto" w:fill="auto"/>
            <w:vAlign w:val="center"/>
          </w:tcPr>
          <w:p w14:paraId="5EF4C250">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合计</w:t>
            </w:r>
          </w:p>
        </w:tc>
        <w:tc>
          <w:tcPr>
            <w:tcW w:w="850" w:type="dxa"/>
            <w:tcBorders>
              <w:top w:val="single" w:color="000000" w:sz="8" w:space="0"/>
              <w:left w:val="nil"/>
              <w:bottom w:val="single" w:color="000000" w:sz="8" w:space="0"/>
              <w:right w:val="single" w:color="000000" w:sz="8" w:space="0"/>
            </w:tcBorders>
            <w:shd w:val="clear" w:color="auto" w:fill="auto"/>
            <w:vAlign w:val="center"/>
          </w:tcPr>
          <w:p w14:paraId="2277AD88">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税率</w:t>
            </w:r>
          </w:p>
        </w:tc>
      </w:tr>
      <w:tr w14:paraId="37CD235C">
        <w:tblPrEx>
          <w:tblCellMar>
            <w:top w:w="0" w:type="dxa"/>
            <w:left w:w="108" w:type="dxa"/>
            <w:bottom w:w="0" w:type="dxa"/>
            <w:right w:w="108" w:type="dxa"/>
          </w:tblCellMar>
        </w:tblPrEx>
        <w:trPr>
          <w:trHeight w:val="315" w:hRule="atLeast"/>
        </w:trPr>
        <w:tc>
          <w:tcPr>
            <w:tcW w:w="708" w:type="dxa"/>
            <w:vMerge w:val="continue"/>
            <w:tcBorders>
              <w:top w:val="single" w:color="000000" w:sz="8" w:space="0"/>
              <w:left w:val="single" w:color="000000" w:sz="8" w:space="0"/>
              <w:bottom w:val="single" w:color="000000" w:sz="8" w:space="0"/>
              <w:right w:val="single" w:color="000000" w:sz="8" w:space="0"/>
            </w:tcBorders>
            <w:vAlign w:val="center"/>
          </w:tcPr>
          <w:p w14:paraId="744ACC62">
            <w:pPr>
              <w:widowControl/>
              <w:jc w:val="left"/>
              <w:rPr>
                <w:rFonts w:ascii="方正仿宋_GBK" w:hAnsi="宋体" w:eastAsia="方正仿宋_GBK" w:cs="宋体"/>
                <w:color w:val="000000"/>
                <w:kern w:val="0"/>
                <w:sz w:val="22"/>
                <w:szCs w:val="22"/>
              </w:rPr>
            </w:pPr>
          </w:p>
        </w:tc>
        <w:tc>
          <w:tcPr>
            <w:tcW w:w="1136" w:type="dxa"/>
            <w:vMerge w:val="continue"/>
            <w:tcBorders>
              <w:top w:val="single" w:color="000000" w:sz="8" w:space="0"/>
              <w:left w:val="single" w:color="000000" w:sz="8" w:space="0"/>
              <w:bottom w:val="single" w:color="000000" w:sz="8" w:space="0"/>
              <w:right w:val="single" w:color="000000" w:sz="8" w:space="0"/>
            </w:tcBorders>
            <w:vAlign w:val="center"/>
          </w:tcPr>
          <w:p w14:paraId="3BBD0C94">
            <w:pPr>
              <w:widowControl/>
              <w:jc w:val="left"/>
              <w:rPr>
                <w:rFonts w:ascii="方正仿宋_GBK" w:hAnsi="宋体" w:eastAsia="方正仿宋_GBK" w:cs="宋体"/>
                <w:color w:val="000000"/>
                <w:kern w:val="0"/>
                <w:sz w:val="22"/>
                <w:szCs w:val="22"/>
              </w:rPr>
            </w:pPr>
          </w:p>
        </w:tc>
        <w:tc>
          <w:tcPr>
            <w:tcW w:w="2268" w:type="dxa"/>
            <w:vMerge w:val="continue"/>
            <w:tcBorders>
              <w:top w:val="single" w:color="000000" w:sz="8" w:space="0"/>
              <w:left w:val="single" w:color="000000" w:sz="8" w:space="0"/>
              <w:bottom w:val="single" w:color="000000" w:sz="8" w:space="0"/>
              <w:right w:val="single" w:color="000000" w:sz="8" w:space="0"/>
            </w:tcBorders>
            <w:vAlign w:val="center"/>
          </w:tcPr>
          <w:p w14:paraId="19B53B99">
            <w:pPr>
              <w:widowControl/>
              <w:jc w:val="left"/>
              <w:rPr>
                <w:rFonts w:ascii="方正仿宋_GBK" w:hAnsi="宋体" w:eastAsia="方正仿宋_GBK" w:cs="宋体"/>
                <w:color w:val="000000"/>
                <w:kern w:val="0"/>
                <w:sz w:val="22"/>
                <w:szCs w:val="22"/>
              </w:rPr>
            </w:pPr>
          </w:p>
        </w:tc>
        <w:tc>
          <w:tcPr>
            <w:tcW w:w="1701" w:type="dxa"/>
            <w:vMerge w:val="continue"/>
            <w:tcBorders>
              <w:top w:val="single" w:color="000000" w:sz="8" w:space="0"/>
              <w:left w:val="single" w:color="000000" w:sz="8" w:space="0"/>
              <w:bottom w:val="single" w:color="000000" w:sz="8" w:space="0"/>
              <w:right w:val="single" w:color="000000" w:sz="8" w:space="0"/>
            </w:tcBorders>
            <w:vAlign w:val="center"/>
          </w:tcPr>
          <w:p w14:paraId="6C339AA0">
            <w:pPr>
              <w:widowControl/>
              <w:jc w:val="left"/>
              <w:rPr>
                <w:rFonts w:ascii="方正仿宋_GBK" w:hAnsi="宋体" w:eastAsia="方正仿宋_GBK" w:cs="宋体"/>
                <w:color w:val="000000"/>
                <w:kern w:val="0"/>
                <w:sz w:val="22"/>
                <w:szCs w:val="22"/>
              </w:rPr>
            </w:pPr>
          </w:p>
        </w:tc>
        <w:tc>
          <w:tcPr>
            <w:tcW w:w="708" w:type="dxa"/>
            <w:vMerge w:val="continue"/>
            <w:tcBorders>
              <w:top w:val="single" w:color="000000" w:sz="8" w:space="0"/>
              <w:left w:val="single" w:color="000000" w:sz="8" w:space="0"/>
              <w:bottom w:val="single" w:color="000000" w:sz="8" w:space="0"/>
              <w:right w:val="single" w:color="000000" w:sz="8" w:space="0"/>
            </w:tcBorders>
            <w:vAlign w:val="center"/>
          </w:tcPr>
          <w:p w14:paraId="3D27D048">
            <w:pPr>
              <w:widowControl/>
              <w:jc w:val="left"/>
              <w:rPr>
                <w:rFonts w:ascii="方正仿宋_GBK" w:hAnsi="宋体" w:eastAsia="方正仿宋_GBK" w:cs="宋体"/>
                <w:color w:val="000000"/>
                <w:kern w:val="0"/>
                <w:sz w:val="22"/>
                <w:szCs w:val="22"/>
              </w:rPr>
            </w:pPr>
          </w:p>
        </w:tc>
        <w:tc>
          <w:tcPr>
            <w:tcW w:w="709" w:type="dxa"/>
            <w:vMerge w:val="continue"/>
            <w:tcBorders>
              <w:top w:val="single" w:color="000000" w:sz="8" w:space="0"/>
              <w:left w:val="single" w:color="000000" w:sz="8" w:space="0"/>
              <w:bottom w:val="single" w:color="000000" w:sz="8" w:space="0"/>
              <w:right w:val="single" w:color="000000" w:sz="8" w:space="0"/>
            </w:tcBorders>
            <w:vAlign w:val="center"/>
          </w:tcPr>
          <w:p w14:paraId="41A3790E">
            <w:pPr>
              <w:widowControl/>
              <w:jc w:val="left"/>
              <w:rPr>
                <w:rFonts w:ascii="方正仿宋_GBK" w:hAnsi="宋体" w:eastAsia="方正仿宋_GBK" w:cs="宋体"/>
                <w:color w:val="000000"/>
                <w:kern w:val="0"/>
                <w:sz w:val="22"/>
                <w:szCs w:val="22"/>
              </w:rPr>
            </w:pPr>
          </w:p>
        </w:tc>
        <w:tc>
          <w:tcPr>
            <w:tcW w:w="1109" w:type="dxa"/>
            <w:tcBorders>
              <w:top w:val="nil"/>
              <w:left w:val="nil"/>
              <w:bottom w:val="single" w:color="000000" w:sz="8" w:space="0"/>
              <w:right w:val="single" w:color="000000" w:sz="8" w:space="0"/>
            </w:tcBorders>
            <w:shd w:val="clear" w:color="auto" w:fill="auto"/>
            <w:vAlign w:val="center"/>
          </w:tcPr>
          <w:p w14:paraId="32BC2DD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876" w:type="dxa"/>
            <w:tcBorders>
              <w:top w:val="nil"/>
              <w:left w:val="nil"/>
              <w:bottom w:val="single" w:color="000000" w:sz="8" w:space="0"/>
              <w:right w:val="single" w:color="000000" w:sz="8" w:space="0"/>
            </w:tcBorders>
            <w:shd w:val="clear" w:color="auto" w:fill="auto"/>
            <w:vAlign w:val="center"/>
          </w:tcPr>
          <w:p w14:paraId="13C5A89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850" w:type="dxa"/>
            <w:tcBorders>
              <w:top w:val="nil"/>
              <w:left w:val="nil"/>
              <w:bottom w:val="single" w:color="000000" w:sz="8" w:space="0"/>
              <w:right w:val="single" w:color="000000" w:sz="8" w:space="0"/>
            </w:tcBorders>
            <w:shd w:val="clear" w:color="auto" w:fill="auto"/>
            <w:vAlign w:val="center"/>
          </w:tcPr>
          <w:p w14:paraId="255EACD2">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r>
      <w:tr w14:paraId="2C693D95">
        <w:tblPrEx>
          <w:tblCellMar>
            <w:top w:w="0" w:type="dxa"/>
            <w:left w:w="108" w:type="dxa"/>
            <w:bottom w:w="0" w:type="dxa"/>
            <w:right w:w="108" w:type="dxa"/>
          </w:tblCellMar>
        </w:tblPrEx>
        <w:trPr>
          <w:trHeight w:val="9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034F4843">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w:t>
            </w:r>
          </w:p>
        </w:tc>
        <w:tc>
          <w:tcPr>
            <w:tcW w:w="1136" w:type="dxa"/>
            <w:vMerge w:val="restart"/>
            <w:tcBorders>
              <w:top w:val="nil"/>
              <w:left w:val="single" w:color="000000" w:sz="8" w:space="0"/>
              <w:bottom w:val="nil"/>
              <w:right w:val="single" w:color="000000" w:sz="8" w:space="0"/>
            </w:tcBorders>
            <w:shd w:val="clear" w:color="auto" w:fill="auto"/>
            <w:textDirection w:val="tbRlV"/>
            <w:vAlign w:val="center"/>
          </w:tcPr>
          <w:p w14:paraId="7C8A9BBD">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公铁运输</w:t>
            </w:r>
          </w:p>
        </w:tc>
        <w:tc>
          <w:tcPr>
            <w:tcW w:w="2268" w:type="dxa"/>
            <w:tcBorders>
              <w:top w:val="nil"/>
              <w:left w:val="nil"/>
              <w:bottom w:val="single" w:color="000000" w:sz="8" w:space="0"/>
              <w:right w:val="single" w:color="000000" w:sz="8" w:space="0"/>
            </w:tcBorders>
            <w:shd w:val="clear" w:color="auto" w:fill="auto"/>
            <w:vAlign w:val="center"/>
          </w:tcPr>
          <w:p w14:paraId="7B43B546">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拆除轨道</w:t>
            </w:r>
          </w:p>
        </w:tc>
        <w:tc>
          <w:tcPr>
            <w:tcW w:w="1701" w:type="dxa"/>
            <w:tcBorders>
              <w:top w:val="nil"/>
              <w:left w:val="nil"/>
              <w:bottom w:val="single" w:color="000000" w:sz="8" w:space="0"/>
              <w:right w:val="single" w:color="000000" w:sz="8" w:space="0"/>
            </w:tcBorders>
            <w:shd w:val="clear" w:color="auto" w:fill="auto"/>
            <w:vAlign w:val="center"/>
          </w:tcPr>
          <w:p w14:paraId="48A2473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P50</w:t>
            </w:r>
          </w:p>
        </w:tc>
        <w:tc>
          <w:tcPr>
            <w:tcW w:w="708" w:type="dxa"/>
            <w:tcBorders>
              <w:top w:val="nil"/>
              <w:left w:val="nil"/>
              <w:bottom w:val="single" w:color="000000" w:sz="8" w:space="0"/>
              <w:right w:val="single" w:color="000000" w:sz="8" w:space="0"/>
            </w:tcBorders>
            <w:shd w:val="clear" w:color="auto" w:fill="auto"/>
            <w:vAlign w:val="center"/>
          </w:tcPr>
          <w:p w14:paraId="72028104">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280</w:t>
            </w:r>
          </w:p>
        </w:tc>
        <w:tc>
          <w:tcPr>
            <w:tcW w:w="709" w:type="dxa"/>
            <w:tcBorders>
              <w:top w:val="nil"/>
              <w:left w:val="nil"/>
              <w:bottom w:val="single" w:color="000000" w:sz="8" w:space="0"/>
              <w:right w:val="single" w:color="000000" w:sz="8" w:space="0"/>
            </w:tcBorders>
            <w:shd w:val="clear" w:color="auto" w:fill="auto"/>
            <w:vAlign w:val="center"/>
          </w:tcPr>
          <w:p w14:paraId="00A7E63C">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米</w:t>
            </w:r>
          </w:p>
        </w:tc>
        <w:tc>
          <w:tcPr>
            <w:tcW w:w="1109" w:type="dxa"/>
            <w:tcBorders>
              <w:top w:val="nil"/>
              <w:left w:val="nil"/>
              <w:bottom w:val="single" w:color="000000" w:sz="8" w:space="0"/>
              <w:right w:val="single" w:color="000000" w:sz="8" w:space="0"/>
            </w:tcBorders>
            <w:shd w:val="clear" w:color="auto" w:fill="auto"/>
            <w:vAlign w:val="center"/>
          </w:tcPr>
          <w:p w14:paraId="664B8F7E">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47FF674C">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restart"/>
            <w:tcBorders>
              <w:top w:val="nil"/>
              <w:left w:val="single" w:color="000000" w:sz="8" w:space="0"/>
              <w:bottom w:val="nil"/>
              <w:right w:val="single" w:color="000000" w:sz="8" w:space="0"/>
            </w:tcBorders>
            <w:shd w:val="clear" w:color="auto" w:fill="auto"/>
            <w:vAlign w:val="center"/>
          </w:tcPr>
          <w:p w14:paraId="5F6B1B52">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52BCF585">
        <w:tblPrEx>
          <w:tblCellMar>
            <w:top w:w="0" w:type="dxa"/>
            <w:left w:w="108" w:type="dxa"/>
            <w:bottom w:w="0" w:type="dxa"/>
            <w:right w:w="108" w:type="dxa"/>
          </w:tblCellMar>
        </w:tblPrEx>
        <w:trPr>
          <w:trHeight w:val="12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1F1B4428">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w:t>
            </w:r>
          </w:p>
        </w:tc>
        <w:tc>
          <w:tcPr>
            <w:tcW w:w="1136" w:type="dxa"/>
            <w:vMerge w:val="continue"/>
            <w:tcBorders>
              <w:top w:val="nil"/>
              <w:left w:val="single" w:color="000000" w:sz="8" w:space="0"/>
              <w:bottom w:val="nil"/>
              <w:right w:val="single" w:color="000000" w:sz="8" w:space="0"/>
            </w:tcBorders>
            <w:vAlign w:val="center"/>
          </w:tcPr>
          <w:p w14:paraId="5A982979">
            <w:pPr>
              <w:widowControl/>
              <w:jc w:val="left"/>
              <w:rPr>
                <w:rFonts w:ascii="方正仿宋_GBK" w:hAnsi="宋体" w:eastAsia="方正仿宋_GBK" w:cs="宋体"/>
                <w:color w:val="000000"/>
                <w:kern w:val="0"/>
                <w:sz w:val="22"/>
                <w:szCs w:val="22"/>
              </w:rPr>
            </w:pPr>
          </w:p>
        </w:tc>
        <w:tc>
          <w:tcPr>
            <w:tcW w:w="2268" w:type="dxa"/>
            <w:tcBorders>
              <w:top w:val="nil"/>
              <w:left w:val="nil"/>
              <w:bottom w:val="single" w:color="000000" w:sz="8" w:space="0"/>
              <w:right w:val="single" w:color="000000" w:sz="8" w:space="0"/>
            </w:tcBorders>
            <w:shd w:val="clear" w:color="auto" w:fill="auto"/>
            <w:vAlign w:val="center"/>
          </w:tcPr>
          <w:p w14:paraId="4A4A3EC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凿除混凝土、找平安装钢轨预埋件</w:t>
            </w:r>
          </w:p>
        </w:tc>
        <w:tc>
          <w:tcPr>
            <w:tcW w:w="1701" w:type="dxa"/>
            <w:tcBorders>
              <w:top w:val="nil"/>
              <w:left w:val="nil"/>
              <w:bottom w:val="single" w:color="000000" w:sz="8" w:space="0"/>
              <w:right w:val="single" w:color="000000" w:sz="8" w:space="0"/>
            </w:tcBorders>
            <w:shd w:val="clear" w:color="auto" w:fill="auto"/>
            <w:vAlign w:val="center"/>
          </w:tcPr>
          <w:p w14:paraId="04CC5BD2">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340*360*12mm</w:t>
            </w:r>
          </w:p>
        </w:tc>
        <w:tc>
          <w:tcPr>
            <w:tcW w:w="708" w:type="dxa"/>
            <w:tcBorders>
              <w:top w:val="nil"/>
              <w:left w:val="nil"/>
              <w:bottom w:val="single" w:color="000000" w:sz="8" w:space="0"/>
              <w:right w:val="single" w:color="000000" w:sz="8" w:space="0"/>
            </w:tcBorders>
            <w:shd w:val="clear" w:color="auto" w:fill="auto"/>
            <w:vAlign w:val="center"/>
          </w:tcPr>
          <w:p w14:paraId="56B1F6BC">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470</w:t>
            </w:r>
          </w:p>
        </w:tc>
        <w:tc>
          <w:tcPr>
            <w:tcW w:w="709" w:type="dxa"/>
            <w:tcBorders>
              <w:top w:val="nil"/>
              <w:left w:val="nil"/>
              <w:bottom w:val="single" w:color="000000" w:sz="8" w:space="0"/>
              <w:right w:val="single" w:color="000000" w:sz="8" w:space="0"/>
            </w:tcBorders>
            <w:shd w:val="clear" w:color="auto" w:fill="auto"/>
            <w:vAlign w:val="center"/>
          </w:tcPr>
          <w:p w14:paraId="78E7070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块</w:t>
            </w:r>
          </w:p>
        </w:tc>
        <w:tc>
          <w:tcPr>
            <w:tcW w:w="1109" w:type="dxa"/>
            <w:tcBorders>
              <w:top w:val="nil"/>
              <w:left w:val="nil"/>
              <w:bottom w:val="single" w:color="000000" w:sz="8" w:space="0"/>
              <w:right w:val="single" w:color="000000" w:sz="8" w:space="0"/>
            </w:tcBorders>
            <w:shd w:val="clear" w:color="auto" w:fill="auto"/>
            <w:vAlign w:val="center"/>
          </w:tcPr>
          <w:p w14:paraId="60ED70F3">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1E45BDE2">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continue"/>
            <w:tcBorders>
              <w:top w:val="nil"/>
              <w:left w:val="single" w:color="000000" w:sz="8" w:space="0"/>
              <w:bottom w:val="nil"/>
              <w:right w:val="single" w:color="000000" w:sz="8" w:space="0"/>
            </w:tcBorders>
            <w:vAlign w:val="center"/>
          </w:tcPr>
          <w:p w14:paraId="171C63DE">
            <w:pPr>
              <w:widowControl/>
              <w:jc w:val="left"/>
              <w:rPr>
                <w:rFonts w:ascii="方正仿宋_GBK" w:hAnsi="宋体" w:eastAsia="方正仿宋_GBK" w:cs="宋体"/>
                <w:color w:val="000000"/>
                <w:kern w:val="0"/>
                <w:sz w:val="22"/>
                <w:szCs w:val="22"/>
              </w:rPr>
            </w:pPr>
          </w:p>
        </w:tc>
      </w:tr>
      <w:tr w14:paraId="42412893">
        <w:tblPrEx>
          <w:tblCellMar>
            <w:top w:w="0" w:type="dxa"/>
            <w:left w:w="108" w:type="dxa"/>
            <w:bottom w:w="0" w:type="dxa"/>
            <w:right w:w="108" w:type="dxa"/>
          </w:tblCellMar>
        </w:tblPrEx>
        <w:trPr>
          <w:trHeight w:val="6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FAC7845">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3</w:t>
            </w:r>
          </w:p>
        </w:tc>
        <w:tc>
          <w:tcPr>
            <w:tcW w:w="1136" w:type="dxa"/>
            <w:vMerge w:val="continue"/>
            <w:tcBorders>
              <w:top w:val="nil"/>
              <w:left w:val="single" w:color="000000" w:sz="8" w:space="0"/>
              <w:bottom w:val="nil"/>
              <w:right w:val="single" w:color="000000" w:sz="8" w:space="0"/>
            </w:tcBorders>
            <w:vAlign w:val="center"/>
          </w:tcPr>
          <w:p w14:paraId="42656919">
            <w:pPr>
              <w:widowControl/>
              <w:jc w:val="left"/>
              <w:rPr>
                <w:rFonts w:ascii="方正仿宋_GBK" w:hAnsi="宋体" w:eastAsia="方正仿宋_GBK" w:cs="宋体"/>
                <w:color w:val="000000"/>
                <w:kern w:val="0"/>
                <w:sz w:val="22"/>
                <w:szCs w:val="22"/>
              </w:rPr>
            </w:pPr>
          </w:p>
        </w:tc>
        <w:tc>
          <w:tcPr>
            <w:tcW w:w="2268" w:type="dxa"/>
            <w:tcBorders>
              <w:top w:val="nil"/>
              <w:left w:val="nil"/>
              <w:bottom w:val="single" w:color="000000" w:sz="8" w:space="0"/>
              <w:right w:val="single" w:color="000000" w:sz="8" w:space="0"/>
            </w:tcBorders>
            <w:shd w:val="clear" w:color="auto" w:fill="auto"/>
            <w:vAlign w:val="center"/>
          </w:tcPr>
          <w:p w14:paraId="7B461E2E">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安装钢轨垫板</w:t>
            </w:r>
          </w:p>
        </w:tc>
        <w:tc>
          <w:tcPr>
            <w:tcW w:w="1701" w:type="dxa"/>
            <w:tcBorders>
              <w:top w:val="nil"/>
              <w:left w:val="nil"/>
              <w:bottom w:val="single" w:color="000000" w:sz="8" w:space="0"/>
              <w:right w:val="single" w:color="000000" w:sz="8" w:space="0"/>
            </w:tcBorders>
            <w:shd w:val="clear" w:color="auto" w:fill="auto"/>
            <w:vAlign w:val="center"/>
          </w:tcPr>
          <w:p w14:paraId="0CC4D90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120*450*10mm</w:t>
            </w:r>
          </w:p>
        </w:tc>
        <w:tc>
          <w:tcPr>
            <w:tcW w:w="708" w:type="dxa"/>
            <w:tcBorders>
              <w:top w:val="nil"/>
              <w:left w:val="nil"/>
              <w:bottom w:val="single" w:color="000000" w:sz="8" w:space="0"/>
              <w:right w:val="single" w:color="000000" w:sz="8" w:space="0"/>
            </w:tcBorders>
            <w:shd w:val="clear" w:color="auto" w:fill="auto"/>
            <w:vAlign w:val="center"/>
          </w:tcPr>
          <w:p w14:paraId="7CC1A0F7">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470</w:t>
            </w:r>
          </w:p>
        </w:tc>
        <w:tc>
          <w:tcPr>
            <w:tcW w:w="709" w:type="dxa"/>
            <w:tcBorders>
              <w:top w:val="nil"/>
              <w:left w:val="nil"/>
              <w:bottom w:val="single" w:color="000000" w:sz="8" w:space="0"/>
              <w:right w:val="single" w:color="000000" w:sz="8" w:space="0"/>
            </w:tcBorders>
            <w:shd w:val="clear" w:color="auto" w:fill="auto"/>
            <w:vAlign w:val="center"/>
          </w:tcPr>
          <w:p w14:paraId="6AFA09C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块</w:t>
            </w:r>
          </w:p>
        </w:tc>
        <w:tc>
          <w:tcPr>
            <w:tcW w:w="1109" w:type="dxa"/>
            <w:tcBorders>
              <w:top w:val="nil"/>
              <w:left w:val="nil"/>
              <w:bottom w:val="single" w:color="000000" w:sz="8" w:space="0"/>
              <w:right w:val="single" w:color="000000" w:sz="8" w:space="0"/>
            </w:tcBorders>
            <w:shd w:val="clear" w:color="auto" w:fill="auto"/>
            <w:vAlign w:val="center"/>
          </w:tcPr>
          <w:p w14:paraId="305E719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3329B396">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continue"/>
            <w:tcBorders>
              <w:top w:val="nil"/>
              <w:left w:val="single" w:color="000000" w:sz="8" w:space="0"/>
              <w:bottom w:val="nil"/>
              <w:right w:val="single" w:color="000000" w:sz="8" w:space="0"/>
            </w:tcBorders>
            <w:vAlign w:val="center"/>
          </w:tcPr>
          <w:p w14:paraId="20488147">
            <w:pPr>
              <w:widowControl/>
              <w:jc w:val="left"/>
              <w:rPr>
                <w:rFonts w:ascii="方正仿宋_GBK" w:hAnsi="宋体" w:eastAsia="方正仿宋_GBK" w:cs="宋体"/>
                <w:color w:val="000000"/>
                <w:kern w:val="0"/>
                <w:sz w:val="22"/>
                <w:szCs w:val="22"/>
              </w:rPr>
            </w:pPr>
          </w:p>
        </w:tc>
      </w:tr>
      <w:tr w14:paraId="376542DC">
        <w:tblPrEx>
          <w:tblCellMar>
            <w:top w:w="0" w:type="dxa"/>
            <w:left w:w="108" w:type="dxa"/>
            <w:bottom w:w="0" w:type="dxa"/>
            <w:right w:w="108" w:type="dxa"/>
          </w:tblCellMar>
        </w:tblPrEx>
        <w:trPr>
          <w:trHeight w:val="6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36B52333">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w:t>
            </w:r>
          </w:p>
        </w:tc>
        <w:tc>
          <w:tcPr>
            <w:tcW w:w="1136" w:type="dxa"/>
            <w:vMerge w:val="continue"/>
            <w:tcBorders>
              <w:top w:val="nil"/>
              <w:left w:val="single" w:color="000000" w:sz="8" w:space="0"/>
              <w:bottom w:val="nil"/>
              <w:right w:val="single" w:color="000000" w:sz="8" w:space="0"/>
            </w:tcBorders>
            <w:vAlign w:val="center"/>
          </w:tcPr>
          <w:p w14:paraId="078B2376">
            <w:pPr>
              <w:widowControl/>
              <w:jc w:val="left"/>
              <w:rPr>
                <w:rFonts w:ascii="方正仿宋_GBK" w:hAnsi="宋体" w:eastAsia="方正仿宋_GBK" w:cs="宋体"/>
                <w:color w:val="000000"/>
                <w:kern w:val="0"/>
                <w:sz w:val="22"/>
                <w:szCs w:val="22"/>
              </w:rPr>
            </w:pPr>
          </w:p>
        </w:tc>
        <w:tc>
          <w:tcPr>
            <w:tcW w:w="2268" w:type="dxa"/>
            <w:tcBorders>
              <w:top w:val="nil"/>
              <w:left w:val="nil"/>
              <w:bottom w:val="single" w:color="000000" w:sz="8" w:space="0"/>
              <w:right w:val="single" w:color="000000" w:sz="8" w:space="0"/>
            </w:tcBorders>
            <w:shd w:val="clear" w:color="auto" w:fill="auto"/>
            <w:vAlign w:val="center"/>
          </w:tcPr>
          <w:p w14:paraId="7FF7DC60">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安装钢轨橡胶板</w:t>
            </w:r>
          </w:p>
        </w:tc>
        <w:tc>
          <w:tcPr>
            <w:tcW w:w="1701" w:type="dxa"/>
            <w:tcBorders>
              <w:top w:val="nil"/>
              <w:left w:val="nil"/>
              <w:bottom w:val="single" w:color="000000" w:sz="8" w:space="0"/>
              <w:right w:val="single" w:color="000000" w:sz="8" w:space="0"/>
            </w:tcBorders>
            <w:shd w:val="clear" w:color="auto" w:fill="auto"/>
            <w:vAlign w:val="center"/>
          </w:tcPr>
          <w:p w14:paraId="70952DB5">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120*180*14mm</w:t>
            </w:r>
          </w:p>
        </w:tc>
        <w:tc>
          <w:tcPr>
            <w:tcW w:w="708" w:type="dxa"/>
            <w:tcBorders>
              <w:top w:val="nil"/>
              <w:left w:val="nil"/>
              <w:bottom w:val="single" w:color="000000" w:sz="8" w:space="0"/>
              <w:right w:val="single" w:color="000000" w:sz="8" w:space="0"/>
            </w:tcBorders>
            <w:shd w:val="clear" w:color="auto" w:fill="auto"/>
            <w:vAlign w:val="center"/>
          </w:tcPr>
          <w:p w14:paraId="17DFD0E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470</w:t>
            </w:r>
          </w:p>
        </w:tc>
        <w:tc>
          <w:tcPr>
            <w:tcW w:w="709" w:type="dxa"/>
            <w:tcBorders>
              <w:top w:val="nil"/>
              <w:left w:val="nil"/>
              <w:bottom w:val="single" w:color="000000" w:sz="8" w:space="0"/>
              <w:right w:val="single" w:color="000000" w:sz="8" w:space="0"/>
            </w:tcBorders>
            <w:shd w:val="clear" w:color="auto" w:fill="auto"/>
            <w:vAlign w:val="center"/>
          </w:tcPr>
          <w:p w14:paraId="17CA8E0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块</w:t>
            </w:r>
          </w:p>
        </w:tc>
        <w:tc>
          <w:tcPr>
            <w:tcW w:w="1109" w:type="dxa"/>
            <w:tcBorders>
              <w:top w:val="nil"/>
              <w:left w:val="nil"/>
              <w:bottom w:val="single" w:color="000000" w:sz="8" w:space="0"/>
              <w:right w:val="single" w:color="000000" w:sz="8" w:space="0"/>
            </w:tcBorders>
            <w:shd w:val="clear" w:color="auto" w:fill="auto"/>
            <w:vAlign w:val="center"/>
          </w:tcPr>
          <w:p w14:paraId="0F28C381">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619E1FC8">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continue"/>
            <w:tcBorders>
              <w:top w:val="nil"/>
              <w:left w:val="single" w:color="000000" w:sz="8" w:space="0"/>
              <w:bottom w:val="nil"/>
              <w:right w:val="single" w:color="000000" w:sz="8" w:space="0"/>
            </w:tcBorders>
            <w:vAlign w:val="center"/>
          </w:tcPr>
          <w:p w14:paraId="332BCD51">
            <w:pPr>
              <w:widowControl/>
              <w:jc w:val="left"/>
              <w:rPr>
                <w:rFonts w:ascii="方正仿宋_GBK" w:hAnsi="宋体" w:eastAsia="方正仿宋_GBK" w:cs="宋体"/>
                <w:color w:val="000000"/>
                <w:kern w:val="0"/>
                <w:sz w:val="22"/>
                <w:szCs w:val="22"/>
              </w:rPr>
            </w:pPr>
          </w:p>
        </w:tc>
      </w:tr>
      <w:tr w14:paraId="1B4AEA09">
        <w:tblPrEx>
          <w:tblCellMar>
            <w:top w:w="0" w:type="dxa"/>
            <w:left w:w="108" w:type="dxa"/>
            <w:bottom w:w="0" w:type="dxa"/>
            <w:right w:w="108" w:type="dxa"/>
          </w:tblCellMar>
        </w:tblPrEx>
        <w:trPr>
          <w:trHeight w:val="6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1A4ABC1D">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5</w:t>
            </w:r>
          </w:p>
        </w:tc>
        <w:tc>
          <w:tcPr>
            <w:tcW w:w="1136" w:type="dxa"/>
            <w:vMerge w:val="continue"/>
            <w:tcBorders>
              <w:top w:val="nil"/>
              <w:left w:val="single" w:color="000000" w:sz="8" w:space="0"/>
              <w:bottom w:val="nil"/>
              <w:right w:val="single" w:color="000000" w:sz="8" w:space="0"/>
            </w:tcBorders>
            <w:vAlign w:val="center"/>
          </w:tcPr>
          <w:p w14:paraId="39740747">
            <w:pPr>
              <w:widowControl/>
              <w:jc w:val="left"/>
              <w:rPr>
                <w:rFonts w:ascii="方正仿宋_GBK" w:hAnsi="宋体" w:eastAsia="方正仿宋_GBK" w:cs="宋体"/>
                <w:color w:val="000000"/>
                <w:kern w:val="0"/>
                <w:sz w:val="22"/>
                <w:szCs w:val="22"/>
              </w:rPr>
            </w:pPr>
          </w:p>
        </w:tc>
        <w:tc>
          <w:tcPr>
            <w:tcW w:w="2268" w:type="dxa"/>
            <w:tcBorders>
              <w:top w:val="nil"/>
              <w:left w:val="nil"/>
              <w:bottom w:val="single" w:color="000000" w:sz="8" w:space="0"/>
              <w:right w:val="single" w:color="000000" w:sz="8" w:space="0"/>
            </w:tcBorders>
            <w:shd w:val="clear" w:color="auto" w:fill="auto"/>
            <w:vAlign w:val="center"/>
          </w:tcPr>
          <w:p w14:paraId="6DEC6BE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安装校正门吊钢轨</w:t>
            </w:r>
          </w:p>
        </w:tc>
        <w:tc>
          <w:tcPr>
            <w:tcW w:w="1701" w:type="dxa"/>
            <w:tcBorders>
              <w:top w:val="nil"/>
              <w:left w:val="nil"/>
              <w:bottom w:val="single" w:color="000000" w:sz="8" w:space="0"/>
              <w:right w:val="single" w:color="000000" w:sz="8" w:space="0"/>
            </w:tcBorders>
            <w:shd w:val="clear" w:color="auto" w:fill="auto"/>
            <w:vAlign w:val="center"/>
          </w:tcPr>
          <w:p w14:paraId="75AB2937">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P50</w:t>
            </w:r>
          </w:p>
        </w:tc>
        <w:tc>
          <w:tcPr>
            <w:tcW w:w="708" w:type="dxa"/>
            <w:tcBorders>
              <w:top w:val="nil"/>
              <w:left w:val="nil"/>
              <w:bottom w:val="single" w:color="000000" w:sz="8" w:space="0"/>
              <w:right w:val="single" w:color="000000" w:sz="8" w:space="0"/>
            </w:tcBorders>
            <w:shd w:val="clear" w:color="auto" w:fill="auto"/>
            <w:vAlign w:val="center"/>
          </w:tcPr>
          <w:p w14:paraId="3F373308">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280</w:t>
            </w:r>
          </w:p>
        </w:tc>
        <w:tc>
          <w:tcPr>
            <w:tcW w:w="709" w:type="dxa"/>
            <w:tcBorders>
              <w:top w:val="nil"/>
              <w:left w:val="nil"/>
              <w:bottom w:val="single" w:color="000000" w:sz="8" w:space="0"/>
              <w:right w:val="single" w:color="000000" w:sz="8" w:space="0"/>
            </w:tcBorders>
            <w:shd w:val="clear" w:color="auto" w:fill="auto"/>
            <w:vAlign w:val="center"/>
          </w:tcPr>
          <w:p w14:paraId="277E300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米</w:t>
            </w:r>
          </w:p>
        </w:tc>
        <w:tc>
          <w:tcPr>
            <w:tcW w:w="1109" w:type="dxa"/>
            <w:tcBorders>
              <w:top w:val="nil"/>
              <w:left w:val="nil"/>
              <w:bottom w:val="single" w:color="000000" w:sz="8" w:space="0"/>
              <w:right w:val="single" w:color="000000" w:sz="8" w:space="0"/>
            </w:tcBorders>
            <w:shd w:val="clear" w:color="auto" w:fill="auto"/>
            <w:vAlign w:val="center"/>
          </w:tcPr>
          <w:p w14:paraId="56C84054">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7936AFDC">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continue"/>
            <w:tcBorders>
              <w:top w:val="nil"/>
              <w:left w:val="single" w:color="000000" w:sz="8" w:space="0"/>
              <w:bottom w:val="nil"/>
              <w:right w:val="single" w:color="000000" w:sz="8" w:space="0"/>
            </w:tcBorders>
            <w:vAlign w:val="center"/>
          </w:tcPr>
          <w:p w14:paraId="17BA08E2">
            <w:pPr>
              <w:widowControl/>
              <w:jc w:val="left"/>
              <w:rPr>
                <w:rFonts w:ascii="方正仿宋_GBK" w:hAnsi="宋体" w:eastAsia="方正仿宋_GBK" w:cs="宋体"/>
                <w:color w:val="000000"/>
                <w:kern w:val="0"/>
                <w:sz w:val="22"/>
                <w:szCs w:val="22"/>
              </w:rPr>
            </w:pPr>
          </w:p>
        </w:tc>
      </w:tr>
      <w:tr w14:paraId="4058A71B">
        <w:tblPrEx>
          <w:tblCellMar>
            <w:top w:w="0" w:type="dxa"/>
            <w:left w:w="108" w:type="dxa"/>
            <w:bottom w:w="0" w:type="dxa"/>
            <w:right w:w="108" w:type="dxa"/>
          </w:tblCellMar>
        </w:tblPrEx>
        <w:trPr>
          <w:trHeight w:val="6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4D7B67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6</w:t>
            </w:r>
          </w:p>
        </w:tc>
        <w:tc>
          <w:tcPr>
            <w:tcW w:w="1136" w:type="dxa"/>
            <w:vMerge w:val="continue"/>
            <w:tcBorders>
              <w:top w:val="nil"/>
              <w:left w:val="single" w:color="000000" w:sz="8" w:space="0"/>
              <w:bottom w:val="nil"/>
              <w:right w:val="single" w:color="000000" w:sz="8" w:space="0"/>
            </w:tcBorders>
            <w:vAlign w:val="center"/>
          </w:tcPr>
          <w:p w14:paraId="04E81ED7">
            <w:pPr>
              <w:widowControl/>
              <w:jc w:val="left"/>
              <w:rPr>
                <w:rFonts w:ascii="方正仿宋_GBK" w:hAnsi="宋体" w:eastAsia="方正仿宋_GBK" w:cs="宋体"/>
                <w:color w:val="000000"/>
                <w:kern w:val="0"/>
                <w:sz w:val="22"/>
                <w:szCs w:val="22"/>
              </w:rPr>
            </w:pPr>
          </w:p>
        </w:tc>
        <w:tc>
          <w:tcPr>
            <w:tcW w:w="2268" w:type="dxa"/>
            <w:tcBorders>
              <w:top w:val="nil"/>
              <w:left w:val="nil"/>
              <w:bottom w:val="single" w:color="000000" w:sz="8" w:space="0"/>
              <w:right w:val="single" w:color="000000" w:sz="8" w:space="0"/>
            </w:tcBorders>
            <w:shd w:val="clear" w:color="auto" w:fill="auto"/>
            <w:vAlign w:val="center"/>
          </w:tcPr>
          <w:p w14:paraId="27054AB3">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安装钢轨压板</w:t>
            </w:r>
          </w:p>
        </w:tc>
        <w:tc>
          <w:tcPr>
            <w:tcW w:w="1701" w:type="dxa"/>
            <w:tcBorders>
              <w:top w:val="nil"/>
              <w:left w:val="nil"/>
              <w:bottom w:val="single" w:color="000000" w:sz="8" w:space="0"/>
              <w:right w:val="single" w:color="000000" w:sz="8" w:space="0"/>
            </w:tcBorders>
            <w:shd w:val="clear" w:color="auto" w:fill="auto"/>
            <w:vAlign w:val="center"/>
          </w:tcPr>
          <w:p w14:paraId="2BF7AA4B">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c>
          <w:tcPr>
            <w:tcW w:w="708" w:type="dxa"/>
            <w:tcBorders>
              <w:top w:val="nil"/>
              <w:left w:val="nil"/>
              <w:bottom w:val="single" w:color="000000" w:sz="8" w:space="0"/>
              <w:right w:val="single" w:color="000000" w:sz="8" w:space="0"/>
            </w:tcBorders>
            <w:shd w:val="clear" w:color="auto" w:fill="auto"/>
            <w:vAlign w:val="center"/>
          </w:tcPr>
          <w:p w14:paraId="2549C4F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940</w:t>
            </w:r>
          </w:p>
        </w:tc>
        <w:tc>
          <w:tcPr>
            <w:tcW w:w="709" w:type="dxa"/>
            <w:tcBorders>
              <w:top w:val="nil"/>
              <w:left w:val="nil"/>
              <w:bottom w:val="single" w:color="000000" w:sz="8" w:space="0"/>
              <w:right w:val="single" w:color="000000" w:sz="8" w:space="0"/>
            </w:tcBorders>
            <w:shd w:val="clear" w:color="auto" w:fill="auto"/>
            <w:vAlign w:val="center"/>
          </w:tcPr>
          <w:p w14:paraId="0F328F3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块</w:t>
            </w:r>
          </w:p>
        </w:tc>
        <w:tc>
          <w:tcPr>
            <w:tcW w:w="1109" w:type="dxa"/>
            <w:tcBorders>
              <w:top w:val="nil"/>
              <w:left w:val="nil"/>
              <w:bottom w:val="single" w:color="000000" w:sz="8" w:space="0"/>
              <w:right w:val="single" w:color="000000" w:sz="8" w:space="0"/>
            </w:tcBorders>
            <w:shd w:val="clear" w:color="auto" w:fill="auto"/>
            <w:vAlign w:val="center"/>
          </w:tcPr>
          <w:p w14:paraId="3F91E9E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41B8F920">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continue"/>
            <w:tcBorders>
              <w:top w:val="nil"/>
              <w:left w:val="single" w:color="000000" w:sz="8" w:space="0"/>
              <w:bottom w:val="nil"/>
              <w:right w:val="single" w:color="000000" w:sz="8" w:space="0"/>
            </w:tcBorders>
            <w:vAlign w:val="center"/>
          </w:tcPr>
          <w:p w14:paraId="46C06FFA">
            <w:pPr>
              <w:widowControl/>
              <w:jc w:val="left"/>
              <w:rPr>
                <w:rFonts w:ascii="方正仿宋_GBK" w:hAnsi="宋体" w:eastAsia="方正仿宋_GBK" w:cs="宋体"/>
                <w:color w:val="000000"/>
                <w:kern w:val="0"/>
                <w:sz w:val="22"/>
                <w:szCs w:val="22"/>
              </w:rPr>
            </w:pPr>
          </w:p>
        </w:tc>
      </w:tr>
      <w:tr w14:paraId="643AAAF7">
        <w:tblPrEx>
          <w:tblCellMar>
            <w:top w:w="0" w:type="dxa"/>
            <w:left w:w="108" w:type="dxa"/>
            <w:bottom w:w="0" w:type="dxa"/>
            <w:right w:w="108" w:type="dxa"/>
          </w:tblCellMar>
        </w:tblPrEx>
        <w:trPr>
          <w:trHeight w:val="9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5F5224F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7</w:t>
            </w:r>
          </w:p>
        </w:tc>
        <w:tc>
          <w:tcPr>
            <w:tcW w:w="1136" w:type="dxa"/>
            <w:vMerge w:val="continue"/>
            <w:tcBorders>
              <w:top w:val="nil"/>
              <w:left w:val="single" w:color="000000" w:sz="8" w:space="0"/>
              <w:bottom w:val="nil"/>
              <w:right w:val="single" w:color="000000" w:sz="8" w:space="0"/>
            </w:tcBorders>
            <w:vAlign w:val="center"/>
          </w:tcPr>
          <w:p w14:paraId="3396FEF4">
            <w:pPr>
              <w:widowControl/>
              <w:jc w:val="left"/>
              <w:rPr>
                <w:rFonts w:ascii="方正仿宋_GBK" w:hAnsi="宋体" w:eastAsia="方正仿宋_GBK" w:cs="宋体"/>
                <w:color w:val="000000"/>
                <w:kern w:val="0"/>
                <w:sz w:val="22"/>
                <w:szCs w:val="22"/>
              </w:rPr>
            </w:pPr>
          </w:p>
        </w:tc>
        <w:tc>
          <w:tcPr>
            <w:tcW w:w="2268" w:type="dxa"/>
            <w:tcBorders>
              <w:top w:val="nil"/>
              <w:left w:val="nil"/>
              <w:bottom w:val="single" w:color="000000" w:sz="8" w:space="0"/>
              <w:right w:val="single" w:color="000000" w:sz="8" w:space="0"/>
            </w:tcBorders>
            <w:shd w:val="clear" w:color="auto" w:fill="auto"/>
            <w:vAlign w:val="center"/>
          </w:tcPr>
          <w:p w14:paraId="219D3BCF">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更换平垫、弹簧垫片、螺帽</w:t>
            </w:r>
          </w:p>
        </w:tc>
        <w:tc>
          <w:tcPr>
            <w:tcW w:w="1701" w:type="dxa"/>
            <w:tcBorders>
              <w:top w:val="nil"/>
              <w:left w:val="nil"/>
              <w:bottom w:val="single" w:color="000000" w:sz="8" w:space="0"/>
              <w:right w:val="single" w:color="000000" w:sz="8" w:space="0"/>
            </w:tcBorders>
            <w:shd w:val="clear" w:color="auto" w:fill="auto"/>
            <w:vAlign w:val="center"/>
          </w:tcPr>
          <w:p w14:paraId="0F17CE51">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M22</w:t>
            </w:r>
          </w:p>
        </w:tc>
        <w:tc>
          <w:tcPr>
            <w:tcW w:w="708" w:type="dxa"/>
            <w:tcBorders>
              <w:top w:val="nil"/>
              <w:left w:val="nil"/>
              <w:bottom w:val="single" w:color="000000" w:sz="8" w:space="0"/>
              <w:right w:val="single" w:color="000000" w:sz="8" w:space="0"/>
            </w:tcBorders>
            <w:shd w:val="clear" w:color="auto" w:fill="auto"/>
            <w:vAlign w:val="center"/>
          </w:tcPr>
          <w:p w14:paraId="7AE5435D">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940</w:t>
            </w:r>
          </w:p>
        </w:tc>
        <w:tc>
          <w:tcPr>
            <w:tcW w:w="709" w:type="dxa"/>
            <w:tcBorders>
              <w:top w:val="nil"/>
              <w:left w:val="nil"/>
              <w:bottom w:val="single" w:color="000000" w:sz="8" w:space="0"/>
              <w:right w:val="single" w:color="000000" w:sz="8" w:space="0"/>
            </w:tcBorders>
            <w:shd w:val="clear" w:color="auto" w:fill="auto"/>
            <w:vAlign w:val="center"/>
          </w:tcPr>
          <w:p w14:paraId="43D24F7C">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套</w:t>
            </w:r>
          </w:p>
        </w:tc>
        <w:tc>
          <w:tcPr>
            <w:tcW w:w="1109" w:type="dxa"/>
            <w:tcBorders>
              <w:top w:val="nil"/>
              <w:left w:val="nil"/>
              <w:bottom w:val="single" w:color="000000" w:sz="8" w:space="0"/>
              <w:right w:val="single" w:color="000000" w:sz="8" w:space="0"/>
            </w:tcBorders>
            <w:shd w:val="clear" w:color="auto" w:fill="auto"/>
            <w:vAlign w:val="center"/>
          </w:tcPr>
          <w:p w14:paraId="079BE9CE">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08A41FA5">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continue"/>
            <w:tcBorders>
              <w:top w:val="nil"/>
              <w:left w:val="single" w:color="000000" w:sz="8" w:space="0"/>
              <w:bottom w:val="nil"/>
              <w:right w:val="single" w:color="000000" w:sz="8" w:space="0"/>
            </w:tcBorders>
            <w:vAlign w:val="center"/>
          </w:tcPr>
          <w:p w14:paraId="526A956E">
            <w:pPr>
              <w:widowControl/>
              <w:jc w:val="left"/>
              <w:rPr>
                <w:rFonts w:ascii="方正仿宋_GBK" w:hAnsi="宋体" w:eastAsia="方正仿宋_GBK" w:cs="宋体"/>
                <w:color w:val="000000"/>
                <w:kern w:val="0"/>
                <w:sz w:val="22"/>
                <w:szCs w:val="22"/>
              </w:rPr>
            </w:pPr>
          </w:p>
        </w:tc>
      </w:tr>
      <w:tr w14:paraId="0E1C1B80">
        <w:tblPrEx>
          <w:tblCellMar>
            <w:top w:w="0" w:type="dxa"/>
            <w:left w:w="108" w:type="dxa"/>
            <w:bottom w:w="0" w:type="dxa"/>
            <w:right w:w="108" w:type="dxa"/>
          </w:tblCellMar>
        </w:tblPrEx>
        <w:trPr>
          <w:trHeight w:val="61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FDEB23C">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8</w:t>
            </w:r>
          </w:p>
        </w:tc>
        <w:tc>
          <w:tcPr>
            <w:tcW w:w="1136" w:type="dxa"/>
            <w:vMerge w:val="continue"/>
            <w:tcBorders>
              <w:top w:val="nil"/>
              <w:left w:val="single" w:color="000000" w:sz="8" w:space="0"/>
              <w:bottom w:val="nil"/>
              <w:right w:val="single" w:color="000000" w:sz="8" w:space="0"/>
            </w:tcBorders>
            <w:vAlign w:val="center"/>
          </w:tcPr>
          <w:p w14:paraId="478A3161">
            <w:pPr>
              <w:widowControl/>
              <w:jc w:val="left"/>
              <w:rPr>
                <w:rFonts w:ascii="方正仿宋_GBK" w:hAnsi="宋体" w:eastAsia="方正仿宋_GBK" w:cs="宋体"/>
                <w:color w:val="000000"/>
                <w:kern w:val="0"/>
                <w:sz w:val="22"/>
                <w:szCs w:val="22"/>
              </w:rPr>
            </w:pPr>
          </w:p>
        </w:tc>
        <w:tc>
          <w:tcPr>
            <w:tcW w:w="2268" w:type="dxa"/>
            <w:tcBorders>
              <w:top w:val="nil"/>
              <w:left w:val="nil"/>
              <w:bottom w:val="single" w:color="000000" w:sz="8" w:space="0"/>
              <w:right w:val="single" w:color="000000" w:sz="8" w:space="0"/>
            </w:tcBorders>
            <w:shd w:val="clear" w:color="auto" w:fill="auto"/>
            <w:vAlign w:val="center"/>
          </w:tcPr>
          <w:p w14:paraId="0274048E">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制安临时车挡</w:t>
            </w:r>
          </w:p>
        </w:tc>
        <w:tc>
          <w:tcPr>
            <w:tcW w:w="1701" w:type="dxa"/>
            <w:tcBorders>
              <w:top w:val="nil"/>
              <w:left w:val="nil"/>
              <w:bottom w:val="single" w:color="000000" w:sz="8" w:space="0"/>
              <w:right w:val="single" w:color="000000" w:sz="8" w:space="0"/>
            </w:tcBorders>
            <w:shd w:val="clear" w:color="auto" w:fill="auto"/>
            <w:vAlign w:val="center"/>
          </w:tcPr>
          <w:p w14:paraId="4721C573">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定制</w:t>
            </w:r>
          </w:p>
        </w:tc>
        <w:tc>
          <w:tcPr>
            <w:tcW w:w="708" w:type="dxa"/>
            <w:tcBorders>
              <w:top w:val="nil"/>
              <w:left w:val="nil"/>
              <w:bottom w:val="single" w:color="000000" w:sz="8" w:space="0"/>
              <w:right w:val="single" w:color="000000" w:sz="8" w:space="0"/>
            </w:tcBorders>
            <w:shd w:val="clear" w:color="auto" w:fill="auto"/>
            <w:vAlign w:val="center"/>
          </w:tcPr>
          <w:p w14:paraId="42F5A361">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w:t>
            </w:r>
          </w:p>
        </w:tc>
        <w:tc>
          <w:tcPr>
            <w:tcW w:w="709" w:type="dxa"/>
            <w:tcBorders>
              <w:top w:val="nil"/>
              <w:left w:val="nil"/>
              <w:bottom w:val="single" w:color="000000" w:sz="8" w:space="0"/>
              <w:right w:val="single" w:color="000000" w:sz="8" w:space="0"/>
            </w:tcBorders>
            <w:shd w:val="clear" w:color="auto" w:fill="auto"/>
            <w:vAlign w:val="center"/>
          </w:tcPr>
          <w:p w14:paraId="5FB29BB4">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只</w:t>
            </w:r>
          </w:p>
        </w:tc>
        <w:tc>
          <w:tcPr>
            <w:tcW w:w="1109" w:type="dxa"/>
            <w:tcBorders>
              <w:top w:val="nil"/>
              <w:left w:val="nil"/>
              <w:bottom w:val="single" w:color="000000" w:sz="8" w:space="0"/>
              <w:right w:val="single" w:color="000000" w:sz="8" w:space="0"/>
            </w:tcBorders>
            <w:shd w:val="clear" w:color="auto" w:fill="auto"/>
            <w:vAlign w:val="center"/>
          </w:tcPr>
          <w:p w14:paraId="75351B87">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76" w:type="dxa"/>
            <w:tcBorders>
              <w:top w:val="nil"/>
              <w:left w:val="nil"/>
              <w:bottom w:val="single" w:color="000000" w:sz="8" w:space="0"/>
              <w:right w:val="single" w:color="000000" w:sz="8" w:space="0"/>
            </w:tcBorders>
            <w:shd w:val="clear" w:color="auto" w:fill="auto"/>
            <w:vAlign w:val="center"/>
          </w:tcPr>
          <w:p w14:paraId="14D49219">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850" w:type="dxa"/>
            <w:vMerge w:val="continue"/>
            <w:tcBorders>
              <w:top w:val="nil"/>
              <w:left w:val="single" w:color="000000" w:sz="8" w:space="0"/>
              <w:bottom w:val="nil"/>
              <w:right w:val="single" w:color="000000" w:sz="8" w:space="0"/>
            </w:tcBorders>
            <w:vAlign w:val="center"/>
          </w:tcPr>
          <w:p w14:paraId="3611CEB5">
            <w:pPr>
              <w:widowControl/>
              <w:jc w:val="left"/>
              <w:rPr>
                <w:rFonts w:ascii="方正仿宋_GBK" w:hAnsi="宋体" w:eastAsia="方正仿宋_GBK" w:cs="宋体"/>
                <w:color w:val="000000"/>
                <w:kern w:val="0"/>
                <w:sz w:val="22"/>
                <w:szCs w:val="22"/>
              </w:rPr>
            </w:pPr>
          </w:p>
        </w:tc>
      </w:tr>
      <w:tr w14:paraId="6AEC2213">
        <w:tblPrEx>
          <w:tblCellMar>
            <w:top w:w="0" w:type="dxa"/>
            <w:left w:w="108" w:type="dxa"/>
            <w:bottom w:w="0" w:type="dxa"/>
            <w:right w:w="108" w:type="dxa"/>
          </w:tblCellMar>
        </w:tblPrEx>
        <w:trPr>
          <w:trHeight w:val="315" w:hRule="atLeast"/>
        </w:trPr>
        <w:tc>
          <w:tcPr>
            <w:tcW w:w="10065" w:type="dxa"/>
            <w:gridSpan w:val="9"/>
            <w:tcBorders>
              <w:top w:val="single" w:color="000000" w:sz="8" w:space="0"/>
              <w:left w:val="single" w:color="000000" w:sz="8" w:space="0"/>
              <w:bottom w:val="single" w:color="000000" w:sz="8" w:space="0"/>
              <w:right w:val="single" w:color="000000" w:sz="8" w:space="0"/>
            </w:tcBorders>
            <w:shd w:val="clear" w:color="auto" w:fill="auto"/>
            <w:vAlign w:val="center"/>
          </w:tcPr>
          <w:p w14:paraId="2E5C46B5">
            <w:pPr>
              <w:widowControl/>
              <w:jc w:val="left"/>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以上合计总价（小写）：</w:t>
            </w:r>
          </w:p>
        </w:tc>
      </w:tr>
    </w:tbl>
    <w:p w14:paraId="33F1357A">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color w:val="FF0000"/>
          <w:sz w:val="32"/>
          <w:szCs w:val="32"/>
        </w:rPr>
        <w:t>注：最终按实结算。</w:t>
      </w:r>
    </w:p>
    <w:p w14:paraId="3E926DA3">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按报价格式进行填报，每格均需填报。</w:t>
      </w:r>
    </w:p>
    <w:p w14:paraId="6D0B65AF">
      <w:pPr>
        <w:widowControl/>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kern w:val="1"/>
          <w:sz w:val="32"/>
          <w:szCs w:val="32"/>
        </w:rPr>
        <w:t>三、</w:t>
      </w:r>
      <w:r>
        <w:rPr>
          <w:rFonts w:hint="eastAsia" w:ascii="方正仿宋_GBK" w:hAnsi="方正仿宋简体" w:eastAsia="方正仿宋_GBK" w:cs="方正仿宋简体"/>
          <w:bCs/>
          <w:sz w:val="32"/>
          <w:szCs w:val="32"/>
        </w:rPr>
        <w:t>交货及施工时间</w:t>
      </w:r>
      <w:r>
        <w:rPr>
          <w:rFonts w:hint="eastAsia" w:ascii="方正仿宋_GBK" w:hAnsi="方正仿宋简体" w:eastAsia="方正仿宋_GBK" w:cs="方正仿宋简体"/>
          <w:sz w:val="32"/>
          <w:szCs w:val="32"/>
        </w:rPr>
        <w:t>：</w:t>
      </w:r>
      <w:r>
        <w:rPr>
          <w:rFonts w:hint="eastAsia" w:ascii="方正仿宋_GBK" w:hAnsi="方正仿宋简体" w:eastAsia="方正仿宋_GBK" w:cs="方正仿宋简体"/>
          <w:sz w:val="32"/>
          <w:szCs w:val="32"/>
          <w:u w:val="single"/>
        </w:rPr>
        <w:t>合同签订且采购方具备施工条件后</w:t>
      </w:r>
      <w:r>
        <w:rPr>
          <w:rFonts w:ascii="方正仿宋_GBK" w:hAnsi="方正仿宋简体" w:eastAsia="方正仿宋_GBK" w:cs="方正仿宋简体"/>
          <w:color w:val="FF0000"/>
          <w:sz w:val="32"/>
          <w:szCs w:val="32"/>
          <w:u w:val="single"/>
        </w:rPr>
        <w:t>20</w:t>
      </w:r>
      <w:r>
        <w:rPr>
          <w:rFonts w:hint="eastAsia" w:ascii="方正仿宋_GBK" w:hAnsi="方正仿宋简体" w:eastAsia="方正仿宋_GBK" w:cs="方正仿宋简体"/>
          <w:color w:val="FF0000"/>
          <w:sz w:val="32"/>
          <w:szCs w:val="32"/>
          <w:u w:val="single"/>
        </w:rPr>
        <w:t>个自然日内</w:t>
      </w:r>
      <w:r>
        <w:rPr>
          <w:rFonts w:hint="eastAsia" w:ascii="方正仿宋_GBK" w:hAnsi="方正仿宋简体" w:eastAsia="方正仿宋_GBK" w:cs="方正仿宋简体"/>
          <w:sz w:val="32"/>
          <w:szCs w:val="32"/>
          <w:u w:val="single"/>
        </w:rPr>
        <w:t>完成</w:t>
      </w:r>
      <w:r>
        <w:rPr>
          <w:rFonts w:hint="eastAsia" w:ascii="方正仿宋_GBK" w:hAnsi="方正仿宋简体" w:eastAsia="方正仿宋_GBK" w:cs="方正仿宋简体"/>
          <w:kern w:val="44"/>
          <w:sz w:val="32"/>
          <w:szCs w:val="32"/>
          <w:u w:val="single"/>
        </w:rPr>
        <w:t>。</w:t>
      </w:r>
    </w:p>
    <w:p w14:paraId="40A4B66A">
      <w:pPr>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四、我方承诺遵守比选文书中的全部规定。</w:t>
      </w:r>
    </w:p>
    <w:p w14:paraId="540767CB">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bCs/>
          <w:kern w:val="1"/>
          <w:sz w:val="32"/>
          <w:szCs w:val="32"/>
        </w:rPr>
        <w:t>五、我方承诺中选后双方签订合同,并承担合同规定的责任义务。</w:t>
      </w:r>
    </w:p>
    <w:p w14:paraId="40997F1B">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sz w:val="32"/>
          <w:szCs w:val="32"/>
          <w:shd w:val="clear" w:color="auto" w:fill="FFFFFF"/>
        </w:rPr>
        <w:t>六、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720A4524">
      <w:pPr>
        <w:spacing w:line="600" w:lineRule="exact"/>
        <w:ind w:firstLine="640" w:firstLineChars="200"/>
        <w:jc w:val="left"/>
        <w:rPr>
          <w:rFonts w:ascii="方正仿宋_GBK" w:hAnsi="方正仿宋简体" w:eastAsia="方正仿宋_GBK" w:cs="方正仿宋简体"/>
          <w:sz w:val="32"/>
          <w:szCs w:val="32"/>
          <w:shd w:val="clear" w:color="auto" w:fill="FFFFFF"/>
        </w:rPr>
      </w:pPr>
      <w:r>
        <w:rPr>
          <w:rFonts w:hint="eastAsia" w:ascii="方正仿宋_GBK" w:hAnsi="方正仿宋简体" w:eastAsia="方正仿宋_GBK" w:cs="方正仿宋简体"/>
          <w:bCs/>
          <w:kern w:val="1"/>
          <w:sz w:val="32"/>
          <w:szCs w:val="32"/>
        </w:rPr>
        <w:t>七、愿意向贵方提供任何与该项报价有关的数据、情况和技术资料，</w:t>
      </w:r>
      <w:r>
        <w:rPr>
          <w:rFonts w:hint="eastAsia" w:ascii="方正仿宋_GBK" w:hAnsi="方正仿宋简体" w:eastAsia="方正仿宋_GBK" w:cs="方正仿宋简体"/>
          <w:sz w:val="32"/>
          <w:szCs w:val="32"/>
          <w:shd w:val="clear" w:color="auto" w:fill="FFFFFF"/>
        </w:rPr>
        <w:t>完全理解贵方不一定接受最低价的报价或收到的任何报价。</w:t>
      </w:r>
    </w:p>
    <w:p w14:paraId="7C29031D">
      <w:pPr>
        <w:pStyle w:val="7"/>
        <w:spacing w:after="0" w:line="600" w:lineRule="exact"/>
        <w:ind w:firstLine="640" w:firstLineChars="200"/>
        <w:rPr>
          <w:rFonts w:ascii="方正仿宋_GBK" w:hAnsi="方正仿宋简体" w:eastAsia="方正仿宋_GBK" w:cs="方正仿宋简体"/>
          <w:color w:val="000000"/>
          <w:sz w:val="32"/>
          <w:szCs w:val="32"/>
        </w:rPr>
      </w:pPr>
      <w:r>
        <w:rPr>
          <w:rFonts w:hint="eastAsia" w:ascii="方正仿宋_GBK" w:hAnsi="方正仿宋简体" w:eastAsia="方正仿宋_GBK" w:cs="方正仿宋简体"/>
          <w:bCs/>
          <w:color w:val="000000"/>
          <w:kern w:val="1"/>
          <w:sz w:val="32"/>
          <w:szCs w:val="32"/>
        </w:rPr>
        <w:t>八、报价单位其他说明情况：</w:t>
      </w:r>
      <w:r>
        <w:rPr>
          <w:rFonts w:hint="eastAsia" w:ascii="方正仿宋_GBK" w:hAnsi="方正仿宋简体" w:eastAsia="方正仿宋_GBK" w:cs="方正仿宋简体"/>
          <w:color w:val="000000"/>
          <w:kern w:val="1"/>
          <w:sz w:val="32"/>
          <w:szCs w:val="32"/>
          <w:u w:val="single"/>
        </w:rPr>
        <w:t xml:space="preserve">               </w:t>
      </w:r>
    </w:p>
    <w:p w14:paraId="0D6C007B">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全权代表：</w:t>
      </w:r>
    </w:p>
    <w:p w14:paraId="7789443D">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联系电话：</w:t>
      </w:r>
    </w:p>
    <w:p w14:paraId="4947903E">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报价单位（盖章）：</w:t>
      </w:r>
    </w:p>
    <w:p w14:paraId="3B2AC411">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日期：</w:t>
      </w:r>
    </w:p>
    <w:p w14:paraId="487DFA1F">
      <w:pPr>
        <w:widowControl/>
        <w:jc w:val="left"/>
        <w:rPr>
          <w:rFonts w:ascii="方正仿宋简体" w:hAnsi="方正仿宋简体" w:eastAsia="方正仿宋简体" w:cs="方正仿宋简体"/>
          <w:kern w:val="1"/>
        </w:rPr>
      </w:pPr>
      <w:r>
        <w:rPr>
          <w:rFonts w:ascii="方正仿宋简体" w:hAnsi="方正仿宋简体" w:eastAsia="方正仿宋简体" w:cs="方正仿宋简体"/>
          <w:kern w:val="1"/>
        </w:rPr>
        <w:br w:type="page"/>
      </w:r>
    </w:p>
    <w:p w14:paraId="0B69E1E8">
      <w:pPr>
        <w:pStyle w:val="15"/>
        <w:adjustRightInd w:val="0"/>
        <w:snapToGrid w:val="0"/>
        <w:spacing w:before="0" w:after="0" w:line="600" w:lineRule="exact"/>
        <w:jc w:val="left"/>
        <w:rPr>
          <w:rFonts w:ascii="方正黑体_GBK" w:hAnsi="方正黑体_GBK" w:eastAsia="方正黑体_GBK" w:cs="方正黑体_GBK"/>
          <w:b w:val="0"/>
        </w:rPr>
      </w:pPr>
      <w:r>
        <w:rPr>
          <w:rFonts w:hint="eastAsia" w:ascii="方正仿宋简体" w:hAnsi="方正仿宋简体" w:eastAsia="方正仿宋简体" w:cs="方正仿宋简体"/>
          <w:kern w:val="1"/>
        </w:rPr>
        <w:t>附件1</w:t>
      </w:r>
    </w:p>
    <w:p w14:paraId="340449E4">
      <w:pPr>
        <w:pStyle w:val="15"/>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1C3C9A3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17033BC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76641D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9F0F95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2F3760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3143BF9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52348E2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商务合作部负责归口公司采购负面清单，具体工作由海纳川各部室及直属单位共同承担。</w:t>
      </w:r>
    </w:p>
    <w:p w14:paraId="13DA1D6C">
      <w:pPr>
        <w:tabs>
          <w:tab w:val="left" w:pos="2565"/>
        </w:tabs>
        <w:spacing w:line="600" w:lineRule="exact"/>
        <w:rPr>
          <w:rFonts w:ascii="方正仿宋简体" w:hAnsi="方正仿宋简体" w:eastAsia="方正仿宋简体" w:cs="方正仿宋简体"/>
          <w:sz w:val="32"/>
          <w:szCs w:val="32"/>
        </w:rPr>
      </w:pPr>
    </w:p>
    <w:p w14:paraId="74FC33FD">
      <w:pPr>
        <w:tabs>
          <w:tab w:val="left" w:pos="2565"/>
        </w:tabs>
        <w:spacing w:line="600" w:lineRule="exact"/>
        <w:rPr>
          <w:rFonts w:ascii="方正仿宋简体" w:hAnsi="方正仿宋简体" w:eastAsia="方正仿宋简体" w:cs="方正仿宋简体"/>
          <w:sz w:val="32"/>
          <w:szCs w:val="32"/>
        </w:rPr>
      </w:pPr>
    </w:p>
    <w:p w14:paraId="1D32C751">
      <w:pPr>
        <w:tabs>
          <w:tab w:val="left" w:pos="2565"/>
        </w:tabs>
        <w:spacing w:line="600" w:lineRule="exact"/>
        <w:rPr>
          <w:rFonts w:ascii="方正仿宋简体" w:hAnsi="方正仿宋简体" w:eastAsia="方正仿宋简体" w:cs="方正仿宋简体"/>
          <w:sz w:val="32"/>
          <w:szCs w:val="32"/>
        </w:rPr>
      </w:pPr>
    </w:p>
    <w:p w14:paraId="409C5C6C">
      <w:pPr>
        <w:pStyle w:val="7"/>
      </w:pPr>
    </w:p>
    <w:p w14:paraId="73F9ACD9">
      <w:pPr>
        <w:tabs>
          <w:tab w:val="left" w:pos="2565"/>
        </w:tabs>
        <w:ind w:firstLine="640" w:firstLineChars="200"/>
        <w:rPr>
          <w:rFonts w:ascii="方正仿宋简体" w:hAnsi="方正仿宋简体" w:eastAsia="方正仿宋简体" w:cs="方正仿宋简体"/>
          <w:sz w:val="32"/>
          <w:szCs w:val="32"/>
        </w:rPr>
      </w:pPr>
      <w:r>
        <w:rPr>
          <w:rFonts w:ascii="方正仿宋简体" w:hAnsi="方正仿宋简体" w:eastAsia="方正仿宋简体" w:cs="方正仿宋简体"/>
          <w:sz w:val="32"/>
          <w:szCs w:val="32"/>
        </w:rPr>
        <w:t>（二）</w:t>
      </w:r>
      <w:r>
        <w:rPr>
          <w:rFonts w:hint="eastAsia" w:ascii="方正仿宋简体" w:hAnsi="方正仿宋简体" w:eastAsia="方正仿宋简体" w:cs="方正仿宋简体"/>
          <w:sz w:val="32"/>
          <w:szCs w:val="32"/>
        </w:rPr>
        <w:t>负面清单确定流程</w:t>
      </w:r>
    </w:p>
    <w:p w14:paraId="2C5717E1">
      <w:pPr>
        <w:tabs>
          <w:tab w:val="left" w:pos="2565"/>
        </w:tabs>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eastAsia="方正黑体_GBK"/>
          <w:sz w:val="32"/>
          <w:szCs w:val="32"/>
        </w:rPr>
        <w:drawing>
          <wp:inline distT="0" distB="0" distL="0" distR="0">
            <wp:extent cx="5267325" cy="7096125"/>
            <wp:effectExtent l="0" t="0" r="9525" b="9525"/>
            <wp:docPr id="3" name="图片 3" descr="负面清单流程图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负面清单流程图截图"/>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7325" cy="7096125"/>
                    </a:xfrm>
                    <a:prstGeom prst="rect">
                      <a:avLst/>
                    </a:prstGeom>
                    <a:noFill/>
                    <a:ln>
                      <a:noFill/>
                    </a:ln>
                    <a:effectLst/>
                  </pic:spPr>
                </pic:pic>
              </a:graphicData>
            </a:graphic>
          </wp:inline>
        </w:drawing>
      </w:r>
      <w:r>
        <w:rPr>
          <w:rFonts w:hint="eastAsia" w:ascii="方正仿宋简体" w:hAnsi="方正仿宋简体" w:eastAsia="方正仿宋简体" w:cs="方正仿宋简体"/>
          <w:sz w:val="32"/>
          <w:szCs w:val="32"/>
        </w:rPr>
        <w:t>供应商积分管理</w:t>
      </w:r>
    </w:p>
    <w:p w14:paraId="587CD7C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3ADC46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商务合作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A7F732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20D909A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792886D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6309C19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78420E1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521AF60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7696BA90">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097EB3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6B19631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6D21948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C06AE9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1B50C86F">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671E8BC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52E90C1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7C488EF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54704CE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1B88956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30A3C603">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C7A31B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C3AFA0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5A1F9CC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EDEF9F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12B7B6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3047D1">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54FA497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61290CF4">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23576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4C70792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015B0D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30C478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7C3751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3F3C02C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EC13F64">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956782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5593D61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13C903B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F36260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22BC424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3C61B55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8EBC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E973C7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4A36AA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B397A9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51F979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F7FA96">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42013F5B">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43FEA0B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37E3B11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5EC0F2F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585A399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D023F2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3EB7FD3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222253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2E2B95E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11EB19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38A2A28">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3396823">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45A50BD2">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r>
        <w:rPr>
          <w:rFonts w:eastAsia="方正仿宋简体"/>
          <w:sz w:val="32"/>
          <w:szCs w:val="32"/>
        </w:rPr>
        <w:t>，相关流程如下：</w:t>
      </w:r>
    </w:p>
    <w:p w14:paraId="5D163A51">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05FC833A">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4885211B">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1BCC8EFA">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215DF66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eastAsia="方正仿宋简体"/>
          <w:sz w:val="32"/>
          <w:szCs w:val="32"/>
        </w:rPr>
        <w:t>商务合作部牵头组织相关部门对供应商提供的文件材料进行确认，必要时组织现场考察，并形成专题会议纪要</w:t>
      </w:r>
      <w:r>
        <w:rPr>
          <w:rFonts w:hint="eastAsia" w:ascii="方正仿宋简体" w:hAnsi="方正仿宋简体" w:eastAsia="方正仿宋简体" w:cs="方正仿宋简体"/>
          <w:sz w:val="32"/>
          <w:szCs w:val="32"/>
        </w:rPr>
        <w:t>；</w:t>
      </w:r>
    </w:p>
    <w:p w14:paraId="5FF80F4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eastAsia="方正仿宋简体"/>
          <w:sz w:val="32"/>
          <w:szCs w:val="32"/>
        </w:rPr>
        <w:t>商务合作部将会议讨论结果报经营调度会讨论，通后将供应商从负面清单中消除</w:t>
      </w:r>
      <w:r>
        <w:rPr>
          <w:rFonts w:hint="eastAsia" w:ascii="方正仿宋简体" w:hAnsi="方正仿宋简体" w:eastAsia="方正仿宋简体" w:cs="方正仿宋简体"/>
          <w:sz w:val="32"/>
          <w:szCs w:val="32"/>
        </w:rPr>
        <w:t>。</w:t>
      </w:r>
    </w:p>
    <w:p w14:paraId="1414ED7F">
      <w:pPr>
        <w:pStyle w:val="7"/>
      </w:pPr>
    </w:p>
    <w:p w14:paraId="6CB024F5">
      <w:pPr>
        <w:spacing w:line="600" w:lineRule="exact"/>
        <w:ind w:firstLine="675"/>
        <w:rPr>
          <w:rFonts w:ascii="方正仿宋简体" w:hAnsi="方正仿宋简体" w:eastAsia="方正仿宋简体" w:cs="方正仿宋简体"/>
          <w:sz w:val="32"/>
          <w:szCs w:val="32"/>
        </w:rPr>
      </w:pPr>
    </w:p>
    <w:p w14:paraId="328B195A">
      <w:pPr>
        <w:spacing w:line="600" w:lineRule="exact"/>
        <w:ind w:firstLine="675"/>
        <w:rPr>
          <w:rFonts w:ascii="方正仿宋简体" w:hAnsi="方正仿宋简体" w:eastAsia="方正仿宋简体" w:cs="方正仿宋简体"/>
          <w:sz w:val="32"/>
          <w:szCs w:val="32"/>
        </w:rPr>
      </w:pPr>
    </w:p>
    <w:p w14:paraId="5A07CEBF">
      <w:pPr>
        <w:spacing w:line="600" w:lineRule="exact"/>
        <w:ind w:firstLine="675"/>
        <w:rPr>
          <w:rFonts w:ascii="方正仿宋简体" w:hAnsi="方正仿宋简体" w:eastAsia="方正仿宋简体" w:cs="方正仿宋简体"/>
          <w:sz w:val="32"/>
          <w:szCs w:val="32"/>
        </w:rPr>
      </w:pPr>
    </w:p>
    <w:p w14:paraId="5D018841">
      <w:pPr>
        <w:spacing w:line="600" w:lineRule="exact"/>
        <w:ind w:firstLine="675"/>
        <w:rPr>
          <w:rFonts w:ascii="方正仿宋简体" w:hAnsi="方正仿宋简体" w:eastAsia="方正仿宋简体" w:cs="方正仿宋简体"/>
          <w:sz w:val="32"/>
          <w:szCs w:val="32"/>
        </w:rPr>
      </w:pPr>
    </w:p>
    <w:p w14:paraId="5CC5009C">
      <w:pPr>
        <w:pStyle w:val="7"/>
      </w:pPr>
    </w:p>
    <w:p w14:paraId="4971B1DA">
      <w:pPr>
        <w:pStyle w:val="8"/>
      </w:pPr>
    </w:p>
    <w:p w14:paraId="7083AAB4">
      <w:pPr>
        <w:pStyle w:val="8"/>
      </w:pPr>
    </w:p>
    <w:p w14:paraId="1748E4A5">
      <w:pPr>
        <w:pStyle w:val="8"/>
      </w:pPr>
    </w:p>
    <w:p w14:paraId="42153726">
      <w:pPr>
        <w:pStyle w:val="8"/>
      </w:pPr>
    </w:p>
    <w:p w14:paraId="4D6A5F4D">
      <w:pPr>
        <w:pStyle w:val="8"/>
      </w:pPr>
    </w:p>
    <w:p w14:paraId="704A8BA5">
      <w:pPr>
        <w:pStyle w:val="8"/>
      </w:pPr>
    </w:p>
    <w:p w14:paraId="3D70B198">
      <w:pPr>
        <w:pStyle w:val="8"/>
      </w:pPr>
    </w:p>
    <w:p w14:paraId="0EA78531">
      <w:pPr>
        <w:pStyle w:val="8"/>
      </w:pPr>
    </w:p>
    <w:p w14:paraId="601160FE">
      <w:pPr>
        <w:pStyle w:val="8"/>
      </w:pPr>
    </w:p>
    <w:p w14:paraId="20BF3BCD">
      <w:pPr>
        <w:pStyle w:val="8"/>
      </w:pPr>
    </w:p>
    <w:p w14:paraId="73097D45">
      <w:pPr>
        <w:pStyle w:val="15"/>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6B5F2E15"/>
    <w:p w14:paraId="0E59DDB5">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61410E54">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58F31FEE">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49F61A48">
      <w:pPr>
        <w:spacing w:line="440" w:lineRule="exact"/>
        <w:rPr>
          <w:rFonts w:ascii="宋体" w:hAnsi="宋体"/>
          <w:bCs/>
          <w:sz w:val="24"/>
          <w:szCs w:val="24"/>
        </w:rPr>
      </w:pPr>
      <w:r>
        <w:rPr>
          <w:rFonts w:hint="eastAsia" w:ascii="宋体" w:hAnsi="宋体"/>
          <w:bCs/>
          <w:sz w:val="24"/>
          <w:szCs w:val="24"/>
        </w:rPr>
        <w:t xml:space="preserve">                                     </w:t>
      </w:r>
    </w:p>
    <w:p w14:paraId="58A19AFC">
      <w:pPr>
        <w:pStyle w:val="4"/>
        <w:spacing w:line="440" w:lineRule="exact"/>
        <w:jc w:val="center"/>
        <w:rPr>
          <w:rFonts w:ascii="宋体" w:hAnsi="宋体"/>
          <w:b w:val="0"/>
          <w:sz w:val="24"/>
          <w:szCs w:val="21"/>
        </w:rPr>
      </w:pPr>
    </w:p>
    <w:p w14:paraId="66D9A368">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32D284DB">
      <w:pPr>
        <w:pStyle w:val="4"/>
        <w:spacing w:line="440" w:lineRule="exact"/>
        <w:jc w:val="center"/>
        <w:rPr>
          <w:rFonts w:ascii="宋体" w:hAnsi="宋体"/>
          <w:szCs w:val="21"/>
        </w:rPr>
      </w:pPr>
    </w:p>
    <w:p w14:paraId="13523B50">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6B455A92">
      <w:pPr>
        <w:pStyle w:val="5"/>
      </w:pPr>
    </w:p>
    <w:p w14:paraId="7425F311">
      <w:pPr>
        <w:pStyle w:val="29"/>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color w:val="auto"/>
          <w:sz w:val="28"/>
          <w:szCs w:val="28"/>
          <w:u w:val="single"/>
        </w:rPr>
        <w:t>　　　　　　</w:t>
      </w:r>
      <w:r>
        <w:rPr>
          <w:rFonts w:hint="eastAsia"/>
          <w:color w:val="auto"/>
          <w:sz w:val="28"/>
          <w:szCs w:val="28"/>
        </w:rPr>
        <w:t>项目采购活动的合法代理人，以本公司名义全权处理一切与该项目采购有关的事务。</w:t>
      </w:r>
    </w:p>
    <w:p w14:paraId="6C012919">
      <w:pPr>
        <w:pStyle w:val="29"/>
        <w:ind w:firstLine="560" w:firstLineChars="200"/>
        <w:rPr>
          <w:color w:val="auto"/>
          <w:sz w:val="28"/>
          <w:szCs w:val="28"/>
        </w:rPr>
      </w:pPr>
      <w:r>
        <w:rPr>
          <w:rFonts w:hint="eastAsia"/>
          <w:color w:val="auto"/>
          <w:sz w:val="28"/>
          <w:szCs w:val="28"/>
        </w:rPr>
        <w:t>本授权书于______年____月____日起生效，特此声明。</w:t>
      </w:r>
    </w:p>
    <w:p w14:paraId="3F571C69">
      <w:pPr>
        <w:pStyle w:val="29"/>
        <w:rPr>
          <w:color w:val="auto"/>
          <w:sz w:val="28"/>
          <w:szCs w:val="28"/>
        </w:rPr>
      </w:pPr>
      <w:r>
        <w:rPr>
          <w:rFonts w:hint="eastAsia"/>
          <w:color w:val="auto"/>
          <w:sz w:val="28"/>
          <w:szCs w:val="28"/>
        </w:rPr>
        <w:t xml:space="preserve">    代理人（被授权人）签字：_______________________</w:t>
      </w:r>
    </w:p>
    <w:p w14:paraId="22DE003E">
      <w:pPr>
        <w:pStyle w:val="29"/>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B211206">
      <w:pPr>
        <w:pStyle w:val="29"/>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FACE211">
      <w:pPr>
        <w:pStyle w:val="29"/>
        <w:ind w:firstLine="560" w:firstLineChars="200"/>
        <w:rPr>
          <w:color w:val="auto"/>
          <w:sz w:val="28"/>
          <w:szCs w:val="28"/>
        </w:rPr>
      </w:pPr>
      <w:r>
        <w:rPr>
          <w:rFonts w:hint="eastAsia"/>
          <w:color w:val="auto"/>
          <w:sz w:val="28"/>
          <w:szCs w:val="28"/>
        </w:rPr>
        <w:t>单位名称：_____________________________________</w:t>
      </w:r>
    </w:p>
    <w:p w14:paraId="6ED3DD8B">
      <w:pPr>
        <w:pStyle w:val="29"/>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642B8CF7">
      <w:pPr>
        <w:pStyle w:val="29"/>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35460280">
      <w:pPr>
        <w:pStyle w:val="29"/>
        <w:rPr>
          <w:color w:val="auto"/>
          <w:sz w:val="28"/>
          <w:szCs w:val="28"/>
        </w:rPr>
      </w:pPr>
      <w:r>
        <w:rPr>
          <w:rFonts w:hint="eastAsia"/>
          <w:color w:val="auto"/>
          <w:sz w:val="28"/>
          <w:szCs w:val="28"/>
        </w:rPr>
        <w:t xml:space="preserve">    日期：   年   月   日</w:t>
      </w:r>
    </w:p>
    <w:p w14:paraId="29798625">
      <w:pPr>
        <w:pStyle w:val="29"/>
        <w:spacing w:line="440" w:lineRule="exact"/>
        <w:rPr>
          <w:color w:val="auto"/>
          <w:sz w:val="28"/>
          <w:szCs w:val="28"/>
        </w:rPr>
      </w:pPr>
      <w:r>
        <w:rPr>
          <w:rFonts w:hint="eastAsia"/>
          <w:color w:val="auto"/>
          <w:sz w:val="28"/>
          <w:szCs w:val="28"/>
        </w:rPr>
        <w:t xml:space="preserve">                </w:t>
      </w:r>
      <w:bookmarkStart w:id="1" w:name="_Hlt26671380"/>
      <w:bookmarkEnd w:id="1"/>
      <w:bookmarkStart w:id="2" w:name="_格式3__银行出具的资信证明"/>
      <w:bookmarkEnd w:id="2"/>
      <w:bookmarkStart w:id="3" w:name="_Hlt26955070"/>
      <w:bookmarkEnd w:id="3"/>
    </w:p>
    <w:p w14:paraId="4318185D">
      <w:pPr>
        <w:pStyle w:val="5"/>
        <w:spacing w:line="440" w:lineRule="exact"/>
      </w:pPr>
    </w:p>
    <w:p w14:paraId="520DFAAE">
      <w:pPr>
        <w:pStyle w:val="5"/>
        <w:spacing w:line="440" w:lineRule="exact"/>
      </w:pPr>
    </w:p>
    <w:p w14:paraId="28AB31F7">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2A771F42">
      <w:pPr>
        <w:pStyle w:val="4"/>
        <w:spacing w:line="440" w:lineRule="exact"/>
        <w:jc w:val="center"/>
        <w:rPr>
          <w:rFonts w:ascii="宋体" w:hAnsi="宋体"/>
          <w:szCs w:val="21"/>
        </w:rPr>
      </w:pPr>
    </w:p>
    <w:p w14:paraId="64AE7B05">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2B0C6D6B">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0414F2D6">
      <w:pPr>
        <w:spacing w:line="440" w:lineRule="exact"/>
        <w:rPr>
          <w:rFonts w:ascii="宋体" w:hAnsi="宋体"/>
          <w:b/>
          <w:bCs/>
          <w:sz w:val="44"/>
          <w:szCs w:val="44"/>
        </w:rPr>
      </w:pPr>
      <w:r>
        <w:rPr>
          <w:rFonts w:hint="eastAsia" w:ascii="宋体" w:hAnsi="宋体"/>
          <w:b/>
          <w:bCs/>
          <w:sz w:val="44"/>
          <w:szCs w:val="44"/>
        </w:rPr>
        <w:t xml:space="preserve">                   声  明</w:t>
      </w:r>
    </w:p>
    <w:p w14:paraId="6BC8FF6F">
      <w:pPr>
        <w:spacing w:line="440" w:lineRule="exact"/>
        <w:ind w:firstLine="481"/>
        <w:rPr>
          <w:rFonts w:ascii="宋体" w:hAnsi="宋体"/>
          <w:bCs/>
          <w:sz w:val="28"/>
          <w:szCs w:val="28"/>
        </w:rPr>
      </w:pP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74DD157E">
      <w:pPr>
        <w:spacing w:line="440" w:lineRule="exact"/>
        <w:ind w:firstLine="481"/>
        <w:rPr>
          <w:rFonts w:ascii="宋体" w:hAnsi="宋体"/>
          <w:bCs/>
          <w:sz w:val="28"/>
          <w:szCs w:val="28"/>
        </w:rPr>
      </w:pPr>
    </w:p>
    <w:p w14:paraId="450A649B">
      <w:pPr>
        <w:widowControl/>
        <w:jc w:val="left"/>
        <w:rPr>
          <w:rFonts w:ascii="宋体" w:hAnsi="宋体"/>
          <w:bCs/>
          <w:sz w:val="28"/>
          <w:szCs w:val="28"/>
        </w:rPr>
      </w:pPr>
      <w:r>
        <w:rPr>
          <w:rFonts w:ascii="宋体" w:hAnsi="宋体"/>
          <w:bCs/>
          <w:sz w:val="28"/>
          <w:szCs w:val="28"/>
        </w:rPr>
        <w:br w:type="page"/>
      </w:r>
    </w:p>
    <w:p w14:paraId="0A5001A5">
      <w:pPr>
        <w:rPr>
          <w:rFonts w:ascii="黑体" w:hAnsi="黑体" w:eastAsia="黑体" w:cs="黑体"/>
          <w:kern w:val="1"/>
          <w:sz w:val="32"/>
          <w:szCs w:val="32"/>
        </w:rPr>
      </w:pPr>
      <w:r>
        <w:rPr>
          <w:rFonts w:hint="eastAsia" w:ascii="方正黑体_GBK" w:hAnsi="方正黑体_GBK" w:eastAsia="方正黑体_GBK" w:cs="方正黑体_GBK"/>
          <w:kern w:val="0"/>
          <w:sz w:val="32"/>
          <w:szCs w:val="32"/>
        </w:rPr>
        <w:t>附件：5.现场踏勘证明书</w:t>
      </w:r>
    </w:p>
    <w:p w14:paraId="5167DE9A">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现场踏勘证明书</w:t>
      </w:r>
    </w:p>
    <w:p w14:paraId="5B616D96">
      <w:pPr>
        <w:ind w:firstLine="2420" w:firstLineChars="550"/>
        <w:rPr>
          <w:rFonts w:ascii="黑体" w:hAnsi="黑体" w:eastAsia="黑体"/>
          <w:sz w:val="44"/>
          <w:szCs w:val="44"/>
        </w:rPr>
      </w:pPr>
    </w:p>
    <w:p w14:paraId="43DFC73E">
      <w:pPr>
        <w:pStyle w:val="8"/>
        <w:ind w:firstLine="640" w:firstLineChars="200"/>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根据</w:t>
      </w:r>
      <w:r>
        <w:rPr>
          <w:rFonts w:hint="eastAsia" w:ascii="方正仿宋简体" w:hAnsi="方正仿宋简体" w:eastAsia="方正仿宋简体" w:cs="方正仿宋简体"/>
          <w:bCs/>
          <w:sz w:val="32"/>
          <w:szCs w:val="32"/>
        </w:rPr>
        <w:t>：</w:t>
      </w:r>
      <w:r>
        <w:rPr>
          <w:rFonts w:hint="eastAsia" w:ascii="方正仿宋简体" w:hAnsi="方正仿宋简体" w:eastAsia="方正仿宋简体" w:cs="方正仿宋简体"/>
          <w:bCs/>
          <w:sz w:val="32"/>
          <w:szCs w:val="32"/>
          <w:u w:val="single"/>
        </w:rPr>
        <w:t>20260831公铁门吊轨道拆安校正基础找平</w:t>
      </w:r>
      <w:r>
        <w:rPr>
          <w:rFonts w:hint="eastAsia" w:ascii="方正仿宋简体" w:hAnsi="仿宋_GB2312" w:eastAsia="方正仿宋简体" w:cs="仿宋_GB2312"/>
          <w:kern w:val="1"/>
          <w:sz w:val="32"/>
          <w:szCs w:val="32"/>
        </w:rPr>
        <w:t>比选文件要求，报价人须对现场进行实地踏勘。</w:t>
      </w:r>
    </w:p>
    <w:p w14:paraId="10CEEA09">
      <w:pPr>
        <w:spacing w:line="400" w:lineRule="exact"/>
        <w:ind w:firstLine="640" w:firstLineChars="200"/>
        <w:jc w:val="left"/>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报价人结合采购方相关比选文件内容，进行实地踏勘。</w:t>
      </w:r>
    </w:p>
    <w:p w14:paraId="06EF194B">
      <w:pPr>
        <w:spacing w:line="400" w:lineRule="exact"/>
        <w:ind w:firstLine="640" w:firstLineChars="200"/>
        <w:jc w:val="left"/>
        <w:rPr>
          <w:rFonts w:ascii="方正仿宋简体" w:hAnsi="仿宋_GB2312" w:eastAsia="方正仿宋简体" w:cs="仿宋_GB2312"/>
          <w:kern w:val="1"/>
          <w:sz w:val="32"/>
          <w:szCs w:val="32"/>
        </w:rPr>
      </w:pPr>
    </w:p>
    <w:p w14:paraId="5727A0C5">
      <w:pPr>
        <w:spacing w:line="400" w:lineRule="exact"/>
        <w:ind w:firstLine="640" w:firstLineChars="200"/>
        <w:jc w:val="left"/>
        <w:rPr>
          <w:rFonts w:ascii="方正仿宋简体" w:hAnsi="仿宋_GB2312" w:eastAsia="方正仿宋简体" w:cs="仿宋_GB2312"/>
          <w:kern w:val="1"/>
          <w:sz w:val="32"/>
          <w:szCs w:val="32"/>
        </w:rPr>
      </w:pPr>
    </w:p>
    <w:p w14:paraId="7F7CF906">
      <w:pPr>
        <w:spacing w:line="400" w:lineRule="exact"/>
        <w:ind w:firstLine="640" w:firstLineChars="200"/>
        <w:jc w:val="left"/>
        <w:rPr>
          <w:rFonts w:ascii="方正仿宋简体" w:hAnsi="仿宋_GB2312" w:eastAsia="方正仿宋简体" w:cs="仿宋_GB2312"/>
          <w:kern w:val="1"/>
          <w:sz w:val="32"/>
          <w:szCs w:val="32"/>
        </w:rPr>
      </w:pPr>
    </w:p>
    <w:p w14:paraId="102BD362">
      <w:pPr>
        <w:spacing w:line="400" w:lineRule="exact"/>
        <w:ind w:firstLine="640" w:firstLineChars="200"/>
        <w:jc w:val="left"/>
        <w:rPr>
          <w:rFonts w:ascii="方正仿宋简体" w:hAnsi="仿宋_GB2312" w:eastAsia="方正仿宋简体" w:cs="仿宋_GB2312"/>
          <w:kern w:val="1"/>
          <w:sz w:val="32"/>
          <w:szCs w:val="32"/>
        </w:rPr>
      </w:pPr>
    </w:p>
    <w:p w14:paraId="6C281C2D">
      <w:pPr>
        <w:spacing w:line="400" w:lineRule="exact"/>
        <w:ind w:firstLine="640" w:firstLineChars="200"/>
        <w:jc w:val="left"/>
        <w:rPr>
          <w:rFonts w:ascii="方正仿宋简体" w:hAnsi="仿宋_GB2312" w:eastAsia="方正仿宋简体" w:cs="仿宋_GB2312"/>
          <w:kern w:val="1"/>
          <w:sz w:val="32"/>
          <w:szCs w:val="32"/>
        </w:rPr>
      </w:pPr>
    </w:p>
    <w:p w14:paraId="3F4D4C2D">
      <w:pPr>
        <w:spacing w:line="400" w:lineRule="exact"/>
        <w:ind w:firstLine="640" w:firstLineChars="200"/>
        <w:jc w:val="left"/>
        <w:rPr>
          <w:rFonts w:ascii="方正仿宋简体" w:hAnsi="仿宋_GB2312" w:eastAsia="方正仿宋简体" w:cs="仿宋_GB2312"/>
          <w:kern w:val="1"/>
          <w:sz w:val="32"/>
          <w:szCs w:val="32"/>
        </w:rPr>
      </w:pPr>
    </w:p>
    <w:p w14:paraId="3A3490B1">
      <w:pPr>
        <w:spacing w:line="400" w:lineRule="exact"/>
        <w:ind w:firstLine="640" w:firstLineChars="200"/>
        <w:jc w:val="left"/>
        <w:rPr>
          <w:rFonts w:ascii="方正仿宋简体" w:hAnsi="仿宋_GB2312" w:eastAsia="方正仿宋简体" w:cs="仿宋_GB2312"/>
          <w:kern w:val="1"/>
          <w:sz w:val="32"/>
          <w:szCs w:val="32"/>
        </w:rPr>
      </w:pPr>
    </w:p>
    <w:p w14:paraId="30C5D9F9">
      <w:pPr>
        <w:spacing w:line="400" w:lineRule="exact"/>
        <w:ind w:firstLine="640" w:firstLineChars="200"/>
        <w:jc w:val="left"/>
        <w:rPr>
          <w:rFonts w:ascii="方正仿宋简体" w:hAnsi="仿宋_GB2312" w:eastAsia="方正仿宋简体" w:cs="仿宋_GB2312"/>
          <w:kern w:val="1"/>
          <w:sz w:val="32"/>
          <w:szCs w:val="32"/>
        </w:rPr>
      </w:pPr>
    </w:p>
    <w:p w14:paraId="2702C076">
      <w:pPr>
        <w:spacing w:line="400" w:lineRule="exact"/>
        <w:ind w:firstLine="640" w:firstLineChars="200"/>
        <w:jc w:val="left"/>
        <w:rPr>
          <w:rFonts w:ascii="方正仿宋简体" w:hAnsi="仿宋_GB2312" w:eastAsia="方正仿宋简体" w:cs="仿宋_GB2312"/>
          <w:kern w:val="1"/>
          <w:sz w:val="32"/>
          <w:szCs w:val="32"/>
        </w:rPr>
      </w:pPr>
    </w:p>
    <w:tbl>
      <w:tblPr>
        <w:tblStyle w:val="18"/>
        <w:tblW w:w="10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0"/>
        <w:gridCol w:w="1890"/>
        <w:gridCol w:w="1965"/>
        <w:gridCol w:w="1965"/>
      </w:tblGrid>
      <w:tr w14:paraId="55F7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2AE6A206">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现场踏勘企业名称</w:t>
            </w:r>
          </w:p>
        </w:tc>
        <w:tc>
          <w:tcPr>
            <w:tcW w:w="1890" w:type="dxa"/>
          </w:tcPr>
          <w:p w14:paraId="30DF6D36">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踏勘人</w:t>
            </w:r>
          </w:p>
        </w:tc>
        <w:tc>
          <w:tcPr>
            <w:tcW w:w="1965" w:type="dxa"/>
          </w:tcPr>
          <w:p w14:paraId="0FA98B32">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联系方式</w:t>
            </w:r>
          </w:p>
        </w:tc>
        <w:tc>
          <w:tcPr>
            <w:tcW w:w="1965" w:type="dxa"/>
          </w:tcPr>
          <w:p w14:paraId="2BAD8A7A">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踏勘时间</w:t>
            </w:r>
          </w:p>
        </w:tc>
      </w:tr>
      <w:tr w14:paraId="2553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4BFA084B">
            <w:pPr>
              <w:jc w:val="center"/>
              <w:rPr>
                <w:rFonts w:ascii="方正仿宋简体" w:hAnsi="仿宋_GB2312" w:eastAsia="方正仿宋简体" w:cs="仿宋_GB2312"/>
                <w:kern w:val="1"/>
                <w:sz w:val="32"/>
                <w:szCs w:val="32"/>
              </w:rPr>
            </w:pPr>
          </w:p>
        </w:tc>
        <w:tc>
          <w:tcPr>
            <w:tcW w:w="1890" w:type="dxa"/>
          </w:tcPr>
          <w:p w14:paraId="50642CAF">
            <w:pPr>
              <w:jc w:val="center"/>
              <w:rPr>
                <w:rFonts w:ascii="方正仿宋简体" w:hAnsi="仿宋_GB2312" w:eastAsia="方正仿宋简体" w:cs="仿宋_GB2312"/>
                <w:kern w:val="1"/>
                <w:sz w:val="32"/>
                <w:szCs w:val="32"/>
              </w:rPr>
            </w:pPr>
          </w:p>
        </w:tc>
        <w:tc>
          <w:tcPr>
            <w:tcW w:w="1965" w:type="dxa"/>
          </w:tcPr>
          <w:p w14:paraId="5307039B">
            <w:pPr>
              <w:jc w:val="center"/>
              <w:rPr>
                <w:rFonts w:ascii="方正仿宋简体" w:hAnsi="仿宋_GB2312" w:eastAsia="方正仿宋简体" w:cs="仿宋_GB2312"/>
                <w:kern w:val="1"/>
                <w:sz w:val="32"/>
                <w:szCs w:val="32"/>
              </w:rPr>
            </w:pPr>
          </w:p>
        </w:tc>
        <w:tc>
          <w:tcPr>
            <w:tcW w:w="1965" w:type="dxa"/>
          </w:tcPr>
          <w:p w14:paraId="0E77ECEE">
            <w:pPr>
              <w:jc w:val="center"/>
              <w:rPr>
                <w:rFonts w:ascii="方正仿宋简体" w:hAnsi="仿宋_GB2312" w:eastAsia="方正仿宋简体" w:cs="仿宋_GB2312"/>
                <w:kern w:val="1"/>
                <w:sz w:val="32"/>
                <w:szCs w:val="32"/>
              </w:rPr>
            </w:pPr>
          </w:p>
        </w:tc>
      </w:tr>
    </w:tbl>
    <w:p w14:paraId="4CB6F9B0">
      <w:pPr>
        <w:rPr>
          <w:rFonts w:ascii="方正仿宋简体" w:hAnsi="仿宋_GB2312" w:eastAsia="方正仿宋简体" w:cs="仿宋_GB2312"/>
          <w:kern w:val="1"/>
          <w:sz w:val="32"/>
          <w:szCs w:val="32"/>
        </w:rPr>
      </w:pPr>
    </w:p>
    <w:p w14:paraId="5D1F71DB">
      <w:pP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采购方现场陪同人（双人）：</w:t>
      </w:r>
    </w:p>
    <w:p w14:paraId="09EEC9AB">
      <w:pPr>
        <w:rPr>
          <w:rFonts w:ascii="方正仿宋简体" w:hAnsi="仿宋_GB2312" w:eastAsia="方正仿宋简体" w:cs="仿宋_GB2312"/>
          <w:kern w:val="1"/>
          <w:sz w:val="32"/>
          <w:szCs w:val="32"/>
        </w:rPr>
      </w:pPr>
    </w:p>
    <w:p w14:paraId="691271FE">
      <w:pPr>
        <w:rPr>
          <w:rFonts w:ascii="方正仿宋简体" w:hAnsi="仿宋_GB2312" w:eastAsia="方正仿宋简体" w:cs="仿宋_GB2312"/>
          <w:kern w:val="1"/>
          <w:sz w:val="32"/>
          <w:szCs w:val="32"/>
        </w:rPr>
      </w:pPr>
    </w:p>
    <w:p w14:paraId="12346BB7">
      <w:pPr>
        <w:rPr>
          <w:rFonts w:ascii="方正仿宋简体" w:hAnsi="仿宋_GB2312" w:eastAsia="方正仿宋简体" w:cs="仿宋_GB2312"/>
          <w:kern w:val="1"/>
          <w:sz w:val="32"/>
          <w:szCs w:val="32"/>
        </w:rPr>
      </w:pPr>
    </w:p>
    <w:p w14:paraId="4CA8767F">
      <w:pPr>
        <w:rPr>
          <w:rFonts w:ascii="方正仿宋简体" w:hAnsi="仿宋_GB2312" w:eastAsia="方正仿宋简体" w:cs="仿宋_GB2312"/>
          <w:kern w:val="1"/>
          <w:sz w:val="32"/>
          <w:szCs w:val="32"/>
        </w:rPr>
      </w:pPr>
    </w:p>
    <w:p w14:paraId="034F0D0C">
      <w:pPr>
        <w:rPr>
          <w:rFonts w:ascii="方正仿宋简体" w:hAnsi="仿宋_GB2312" w:eastAsia="方正仿宋简体" w:cs="仿宋_GB2312"/>
          <w:kern w:val="1"/>
          <w:sz w:val="32"/>
          <w:szCs w:val="32"/>
        </w:rPr>
      </w:pPr>
    </w:p>
    <w:p w14:paraId="7351C0CB">
      <w:pPr>
        <w:spacing w:line="440" w:lineRule="exact"/>
        <w:rPr>
          <w:rFonts w:ascii="宋体" w:hAnsi="宋体"/>
          <w:bCs/>
          <w:sz w:val="28"/>
          <w:szCs w:val="28"/>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F5536C-1992-436F-AF9E-A2C6790D2E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7FF8BE2-4337-47CE-8681-B6DA18F274D8}"/>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3" w:fontKey="{CDACB837-5C8D-4243-A677-2CD51C40A38F}"/>
  </w:font>
  <w:font w:name="方正仿宋_GBK">
    <w:panose1 w:val="03000509000000000000"/>
    <w:charset w:val="86"/>
    <w:family w:val="script"/>
    <w:pitch w:val="default"/>
    <w:sig w:usb0="00000001" w:usb1="080E0000" w:usb2="00000000" w:usb3="00000000" w:csb0="00040000" w:csb1="00000000"/>
    <w:embedRegular r:id="rId4" w:fontKey="{5E6781EC-E3B1-49B2-AA44-68818B2590EB}"/>
  </w:font>
  <w:font w:name="方正黑体_GBK">
    <w:panose1 w:val="03000509000000000000"/>
    <w:charset w:val="86"/>
    <w:family w:val="script"/>
    <w:pitch w:val="default"/>
    <w:sig w:usb0="00000001" w:usb1="080E0000" w:usb2="00000000" w:usb3="00000000" w:csb0="00040000" w:csb1="00000000"/>
    <w:embedRegular r:id="rId5" w:fontKey="{3EC709DA-8FEC-43C1-81F3-5C8AA1479BC1}"/>
  </w:font>
  <w:font w:name="方正楷体_GBK">
    <w:panose1 w:val="03000509000000000000"/>
    <w:charset w:val="86"/>
    <w:family w:val="script"/>
    <w:pitch w:val="default"/>
    <w:sig w:usb0="00000001" w:usb1="080E0000" w:usb2="00000000" w:usb3="00000000" w:csb0="00040000" w:csb1="00000000"/>
    <w:embedRegular r:id="rId6" w:fontKey="{422B3434-776B-48A9-9637-D71F591F0606}"/>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7" w:fontKey="{5533F660-D0E1-4E18-A792-A2B4133ED8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96B4C">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ADE927B">
                          <w:pPr>
                            <w:pStyle w:val="11"/>
                            <w:jc w:val="center"/>
                          </w:pPr>
                          <w:r>
                            <w:fldChar w:fldCharType="begin"/>
                          </w:r>
                          <w:r>
                            <w:instrText xml:space="preserve"> PAGE  \* MERGEFORMAT </w:instrText>
                          </w:r>
                          <w:r>
                            <w:fldChar w:fldCharType="separate"/>
                          </w:r>
                          <w:r>
                            <w:t>19</w:t>
                          </w:r>
                          <w: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85Ts3dAQAAwgMAAA4AAABkcnMvZTJvRG9jLnhtbK1TzY7TMBC+I/EO&#10;lu80aYVQFTVdIa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yZkTlgZ++f7t8uPX5edX&#10;tkry9AEryroPdzB5SGbiOrRg059YsCFLer5KqobIJAWX69V6XZLaks5mh3CKh+sBML5V3rJk1Bxo&#10;ZllKcXqPcUydU1I152+1MRQXlXF/BQhzjKg8+Ol26n/sOFlx2A8Tjb1vzsSdngJV7Tx84aynRai5&#10;o73nzLxzpHPamdmA2djPhnCSLtY8cjaab+K4W8cA+tAR7jJTwfD6GKnvTCe1MdYmGZJDo82CTGuY&#10;dudPP2c9PL3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l1uVLQAAAABQEAAA8AAAAAAAAAAQAg&#10;AAAAIgAAAGRycy9kb3ducmV2LnhtbFBLAQIUABQAAAAIAIdO4kCfOU7N3QEAAMIDAAAOAAAAAAAA&#10;AAEAIAAAAB8BAABkcnMvZTJvRG9jLnhtbFBLBQYAAAAABgAGAFkBAABuBQAAAAA=&#10;">
              <v:fill on="f" focussize="0,0"/>
              <v:stroke on="f"/>
              <v:imagedata o:title=""/>
              <o:lock v:ext="edit" aspectratio="f"/>
              <v:textbox inset="0mm,0mm,0mm,0mm" style="mso-fit-shape-to-text:t;">
                <w:txbxContent>
                  <w:p w14:paraId="2ADE927B">
                    <w:pPr>
                      <w:pStyle w:val="11"/>
                      <w:jc w:val="center"/>
                    </w:pPr>
                    <w:r>
                      <w:fldChar w:fldCharType="begin"/>
                    </w:r>
                    <w:r>
                      <w:instrText xml:space="preserve"> PAGE  \* MERGEFORMAT </w:instrText>
                    </w:r>
                    <w:r>
                      <w:fldChar w:fldCharType="separate"/>
                    </w:r>
                    <w:r>
                      <w:t>19</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CD173">
    <w:pPr>
      <w:pStyle w:val="12"/>
      <w:pBdr>
        <w:bottom w:val="none" w:color="auto" w:sz="0"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0146F"/>
    <w:rsid w:val="00011B4B"/>
    <w:rsid w:val="00014408"/>
    <w:rsid w:val="00017F99"/>
    <w:rsid w:val="00027081"/>
    <w:rsid w:val="00030F87"/>
    <w:rsid w:val="000310BC"/>
    <w:rsid w:val="0003693D"/>
    <w:rsid w:val="00050F24"/>
    <w:rsid w:val="00061383"/>
    <w:rsid w:val="00063E06"/>
    <w:rsid w:val="000A22DB"/>
    <w:rsid w:val="000B2499"/>
    <w:rsid w:val="000C1845"/>
    <w:rsid w:val="000D348B"/>
    <w:rsid w:val="000D6A23"/>
    <w:rsid w:val="00103A8D"/>
    <w:rsid w:val="00115EEC"/>
    <w:rsid w:val="00123D5D"/>
    <w:rsid w:val="00125948"/>
    <w:rsid w:val="001260B7"/>
    <w:rsid w:val="00136B0D"/>
    <w:rsid w:val="00137140"/>
    <w:rsid w:val="00160290"/>
    <w:rsid w:val="00166793"/>
    <w:rsid w:val="00167C82"/>
    <w:rsid w:val="0018234A"/>
    <w:rsid w:val="001915A1"/>
    <w:rsid w:val="00193418"/>
    <w:rsid w:val="00196EA5"/>
    <w:rsid w:val="001A7FE6"/>
    <w:rsid w:val="001B4C8E"/>
    <w:rsid w:val="001B5044"/>
    <w:rsid w:val="001C3803"/>
    <w:rsid w:val="001C3F61"/>
    <w:rsid w:val="001D561F"/>
    <w:rsid w:val="001D5CF3"/>
    <w:rsid w:val="001F16BE"/>
    <w:rsid w:val="001F212A"/>
    <w:rsid w:val="00201D07"/>
    <w:rsid w:val="00210C67"/>
    <w:rsid w:val="002133E5"/>
    <w:rsid w:val="00246054"/>
    <w:rsid w:val="0024696A"/>
    <w:rsid w:val="00266A4F"/>
    <w:rsid w:val="002B3E65"/>
    <w:rsid w:val="002F51AC"/>
    <w:rsid w:val="002F66BD"/>
    <w:rsid w:val="0031037C"/>
    <w:rsid w:val="00310972"/>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3D4142"/>
    <w:rsid w:val="003D4234"/>
    <w:rsid w:val="003D618D"/>
    <w:rsid w:val="003F0182"/>
    <w:rsid w:val="00413897"/>
    <w:rsid w:val="00423C19"/>
    <w:rsid w:val="004424E8"/>
    <w:rsid w:val="00466243"/>
    <w:rsid w:val="00466845"/>
    <w:rsid w:val="00481CB6"/>
    <w:rsid w:val="004875EB"/>
    <w:rsid w:val="00490C3F"/>
    <w:rsid w:val="004975D5"/>
    <w:rsid w:val="00497BFC"/>
    <w:rsid w:val="004B74E4"/>
    <w:rsid w:val="004C1280"/>
    <w:rsid w:val="004C289D"/>
    <w:rsid w:val="004D63D8"/>
    <w:rsid w:val="004F5D62"/>
    <w:rsid w:val="004F5E27"/>
    <w:rsid w:val="005142FA"/>
    <w:rsid w:val="00517012"/>
    <w:rsid w:val="00527733"/>
    <w:rsid w:val="0053268D"/>
    <w:rsid w:val="00560EB5"/>
    <w:rsid w:val="005633CB"/>
    <w:rsid w:val="00565677"/>
    <w:rsid w:val="00565BCE"/>
    <w:rsid w:val="0058559E"/>
    <w:rsid w:val="0058595D"/>
    <w:rsid w:val="005B0B5B"/>
    <w:rsid w:val="005D4F71"/>
    <w:rsid w:val="005D7EAF"/>
    <w:rsid w:val="005E0624"/>
    <w:rsid w:val="005E2179"/>
    <w:rsid w:val="005E4CE3"/>
    <w:rsid w:val="0061433F"/>
    <w:rsid w:val="006545BB"/>
    <w:rsid w:val="006734DC"/>
    <w:rsid w:val="00680588"/>
    <w:rsid w:val="006835A9"/>
    <w:rsid w:val="00693CB5"/>
    <w:rsid w:val="006C09FB"/>
    <w:rsid w:val="006C6B65"/>
    <w:rsid w:val="006D00BD"/>
    <w:rsid w:val="006D3CEC"/>
    <w:rsid w:val="006D5E62"/>
    <w:rsid w:val="006E303C"/>
    <w:rsid w:val="006E4DE8"/>
    <w:rsid w:val="0070428B"/>
    <w:rsid w:val="00711ACD"/>
    <w:rsid w:val="00723CF2"/>
    <w:rsid w:val="0072446C"/>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00AF6"/>
    <w:rsid w:val="008127B4"/>
    <w:rsid w:val="00823974"/>
    <w:rsid w:val="0083404A"/>
    <w:rsid w:val="00842B41"/>
    <w:rsid w:val="00856599"/>
    <w:rsid w:val="00882A3F"/>
    <w:rsid w:val="00895355"/>
    <w:rsid w:val="008A0C0B"/>
    <w:rsid w:val="008A7E03"/>
    <w:rsid w:val="008B33B1"/>
    <w:rsid w:val="008C785B"/>
    <w:rsid w:val="008D2F65"/>
    <w:rsid w:val="008D5377"/>
    <w:rsid w:val="008E5E25"/>
    <w:rsid w:val="00900A5B"/>
    <w:rsid w:val="0091028A"/>
    <w:rsid w:val="0093613E"/>
    <w:rsid w:val="0094071D"/>
    <w:rsid w:val="009413B0"/>
    <w:rsid w:val="00941DFA"/>
    <w:rsid w:val="00975ECA"/>
    <w:rsid w:val="0098053C"/>
    <w:rsid w:val="00980D5A"/>
    <w:rsid w:val="00981E93"/>
    <w:rsid w:val="00982A53"/>
    <w:rsid w:val="009A29A7"/>
    <w:rsid w:val="009B660A"/>
    <w:rsid w:val="009C4044"/>
    <w:rsid w:val="009C7CE7"/>
    <w:rsid w:val="009D16D4"/>
    <w:rsid w:val="009D1883"/>
    <w:rsid w:val="009D21BB"/>
    <w:rsid w:val="00A22FC1"/>
    <w:rsid w:val="00A30621"/>
    <w:rsid w:val="00A42D2D"/>
    <w:rsid w:val="00A43591"/>
    <w:rsid w:val="00A47E98"/>
    <w:rsid w:val="00A63D7F"/>
    <w:rsid w:val="00A7381A"/>
    <w:rsid w:val="00A76F6F"/>
    <w:rsid w:val="00A81560"/>
    <w:rsid w:val="00A95115"/>
    <w:rsid w:val="00A973AD"/>
    <w:rsid w:val="00AA452E"/>
    <w:rsid w:val="00AB6095"/>
    <w:rsid w:val="00AC569D"/>
    <w:rsid w:val="00AD03F7"/>
    <w:rsid w:val="00AD747D"/>
    <w:rsid w:val="00AE0BF6"/>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BF74DE"/>
    <w:rsid w:val="00C2100D"/>
    <w:rsid w:val="00C258E8"/>
    <w:rsid w:val="00C31E40"/>
    <w:rsid w:val="00C41533"/>
    <w:rsid w:val="00C56465"/>
    <w:rsid w:val="00C743A3"/>
    <w:rsid w:val="00C7612B"/>
    <w:rsid w:val="00C85C6D"/>
    <w:rsid w:val="00C87CBB"/>
    <w:rsid w:val="00C97E7F"/>
    <w:rsid w:val="00CC327C"/>
    <w:rsid w:val="00CF66EF"/>
    <w:rsid w:val="00D16DE2"/>
    <w:rsid w:val="00D24639"/>
    <w:rsid w:val="00D32CC0"/>
    <w:rsid w:val="00D667EF"/>
    <w:rsid w:val="00D74586"/>
    <w:rsid w:val="00D84546"/>
    <w:rsid w:val="00DA002C"/>
    <w:rsid w:val="00DD194E"/>
    <w:rsid w:val="00DD3DDB"/>
    <w:rsid w:val="00DD7DB9"/>
    <w:rsid w:val="00E12C55"/>
    <w:rsid w:val="00E224BD"/>
    <w:rsid w:val="00E2759B"/>
    <w:rsid w:val="00E30627"/>
    <w:rsid w:val="00E45A9C"/>
    <w:rsid w:val="00E50D02"/>
    <w:rsid w:val="00E523C8"/>
    <w:rsid w:val="00E52739"/>
    <w:rsid w:val="00E74639"/>
    <w:rsid w:val="00E9659A"/>
    <w:rsid w:val="00EB7745"/>
    <w:rsid w:val="00ED1B47"/>
    <w:rsid w:val="00F0109D"/>
    <w:rsid w:val="00F16E4B"/>
    <w:rsid w:val="00F17029"/>
    <w:rsid w:val="00F32DB5"/>
    <w:rsid w:val="00F33B17"/>
    <w:rsid w:val="00F45B42"/>
    <w:rsid w:val="00F5472F"/>
    <w:rsid w:val="00F54AE9"/>
    <w:rsid w:val="00F75185"/>
    <w:rsid w:val="00F85286"/>
    <w:rsid w:val="00FA1409"/>
    <w:rsid w:val="00FB1F61"/>
    <w:rsid w:val="00FF1217"/>
    <w:rsid w:val="00FF193A"/>
    <w:rsid w:val="00FF61CA"/>
    <w:rsid w:val="01C76465"/>
    <w:rsid w:val="02121D79"/>
    <w:rsid w:val="02571ACB"/>
    <w:rsid w:val="030C36E5"/>
    <w:rsid w:val="0332621A"/>
    <w:rsid w:val="03630182"/>
    <w:rsid w:val="03792426"/>
    <w:rsid w:val="03E9155F"/>
    <w:rsid w:val="049870FD"/>
    <w:rsid w:val="04E3179E"/>
    <w:rsid w:val="04F27A0F"/>
    <w:rsid w:val="059816C4"/>
    <w:rsid w:val="064424ED"/>
    <w:rsid w:val="064859AA"/>
    <w:rsid w:val="0654535D"/>
    <w:rsid w:val="06651661"/>
    <w:rsid w:val="068428E9"/>
    <w:rsid w:val="06C67B2E"/>
    <w:rsid w:val="0737795B"/>
    <w:rsid w:val="07541C13"/>
    <w:rsid w:val="077741FC"/>
    <w:rsid w:val="078543B5"/>
    <w:rsid w:val="082C58C3"/>
    <w:rsid w:val="08826623"/>
    <w:rsid w:val="08F5187C"/>
    <w:rsid w:val="0928131E"/>
    <w:rsid w:val="097F55EA"/>
    <w:rsid w:val="098826F0"/>
    <w:rsid w:val="09E67744"/>
    <w:rsid w:val="0A7665CB"/>
    <w:rsid w:val="0AFB307D"/>
    <w:rsid w:val="0B7F3FC7"/>
    <w:rsid w:val="0BAE7D3A"/>
    <w:rsid w:val="0BC13B7B"/>
    <w:rsid w:val="0C580FCC"/>
    <w:rsid w:val="0CA64E2F"/>
    <w:rsid w:val="0CCD460E"/>
    <w:rsid w:val="0CE64F4C"/>
    <w:rsid w:val="0D3229EB"/>
    <w:rsid w:val="0E19425F"/>
    <w:rsid w:val="0E9611EA"/>
    <w:rsid w:val="0EA33B28"/>
    <w:rsid w:val="0F3D5D46"/>
    <w:rsid w:val="0F5A0F7A"/>
    <w:rsid w:val="0F6B013D"/>
    <w:rsid w:val="0FB2605F"/>
    <w:rsid w:val="100827DD"/>
    <w:rsid w:val="102D2243"/>
    <w:rsid w:val="103B711E"/>
    <w:rsid w:val="10466E61"/>
    <w:rsid w:val="10A65B52"/>
    <w:rsid w:val="114E2471"/>
    <w:rsid w:val="11526BAB"/>
    <w:rsid w:val="115A3879"/>
    <w:rsid w:val="11C30959"/>
    <w:rsid w:val="11E467E9"/>
    <w:rsid w:val="11F27423"/>
    <w:rsid w:val="12045226"/>
    <w:rsid w:val="12832AA7"/>
    <w:rsid w:val="12BC340B"/>
    <w:rsid w:val="12BF41E8"/>
    <w:rsid w:val="12D21EA0"/>
    <w:rsid w:val="12E110C3"/>
    <w:rsid w:val="130A686C"/>
    <w:rsid w:val="13294654"/>
    <w:rsid w:val="13AE1AC5"/>
    <w:rsid w:val="1444244B"/>
    <w:rsid w:val="145339B4"/>
    <w:rsid w:val="146A5814"/>
    <w:rsid w:val="14CD18FF"/>
    <w:rsid w:val="14EA645D"/>
    <w:rsid w:val="151439D2"/>
    <w:rsid w:val="152C0D1B"/>
    <w:rsid w:val="1548367B"/>
    <w:rsid w:val="15DA2525"/>
    <w:rsid w:val="1603009A"/>
    <w:rsid w:val="164D719B"/>
    <w:rsid w:val="16702E8A"/>
    <w:rsid w:val="16BF6582"/>
    <w:rsid w:val="17147CB9"/>
    <w:rsid w:val="178F7340"/>
    <w:rsid w:val="17CA65CA"/>
    <w:rsid w:val="17DD6D5E"/>
    <w:rsid w:val="17E57E36"/>
    <w:rsid w:val="18315E8E"/>
    <w:rsid w:val="18421352"/>
    <w:rsid w:val="19181A3A"/>
    <w:rsid w:val="1945415A"/>
    <w:rsid w:val="197E58BE"/>
    <w:rsid w:val="19A710A7"/>
    <w:rsid w:val="19F422B4"/>
    <w:rsid w:val="1AB125D9"/>
    <w:rsid w:val="1AD8273C"/>
    <w:rsid w:val="1B7C407F"/>
    <w:rsid w:val="1C033E58"/>
    <w:rsid w:val="1C9D6AB7"/>
    <w:rsid w:val="1D6F6BEA"/>
    <w:rsid w:val="1D85546D"/>
    <w:rsid w:val="1DBA0E7F"/>
    <w:rsid w:val="1E284BBE"/>
    <w:rsid w:val="1E346727"/>
    <w:rsid w:val="1EE12B77"/>
    <w:rsid w:val="1EEB4DDA"/>
    <w:rsid w:val="1F49071C"/>
    <w:rsid w:val="1FD72E25"/>
    <w:rsid w:val="20777422"/>
    <w:rsid w:val="207B6358"/>
    <w:rsid w:val="21110DC5"/>
    <w:rsid w:val="213A4CAA"/>
    <w:rsid w:val="216E14AA"/>
    <w:rsid w:val="21CA148E"/>
    <w:rsid w:val="21DC7625"/>
    <w:rsid w:val="22347461"/>
    <w:rsid w:val="225D796E"/>
    <w:rsid w:val="22703027"/>
    <w:rsid w:val="22785E4A"/>
    <w:rsid w:val="229475E6"/>
    <w:rsid w:val="236B5023"/>
    <w:rsid w:val="237B69CA"/>
    <w:rsid w:val="238847EF"/>
    <w:rsid w:val="23D03DA0"/>
    <w:rsid w:val="23E959E9"/>
    <w:rsid w:val="244D0A9B"/>
    <w:rsid w:val="24655704"/>
    <w:rsid w:val="24875A24"/>
    <w:rsid w:val="24977834"/>
    <w:rsid w:val="24A67BEA"/>
    <w:rsid w:val="24EC6623"/>
    <w:rsid w:val="256516E0"/>
    <w:rsid w:val="25A20B86"/>
    <w:rsid w:val="25B34B41"/>
    <w:rsid w:val="25E22D30"/>
    <w:rsid w:val="26A9793D"/>
    <w:rsid w:val="26FE34DA"/>
    <w:rsid w:val="278C73F8"/>
    <w:rsid w:val="27E17743"/>
    <w:rsid w:val="28317393"/>
    <w:rsid w:val="28AB585E"/>
    <w:rsid w:val="28DC005F"/>
    <w:rsid w:val="28E034AC"/>
    <w:rsid w:val="29363ABF"/>
    <w:rsid w:val="29E76B67"/>
    <w:rsid w:val="2A64331D"/>
    <w:rsid w:val="2A742AF1"/>
    <w:rsid w:val="2A98798D"/>
    <w:rsid w:val="2B103C92"/>
    <w:rsid w:val="2BBB2606"/>
    <w:rsid w:val="2BBD3669"/>
    <w:rsid w:val="2C016606"/>
    <w:rsid w:val="2C67021D"/>
    <w:rsid w:val="2C8B2374"/>
    <w:rsid w:val="2CBF5B79"/>
    <w:rsid w:val="2DD51314"/>
    <w:rsid w:val="2DF76A05"/>
    <w:rsid w:val="2E141EF5"/>
    <w:rsid w:val="2E16582B"/>
    <w:rsid w:val="2E4116FA"/>
    <w:rsid w:val="2E5A41FC"/>
    <w:rsid w:val="2E9C1044"/>
    <w:rsid w:val="2ED633A1"/>
    <w:rsid w:val="2EDD678B"/>
    <w:rsid w:val="2EF37D5C"/>
    <w:rsid w:val="2F0401BB"/>
    <w:rsid w:val="2F151E0C"/>
    <w:rsid w:val="2FE42670"/>
    <w:rsid w:val="30307BF4"/>
    <w:rsid w:val="3038636F"/>
    <w:rsid w:val="307A00C0"/>
    <w:rsid w:val="30850E88"/>
    <w:rsid w:val="30A9101A"/>
    <w:rsid w:val="31262BAF"/>
    <w:rsid w:val="31263B33"/>
    <w:rsid w:val="31584276"/>
    <w:rsid w:val="318D4356"/>
    <w:rsid w:val="31D83FEF"/>
    <w:rsid w:val="32866866"/>
    <w:rsid w:val="328F6648"/>
    <w:rsid w:val="3296737C"/>
    <w:rsid w:val="330F093A"/>
    <w:rsid w:val="34406C4A"/>
    <w:rsid w:val="344C23E9"/>
    <w:rsid w:val="348F0527"/>
    <w:rsid w:val="34A43FD3"/>
    <w:rsid w:val="34E37CA8"/>
    <w:rsid w:val="34FA5808"/>
    <w:rsid w:val="35284C04"/>
    <w:rsid w:val="359E47FF"/>
    <w:rsid w:val="35B72FCB"/>
    <w:rsid w:val="35DA3E68"/>
    <w:rsid w:val="35EA1EB9"/>
    <w:rsid w:val="36453593"/>
    <w:rsid w:val="36E674AE"/>
    <w:rsid w:val="36EC3A0F"/>
    <w:rsid w:val="36F6333B"/>
    <w:rsid w:val="377063EE"/>
    <w:rsid w:val="379A3E49"/>
    <w:rsid w:val="37B75A65"/>
    <w:rsid w:val="387B562F"/>
    <w:rsid w:val="388A07AC"/>
    <w:rsid w:val="388A7983"/>
    <w:rsid w:val="38AA5FDD"/>
    <w:rsid w:val="390A2872"/>
    <w:rsid w:val="39124D4B"/>
    <w:rsid w:val="391E61C3"/>
    <w:rsid w:val="39FF3A59"/>
    <w:rsid w:val="3A6E5679"/>
    <w:rsid w:val="3AD20986"/>
    <w:rsid w:val="3BE06085"/>
    <w:rsid w:val="3C2974B3"/>
    <w:rsid w:val="3C3B3967"/>
    <w:rsid w:val="3CBB7DAE"/>
    <w:rsid w:val="3D2E4D81"/>
    <w:rsid w:val="3DB25A6F"/>
    <w:rsid w:val="3E500D27"/>
    <w:rsid w:val="3E5B23DB"/>
    <w:rsid w:val="3E5F0F6A"/>
    <w:rsid w:val="3E6B5B61"/>
    <w:rsid w:val="3ECC79EF"/>
    <w:rsid w:val="3F3D735A"/>
    <w:rsid w:val="3F724AD0"/>
    <w:rsid w:val="3FEE6A4A"/>
    <w:rsid w:val="403D52DB"/>
    <w:rsid w:val="409A272E"/>
    <w:rsid w:val="40D519B8"/>
    <w:rsid w:val="40EA0332"/>
    <w:rsid w:val="416D2207"/>
    <w:rsid w:val="41B65345"/>
    <w:rsid w:val="41BB3E2A"/>
    <w:rsid w:val="42907B09"/>
    <w:rsid w:val="42982C9D"/>
    <w:rsid w:val="429A4C67"/>
    <w:rsid w:val="42F80FAC"/>
    <w:rsid w:val="43212C92"/>
    <w:rsid w:val="43903EE0"/>
    <w:rsid w:val="43EC12FF"/>
    <w:rsid w:val="440E76BA"/>
    <w:rsid w:val="44366C11"/>
    <w:rsid w:val="443B0184"/>
    <w:rsid w:val="44827761"/>
    <w:rsid w:val="44BA15F0"/>
    <w:rsid w:val="44BC2C73"/>
    <w:rsid w:val="44E509D4"/>
    <w:rsid w:val="45F87DAC"/>
    <w:rsid w:val="464E67A0"/>
    <w:rsid w:val="46825CD1"/>
    <w:rsid w:val="46E666CD"/>
    <w:rsid w:val="471274C2"/>
    <w:rsid w:val="47AB6FCE"/>
    <w:rsid w:val="47C36A0E"/>
    <w:rsid w:val="484A7410"/>
    <w:rsid w:val="49697141"/>
    <w:rsid w:val="4A851D59"/>
    <w:rsid w:val="4ADD1BA1"/>
    <w:rsid w:val="4B0314CD"/>
    <w:rsid w:val="4B0853C3"/>
    <w:rsid w:val="4B1B4610"/>
    <w:rsid w:val="4CE03708"/>
    <w:rsid w:val="4CFD207A"/>
    <w:rsid w:val="4DC0511E"/>
    <w:rsid w:val="4E406E7E"/>
    <w:rsid w:val="4E7C2041"/>
    <w:rsid w:val="4EC643AE"/>
    <w:rsid w:val="4EE404E5"/>
    <w:rsid w:val="4F035942"/>
    <w:rsid w:val="4F495A4B"/>
    <w:rsid w:val="4F4D7120"/>
    <w:rsid w:val="4FAC5BC3"/>
    <w:rsid w:val="4FC61FF0"/>
    <w:rsid w:val="4FCE41A2"/>
    <w:rsid w:val="500B0F52"/>
    <w:rsid w:val="50846203"/>
    <w:rsid w:val="50BB0282"/>
    <w:rsid w:val="51237AE2"/>
    <w:rsid w:val="512A5408"/>
    <w:rsid w:val="513F575C"/>
    <w:rsid w:val="51E705A2"/>
    <w:rsid w:val="51FE0F3D"/>
    <w:rsid w:val="52025AE9"/>
    <w:rsid w:val="521D7BE7"/>
    <w:rsid w:val="527252B8"/>
    <w:rsid w:val="529C2335"/>
    <w:rsid w:val="52A31916"/>
    <w:rsid w:val="538763B9"/>
    <w:rsid w:val="540463E4"/>
    <w:rsid w:val="5486329D"/>
    <w:rsid w:val="549F173E"/>
    <w:rsid w:val="55A74996"/>
    <w:rsid w:val="55DC546E"/>
    <w:rsid w:val="56471A24"/>
    <w:rsid w:val="56D227CA"/>
    <w:rsid w:val="56EE7C13"/>
    <w:rsid w:val="579C3951"/>
    <w:rsid w:val="57B63E99"/>
    <w:rsid w:val="57F90679"/>
    <w:rsid w:val="586631C9"/>
    <w:rsid w:val="588E44CE"/>
    <w:rsid w:val="59232207"/>
    <w:rsid w:val="59276802"/>
    <w:rsid w:val="592E5DFC"/>
    <w:rsid w:val="596D6B7C"/>
    <w:rsid w:val="5976262C"/>
    <w:rsid w:val="59AF294E"/>
    <w:rsid w:val="5A061397"/>
    <w:rsid w:val="5A132EDD"/>
    <w:rsid w:val="5A5F4374"/>
    <w:rsid w:val="5AC93EE4"/>
    <w:rsid w:val="5AFD6893"/>
    <w:rsid w:val="5BEB77BF"/>
    <w:rsid w:val="5C790656"/>
    <w:rsid w:val="5CB5471F"/>
    <w:rsid w:val="5CC74453"/>
    <w:rsid w:val="5CE67EF1"/>
    <w:rsid w:val="5CEC747F"/>
    <w:rsid w:val="5D137698"/>
    <w:rsid w:val="5D271AC7"/>
    <w:rsid w:val="5D373386"/>
    <w:rsid w:val="5D4826CC"/>
    <w:rsid w:val="5DDA4712"/>
    <w:rsid w:val="5DEF61CF"/>
    <w:rsid w:val="5DF9688E"/>
    <w:rsid w:val="5E230800"/>
    <w:rsid w:val="5E3E2B65"/>
    <w:rsid w:val="5E8F037E"/>
    <w:rsid w:val="5F072ED8"/>
    <w:rsid w:val="5F0B2820"/>
    <w:rsid w:val="5F782159"/>
    <w:rsid w:val="5FE62E42"/>
    <w:rsid w:val="605B55DE"/>
    <w:rsid w:val="60625042"/>
    <w:rsid w:val="60634492"/>
    <w:rsid w:val="609E6543"/>
    <w:rsid w:val="60C41E59"/>
    <w:rsid w:val="612E2CF2"/>
    <w:rsid w:val="6171498D"/>
    <w:rsid w:val="62037CDB"/>
    <w:rsid w:val="630E2DDB"/>
    <w:rsid w:val="63624ED5"/>
    <w:rsid w:val="6449399F"/>
    <w:rsid w:val="64B82FFF"/>
    <w:rsid w:val="6550077C"/>
    <w:rsid w:val="65824C49"/>
    <w:rsid w:val="65975EE4"/>
    <w:rsid w:val="65C82D58"/>
    <w:rsid w:val="66202ABE"/>
    <w:rsid w:val="66441755"/>
    <w:rsid w:val="66507267"/>
    <w:rsid w:val="66557ECD"/>
    <w:rsid w:val="66630C6C"/>
    <w:rsid w:val="66846F11"/>
    <w:rsid w:val="66860EDB"/>
    <w:rsid w:val="66A51361"/>
    <w:rsid w:val="66B67960"/>
    <w:rsid w:val="66CF713B"/>
    <w:rsid w:val="683F6E19"/>
    <w:rsid w:val="68681DC8"/>
    <w:rsid w:val="686B65DA"/>
    <w:rsid w:val="68906206"/>
    <w:rsid w:val="68961ACE"/>
    <w:rsid w:val="689F6299"/>
    <w:rsid w:val="68A94E70"/>
    <w:rsid w:val="69243929"/>
    <w:rsid w:val="69C166FE"/>
    <w:rsid w:val="69E90AEC"/>
    <w:rsid w:val="6A532AE8"/>
    <w:rsid w:val="6AE467D8"/>
    <w:rsid w:val="6B0B749A"/>
    <w:rsid w:val="6B493873"/>
    <w:rsid w:val="6C0B610A"/>
    <w:rsid w:val="6C497876"/>
    <w:rsid w:val="6C663340"/>
    <w:rsid w:val="6C6B03EA"/>
    <w:rsid w:val="6C8051CC"/>
    <w:rsid w:val="6CC30793"/>
    <w:rsid w:val="6D3368F2"/>
    <w:rsid w:val="6D8959B9"/>
    <w:rsid w:val="6D9745DB"/>
    <w:rsid w:val="6DB30807"/>
    <w:rsid w:val="6E26547D"/>
    <w:rsid w:val="6E3073EE"/>
    <w:rsid w:val="6FDE2C07"/>
    <w:rsid w:val="704B7020"/>
    <w:rsid w:val="70FD71A6"/>
    <w:rsid w:val="71081111"/>
    <w:rsid w:val="71237A52"/>
    <w:rsid w:val="715B3690"/>
    <w:rsid w:val="716D231E"/>
    <w:rsid w:val="722A5625"/>
    <w:rsid w:val="726141AB"/>
    <w:rsid w:val="729B5D0E"/>
    <w:rsid w:val="72FC10C7"/>
    <w:rsid w:val="73132064"/>
    <w:rsid w:val="733F0D8F"/>
    <w:rsid w:val="736507F6"/>
    <w:rsid w:val="73AD0702"/>
    <w:rsid w:val="73CD1EF7"/>
    <w:rsid w:val="7406451D"/>
    <w:rsid w:val="749D1FA4"/>
    <w:rsid w:val="75107ADD"/>
    <w:rsid w:val="756A3232"/>
    <w:rsid w:val="75894543"/>
    <w:rsid w:val="7684511C"/>
    <w:rsid w:val="76EE061E"/>
    <w:rsid w:val="777110D9"/>
    <w:rsid w:val="77A015B3"/>
    <w:rsid w:val="77DF544D"/>
    <w:rsid w:val="781520BE"/>
    <w:rsid w:val="78236589"/>
    <w:rsid w:val="783458C3"/>
    <w:rsid w:val="78403905"/>
    <w:rsid w:val="788719AE"/>
    <w:rsid w:val="78C67E70"/>
    <w:rsid w:val="78E8332F"/>
    <w:rsid w:val="79DD69A3"/>
    <w:rsid w:val="79E03E0E"/>
    <w:rsid w:val="7A015007"/>
    <w:rsid w:val="7A1C5763"/>
    <w:rsid w:val="7A1E0C67"/>
    <w:rsid w:val="7A8A341A"/>
    <w:rsid w:val="7AAD65DE"/>
    <w:rsid w:val="7B044DE1"/>
    <w:rsid w:val="7B1B5C3E"/>
    <w:rsid w:val="7BD32074"/>
    <w:rsid w:val="7C2E5873"/>
    <w:rsid w:val="7C8021FC"/>
    <w:rsid w:val="7C8313D5"/>
    <w:rsid w:val="7D5A7B6A"/>
    <w:rsid w:val="7DD76804"/>
    <w:rsid w:val="7E105802"/>
    <w:rsid w:val="7F504F0B"/>
    <w:rsid w:val="7F552A10"/>
    <w:rsid w:val="7FF4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next w:val="5"/>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5">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6">
    <w:name w:val="annotation text"/>
    <w:basedOn w:val="1"/>
    <w:link w:val="23"/>
    <w:qFormat/>
    <w:uiPriority w:val="0"/>
    <w:pPr>
      <w:jc w:val="left"/>
    </w:pPr>
    <w:rPr>
      <w:rFonts w:ascii="Calibri" w:hAnsi="Calibri"/>
    </w:rPr>
  </w:style>
  <w:style w:type="paragraph" w:styleId="7">
    <w:name w:val="Body Text"/>
    <w:basedOn w:val="1"/>
    <w:next w:val="8"/>
    <w:link w:val="24"/>
    <w:unhideWhenUsed/>
    <w:qFormat/>
    <w:uiPriority w:val="99"/>
    <w:pPr>
      <w:spacing w:after="120"/>
    </w:pPr>
  </w:style>
  <w:style w:type="paragraph" w:styleId="8">
    <w:name w:val="Plain Text"/>
    <w:basedOn w:val="1"/>
    <w:unhideWhenUsed/>
    <w:qFormat/>
    <w:uiPriority w:val="99"/>
    <w:rPr>
      <w:rFonts w:ascii="宋体" w:hAnsi="Courier New"/>
      <w:kern w:val="0"/>
      <w:sz w:val="20"/>
    </w:rPr>
  </w:style>
  <w:style w:type="paragraph" w:styleId="9">
    <w:name w:val="Body Text Indent"/>
    <w:basedOn w:val="1"/>
    <w:unhideWhenUsed/>
    <w:qFormat/>
    <w:uiPriority w:val="0"/>
    <w:pPr>
      <w:spacing w:after="120"/>
      <w:ind w:left="420" w:leftChars="200"/>
    </w:pPr>
  </w:style>
  <w:style w:type="paragraph" w:styleId="10">
    <w:name w:val="Balloon Text"/>
    <w:basedOn w:val="1"/>
    <w:link w:val="25"/>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kern w:val="0"/>
      <w:sz w:val="32"/>
      <w:szCs w:val="32"/>
    </w:rPr>
  </w:style>
  <w:style w:type="paragraph" w:styleId="16">
    <w:name w:val="Body Text First Indent 2"/>
    <w:basedOn w:val="9"/>
    <w:qFormat/>
    <w:uiPriority w:val="99"/>
    <w:pPr>
      <w:adjustRightInd w:val="0"/>
      <w:spacing w:after="0" w:line="312" w:lineRule="atLeast"/>
      <w:ind w:left="1296" w:leftChars="0"/>
      <w:textAlignment w:val="baseline"/>
    </w:pPr>
    <w:rPr>
      <w:rFonts w:eastAsia="仿宋_GB2312"/>
      <w:kern w:val="21"/>
      <w:sz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标题 1 Char"/>
    <w:basedOn w:val="19"/>
    <w:link w:val="2"/>
    <w:qFormat/>
    <w:uiPriority w:val="99"/>
    <w:rPr>
      <w:rFonts w:cs="Times New Roman"/>
      <w:kern w:val="44"/>
      <w:sz w:val="44"/>
    </w:rPr>
  </w:style>
  <w:style w:type="character" w:customStyle="1" w:styleId="23">
    <w:name w:val="批注文字 Char"/>
    <w:basedOn w:val="19"/>
    <w:link w:val="6"/>
    <w:qFormat/>
    <w:uiPriority w:val="0"/>
    <w:rPr>
      <w:rFonts w:cs="Times New Roman"/>
      <w:kern w:val="2"/>
      <w:sz w:val="21"/>
    </w:rPr>
  </w:style>
  <w:style w:type="character" w:customStyle="1" w:styleId="24">
    <w:name w:val="正文文本 Char"/>
    <w:basedOn w:val="19"/>
    <w:link w:val="7"/>
    <w:qFormat/>
    <w:uiPriority w:val="99"/>
    <w:rPr>
      <w:rFonts w:ascii="Times New Roman" w:hAnsi="Times New Roman" w:cs="Times New Roman"/>
      <w:kern w:val="2"/>
      <w:sz w:val="21"/>
    </w:rPr>
  </w:style>
  <w:style w:type="character" w:customStyle="1" w:styleId="25">
    <w:name w:val="批注框文本 Char"/>
    <w:basedOn w:val="19"/>
    <w:link w:val="10"/>
    <w:qFormat/>
    <w:uiPriority w:val="0"/>
    <w:rPr>
      <w:rFonts w:ascii="Times New Roman" w:hAnsi="Times New Roman" w:cs="Times New Roman"/>
      <w:kern w:val="2"/>
      <w:sz w:val="18"/>
      <w:szCs w:val="18"/>
    </w:rPr>
  </w:style>
  <w:style w:type="paragraph" w:customStyle="1" w:styleId="26">
    <w:name w:val="列出段落11"/>
    <w:basedOn w:val="1"/>
    <w:qFormat/>
    <w:uiPriority w:val="99"/>
    <w:pPr>
      <w:ind w:firstLine="420" w:firstLineChars="200"/>
    </w:pPr>
  </w:style>
  <w:style w:type="paragraph" w:customStyle="1" w:styleId="27">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
    <w:name w:val="列出段落1"/>
    <w:basedOn w:val="1"/>
    <w:qFormat/>
    <w:uiPriority w:val="34"/>
    <w:pPr>
      <w:ind w:firstLine="420" w:firstLineChars="200"/>
    </w:pPr>
  </w:style>
  <w:style w:type="paragraph" w:customStyle="1" w:styleId="29">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font61"/>
    <w:basedOn w:val="19"/>
    <w:qFormat/>
    <w:uiPriority w:val="0"/>
    <w:rPr>
      <w:rFonts w:hint="eastAsia" w:ascii="宋体" w:hAnsi="宋体" w:eastAsia="宋体" w:cs="宋体"/>
      <w:color w:val="FF0000"/>
      <w:sz w:val="20"/>
      <w:szCs w:val="20"/>
      <w:u w:val="none"/>
    </w:rPr>
  </w:style>
  <w:style w:type="character" w:customStyle="1" w:styleId="32">
    <w:name w:val="font31"/>
    <w:basedOn w:val="19"/>
    <w:qFormat/>
    <w:uiPriority w:val="0"/>
    <w:rPr>
      <w:rFonts w:hint="eastAsia" w:ascii="宋体" w:hAnsi="宋体" w:eastAsia="宋体" w:cs="宋体"/>
      <w:color w:val="000000"/>
      <w:sz w:val="20"/>
      <w:szCs w:val="20"/>
      <w:u w:val="none"/>
    </w:rPr>
  </w:style>
  <w:style w:type="character" w:customStyle="1" w:styleId="33">
    <w:name w:val="font21"/>
    <w:basedOn w:val="19"/>
    <w:qFormat/>
    <w:uiPriority w:val="0"/>
    <w:rPr>
      <w:rFonts w:hint="eastAsia" w:ascii="方正仿宋简体" w:hAnsi="方正仿宋简体" w:eastAsia="方正仿宋简体" w:cs="方正仿宋简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5026</Words>
  <Characters>5323</Characters>
  <Lines>64</Lines>
  <Paragraphs>18</Paragraphs>
  <TotalTime>0</TotalTime>
  <ScaleCrop>false</ScaleCrop>
  <LinksUpToDate>false</LinksUpToDate>
  <CharactersWithSpaces>5401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第三人称.</cp:lastModifiedBy>
  <cp:lastPrinted>2026-03-03T02:16:00Z</cp:lastPrinted>
  <dcterms:modified xsi:type="dcterms:W3CDTF">2026-09-09T06:22:52Z</dcterms:modified>
  <dc:title>镇江海纳川物流产业发展有限责任公司</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E7DEC8C5882E42B3B117C5197C7F5C43_13</vt:lpwstr>
  </property>
  <property fmtid="{D5CDD505-2E9C-101B-9397-08002B2CF9AE}" pid="4" name="KSOTemplateDocerSaveRecord">
    <vt:lpwstr>eyJoZGlkIjoiZDQ0ZGFlM2U5OTQ5ZDIwYWM5ZmQzZmMyZjc2ZWM0YjQiLCJ1c2VySWQiOiIzNDY0MjA5NDMifQ==</vt:lpwstr>
  </property>
</Properties>
</file>