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2950B6">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lang w:val="en-US" w:eastAsia="zh-CN"/>
        </w:rPr>
        <w:t>江</w:t>
      </w:r>
      <w:r>
        <w:rPr>
          <w:rFonts w:ascii="方正小标宋简体" w:hAnsi="方正小标宋简体" w:eastAsia="方正小标宋简体" w:cs="方正小标宋简体"/>
          <w:color w:val="000000"/>
          <w:sz w:val="44"/>
          <w:szCs w:val="44"/>
        </w:rPr>
        <w:t>苏索普（集团）有限公司</w:t>
      </w:r>
    </w:p>
    <w:p w14:paraId="5FACE7F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bCs/>
          <w:color w:val="000000"/>
          <w:kern w:val="1"/>
          <w:sz w:val="44"/>
          <w:szCs w:val="44"/>
        </w:rPr>
      </w:pPr>
      <w:r>
        <w:rPr>
          <w:rFonts w:ascii="方正小标宋简体" w:hAnsi="方正小标宋简体" w:eastAsia="方正小标宋简体" w:cs="方正小标宋简体"/>
          <w:color w:val="000000"/>
          <w:sz w:val="44"/>
          <w:szCs w:val="44"/>
        </w:rPr>
        <w:t>公开采购文件</w:t>
      </w:r>
    </w:p>
    <w:p w14:paraId="26DEF304">
      <w:pPr>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bCs/>
          <w:sz w:val="24"/>
        </w:rPr>
      </w:pPr>
    </w:p>
    <w:p w14:paraId="2937FDC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我公司现需对</w:t>
      </w:r>
      <w:r>
        <w:rPr>
          <w:rFonts w:hint="eastAsia" w:ascii="仿宋_GB2312" w:hAnsi="仿宋_GB2312" w:eastAsia="仿宋_GB2312" w:cs="仿宋_GB2312"/>
          <w:bCs/>
          <w:color w:val="auto"/>
          <w:sz w:val="32"/>
          <w:szCs w:val="32"/>
          <w:highlight w:val="none"/>
          <w:lang w:val="en-US" w:eastAsia="zh-CN"/>
        </w:rPr>
        <w:t>供销大楼</w:t>
      </w:r>
      <w:r>
        <w:rPr>
          <w:rFonts w:hint="eastAsia" w:ascii="仿宋_GB2312" w:hAnsi="仿宋_GB2312" w:eastAsia="仿宋_GB2312" w:cs="仿宋_GB2312"/>
          <w:bCs/>
          <w:color w:val="auto"/>
          <w:kern w:val="2"/>
          <w:sz w:val="32"/>
          <w:szCs w:val="32"/>
          <w:highlight w:val="none"/>
          <w:lang w:val="en-US" w:eastAsia="zh-CN" w:bidi="ar-SA"/>
        </w:rPr>
        <w:t>房屋安全鉴定和消防安全评估项目</w:t>
      </w:r>
      <w:r>
        <w:rPr>
          <w:rFonts w:hint="eastAsia" w:ascii="仿宋_GB2312" w:hAnsi="仿宋_GB2312" w:eastAsia="仿宋_GB2312" w:cs="仿宋_GB2312"/>
          <w:bCs/>
          <w:color w:val="auto"/>
          <w:sz w:val="32"/>
          <w:szCs w:val="32"/>
          <w:highlight w:val="none"/>
          <w:lang w:val="zh-CN"/>
        </w:rPr>
        <w:t>进</w:t>
      </w:r>
      <w:r>
        <w:rPr>
          <w:rFonts w:hint="eastAsia" w:ascii="仿宋_GB2312" w:hAnsi="仿宋_GB2312" w:eastAsia="仿宋_GB2312" w:cs="仿宋_GB2312"/>
          <w:bCs/>
          <w:color w:val="auto"/>
          <w:sz w:val="32"/>
          <w:szCs w:val="32"/>
          <w:highlight w:val="none"/>
        </w:rPr>
        <w:t>行</w:t>
      </w:r>
      <w:r>
        <w:rPr>
          <w:rFonts w:hint="eastAsia" w:ascii="仿宋_GB2312" w:hAnsi="仿宋_GB2312" w:eastAsia="仿宋_GB2312" w:cs="仿宋_GB2312"/>
          <w:bCs/>
          <w:color w:val="auto"/>
          <w:sz w:val="32"/>
          <w:szCs w:val="32"/>
          <w:highlight w:val="none"/>
          <w:lang w:eastAsia="zh-CN"/>
        </w:rPr>
        <w:t>采购</w:t>
      </w:r>
      <w:r>
        <w:rPr>
          <w:rFonts w:hint="eastAsia" w:ascii="仿宋_GB2312" w:hAnsi="仿宋_GB2312" w:eastAsia="仿宋_GB2312" w:cs="仿宋_GB2312"/>
          <w:bCs/>
          <w:color w:val="auto"/>
          <w:sz w:val="32"/>
          <w:szCs w:val="32"/>
          <w:highlight w:val="none"/>
        </w:rPr>
        <w:t>，</w:t>
      </w:r>
      <w:r>
        <w:rPr>
          <w:rFonts w:hint="eastAsia" w:ascii="仿宋_GB2312" w:hAnsi="仿宋_GB2312" w:eastAsia="仿宋_GB2312" w:cs="仿宋_GB2312"/>
          <w:bCs/>
          <w:color w:val="auto"/>
          <w:sz w:val="32"/>
          <w:szCs w:val="32"/>
          <w:highlight w:val="none"/>
          <w:lang w:val="zh-CN"/>
        </w:rPr>
        <w:t>采用公开采购的方式选定供应商，</w:t>
      </w:r>
      <w:r>
        <w:rPr>
          <w:rFonts w:hint="eastAsia" w:ascii="仿宋_GB2312" w:hAnsi="仿宋_GB2312" w:eastAsia="仿宋_GB2312" w:cs="仿宋_GB2312"/>
          <w:bCs/>
          <w:color w:val="auto"/>
          <w:sz w:val="32"/>
          <w:szCs w:val="32"/>
          <w:highlight w:val="none"/>
        </w:rPr>
        <w:t>特邀请贵单位参与</w:t>
      </w:r>
      <w:r>
        <w:rPr>
          <w:rFonts w:hint="eastAsia" w:ascii="仿宋_GB2312" w:hAnsi="仿宋_GB2312" w:eastAsia="仿宋_GB2312" w:cs="仿宋_GB2312"/>
          <w:bCs/>
          <w:color w:val="auto"/>
          <w:sz w:val="32"/>
          <w:szCs w:val="32"/>
          <w:highlight w:val="none"/>
          <w:lang w:eastAsia="zh-CN"/>
        </w:rPr>
        <w:t>报价</w:t>
      </w:r>
      <w:r>
        <w:rPr>
          <w:rFonts w:hint="eastAsia" w:ascii="仿宋_GB2312" w:hAnsi="仿宋_GB2312" w:eastAsia="仿宋_GB2312" w:cs="仿宋_GB2312"/>
          <w:bCs/>
          <w:color w:val="auto"/>
          <w:sz w:val="32"/>
          <w:szCs w:val="32"/>
          <w:highlight w:val="none"/>
        </w:rPr>
        <w:t>。</w:t>
      </w:r>
    </w:p>
    <w:p w14:paraId="18A18FF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一、采购概况：</w:t>
      </w:r>
    </w:p>
    <w:p w14:paraId="096937E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auto"/>
          <w:sz w:val="32"/>
          <w:szCs w:val="32"/>
          <w:highlight w:val="none"/>
          <w:u w:val="single" w:color="auto"/>
        </w:rPr>
      </w:pPr>
      <w:r>
        <w:rPr>
          <w:rFonts w:hint="eastAsia" w:ascii="仿宋_GB2312" w:hAnsi="仿宋_GB2312" w:eastAsia="仿宋_GB2312" w:cs="仿宋_GB2312"/>
          <w:bCs/>
          <w:color w:val="auto"/>
          <w:kern w:val="1"/>
          <w:sz w:val="32"/>
          <w:szCs w:val="32"/>
          <w:highlight w:val="none"/>
        </w:rPr>
        <w:t>（一）</w:t>
      </w:r>
      <w:r>
        <w:rPr>
          <w:rFonts w:hint="eastAsia" w:ascii="仿宋_GB2312" w:hAnsi="仿宋_GB2312" w:eastAsia="仿宋_GB2312" w:cs="仿宋_GB2312"/>
          <w:bCs/>
          <w:color w:val="auto"/>
          <w:sz w:val="32"/>
          <w:szCs w:val="32"/>
          <w:highlight w:val="none"/>
        </w:rPr>
        <w:t>实施项目名称：</w:t>
      </w:r>
      <w:r>
        <w:rPr>
          <w:rFonts w:hint="eastAsia" w:ascii="仿宋_GB2312" w:hAnsi="仿宋_GB2312" w:eastAsia="仿宋_GB2312" w:cs="仿宋_GB2312"/>
          <w:bCs/>
          <w:color w:val="auto"/>
          <w:sz w:val="32"/>
          <w:szCs w:val="32"/>
          <w:highlight w:val="none"/>
          <w:u w:val="single" w:color="auto"/>
        </w:rPr>
        <w:t>索普</w:t>
      </w:r>
      <w:r>
        <w:rPr>
          <w:rFonts w:hint="eastAsia" w:ascii="仿宋_GB2312" w:hAnsi="仿宋_GB2312" w:eastAsia="仿宋_GB2312" w:cs="仿宋_GB2312"/>
          <w:bCs/>
          <w:color w:val="auto"/>
          <w:sz w:val="32"/>
          <w:szCs w:val="32"/>
          <w:highlight w:val="none"/>
          <w:u w:val="single" w:color="auto"/>
          <w:lang w:val="en-US" w:eastAsia="zh-CN"/>
        </w:rPr>
        <w:t>集团</w:t>
      </w:r>
      <w:r>
        <w:rPr>
          <w:rFonts w:hint="eastAsia" w:ascii="仿宋_GB2312" w:hAnsi="仿宋_GB2312" w:eastAsia="仿宋_GB2312" w:cs="仿宋_GB2312"/>
          <w:bCs/>
          <w:color w:val="auto"/>
          <w:kern w:val="2"/>
          <w:sz w:val="32"/>
          <w:szCs w:val="32"/>
          <w:highlight w:val="none"/>
          <w:u w:val="single" w:color="auto"/>
          <w:lang w:val="en-US" w:eastAsia="zh-CN" w:bidi="ar-SA"/>
        </w:rPr>
        <w:t>供销大楼房屋安全鉴定和消防安全评估</w:t>
      </w:r>
      <w:r>
        <w:rPr>
          <w:rFonts w:hint="eastAsia" w:ascii="仿宋_GB2312" w:hAnsi="仿宋_GB2312" w:eastAsia="仿宋_GB2312" w:cs="仿宋_GB2312"/>
          <w:bCs/>
          <w:color w:val="auto"/>
          <w:sz w:val="32"/>
          <w:szCs w:val="32"/>
          <w:highlight w:val="none"/>
          <w:u w:val="single" w:color="auto"/>
          <w:lang w:val="en-US" w:eastAsia="zh-CN"/>
        </w:rPr>
        <w:t>服务</w:t>
      </w:r>
      <w:r>
        <w:rPr>
          <w:rFonts w:hint="eastAsia" w:ascii="仿宋_GB2312" w:hAnsi="仿宋_GB2312" w:eastAsia="仿宋_GB2312" w:cs="仿宋_GB2312"/>
          <w:bCs/>
          <w:color w:val="auto"/>
          <w:sz w:val="32"/>
          <w:szCs w:val="32"/>
          <w:highlight w:val="none"/>
          <w:u w:val="single" w:color="auto"/>
        </w:rPr>
        <w:t>；</w:t>
      </w:r>
    </w:p>
    <w:p w14:paraId="560E8FEC">
      <w:pPr>
        <w:keepNext w:val="0"/>
        <w:keepLines w:val="0"/>
        <w:pageBreakBefore w:val="0"/>
        <w:widowControl w:val="0"/>
        <w:kinsoku/>
        <w:wordWrap/>
        <w:overflowPunct/>
        <w:topLinePunct w:val="0"/>
        <w:autoSpaceDE/>
        <w:autoSpaceDN/>
        <w:bidi w:val="0"/>
        <w:adjustRightInd w:val="0"/>
        <w:snapToGrid w:val="0"/>
        <w:spacing w:line="560" w:lineRule="exact"/>
        <w:ind w:firstLine="617" w:firstLineChars="193"/>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kern w:val="1"/>
          <w:sz w:val="32"/>
          <w:szCs w:val="32"/>
          <w:highlight w:val="none"/>
        </w:rPr>
        <w:t>（</w:t>
      </w:r>
      <w:r>
        <w:rPr>
          <w:rFonts w:hint="eastAsia" w:ascii="仿宋_GB2312" w:hAnsi="仿宋_GB2312" w:eastAsia="仿宋_GB2312" w:cs="仿宋_GB2312"/>
          <w:bCs/>
          <w:color w:val="auto"/>
          <w:kern w:val="1"/>
          <w:sz w:val="32"/>
          <w:szCs w:val="32"/>
          <w:highlight w:val="none"/>
          <w:lang w:val="en-US" w:eastAsia="zh-CN"/>
        </w:rPr>
        <w:t>二</w:t>
      </w:r>
      <w:r>
        <w:rPr>
          <w:rFonts w:hint="eastAsia" w:ascii="仿宋_GB2312" w:hAnsi="仿宋_GB2312" w:eastAsia="仿宋_GB2312" w:cs="仿宋_GB2312"/>
          <w:bCs/>
          <w:color w:val="auto"/>
          <w:kern w:val="1"/>
          <w:sz w:val="32"/>
          <w:szCs w:val="32"/>
          <w:highlight w:val="none"/>
        </w:rPr>
        <w:t>）</w:t>
      </w:r>
      <w:r>
        <w:rPr>
          <w:rFonts w:hint="eastAsia" w:ascii="仿宋_GB2312" w:hAnsi="仿宋_GB2312" w:eastAsia="仿宋_GB2312" w:cs="仿宋_GB2312"/>
          <w:bCs/>
          <w:color w:val="auto"/>
          <w:sz w:val="32"/>
          <w:szCs w:val="32"/>
          <w:highlight w:val="none"/>
        </w:rPr>
        <w:t>公开询比价截止时间202</w:t>
      </w:r>
      <w:r>
        <w:rPr>
          <w:rFonts w:hint="eastAsia" w:ascii="仿宋_GB2312" w:hAnsi="仿宋_GB2312" w:eastAsia="仿宋_GB2312" w:cs="仿宋_GB2312"/>
          <w:bCs/>
          <w:color w:val="auto"/>
          <w:sz w:val="32"/>
          <w:szCs w:val="32"/>
          <w:highlight w:val="none"/>
          <w:lang w:val="en-US" w:eastAsia="zh-CN"/>
        </w:rPr>
        <w:t>6</w:t>
      </w:r>
      <w:r>
        <w:rPr>
          <w:rFonts w:hint="eastAsia" w:ascii="仿宋_GB2312" w:hAnsi="仿宋_GB2312" w:eastAsia="仿宋_GB2312" w:cs="仿宋_GB2312"/>
          <w:bCs/>
          <w:color w:val="auto"/>
          <w:sz w:val="32"/>
          <w:szCs w:val="32"/>
          <w:highlight w:val="none"/>
        </w:rPr>
        <w:t>年</w:t>
      </w:r>
      <w:r>
        <w:rPr>
          <w:rFonts w:hint="eastAsia" w:ascii="仿宋_GB2312" w:hAnsi="仿宋_GB2312" w:eastAsia="仿宋_GB2312" w:cs="仿宋_GB2312"/>
          <w:bCs/>
          <w:color w:val="auto"/>
          <w:sz w:val="32"/>
          <w:szCs w:val="32"/>
          <w:highlight w:val="none"/>
          <w:u w:val="single"/>
          <w:lang w:val="en-US" w:eastAsia="zh-CN"/>
        </w:rPr>
        <w:t>10</w:t>
      </w:r>
      <w:r>
        <w:rPr>
          <w:rFonts w:hint="eastAsia" w:ascii="仿宋_GB2312" w:hAnsi="仿宋_GB2312" w:eastAsia="仿宋_GB2312" w:cs="仿宋_GB2312"/>
          <w:bCs/>
          <w:color w:val="auto"/>
          <w:sz w:val="32"/>
          <w:szCs w:val="32"/>
          <w:highlight w:val="none"/>
        </w:rPr>
        <w:t>月</w:t>
      </w:r>
      <w:r>
        <w:rPr>
          <w:rFonts w:hint="eastAsia" w:ascii="仿宋_GB2312" w:hAnsi="仿宋_GB2312" w:eastAsia="仿宋_GB2312" w:cs="仿宋_GB2312"/>
          <w:bCs/>
          <w:color w:val="auto"/>
          <w:sz w:val="32"/>
          <w:szCs w:val="32"/>
          <w:highlight w:val="none"/>
          <w:u w:val="single"/>
          <w:lang w:val="en-US" w:eastAsia="zh-CN"/>
        </w:rPr>
        <w:t>16</w:t>
      </w:r>
      <w:r>
        <w:rPr>
          <w:rFonts w:hint="eastAsia" w:ascii="仿宋_GB2312" w:hAnsi="仿宋_GB2312" w:eastAsia="仿宋_GB2312" w:cs="仿宋_GB2312"/>
          <w:bCs/>
          <w:color w:val="auto"/>
          <w:sz w:val="32"/>
          <w:szCs w:val="32"/>
          <w:highlight w:val="none"/>
        </w:rPr>
        <w:t>日</w:t>
      </w:r>
      <w:r>
        <w:rPr>
          <w:rFonts w:hint="eastAsia" w:ascii="仿宋_GB2312" w:hAnsi="仿宋_GB2312" w:eastAsia="仿宋_GB2312" w:cs="仿宋_GB2312"/>
          <w:bCs/>
          <w:color w:val="auto"/>
          <w:sz w:val="32"/>
          <w:szCs w:val="32"/>
          <w:highlight w:val="none"/>
          <w:u w:val="single"/>
          <w:lang w:val="en-US" w:eastAsia="zh-CN"/>
        </w:rPr>
        <w:t>9</w:t>
      </w:r>
      <w:r>
        <w:rPr>
          <w:rFonts w:hint="eastAsia" w:ascii="仿宋_GB2312" w:hAnsi="仿宋_GB2312" w:eastAsia="仿宋_GB2312" w:cs="仿宋_GB2312"/>
          <w:bCs/>
          <w:color w:val="auto"/>
          <w:sz w:val="32"/>
          <w:szCs w:val="32"/>
          <w:highlight w:val="none"/>
          <w:u w:val="single"/>
        </w:rPr>
        <w:t>：</w:t>
      </w:r>
      <w:r>
        <w:rPr>
          <w:rFonts w:hint="eastAsia" w:ascii="仿宋_GB2312" w:hAnsi="仿宋_GB2312" w:eastAsia="仿宋_GB2312" w:cs="仿宋_GB2312"/>
          <w:bCs/>
          <w:color w:val="auto"/>
          <w:sz w:val="32"/>
          <w:szCs w:val="32"/>
          <w:highlight w:val="none"/>
          <w:u w:val="single"/>
          <w:lang w:val="en-US" w:eastAsia="zh-CN"/>
        </w:rPr>
        <w:t>3</w:t>
      </w:r>
      <w:r>
        <w:rPr>
          <w:rFonts w:hint="eastAsia" w:ascii="仿宋_GB2312" w:hAnsi="仿宋_GB2312" w:eastAsia="仿宋_GB2312" w:cs="仿宋_GB2312"/>
          <w:bCs/>
          <w:color w:val="auto"/>
          <w:sz w:val="32"/>
          <w:szCs w:val="32"/>
          <w:highlight w:val="none"/>
          <w:u w:val="single"/>
        </w:rPr>
        <w:t>0</w:t>
      </w:r>
      <w:r>
        <w:rPr>
          <w:rFonts w:hint="eastAsia" w:ascii="仿宋_GB2312" w:hAnsi="仿宋_GB2312" w:eastAsia="仿宋_GB2312" w:cs="仿宋_GB2312"/>
          <w:bCs/>
          <w:color w:val="auto"/>
          <w:sz w:val="32"/>
          <w:szCs w:val="32"/>
          <w:highlight w:val="none"/>
        </w:rPr>
        <w:t>时（北京时间）；</w:t>
      </w:r>
    </w:p>
    <w:p w14:paraId="17B02A9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kern w:val="1"/>
          <w:sz w:val="32"/>
          <w:szCs w:val="32"/>
          <w:highlight w:val="none"/>
        </w:rPr>
      </w:pPr>
      <w:r>
        <w:rPr>
          <w:rFonts w:hint="eastAsia" w:ascii="仿宋_GB2312" w:hAnsi="仿宋_GB2312" w:eastAsia="仿宋_GB2312" w:cs="仿宋_GB2312"/>
          <w:bCs/>
          <w:color w:val="auto"/>
          <w:kern w:val="1"/>
          <w:sz w:val="32"/>
          <w:szCs w:val="32"/>
          <w:highlight w:val="none"/>
        </w:rPr>
        <w:t>（</w:t>
      </w:r>
      <w:r>
        <w:rPr>
          <w:rFonts w:hint="eastAsia" w:ascii="仿宋_GB2312" w:hAnsi="仿宋_GB2312" w:eastAsia="仿宋_GB2312" w:cs="仿宋_GB2312"/>
          <w:bCs/>
          <w:color w:val="auto"/>
          <w:kern w:val="1"/>
          <w:sz w:val="32"/>
          <w:szCs w:val="32"/>
          <w:highlight w:val="none"/>
          <w:lang w:val="en-US" w:eastAsia="zh-CN"/>
        </w:rPr>
        <w:t>三</w:t>
      </w:r>
      <w:r>
        <w:rPr>
          <w:rFonts w:hint="eastAsia" w:ascii="仿宋_GB2312" w:hAnsi="仿宋_GB2312" w:eastAsia="仿宋_GB2312" w:cs="仿宋_GB2312"/>
          <w:bCs/>
          <w:color w:val="auto"/>
          <w:kern w:val="1"/>
          <w:sz w:val="32"/>
          <w:szCs w:val="32"/>
          <w:highlight w:val="none"/>
        </w:rPr>
        <w:t>）</w:t>
      </w:r>
      <w:r>
        <w:rPr>
          <w:rFonts w:hint="eastAsia" w:ascii="仿宋_GB2312" w:hAnsi="仿宋_GB2312" w:eastAsia="仿宋_GB2312" w:cs="仿宋_GB2312"/>
          <w:bCs/>
          <w:color w:val="auto"/>
          <w:sz w:val="32"/>
          <w:szCs w:val="32"/>
          <w:highlight w:val="none"/>
        </w:rPr>
        <w:t>公开询比价评审</w:t>
      </w:r>
      <w:r>
        <w:rPr>
          <w:rFonts w:hint="eastAsia" w:ascii="仿宋_GB2312" w:hAnsi="仿宋_GB2312" w:eastAsia="仿宋_GB2312" w:cs="仿宋_GB2312"/>
          <w:bCs/>
          <w:color w:val="auto"/>
          <w:kern w:val="1"/>
          <w:sz w:val="32"/>
          <w:szCs w:val="32"/>
          <w:highlight w:val="none"/>
        </w:rPr>
        <w:t>时间</w:t>
      </w:r>
      <w:r>
        <w:rPr>
          <w:rFonts w:hint="eastAsia" w:ascii="仿宋_GB2312" w:hAnsi="仿宋_GB2312" w:eastAsia="仿宋_GB2312" w:cs="仿宋_GB2312"/>
          <w:bCs/>
          <w:color w:val="auto"/>
          <w:sz w:val="32"/>
          <w:szCs w:val="32"/>
          <w:highlight w:val="none"/>
        </w:rPr>
        <w:t>202</w:t>
      </w:r>
      <w:r>
        <w:rPr>
          <w:rFonts w:hint="eastAsia" w:ascii="仿宋_GB2312" w:hAnsi="仿宋_GB2312" w:eastAsia="仿宋_GB2312" w:cs="仿宋_GB2312"/>
          <w:bCs/>
          <w:color w:val="auto"/>
          <w:sz w:val="32"/>
          <w:szCs w:val="32"/>
          <w:highlight w:val="none"/>
          <w:lang w:val="en-US" w:eastAsia="zh-CN"/>
        </w:rPr>
        <w:t>6</w:t>
      </w:r>
      <w:r>
        <w:rPr>
          <w:rFonts w:hint="eastAsia" w:ascii="仿宋_GB2312" w:hAnsi="仿宋_GB2312" w:eastAsia="仿宋_GB2312" w:cs="仿宋_GB2312"/>
          <w:bCs/>
          <w:color w:val="auto"/>
          <w:sz w:val="32"/>
          <w:szCs w:val="32"/>
          <w:highlight w:val="none"/>
        </w:rPr>
        <w:t>年</w:t>
      </w:r>
      <w:r>
        <w:rPr>
          <w:rFonts w:hint="eastAsia" w:ascii="仿宋_GB2312" w:hAnsi="仿宋_GB2312" w:eastAsia="仿宋_GB2312" w:cs="仿宋_GB2312"/>
          <w:bCs/>
          <w:color w:val="auto"/>
          <w:sz w:val="32"/>
          <w:szCs w:val="32"/>
          <w:highlight w:val="none"/>
          <w:u w:val="single"/>
          <w:lang w:val="en-US" w:eastAsia="zh-CN"/>
        </w:rPr>
        <w:t>10</w:t>
      </w:r>
      <w:r>
        <w:rPr>
          <w:rFonts w:hint="eastAsia" w:ascii="仿宋_GB2312" w:hAnsi="仿宋_GB2312" w:eastAsia="仿宋_GB2312" w:cs="仿宋_GB2312"/>
          <w:bCs/>
          <w:color w:val="auto"/>
          <w:sz w:val="32"/>
          <w:szCs w:val="32"/>
          <w:highlight w:val="none"/>
        </w:rPr>
        <w:t>月</w:t>
      </w:r>
      <w:r>
        <w:rPr>
          <w:rFonts w:hint="eastAsia" w:ascii="仿宋_GB2312" w:hAnsi="仿宋_GB2312" w:eastAsia="仿宋_GB2312" w:cs="仿宋_GB2312"/>
          <w:bCs/>
          <w:color w:val="auto"/>
          <w:sz w:val="32"/>
          <w:szCs w:val="32"/>
          <w:highlight w:val="none"/>
          <w:u w:val="single"/>
          <w:lang w:val="en-US" w:eastAsia="zh-CN"/>
        </w:rPr>
        <w:t>16</w:t>
      </w:r>
      <w:r>
        <w:rPr>
          <w:rFonts w:hint="eastAsia" w:ascii="仿宋_GB2312" w:hAnsi="仿宋_GB2312" w:eastAsia="仿宋_GB2312" w:cs="仿宋_GB2312"/>
          <w:bCs/>
          <w:color w:val="auto"/>
          <w:sz w:val="32"/>
          <w:szCs w:val="32"/>
          <w:highlight w:val="none"/>
        </w:rPr>
        <w:t>日</w:t>
      </w:r>
      <w:r>
        <w:rPr>
          <w:rFonts w:hint="eastAsia" w:ascii="仿宋_GB2312" w:hAnsi="仿宋_GB2312" w:eastAsia="仿宋_GB2312" w:cs="仿宋_GB2312"/>
          <w:bCs/>
          <w:color w:val="auto"/>
          <w:sz w:val="32"/>
          <w:szCs w:val="32"/>
          <w:highlight w:val="none"/>
          <w:u w:val="single"/>
          <w:lang w:val="en-US" w:eastAsia="zh-CN"/>
        </w:rPr>
        <w:t>9</w:t>
      </w:r>
      <w:r>
        <w:rPr>
          <w:rFonts w:hint="eastAsia" w:ascii="仿宋_GB2312" w:hAnsi="仿宋_GB2312" w:eastAsia="仿宋_GB2312" w:cs="仿宋_GB2312"/>
          <w:bCs/>
          <w:color w:val="auto"/>
          <w:sz w:val="32"/>
          <w:szCs w:val="32"/>
          <w:highlight w:val="none"/>
          <w:u w:val="single"/>
        </w:rPr>
        <w:t>：</w:t>
      </w:r>
      <w:r>
        <w:rPr>
          <w:rFonts w:hint="eastAsia" w:ascii="仿宋_GB2312" w:hAnsi="仿宋_GB2312" w:eastAsia="仿宋_GB2312" w:cs="仿宋_GB2312"/>
          <w:bCs/>
          <w:color w:val="auto"/>
          <w:sz w:val="32"/>
          <w:szCs w:val="32"/>
          <w:highlight w:val="none"/>
          <w:u w:val="single"/>
          <w:lang w:val="en-US" w:eastAsia="zh-CN"/>
        </w:rPr>
        <w:t>3</w:t>
      </w:r>
      <w:r>
        <w:rPr>
          <w:rFonts w:hint="eastAsia" w:ascii="仿宋_GB2312" w:hAnsi="仿宋_GB2312" w:eastAsia="仿宋_GB2312" w:cs="仿宋_GB2312"/>
          <w:bCs/>
          <w:color w:val="auto"/>
          <w:sz w:val="32"/>
          <w:szCs w:val="32"/>
          <w:highlight w:val="none"/>
          <w:u w:val="single"/>
        </w:rPr>
        <w:t>0</w:t>
      </w:r>
      <w:r>
        <w:rPr>
          <w:rFonts w:hint="eastAsia" w:ascii="仿宋_GB2312" w:hAnsi="仿宋_GB2312" w:eastAsia="仿宋_GB2312" w:cs="仿宋_GB2312"/>
          <w:bCs/>
          <w:color w:val="auto"/>
          <w:sz w:val="32"/>
          <w:szCs w:val="32"/>
          <w:highlight w:val="none"/>
        </w:rPr>
        <w:t>时（北京时间）</w:t>
      </w:r>
      <w:r>
        <w:rPr>
          <w:rFonts w:hint="eastAsia" w:ascii="仿宋_GB2312" w:hAnsi="仿宋_GB2312" w:eastAsia="仿宋_GB2312" w:cs="仿宋_GB2312"/>
          <w:bCs/>
          <w:color w:val="auto"/>
          <w:kern w:val="1"/>
          <w:sz w:val="32"/>
          <w:szCs w:val="32"/>
          <w:highlight w:val="none"/>
        </w:rPr>
        <w:t>；</w:t>
      </w:r>
    </w:p>
    <w:p w14:paraId="48777A8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kern w:val="1"/>
          <w:sz w:val="32"/>
          <w:szCs w:val="32"/>
          <w:highlight w:val="none"/>
        </w:rPr>
      </w:pPr>
      <w:r>
        <w:rPr>
          <w:rFonts w:hint="eastAsia" w:ascii="仿宋_GB2312" w:hAnsi="仿宋_GB2312" w:eastAsia="仿宋_GB2312" w:cs="仿宋_GB2312"/>
          <w:bCs/>
          <w:color w:val="auto"/>
          <w:kern w:val="1"/>
          <w:sz w:val="32"/>
          <w:szCs w:val="32"/>
          <w:highlight w:val="none"/>
        </w:rPr>
        <w:t>（</w:t>
      </w:r>
      <w:r>
        <w:rPr>
          <w:rFonts w:hint="eastAsia" w:ascii="仿宋_GB2312" w:hAnsi="仿宋_GB2312" w:eastAsia="仿宋_GB2312" w:cs="仿宋_GB2312"/>
          <w:bCs/>
          <w:color w:val="auto"/>
          <w:kern w:val="1"/>
          <w:sz w:val="32"/>
          <w:szCs w:val="32"/>
          <w:highlight w:val="none"/>
          <w:lang w:val="en-US" w:eastAsia="zh-CN"/>
        </w:rPr>
        <w:t>四</w:t>
      </w:r>
      <w:r>
        <w:rPr>
          <w:rFonts w:hint="eastAsia" w:ascii="仿宋_GB2312" w:hAnsi="仿宋_GB2312" w:eastAsia="仿宋_GB2312" w:cs="仿宋_GB2312"/>
          <w:bCs/>
          <w:color w:val="auto"/>
          <w:kern w:val="1"/>
          <w:sz w:val="32"/>
          <w:szCs w:val="32"/>
          <w:highlight w:val="none"/>
        </w:rPr>
        <w:t>）</w:t>
      </w:r>
      <w:r>
        <w:rPr>
          <w:rFonts w:hint="eastAsia" w:ascii="仿宋_GB2312" w:hAnsi="仿宋_GB2312" w:eastAsia="仿宋_GB2312" w:cs="仿宋_GB2312"/>
          <w:bCs/>
          <w:color w:val="auto"/>
          <w:sz w:val="32"/>
          <w:szCs w:val="32"/>
          <w:highlight w:val="none"/>
        </w:rPr>
        <w:t>评审</w:t>
      </w:r>
      <w:r>
        <w:rPr>
          <w:rFonts w:hint="eastAsia" w:ascii="仿宋_GB2312" w:hAnsi="仿宋_GB2312" w:eastAsia="仿宋_GB2312" w:cs="仿宋_GB2312"/>
          <w:bCs/>
          <w:color w:val="auto"/>
          <w:kern w:val="1"/>
          <w:sz w:val="32"/>
          <w:szCs w:val="32"/>
          <w:highlight w:val="none"/>
        </w:rPr>
        <w:t>地点：江苏索普(集团)有限公司</w:t>
      </w:r>
      <w:r>
        <w:rPr>
          <w:rFonts w:hint="eastAsia" w:ascii="仿宋_GB2312" w:hAnsi="仿宋_GB2312" w:eastAsia="仿宋_GB2312" w:cs="仿宋_GB2312"/>
          <w:bCs/>
          <w:color w:val="auto"/>
          <w:sz w:val="32"/>
          <w:szCs w:val="32"/>
          <w:highlight w:val="none"/>
        </w:rPr>
        <w:t>评审</w:t>
      </w:r>
      <w:r>
        <w:rPr>
          <w:rFonts w:hint="eastAsia" w:ascii="仿宋_GB2312" w:hAnsi="仿宋_GB2312" w:eastAsia="仿宋_GB2312" w:cs="仿宋_GB2312"/>
          <w:bCs/>
          <w:color w:val="auto"/>
          <w:kern w:val="1"/>
          <w:sz w:val="32"/>
          <w:szCs w:val="32"/>
          <w:highlight w:val="none"/>
        </w:rPr>
        <w:t>中心；</w:t>
      </w:r>
    </w:p>
    <w:p w14:paraId="78776D88">
      <w:pPr>
        <w:keepNext w:val="0"/>
        <w:keepLines w:val="0"/>
        <w:pageBreakBefore w:val="0"/>
        <w:widowControl w:val="0"/>
        <w:kinsoku/>
        <w:wordWrap/>
        <w:overflowPunct/>
        <w:topLinePunct w:val="0"/>
        <w:autoSpaceDE/>
        <w:autoSpaceDN/>
        <w:bidi w:val="0"/>
        <w:adjustRightInd w:val="0"/>
        <w:snapToGrid w:val="0"/>
        <w:spacing w:line="560" w:lineRule="exact"/>
        <w:ind w:firstLine="617" w:firstLineChars="193"/>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w:t>
      </w:r>
      <w:r>
        <w:rPr>
          <w:rFonts w:hint="eastAsia" w:ascii="仿宋_GB2312" w:hAnsi="仿宋_GB2312" w:eastAsia="仿宋_GB2312" w:cs="仿宋_GB2312"/>
          <w:bCs/>
          <w:color w:val="auto"/>
          <w:sz w:val="32"/>
          <w:szCs w:val="32"/>
          <w:highlight w:val="none"/>
          <w:lang w:val="en-US" w:eastAsia="zh-CN"/>
        </w:rPr>
        <w:t>五</w:t>
      </w:r>
      <w:r>
        <w:rPr>
          <w:rFonts w:hint="eastAsia" w:ascii="仿宋_GB2312" w:hAnsi="仿宋_GB2312" w:eastAsia="仿宋_GB2312" w:cs="仿宋_GB2312"/>
          <w:bCs/>
          <w:color w:val="auto"/>
          <w:sz w:val="32"/>
          <w:szCs w:val="32"/>
          <w:highlight w:val="none"/>
        </w:rPr>
        <w:t>）评审结果公示：评审结果将在索普集团官网公示，请各供应商登录http://www.sopo.com.cn查询。</w:t>
      </w:r>
    </w:p>
    <w:p w14:paraId="5C3AFF1C">
      <w:pPr>
        <w:spacing w:line="500" w:lineRule="exact"/>
        <w:ind w:firstLine="640" w:firstLineChars="200"/>
        <w:rPr>
          <w:rFonts w:hint="default" w:ascii="仿宋_GB2312" w:hAnsi="仿宋_GB2312" w:eastAsia="仿宋_GB2312" w:cs="仿宋_GB2312"/>
          <w:bCs/>
          <w:color w:val="auto"/>
          <w:kern w:val="2"/>
          <w:sz w:val="32"/>
          <w:szCs w:val="32"/>
          <w:highlight w:val="none"/>
          <w:lang w:val="en-US" w:eastAsia="zh-CN" w:bidi="ar-SA"/>
        </w:rPr>
      </w:pPr>
      <w:r>
        <w:rPr>
          <w:rFonts w:hint="eastAsia" w:ascii="仿宋_GB2312" w:hAnsi="仿宋_GB2312" w:eastAsia="仿宋_GB2312" w:cs="仿宋_GB2312"/>
          <w:bCs/>
          <w:color w:val="auto"/>
          <w:sz w:val="32"/>
          <w:szCs w:val="32"/>
          <w:highlight w:val="none"/>
          <w:lang w:val="en-US" w:eastAsia="zh-CN"/>
        </w:rPr>
        <w:t>（六）</w:t>
      </w:r>
      <w:r>
        <w:rPr>
          <w:rFonts w:hint="eastAsia" w:ascii="仿宋_GB2312" w:hAnsi="仿宋_GB2312" w:eastAsia="仿宋_GB2312" w:cs="仿宋_GB2312"/>
          <w:bCs/>
          <w:color w:val="auto"/>
          <w:sz w:val="32"/>
          <w:szCs w:val="32"/>
          <w:highlight w:val="none"/>
        </w:rPr>
        <w:t>现拟对公司</w:t>
      </w:r>
      <w:r>
        <w:rPr>
          <w:rFonts w:hint="eastAsia" w:ascii="仿宋_GB2312" w:hAnsi="仿宋_GB2312" w:eastAsia="仿宋_GB2312" w:cs="仿宋_GB2312"/>
          <w:bCs/>
          <w:color w:val="auto"/>
          <w:sz w:val="32"/>
          <w:szCs w:val="32"/>
          <w:highlight w:val="none"/>
          <w:lang w:val="en-US" w:eastAsia="zh-CN"/>
        </w:rPr>
        <w:t>所属的</w:t>
      </w:r>
      <w:r>
        <w:rPr>
          <w:rFonts w:hint="eastAsia" w:ascii="仿宋_GB2312" w:hAnsi="仿宋_GB2312" w:eastAsia="仿宋_GB2312" w:cs="仿宋_GB2312"/>
          <w:bCs/>
          <w:color w:val="auto"/>
          <w:kern w:val="2"/>
          <w:sz w:val="32"/>
          <w:szCs w:val="32"/>
          <w:highlight w:val="none"/>
          <w:lang w:val="en-US" w:eastAsia="zh-CN" w:bidi="ar-SA"/>
        </w:rPr>
        <w:t>供销大楼房屋进行安全鉴定和消防安全评估，鉴定和评估结果</w:t>
      </w:r>
      <w:r>
        <w:rPr>
          <w:rFonts w:hint="default" w:ascii="仿宋_GB2312" w:hAnsi="仿宋_GB2312" w:eastAsia="仿宋_GB2312" w:cs="仿宋_GB2312"/>
          <w:bCs/>
          <w:color w:val="auto"/>
          <w:kern w:val="2"/>
          <w:sz w:val="32"/>
          <w:szCs w:val="32"/>
          <w:highlight w:val="none"/>
          <w:lang w:val="en-US" w:eastAsia="zh-CN" w:bidi="ar-SA"/>
        </w:rPr>
        <w:t>用于不动产登记</w:t>
      </w:r>
      <w:r>
        <w:rPr>
          <w:rFonts w:hint="eastAsia" w:ascii="仿宋_GB2312" w:hAnsi="仿宋_GB2312" w:eastAsia="仿宋_GB2312" w:cs="仿宋_GB2312"/>
          <w:bCs/>
          <w:color w:val="auto"/>
          <w:kern w:val="2"/>
          <w:sz w:val="32"/>
          <w:szCs w:val="32"/>
          <w:highlight w:val="none"/>
          <w:lang w:val="en-US" w:eastAsia="zh-CN" w:bidi="ar-SA"/>
        </w:rPr>
        <w:t>办</w:t>
      </w:r>
      <w:r>
        <w:rPr>
          <w:rFonts w:hint="default" w:ascii="仿宋_GB2312" w:hAnsi="仿宋_GB2312" w:eastAsia="仿宋_GB2312" w:cs="仿宋_GB2312"/>
          <w:bCs/>
          <w:color w:val="auto"/>
          <w:kern w:val="2"/>
          <w:sz w:val="32"/>
          <w:szCs w:val="32"/>
          <w:highlight w:val="none"/>
          <w:lang w:val="en-US" w:eastAsia="zh-CN" w:bidi="ar-SA"/>
        </w:rPr>
        <w:t>证。</w:t>
      </w:r>
      <w:r>
        <w:rPr>
          <w:rFonts w:hint="eastAsia" w:ascii="仿宋_GB2312" w:hAnsi="仿宋_GB2312" w:eastAsia="仿宋_GB2312" w:cs="仿宋_GB2312"/>
          <w:bCs/>
          <w:color w:val="auto"/>
          <w:kern w:val="2"/>
          <w:sz w:val="32"/>
          <w:szCs w:val="32"/>
          <w:highlight w:val="none"/>
          <w:lang w:val="en-US" w:eastAsia="zh-CN" w:bidi="ar-SA"/>
        </w:rPr>
        <w:t>房屋共四层，面积约</w:t>
      </w:r>
      <w:r>
        <w:rPr>
          <w:rFonts w:hint="default" w:ascii="仿宋_GB2312" w:hAnsi="仿宋_GB2312" w:eastAsia="仿宋_GB2312" w:cs="仿宋_GB2312"/>
          <w:bCs/>
          <w:color w:val="auto"/>
          <w:sz w:val="32"/>
          <w:szCs w:val="32"/>
          <w:highlight w:val="none"/>
        </w:rPr>
        <w:t>【</w:t>
      </w:r>
      <w:r>
        <w:rPr>
          <w:rFonts w:hint="eastAsia" w:ascii="仿宋_GB2312" w:hAnsi="仿宋_GB2312" w:eastAsia="仿宋_GB2312" w:cs="仿宋_GB2312"/>
          <w:bCs/>
          <w:color w:val="auto"/>
          <w:kern w:val="2"/>
          <w:sz w:val="32"/>
          <w:szCs w:val="32"/>
          <w:highlight w:val="none"/>
          <w:lang w:val="en-US" w:eastAsia="zh-CN" w:bidi="ar-SA"/>
        </w:rPr>
        <w:t>3349</w:t>
      </w:r>
      <w:r>
        <w:rPr>
          <w:rFonts w:hint="default" w:ascii="仿宋_GB2312" w:hAnsi="仿宋_GB2312" w:eastAsia="仿宋_GB2312" w:cs="仿宋_GB2312"/>
          <w:bCs/>
          <w:color w:val="auto"/>
          <w:sz w:val="32"/>
          <w:szCs w:val="32"/>
          <w:highlight w:val="none"/>
        </w:rPr>
        <w:t>】</w:t>
      </w:r>
      <w:r>
        <w:rPr>
          <w:rFonts w:hint="eastAsia" w:ascii="仿宋_GB2312" w:hAnsi="仿宋_GB2312" w:eastAsia="仿宋_GB2312" w:cs="仿宋_GB2312"/>
          <w:bCs/>
          <w:color w:val="auto"/>
          <w:kern w:val="2"/>
          <w:sz w:val="32"/>
          <w:szCs w:val="32"/>
          <w:highlight w:val="none"/>
          <w:lang w:val="en-US" w:eastAsia="zh-CN" w:bidi="ar-SA"/>
        </w:rPr>
        <w:t>平方米。</w:t>
      </w:r>
    </w:p>
    <w:p w14:paraId="28C4059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黑体" w:hAnsi="黑体" w:eastAsia="黑体" w:cs="黑体"/>
          <w:bCs/>
          <w:color w:val="auto"/>
          <w:kern w:val="1"/>
          <w:sz w:val="32"/>
          <w:szCs w:val="32"/>
          <w:highlight w:val="none"/>
        </w:rPr>
      </w:pPr>
      <w:r>
        <w:rPr>
          <w:rFonts w:hint="eastAsia" w:ascii="黑体" w:hAnsi="黑体" w:eastAsia="黑体" w:cs="黑体"/>
          <w:bCs/>
          <w:color w:val="auto"/>
          <w:kern w:val="1"/>
          <w:sz w:val="32"/>
          <w:szCs w:val="32"/>
          <w:highlight w:val="none"/>
        </w:rPr>
        <w:t xml:space="preserve"> 二、采购内容：</w:t>
      </w:r>
    </w:p>
    <w:p w14:paraId="4440450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（一）采购项目内容</w:t>
      </w:r>
    </w:p>
    <w:p w14:paraId="572E7315">
      <w:pPr>
        <w:spacing w:line="500" w:lineRule="exact"/>
        <w:ind w:firstLine="640" w:firstLineChars="200"/>
        <w:rPr>
          <w:rFonts w:hint="eastAsia" w:ascii="仿宋_GB2312" w:hAnsi="仿宋_GB2312" w:eastAsia="仿宋_GB2312" w:cs="仿宋_GB2312"/>
          <w:bCs/>
          <w:color w:val="auto"/>
          <w:kern w:val="2"/>
          <w:sz w:val="32"/>
          <w:szCs w:val="32"/>
          <w:highlight w:val="none"/>
          <w:lang w:val="en-US" w:eastAsia="zh-CN" w:bidi="ar-SA"/>
        </w:rPr>
      </w:pPr>
      <w:r>
        <w:rPr>
          <w:rFonts w:hint="eastAsia" w:ascii="仿宋_GB2312" w:hAnsi="仿宋_GB2312" w:eastAsia="仿宋_GB2312" w:cs="仿宋_GB2312"/>
          <w:bCs/>
          <w:color w:val="auto"/>
          <w:kern w:val="2"/>
          <w:sz w:val="32"/>
          <w:szCs w:val="32"/>
          <w:highlight w:val="none"/>
          <w:lang w:val="en-US" w:eastAsia="zh-CN" w:bidi="ar-SA"/>
        </w:rPr>
        <w:t>本项目的采购内容包含了供销大楼房屋安全鉴定和消防安全评估服务。</w:t>
      </w:r>
    </w:p>
    <w:p w14:paraId="207BAB60">
      <w:pPr>
        <w:keepNext w:val="0"/>
        <w:keepLines w:val="0"/>
        <w:pageBreakBefore w:val="0"/>
        <w:widowControl w:val="0"/>
        <w:kinsoku/>
        <w:wordWrap/>
        <w:overflowPunct/>
        <w:topLinePunct w:val="0"/>
        <w:autoSpaceDE/>
        <w:autoSpaceDN/>
        <w:bidi w:val="0"/>
        <w:adjustRightInd w:val="0"/>
        <w:snapToGrid w:val="0"/>
        <w:spacing w:line="560" w:lineRule="exact"/>
        <w:ind w:leftChars="0" w:firstLine="617" w:firstLineChars="193"/>
        <w:jc w:val="both"/>
        <w:textAlignment w:val="auto"/>
        <w:rPr>
          <w:rFonts w:hint="eastAsia" w:ascii="仿宋_GB2312" w:hAnsi="仿宋_GB2312" w:eastAsia="仿宋_GB2312" w:cs="仿宋_GB2312"/>
          <w:bCs/>
          <w:color w:val="auto"/>
          <w:kern w:val="2"/>
          <w:sz w:val="32"/>
          <w:szCs w:val="32"/>
          <w:highlight w:val="none"/>
          <w:lang w:val="en-US" w:eastAsia="zh-CN" w:bidi="ar-SA"/>
        </w:rPr>
      </w:pPr>
      <w:r>
        <w:rPr>
          <w:rFonts w:hint="eastAsia" w:ascii="仿宋_GB2312" w:hAnsi="仿宋_GB2312" w:eastAsia="仿宋_GB2312" w:cs="仿宋_GB2312"/>
          <w:bCs/>
          <w:color w:val="auto"/>
          <w:kern w:val="2"/>
          <w:sz w:val="32"/>
          <w:szCs w:val="32"/>
          <w:highlight w:val="none"/>
          <w:lang w:val="en-US" w:eastAsia="zh-CN" w:bidi="ar-SA"/>
        </w:rPr>
        <w:t>房屋安全鉴定：针对本次无证建筑历史遗留不动产确权办证专项开展房屋结构安全检测鉴定，对指定建（构）筑物开展现场勘查、结构检测、承载力验算，核查房屋结构损伤、沉降、裂缝、构件老化等情况，出具可用于住建局备案、不动产登记办证的正式CMA房屋安全鉴定报告，明确房屋安全等级、结构安全结论，满足历史遗留问题办证合规要求。</w:t>
      </w:r>
    </w:p>
    <w:p w14:paraId="24F71237">
      <w:pPr>
        <w:keepNext w:val="0"/>
        <w:keepLines w:val="0"/>
        <w:pageBreakBefore w:val="0"/>
        <w:widowControl w:val="0"/>
        <w:kinsoku/>
        <w:wordWrap/>
        <w:overflowPunct/>
        <w:topLinePunct w:val="0"/>
        <w:autoSpaceDE/>
        <w:autoSpaceDN/>
        <w:bidi w:val="0"/>
        <w:adjustRightInd w:val="0"/>
        <w:snapToGrid w:val="0"/>
        <w:spacing w:line="560" w:lineRule="exact"/>
        <w:ind w:leftChars="0" w:firstLine="617" w:firstLineChars="193"/>
        <w:jc w:val="both"/>
        <w:textAlignment w:val="auto"/>
        <w:rPr>
          <w:rFonts w:hint="eastAsia" w:ascii="仿宋_GB2312" w:hAnsi="仿宋_GB2312" w:eastAsia="仿宋_GB2312" w:cs="仿宋_GB2312"/>
          <w:bCs/>
          <w:color w:val="auto"/>
          <w:kern w:val="2"/>
          <w:sz w:val="32"/>
          <w:szCs w:val="32"/>
          <w:highlight w:val="none"/>
          <w:lang w:val="en-US" w:eastAsia="zh-CN" w:bidi="ar-SA"/>
        </w:rPr>
      </w:pPr>
      <w:r>
        <w:rPr>
          <w:rFonts w:hint="eastAsia" w:ascii="仿宋_GB2312" w:hAnsi="仿宋_GB2312" w:eastAsia="仿宋_GB2312" w:cs="仿宋_GB2312"/>
          <w:bCs/>
          <w:color w:val="auto"/>
          <w:kern w:val="2"/>
          <w:sz w:val="32"/>
          <w:szCs w:val="32"/>
          <w:highlight w:val="none"/>
          <w:lang w:val="en-US" w:eastAsia="zh-CN" w:bidi="ar-SA"/>
        </w:rPr>
        <w:t>消防安全评估：针对本次无证建筑历史遗留不动产确权办证专项开展建筑消防安全现状评估；排查火灾隐患、核查现状消防合规性，出具可用于住建、不动产办证存档的消防安全评估报告，作为历史遗留建筑办证配套安全资料。</w:t>
      </w:r>
    </w:p>
    <w:p w14:paraId="7E7B11D9">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Cs/>
          <w:color w:val="auto"/>
          <w:kern w:val="2"/>
          <w:sz w:val="32"/>
          <w:szCs w:val="32"/>
          <w:highlight w:val="none"/>
          <w:lang w:val="en-US" w:eastAsia="zh-CN" w:bidi="ar-SA"/>
        </w:rPr>
      </w:pPr>
      <w:r>
        <w:rPr>
          <w:rFonts w:hint="eastAsia" w:ascii="仿宋_GB2312" w:hAnsi="仿宋_GB2312" w:eastAsia="仿宋_GB2312" w:cs="仿宋_GB2312"/>
          <w:bCs/>
          <w:color w:val="auto"/>
          <w:kern w:val="2"/>
          <w:sz w:val="32"/>
          <w:szCs w:val="32"/>
          <w:highlight w:val="none"/>
          <w:lang w:val="en-US" w:eastAsia="zh-CN" w:bidi="ar-SA"/>
        </w:rPr>
        <w:t>1.供销大楼：钢筋混凝土结构，主体四层，建筑面积约3349平方米。</w:t>
      </w:r>
    </w:p>
    <w:p w14:paraId="7A4C9EF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Cs/>
          <w:color w:val="auto"/>
          <w:kern w:val="2"/>
          <w:sz w:val="32"/>
          <w:szCs w:val="32"/>
          <w:highlight w:val="none"/>
          <w:lang w:val="en-US" w:eastAsia="zh-CN" w:bidi="ar-SA"/>
        </w:rPr>
      </w:pPr>
      <w:r>
        <w:rPr>
          <w:rFonts w:hint="eastAsia" w:ascii="仿宋_GB2312" w:hAnsi="仿宋_GB2312" w:eastAsia="仿宋_GB2312" w:cs="仿宋_GB2312"/>
          <w:bCs/>
          <w:color w:val="auto"/>
          <w:kern w:val="2"/>
          <w:sz w:val="32"/>
          <w:szCs w:val="32"/>
          <w:highlight w:val="none"/>
          <w:lang w:val="en-US" w:eastAsia="zh-CN" w:bidi="ar-SA"/>
        </w:rPr>
        <w:t>2.服务期：合同签订后30个日历日内完成全部现场勘查、检测、评估、报告编制、审核交付及答疑配合工作。</w:t>
      </w:r>
    </w:p>
    <w:p w14:paraId="05EBB119">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Cs/>
          <w:color w:val="auto"/>
          <w:kern w:val="2"/>
          <w:sz w:val="32"/>
          <w:szCs w:val="32"/>
          <w:highlight w:val="none"/>
          <w:lang w:val="en-US" w:eastAsia="zh-CN" w:bidi="ar-SA"/>
        </w:rPr>
      </w:pPr>
      <w:r>
        <w:rPr>
          <w:rFonts w:hint="eastAsia" w:ascii="仿宋_GB2312" w:hAnsi="仿宋_GB2312" w:eastAsia="仿宋_GB2312" w:cs="仿宋_GB2312"/>
          <w:bCs/>
          <w:color w:val="auto"/>
          <w:kern w:val="2"/>
          <w:sz w:val="32"/>
          <w:szCs w:val="32"/>
          <w:highlight w:val="none"/>
          <w:lang w:val="en-US" w:eastAsia="zh-CN" w:bidi="ar-SA"/>
        </w:rPr>
        <w:t>3.服务地点：江苏镇江</w:t>
      </w:r>
      <w:bookmarkStart w:id="2" w:name="_GoBack"/>
      <w:bookmarkEnd w:id="2"/>
    </w:p>
    <w:p w14:paraId="0E650B1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（二）技术要求</w:t>
      </w:r>
    </w:p>
    <w:p w14:paraId="3E1C34F2">
      <w:pPr>
        <w:spacing w:line="500" w:lineRule="exact"/>
        <w:ind w:firstLine="570"/>
        <w:rPr>
          <w:rFonts w:hint="eastAsia" w:ascii="仿宋_GB2312" w:hAnsi="仿宋_GB2312" w:eastAsia="仿宋_GB2312" w:cs="仿宋_GB2312"/>
          <w:bCs/>
          <w:color w:val="auto"/>
          <w:sz w:val="32"/>
          <w:szCs w:val="32"/>
          <w:highlight w:val="none"/>
          <w:lang w:eastAsia="zh-CN"/>
        </w:rPr>
      </w:pPr>
      <w:r>
        <w:rPr>
          <w:rFonts w:hint="eastAsia" w:ascii="仿宋_GB2312" w:hAnsi="仿宋_GB2312" w:eastAsia="仿宋_GB2312" w:cs="仿宋_GB2312"/>
          <w:bCs/>
          <w:color w:val="auto"/>
          <w:kern w:val="2"/>
          <w:sz w:val="32"/>
          <w:szCs w:val="32"/>
          <w:highlight w:val="none"/>
          <w:lang w:val="en-US" w:eastAsia="zh-CN" w:bidi="ar-SA"/>
        </w:rPr>
        <w:t>房屋安全鉴定与消防安全评估按先后顺序实施，完成后先出具符合市住建局组织的专家认可的房屋检测鉴定报告，再按要求出具符合规范的消防安全评估报告。</w:t>
      </w:r>
    </w:p>
    <w:p w14:paraId="03D4141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w:t>
      </w:r>
      <w:r>
        <w:rPr>
          <w:rFonts w:hint="eastAsia" w:ascii="仿宋_GB2312" w:hAnsi="仿宋_GB2312" w:eastAsia="仿宋_GB2312" w:cs="仿宋_GB2312"/>
          <w:bCs/>
          <w:color w:val="auto"/>
          <w:sz w:val="32"/>
          <w:szCs w:val="32"/>
          <w:highlight w:val="none"/>
          <w:lang w:val="en-US" w:eastAsia="zh-CN"/>
        </w:rPr>
        <w:t>三</w:t>
      </w:r>
      <w:r>
        <w:rPr>
          <w:rFonts w:hint="eastAsia" w:ascii="仿宋_GB2312" w:hAnsi="仿宋_GB2312" w:eastAsia="仿宋_GB2312" w:cs="仿宋_GB2312"/>
          <w:bCs/>
          <w:color w:val="auto"/>
          <w:sz w:val="32"/>
          <w:szCs w:val="32"/>
          <w:highlight w:val="none"/>
        </w:rPr>
        <w:t>）</w:t>
      </w:r>
      <w:r>
        <w:rPr>
          <w:rFonts w:hint="eastAsia" w:ascii="仿宋_GB2312" w:hAnsi="仿宋_GB2312" w:eastAsia="仿宋_GB2312" w:cs="仿宋_GB2312"/>
          <w:bCs/>
          <w:color w:val="auto"/>
          <w:sz w:val="32"/>
          <w:szCs w:val="32"/>
          <w:highlight w:val="none"/>
          <w:lang w:val="en-US" w:eastAsia="zh-CN"/>
        </w:rPr>
        <w:t>服务期限</w:t>
      </w:r>
    </w:p>
    <w:p w14:paraId="4485208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sz w:val="32"/>
          <w:szCs w:val="32"/>
          <w:highlight w:val="none"/>
          <w:u w:val="single" w:color="auto"/>
        </w:rPr>
      </w:pPr>
      <w:r>
        <w:rPr>
          <w:rFonts w:hint="eastAsia" w:ascii="仿宋_GB2312" w:hAnsi="仿宋_GB2312" w:eastAsia="仿宋_GB2312" w:cs="仿宋_GB2312"/>
          <w:bCs/>
          <w:color w:val="auto"/>
          <w:sz w:val="32"/>
          <w:szCs w:val="32"/>
          <w:highlight w:val="none"/>
          <w:u w:val="single"/>
          <w:lang w:val="en-US" w:eastAsia="zh-CN"/>
        </w:rPr>
        <w:t xml:space="preserve"> 2026年10月17日</w:t>
      </w:r>
      <w:r>
        <w:rPr>
          <w:rFonts w:hint="eastAsia" w:ascii="仿宋_GB2312" w:hAnsi="仿宋_GB2312" w:eastAsia="仿宋_GB2312" w:cs="仿宋_GB2312"/>
          <w:bCs/>
          <w:color w:val="auto"/>
          <w:sz w:val="32"/>
          <w:szCs w:val="32"/>
          <w:highlight w:val="none"/>
          <w:lang w:val="en-US" w:eastAsia="zh-CN"/>
        </w:rPr>
        <w:t>至</w:t>
      </w:r>
      <w:r>
        <w:rPr>
          <w:rFonts w:hint="eastAsia" w:ascii="仿宋_GB2312" w:hAnsi="仿宋_GB2312" w:eastAsia="仿宋_GB2312" w:cs="仿宋_GB2312"/>
          <w:bCs/>
          <w:color w:val="auto"/>
          <w:sz w:val="32"/>
          <w:szCs w:val="32"/>
          <w:highlight w:val="none"/>
          <w:u w:val="single"/>
          <w:lang w:val="en-US" w:eastAsia="zh-CN"/>
        </w:rPr>
        <w:t>20</w:t>
      </w:r>
      <w:r>
        <w:rPr>
          <w:rFonts w:hint="eastAsia" w:ascii="仿宋_GB2312" w:hAnsi="仿宋_GB2312" w:eastAsia="仿宋_GB2312" w:cs="仿宋_GB2312"/>
          <w:bCs/>
          <w:color w:val="auto"/>
          <w:sz w:val="32"/>
          <w:szCs w:val="32"/>
          <w:highlight w:val="none"/>
          <w:u w:val="single" w:color="auto"/>
          <w:lang w:val="en-US" w:eastAsia="zh-CN"/>
        </w:rPr>
        <w:t>26年12月31日</w:t>
      </w:r>
      <w:r>
        <w:rPr>
          <w:rFonts w:hint="eastAsia" w:ascii="仿宋_GB2312" w:hAnsi="仿宋_GB2312" w:eastAsia="仿宋_GB2312" w:cs="仿宋_GB2312"/>
          <w:bCs/>
          <w:color w:val="auto"/>
          <w:sz w:val="32"/>
          <w:szCs w:val="32"/>
          <w:highlight w:val="none"/>
          <w:u w:val="single" w:color="auto"/>
          <w:lang w:eastAsia="zh-CN"/>
        </w:rPr>
        <w:t>；</w:t>
      </w:r>
    </w:p>
    <w:p w14:paraId="37FBA31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（四）服务费用支付</w:t>
      </w:r>
    </w:p>
    <w:p w14:paraId="5C8C2D6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kern w:val="2"/>
          <w:sz w:val="32"/>
          <w:szCs w:val="32"/>
          <w:highlight w:val="none"/>
          <w:lang w:val="en-US" w:eastAsia="zh-CN" w:bidi="ar-SA"/>
        </w:rPr>
        <w:t>按照相关要求出具检测报告，并经镇江市抗震办及采购人审核确认、且提供增值税专用发票后，60天内一次性付清房屋安全鉴定相关费用；出具消防安全评估报告并经采购人审核确认、且提供增值税专用发票后，60天内一次性付清消防安全评估相关费用。</w:t>
      </w:r>
    </w:p>
    <w:p w14:paraId="273D75B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kern w:val="2"/>
          <w:sz w:val="32"/>
          <w:szCs w:val="32"/>
          <w:highlight w:val="none"/>
          <w:lang w:val="en-US" w:eastAsia="zh-CN" w:bidi="ar-SA"/>
        </w:rPr>
      </w:pPr>
      <w:r>
        <w:rPr>
          <w:rFonts w:hint="eastAsia" w:ascii="仿宋_GB2312" w:hAnsi="仿宋_GB2312" w:eastAsia="仿宋_GB2312" w:cs="仿宋_GB2312"/>
          <w:bCs/>
          <w:color w:val="auto"/>
          <w:kern w:val="2"/>
          <w:sz w:val="32"/>
          <w:szCs w:val="32"/>
          <w:highlight w:val="none"/>
          <w:lang w:val="en-US" w:eastAsia="zh-CN" w:bidi="ar-SA"/>
        </w:rPr>
        <w:t>（五）项目控制价/预算金额：10</w:t>
      </w:r>
      <w:r>
        <w:rPr>
          <w:rFonts w:hint="default" w:ascii="仿宋_GB2312" w:hAnsi="仿宋_GB2312" w:eastAsia="仿宋_GB2312" w:cs="仿宋_GB2312"/>
          <w:bCs/>
          <w:color w:val="auto"/>
          <w:kern w:val="2"/>
          <w:sz w:val="32"/>
          <w:szCs w:val="32"/>
          <w:highlight w:val="none"/>
          <w:lang w:val="en-US" w:eastAsia="zh-CN" w:bidi="ar-SA"/>
        </w:rPr>
        <w:t>万元</w:t>
      </w:r>
    </w:p>
    <w:p w14:paraId="25CA3F08">
      <w:pPr>
        <w:keepNext w:val="0"/>
        <w:keepLines w:val="0"/>
        <w:pageBreakBefore w:val="0"/>
        <w:widowControl w:val="0"/>
        <w:kinsoku/>
        <w:wordWrap/>
        <w:overflowPunct/>
        <w:topLinePunct w:val="0"/>
        <w:autoSpaceDE/>
        <w:autoSpaceDN/>
        <w:bidi w:val="0"/>
        <w:spacing w:line="560" w:lineRule="exact"/>
        <w:ind w:firstLine="640" w:firstLineChars="200"/>
        <w:textAlignment w:val="auto"/>
        <w:rPr>
          <w:sz w:val="32"/>
          <w:szCs w:val="32"/>
        </w:rPr>
      </w:pPr>
      <w:r>
        <w:rPr>
          <w:rFonts w:hint="eastAsia" w:ascii="黑体" w:hAnsi="黑体" w:eastAsia="黑体" w:cs="黑体"/>
          <w:b w:val="0"/>
          <w:color w:val="auto"/>
          <w:sz w:val="32"/>
          <w:szCs w:val="32"/>
        </w:rPr>
        <w:t>三、</w:t>
      </w:r>
      <w:r>
        <w:rPr>
          <w:rFonts w:hint="eastAsia" w:ascii="黑体" w:hAnsi="黑体" w:eastAsia="黑体" w:cs="黑体"/>
          <w:b w:val="0"/>
          <w:bCs/>
          <w:color w:val="auto"/>
          <w:sz w:val="32"/>
          <w:szCs w:val="32"/>
          <w:highlight w:val="none"/>
        </w:rPr>
        <w:t>报价人资质与</w:t>
      </w:r>
      <w:r>
        <w:rPr>
          <w:rFonts w:hint="eastAsia" w:ascii="黑体" w:hAnsi="黑体" w:eastAsia="黑体" w:cs="黑体"/>
          <w:b w:val="0"/>
          <w:bCs/>
          <w:color w:val="auto"/>
          <w:sz w:val="32"/>
          <w:szCs w:val="32"/>
          <w:highlight w:val="none"/>
          <w:lang w:val="en-US" w:eastAsia="zh-CN"/>
        </w:rPr>
        <w:t>报价单</w:t>
      </w:r>
      <w:r>
        <w:rPr>
          <w:rFonts w:hint="eastAsia" w:ascii="黑体" w:hAnsi="黑体" w:eastAsia="黑体" w:cs="黑体"/>
          <w:b w:val="0"/>
          <w:bCs/>
          <w:color w:val="auto"/>
          <w:sz w:val="32"/>
          <w:szCs w:val="32"/>
          <w:highlight w:val="none"/>
        </w:rPr>
        <w:t>要求：</w:t>
      </w:r>
    </w:p>
    <w:p w14:paraId="4107E7CF">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default"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eastAsia="zh-CN"/>
        </w:rPr>
        <w:t>（</w:t>
      </w:r>
      <w:r>
        <w:rPr>
          <w:rFonts w:hint="eastAsia" w:ascii="仿宋_GB2312" w:hAnsi="仿宋_GB2312" w:eastAsia="仿宋_GB2312" w:cs="仿宋_GB2312"/>
          <w:bCs/>
          <w:color w:val="000000"/>
          <w:sz w:val="32"/>
          <w:szCs w:val="32"/>
          <w:lang w:val="en-US" w:eastAsia="zh-CN"/>
        </w:rPr>
        <w:t>一）报价人资质</w:t>
      </w:r>
    </w:p>
    <w:p w14:paraId="49115473">
      <w:pPr>
        <w:keepNext w:val="0"/>
        <w:keepLines w:val="0"/>
        <w:pageBreakBefore w:val="0"/>
        <w:widowControl w:val="0"/>
        <w:kinsoku/>
        <w:wordWrap/>
        <w:overflowPunct/>
        <w:topLinePunct w:val="0"/>
        <w:autoSpaceDE/>
        <w:autoSpaceDN/>
        <w:bidi w:val="0"/>
        <w:adjustRightInd w:val="0"/>
        <w:snapToGrid w:val="0"/>
        <w:spacing w:line="560" w:lineRule="exact"/>
        <w:ind w:firstLine="617" w:firstLineChars="193"/>
        <w:jc w:val="both"/>
        <w:textAlignment w:val="auto"/>
        <w:rPr>
          <w:rFonts w:hint="eastAsia" w:ascii="仿宋_GB2312" w:hAnsi="仿宋_GB2312" w:eastAsia="仿宋_GB2312" w:cs="仿宋_GB2312"/>
          <w:bCs/>
          <w:color w:val="auto"/>
          <w:kern w:val="2"/>
          <w:sz w:val="32"/>
          <w:szCs w:val="32"/>
          <w:highlight w:val="none"/>
          <w:lang w:val="en-US" w:eastAsia="zh-CN" w:bidi="ar-SA"/>
        </w:rPr>
      </w:pPr>
      <w:r>
        <w:rPr>
          <w:rFonts w:hint="eastAsia" w:ascii="仿宋_GB2312" w:hAnsi="仿宋_GB2312" w:eastAsia="仿宋_GB2312" w:cs="仿宋_GB2312"/>
          <w:bCs/>
          <w:color w:val="auto"/>
          <w:kern w:val="2"/>
          <w:sz w:val="32"/>
          <w:szCs w:val="32"/>
          <w:highlight w:val="none"/>
          <w:lang w:val="en-US" w:eastAsia="zh-CN" w:bidi="ar-SA"/>
        </w:rPr>
        <w:t>1.报价人必须具有独立法人资格（提供营业执照复印件并加盖公章）；</w:t>
      </w:r>
    </w:p>
    <w:p w14:paraId="2D1F2446">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14" w:firstLineChars="192"/>
        <w:jc w:val="both"/>
        <w:textAlignment w:val="auto"/>
        <w:rPr>
          <w:rFonts w:hint="eastAsia" w:ascii="仿宋_GB2312" w:hAnsi="仿宋_GB2312" w:eastAsia="仿宋_GB2312" w:cs="仿宋_GB2312"/>
          <w:bCs/>
          <w:color w:val="auto"/>
          <w:kern w:val="2"/>
          <w:sz w:val="32"/>
          <w:szCs w:val="32"/>
          <w:highlight w:val="none"/>
          <w:lang w:val="en-US" w:eastAsia="zh-CN" w:bidi="ar-SA"/>
        </w:rPr>
      </w:pPr>
      <w:r>
        <w:rPr>
          <w:rFonts w:hint="eastAsia" w:ascii="仿宋_GB2312" w:hAnsi="仿宋_GB2312" w:eastAsia="仿宋_GB2312" w:cs="仿宋_GB2312"/>
          <w:bCs/>
          <w:color w:val="auto"/>
          <w:kern w:val="2"/>
          <w:sz w:val="32"/>
          <w:szCs w:val="32"/>
          <w:highlight w:val="none"/>
          <w:lang w:val="en-US" w:eastAsia="zh-CN" w:bidi="ar-SA"/>
        </w:rPr>
        <w:t>2.报价人必须具备建设行政主管部门核发的《建设工程质量检测机构资质证书》，专项资质范围应包含建筑材料及构配件、地基基础和主体结构及装饰装修，并取得省级及以上市场监督管理局颁发的检验检测机构资质认定证书。（提供复印件并加盖公章）；具有消防安全评估资质（须在社会消防技术服务信息系统 https://shhxf.119.gov.cn/核实查证）。</w:t>
      </w:r>
    </w:p>
    <w:p w14:paraId="2ED8EF1D">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11" w:firstLineChars="191"/>
        <w:jc w:val="both"/>
        <w:textAlignment w:val="auto"/>
        <w:rPr>
          <w:rFonts w:hint="eastAsia" w:ascii="仿宋_GB2312" w:hAnsi="仿宋_GB2312" w:eastAsia="仿宋_GB2312" w:cs="仿宋_GB2312"/>
          <w:bCs/>
          <w:color w:val="auto"/>
          <w:kern w:val="2"/>
          <w:sz w:val="32"/>
          <w:szCs w:val="32"/>
          <w:highlight w:val="none"/>
          <w:lang w:val="en-US" w:eastAsia="zh-CN" w:bidi="ar-SA"/>
        </w:rPr>
      </w:pPr>
      <w:r>
        <w:rPr>
          <w:rFonts w:hint="eastAsia" w:ascii="仿宋_GB2312" w:hAnsi="仿宋_GB2312" w:eastAsia="仿宋_GB2312" w:cs="仿宋_GB2312"/>
          <w:bCs/>
          <w:color w:val="auto"/>
          <w:kern w:val="2"/>
          <w:sz w:val="32"/>
          <w:szCs w:val="32"/>
          <w:highlight w:val="none"/>
          <w:lang w:val="en-US" w:eastAsia="zh-CN" w:bidi="ar-SA"/>
        </w:rPr>
        <w:t>3.具有省级及以上自然资源厅核发的乙级及以上测绘资质（专业范围必须包含工程测量）；</w:t>
      </w:r>
    </w:p>
    <w:p w14:paraId="56AE0D98">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8" w:firstLineChars="190"/>
        <w:jc w:val="both"/>
        <w:textAlignment w:val="auto"/>
        <w:rPr>
          <w:rFonts w:hint="eastAsia" w:ascii="仿宋_GB2312" w:hAnsi="仿宋_GB2312" w:eastAsia="仿宋_GB2312" w:cs="仿宋_GB2312"/>
          <w:bCs/>
          <w:color w:val="auto"/>
          <w:kern w:val="2"/>
          <w:sz w:val="32"/>
          <w:szCs w:val="32"/>
          <w:highlight w:val="none"/>
          <w:lang w:val="en-US" w:eastAsia="zh-CN" w:bidi="ar-SA"/>
        </w:rPr>
      </w:pPr>
      <w:r>
        <w:rPr>
          <w:rFonts w:hint="eastAsia" w:ascii="仿宋_GB2312" w:hAnsi="仿宋_GB2312" w:eastAsia="仿宋_GB2312" w:cs="仿宋_GB2312"/>
          <w:bCs/>
          <w:color w:val="auto"/>
          <w:kern w:val="2"/>
          <w:sz w:val="32"/>
          <w:szCs w:val="32"/>
          <w:highlight w:val="none"/>
          <w:lang w:val="en-US" w:eastAsia="zh-CN" w:bidi="ar-SA"/>
        </w:rPr>
        <w:t>4.报价人的项目负责人必须具有工程师或以上技术职称，且具备一级注册结构工程师执业资格。（提供复印件并加盖公章及执业印章）；</w:t>
      </w:r>
    </w:p>
    <w:p w14:paraId="3DF20CA9">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4" w:firstLineChars="189"/>
        <w:jc w:val="both"/>
        <w:textAlignment w:val="auto"/>
        <w:rPr>
          <w:rFonts w:hint="eastAsia" w:ascii="仿宋_GB2312" w:hAnsi="仿宋_GB2312" w:eastAsia="仿宋_GB2312" w:cs="仿宋_GB2312"/>
          <w:bCs/>
          <w:color w:val="auto"/>
          <w:kern w:val="2"/>
          <w:sz w:val="32"/>
          <w:szCs w:val="32"/>
          <w:highlight w:val="none"/>
          <w:lang w:val="en-US" w:eastAsia="zh-CN" w:bidi="ar-SA"/>
        </w:rPr>
      </w:pPr>
      <w:r>
        <w:rPr>
          <w:rFonts w:hint="eastAsia" w:ascii="仿宋_GB2312" w:hAnsi="仿宋_GB2312" w:eastAsia="仿宋_GB2312" w:cs="仿宋_GB2312"/>
          <w:bCs/>
          <w:color w:val="auto"/>
          <w:kern w:val="2"/>
          <w:sz w:val="32"/>
          <w:szCs w:val="32"/>
          <w:highlight w:val="none"/>
          <w:lang w:val="en-US" w:eastAsia="zh-CN" w:bidi="ar-SA"/>
        </w:rPr>
        <w:t>5.报价人现场检测人员必须不少于4人（不含负责人），且具有省级及以上建设行政主管部门核发的建设工程质量检测人员岗位合格证（提供复印件并加盖公章）；</w:t>
      </w:r>
    </w:p>
    <w:p w14:paraId="3EF87DC9">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1" w:firstLineChars="188"/>
        <w:jc w:val="both"/>
        <w:textAlignment w:val="auto"/>
        <w:rPr>
          <w:rFonts w:hint="eastAsia" w:ascii="仿宋_GB2312" w:hAnsi="仿宋_GB2312" w:eastAsia="仿宋_GB2312" w:cs="仿宋_GB2312"/>
          <w:bCs/>
          <w:color w:val="auto"/>
          <w:kern w:val="2"/>
          <w:sz w:val="32"/>
          <w:szCs w:val="32"/>
          <w:highlight w:val="none"/>
          <w:lang w:val="en-US" w:eastAsia="zh-CN" w:bidi="ar-SA"/>
        </w:rPr>
      </w:pPr>
      <w:r>
        <w:rPr>
          <w:rFonts w:hint="eastAsia" w:ascii="仿宋_GB2312" w:hAnsi="仿宋_GB2312" w:eastAsia="仿宋_GB2312" w:cs="仿宋_GB2312"/>
          <w:bCs/>
          <w:color w:val="auto"/>
          <w:kern w:val="2"/>
          <w:sz w:val="32"/>
          <w:szCs w:val="32"/>
          <w:highlight w:val="none"/>
          <w:lang w:val="en-US" w:eastAsia="zh-CN" w:bidi="ar-SA"/>
        </w:rPr>
        <w:t>6.报价人依据现场踏勘及招标方提供的有关资料需提供检测方案，中标后需按要求提供检测报告。鉴定方案和鉴定报告必须获得镇江市房屋安全和抗震技术指导中心和镇江市住建局消防管理部门的认可。并取得镇江市住建相关部门的认可文件。</w:t>
      </w:r>
    </w:p>
    <w:p w14:paraId="5C05965A">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1" w:firstLineChars="188"/>
        <w:jc w:val="both"/>
        <w:textAlignment w:val="auto"/>
        <w:rPr>
          <w:rFonts w:hint="eastAsia" w:ascii="仿宋_GB2312" w:hAnsi="仿宋_GB2312" w:eastAsia="仿宋_GB2312" w:cs="仿宋_GB2312"/>
          <w:bCs/>
          <w:color w:val="auto"/>
          <w:kern w:val="2"/>
          <w:sz w:val="32"/>
          <w:szCs w:val="32"/>
          <w:highlight w:val="none"/>
          <w:lang w:val="en-US" w:eastAsia="zh-CN" w:bidi="ar-SA"/>
        </w:rPr>
      </w:pPr>
      <w:r>
        <w:rPr>
          <w:rFonts w:hint="eastAsia" w:ascii="仿宋_GB2312" w:hAnsi="仿宋_GB2312" w:eastAsia="仿宋_GB2312" w:cs="仿宋_GB2312"/>
          <w:bCs/>
          <w:color w:val="auto"/>
          <w:kern w:val="2"/>
          <w:sz w:val="32"/>
          <w:szCs w:val="32"/>
          <w:highlight w:val="none"/>
          <w:lang w:val="en-US" w:eastAsia="zh-CN" w:bidi="ar-SA"/>
        </w:rPr>
        <w:t>7.报价人须具有近三年三个及以上相关业绩，并提供类似业绩证明。</w:t>
      </w:r>
    </w:p>
    <w:p w14:paraId="01C97583">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bCs/>
          <w:color w:val="auto"/>
          <w:kern w:val="2"/>
          <w:sz w:val="32"/>
          <w:szCs w:val="32"/>
          <w:highlight w:val="none"/>
          <w:lang w:val="en-US" w:eastAsia="zh-CN" w:bidi="ar-SA"/>
        </w:rPr>
      </w:pPr>
      <w:r>
        <w:rPr>
          <w:rFonts w:hint="eastAsia" w:ascii="仿宋_GB2312" w:hAnsi="仿宋_GB2312" w:eastAsia="仿宋_GB2312" w:cs="仿宋_GB2312"/>
          <w:bCs/>
          <w:color w:val="auto"/>
          <w:kern w:val="2"/>
          <w:sz w:val="32"/>
          <w:szCs w:val="32"/>
          <w:highlight w:val="none"/>
          <w:lang w:val="en-US" w:eastAsia="zh-CN" w:bidi="ar-SA"/>
        </w:rPr>
        <w:t>8.本项目不接受联合体报价。</w:t>
      </w:r>
    </w:p>
    <w:p w14:paraId="34E588F4">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default"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eastAsia="zh-CN"/>
        </w:rPr>
        <w:t>（</w:t>
      </w:r>
      <w:r>
        <w:rPr>
          <w:rFonts w:hint="eastAsia" w:ascii="仿宋_GB2312" w:hAnsi="仿宋_GB2312" w:eastAsia="仿宋_GB2312" w:cs="仿宋_GB2312"/>
          <w:bCs/>
          <w:color w:val="000000"/>
          <w:sz w:val="32"/>
          <w:szCs w:val="32"/>
          <w:lang w:val="en-US" w:eastAsia="zh-CN"/>
        </w:rPr>
        <w:t>二）报价单要求</w:t>
      </w:r>
    </w:p>
    <w:p w14:paraId="5A39E8D6">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1.资质证明：</w:t>
      </w:r>
      <w:r>
        <w:rPr>
          <w:rFonts w:hint="eastAsia" w:ascii="仿宋_GB2312" w:hAnsi="仿宋_GB2312" w:eastAsia="仿宋_GB2312" w:cs="仿宋_GB2312"/>
          <w:bCs/>
          <w:color w:val="000000"/>
          <w:sz w:val="32"/>
          <w:szCs w:val="32"/>
          <w:lang w:val="zh-CN"/>
        </w:rPr>
        <w:t>公司营业执照复印件、咨询</w:t>
      </w:r>
      <w:r>
        <w:rPr>
          <w:rFonts w:hint="eastAsia" w:ascii="仿宋_GB2312" w:hAnsi="仿宋_GB2312" w:eastAsia="仿宋_GB2312" w:cs="仿宋_GB2312"/>
          <w:bCs/>
          <w:color w:val="000000"/>
          <w:sz w:val="32"/>
          <w:szCs w:val="32"/>
        </w:rPr>
        <w:t>资质等级证书复印件、</w:t>
      </w:r>
      <w:r>
        <w:rPr>
          <w:rFonts w:hint="eastAsia" w:ascii="仿宋_GB2312" w:hAnsi="仿宋_GB2312" w:eastAsia="仿宋_GB2312" w:cs="仿宋_GB2312"/>
          <w:bCs/>
          <w:color w:val="000000"/>
          <w:sz w:val="32"/>
          <w:szCs w:val="32"/>
          <w:lang w:val="en-US" w:eastAsia="zh-CN"/>
        </w:rPr>
        <w:t>报价</w:t>
      </w:r>
      <w:r>
        <w:rPr>
          <w:rFonts w:hint="eastAsia" w:ascii="仿宋_GB2312" w:hAnsi="仿宋_GB2312" w:eastAsia="仿宋_GB2312" w:cs="仿宋_GB2312"/>
          <w:bCs/>
          <w:color w:val="000000"/>
          <w:sz w:val="32"/>
          <w:szCs w:val="32"/>
          <w:lang w:val="zh-CN"/>
        </w:rPr>
        <w:t>授权人证明、</w:t>
      </w:r>
      <w:r>
        <w:rPr>
          <w:rFonts w:hint="eastAsia" w:ascii="仿宋_GB2312" w:hAnsi="仿宋_GB2312" w:eastAsia="仿宋_GB2312" w:cs="仿宋_GB2312"/>
          <w:bCs/>
          <w:sz w:val="32"/>
          <w:szCs w:val="32"/>
        </w:rPr>
        <w:t>业绩证明、信用证</w:t>
      </w:r>
      <w:r>
        <w:rPr>
          <w:rFonts w:hint="eastAsia" w:ascii="仿宋_GB2312" w:hAnsi="仿宋_GB2312" w:eastAsia="仿宋_GB2312" w:cs="仿宋_GB2312"/>
          <w:bCs/>
          <w:color w:val="000000"/>
          <w:sz w:val="32"/>
          <w:szCs w:val="32"/>
        </w:rPr>
        <w:t>明（</w:t>
      </w:r>
      <w:r>
        <w:rPr>
          <w:rFonts w:hint="eastAsia" w:ascii="仿宋_GB2312" w:hAnsi="仿宋_GB2312" w:eastAsia="仿宋_GB2312" w:cs="仿宋_GB2312"/>
          <w:bCs/>
          <w:color w:val="000000"/>
          <w:sz w:val="32"/>
          <w:szCs w:val="32"/>
          <w:lang w:val="zh-CN"/>
        </w:rPr>
        <w:t>提供</w:t>
      </w:r>
      <w:r>
        <w:rPr>
          <w:rFonts w:hint="eastAsia" w:ascii="仿宋_GB2312" w:hAnsi="仿宋_GB2312" w:eastAsia="仿宋_GB2312" w:cs="仿宋_GB2312"/>
          <w:bCs/>
          <w:color w:val="000000"/>
          <w:sz w:val="32"/>
          <w:szCs w:val="32"/>
        </w:rPr>
        <w:t>企业信用信息系统的查询结果截图并盖章）。</w:t>
      </w:r>
    </w:p>
    <w:p w14:paraId="169BA7FD">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ascii="仿宋_GB2312" w:hAnsi="仿宋_GB2312" w:eastAsia="仿宋_GB2312" w:cs="仿宋_GB2312"/>
          <w:bCs/>
          <w:sz w:val="32"/>
          <w:szCs w:val="32"/>
          <w:lang w:val="zh-CN"/>
        </w:rPr>
      </w:pPr>
      <w:r>
        <w:rPr>
          <w:rFonts w:hint="eastAsia" w:ascii="仿宋_GB2312" w:hAnsi="仿宋_GB2312" w:eastAsia="仿宋_GB2312" w:cs="仿宋_GB2312"/>
          <w:bCs/>
          <w:sz w:val="32"/>
          <w:szCs w:val="32"/>
        </w:rPr>
        <w:t>2.专家资源情况</w:t>
      </w:r>
      <w:r>
        <w:rPr>
          <w:rFonts w:hint="eastAsia" w:ascii="仿宋_GB2312" w:hAnsi="仿宋_GB2312" w:eastAsia="仿宋_GB2312" w:cs="仿宋_GB2312"/>
          <w:bCs/>
          <w:sz w:val="32"/>
          <w:szCs w:val="32"/>
          <w:lang w:val="zh-CN"/>
        </w:rPr>
        <w:t>。</w:t>
      </w:r>
    </w:p>
    <w:p w14:paraId="153479D3">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bCs/>
          <w:color w:val="000000"/>
          <w:sz w:val="32"/>
          <w:szCs w:val="32"/>
          <w:lang w:val="zh-CN"/>
        </w:rPr>
      </w:pPr>
      <w:r>
        <w:rPr>
          <w:rFonts w:hint="eastAsia" w:ascii="仿宋_GB2312" w:hAnsi="仿宋_GB2312" w:eastAsia="仿宋_GB2312" w:cs="仿宋_GB2312"/>
          <w:bCs/>
          <w:color w:val="000000"/>
          <w:sz w:val="32"/>
          <w:szCs w:val="32"/>
        </w:rPr>
        <w:t>3.</w:t>
      </w:r>
      <w:r>
        <w:rPr>
          <w:rFonts w:hint="eastAsia" w:ascii="仿宋_GB2312" w:hAnsi="仿宋_GB2312" w:eastAsia="仿宋_GB2312" w:cs="仿宋_GB2312"/>
          <w:bCs/>
          <w:color w:val="000000"/>
          <w:sz w:val="32"/>
          <w:szCs w:val="32"/>
          <w:lang w:val="zh-CN"/>
        </w:rPr>
        <w:t>报价单（含税价，</w:t>
      </w:r>
      <w:r>
        <w:rPr>
          <w:rFonts w:hint="eastAsia" w:ascii="仿宋_GB2312" w:hAnsi="仿宋_GB2312" w:eastAsia="仿宋_GB2312" w:cs="仿宋_GB2312"/>
          <w:bCs/>
          <w:color w:val="000000"/>
          <w:sz w:val="32"/>
          <w:szCs w:val="32"/>
        </w:rPr>
        <w:t>注明税率</w:t>
      </w:r>
      <w:r>
        <w:rPr>
          <w:rFonts w:hint="eastAsia" w:ascii="仿宋_GB2312" w:hAnsi="仿宋_GB2312" w:eastAsia="仿宋_GB2312" w:cs="仿宋_GB2312"/>
          <w:bCs/>
          <w:color w:val="000000"/>
          <w:sz w:val="32"/>
          <w:szCs w:val="32"/>
          <w:lang w:val="zh-CN"/>
        </w:rPr>
        <w:t>），</w:t>
      </w:r>
      <w:r>
        <w:rPr>
          <w:rFonts w:hint="eastAsia" w:ascii="仿宋_GB2312" w:hAnsi="仿宋_GB2312" w:eastAsia="仿宋_GB2312" w:cs="仿宋_GB2312"/>
          <w:bCs/>
          <w:color w:val="000000"/>
          <w:sz w:val="32"/>
          <w:szCs w:val="32"/>
        </w:rPr>
        <w:t>并</w:t>
      </w:r>
      <w:r>
        <w:rPr>
          <w:rFonts w:hint="eastAsia" w:ascii="仿宋_GB2312" w:hAnsi="仿宋_GB2312" w:eastAsia="仿宋_GB2312" w:cs="仿宋_GB2312"/>
          <w:bCs/>
          <w:color w:val="000000"/>
          <w:sz w:val="32"/>
          <w:szCs w:val="32"/>
          <w:lang w:val="zh-CN"/>
        </w:rPr>
        <w:t>盖章。报价应以人民币报价</w:t>
      </w:r>
      <w:bookmarkStart w:id="0" w:name="13.__投标保证金_"/>
      <w:bookmarkEnd w:id="0"/>
      <w:bookmarkStart w:id="1" w:name="14.__投标有效期_"/>
      <w:bookmarkEnd w:id="1"/>
      <w:r>
        <w:rPr>
          <w:rFonts w:hint="eastAsia" w:ascii="仿宋_GB2312" w:hAnsi="仿宋_GB2312" w:eastAsia="仿宋_GB2312" w:cs="仿宋_GB2312"/>
          <w:bCs/>
          <w:color w:val="000000"/>
          <w:sz w:val="32"/>
          <w:szCs w:val="32"/>
          <w:lang w:val="zh-CN"/>
        </w:rPr>
        <w:t>。</w:t>
      </w:r>
    </w:p>
    <w:p w14:paraId="12AEF15E">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lang w:val="zh-CN"/>
        </w:rPr>
        <w:t>4.</w:t>
      </w:r>
      <w:r>
        <w:rPr>
          <w:rFonts w:hint="eastAsia" w:ascii="仿宋_GB2312" w:hAnsi="仿宋_GB2312" w:eastAsia="仿宋_GB2312" w:cs="仿宋_GB2312"/>
          <w:bCs/>
          <w:color w:val="000000"/>
          <w:sz w:val="32"/>
          <w:szCs w:val="32"/>
          <w:lang w:val="en-US" w:eastAsia="zh-CN"/>
        </w:rPr>
        <w:t>报价</w:t>
      </w:r>
      <w:r>
        <w:rPr>
          <w:rFonts w:hint="eastAsia" w:ascii="仿宋_GB2312" w:hAnsi="仿宋_GB2312" w:eastAsia="仿宋_GB2312" w:cs="仿宋_GB2312"/>
          <w:bCs/>
          <w:color w:val="000000"/>
          <w:sz w:val="32"/>
          <w:szCs w:val="32"/>
        </w:rPr>
        <w:t>单位必须在封面标注单位联系人及联系电话（加盖公章）。</w:t>
      </w:r>
    </w:p>
    <w:p w14:paraId="39C9FDCE">
      <w:pPr>
        <w:keepNext w:val="0"/>
        <w:keepLines w:val="0"/>
        <w:pageBreakBefore w:val="0"/>
        <w:widowControl w:val="0"/>
        <w:kinsoku/>
        <w:wordWrap/>
        <w:overflowPunct/>
        <w:topLinePunct w:val="0"/>
        <w:autoSpaceDE/>
        <w:autoSpaceDN/>
        <w:bidi w:val="0"/>
        <w:adjustRightInd w:val="0"/>
        <w:snapToGrid w:val="0"/>
        <w:spacing w:line="560" w:lineRule="exact"/>
        <w:ind w:firstLine="617" w:firstLineChars="193"/>
        <w:textAlignment w:val="auto"/>
        <w:rPr>
          <w:rFonts w:hint="eastAsia" w:ascii="黑体" w:hAnsi="黑体" w:eastAsia="黑体" w:cs="黑体"/>
          <w:b w:val="0"/>
          <w:bCs/>
          <w:color w:val="auto"/>
          <w:kern w:val="1"/>
          <w:sz w:val="32"/>
          <w:szCs w:val="32"/>
          <w:highlight w:val="none"/>
          <w:lang w:val="en-US" w:eastAsia="zh-CN" w:bidi="ar-SA"/>
        </w:rPr>
      </w:pPr>
      <w:r>
        <w:rPr>
          <w:rFonts w:hint="eastAsia" w:ascii="黑体" w:hAnsi="黑体" w:eastAsia="黑体" w:cs="黑体"/>
          <w:b w:val="0"/>
          <w:bCs/>
          <w:color w:val="auto"/>
          <w:kern w:val="1"/>
          <w:sz w:val="32"/>
          <w:szCs w:val="32"/>
          <w:highlight w:val="none"/>
          <w:lang w:val="en-US" w:eastAsia="zh-CN" w:bidi="ar-SA"/>
        </w:rPr>
        <w:t>四、报价：</w:t>
      </w:r>
    </w:p>
    <w:p w14:paraId="04156E0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（一）报价方式：报价为含增值税价。如国家税率调整，按合同含税价格/（1+合同约定税率）*（1+国家规定的新税率）调整合同价格开具发票；具体服务情况以实际发生为准。</w:t>
      </w:r>
    </w:p>
    <w:p w14:paraId="02799C17">
      <w:pPr>
        <w:keepNext w:val="0"/>
        <w:keepLines w:val="0"/>
        <w:pageBreakBefore w:val="0"/>
        <w:widowControl w:val="0"/>
        <w:kinsoku/>
        <w:wordWrap/>
        <w:overflowPunct/>
        <w:topLinePunct w:val="0"/>
        <w:autoSpaceDE/>
        <w:autoSpaceDN/>
        <w:bidi w:val="0"/>
        <w:adjustRightInd w:val="0"/>
        <w:snapToGrid w:val="0"/>
        <w:spacing w:line="560" w:lineRule="exact"/>
        <w:ind w:firstLine="617" w:firstLineChars="193"/>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（二）付款方式：以实际服务作为费用结算依据，开具增值税专用发票入账后60天内付款。付款方式：现汇。</w:t>
      </w:r>
    </w:p>
    <w:p w14:paraId="5C4E123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left="0" w:right="0" w:firstLine="6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（三）本项目报价通过线下进行：</w:t>
      </w:r>
    </w:p>
    <w:p w14:paraId="235EEA2C">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采用线下报价应将报价文件及相关资料以标袋形式送达，标袋外包装必须用“封条”密封，封条“格式自定”，另需加盖公章、法人章，填写密封日期；在标袋封面上需注明“采购项目名称，报价人名称、地址、联系人、联系电话”等；并要求在报价截止日之前送达，逾期将作为作无效报价处理。</w:t>
      </w:r>
    </w:p>
    <w:p w14:paraId="3D916A72">
      <w:pPr>
        <w:keepNext w:val="0"/>
        <w:keepLines w:val="0"/>
        <w:pageBreakBefore w:val="0"/>
        <w:widowControl w:val="0"/>
        <w:kinsoku/>
        <w:wordWrap/>
        <w:overflowPunct/>
        <w:topLinePunct w:val="0"/>
        <w:autoSpaceDE/>
        <w:autoSpaceDN/>
        <w:bidi w:val="0"/>
        <w:adjustRightInd w:val="0"/>
        <w:snapToGrid w:val="0"/>
        <w:spacing w:line="560" w:lineRule="exact"/>
        <w:ind w:firstLine="617" w:firstLineChars="193"/>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（四）具体报价格式见报价函，报价文件只需提供1份；</w:t>
      </w:r>
    </w:p>
    <w:p w14:paraId="12B00690">
      <w:pPr>
        <w:keepNext w:val="0"/>
        <w:keepLines w:val="0"/>
        <w:pageBreakBefore w:val="0"/>
        <w:widowControl w:val="0"/>
        <w:kinsoku/>
        <w:wordWrap/>
        <w:overflowPunct/>
        <w:topLinePunct w:val="0"/>
        <w:autoSpaceDE/>
        <w:autoSpaceDN/>
        <w:bidi w:val="0"/>
        <w:adjustRightInd w:val="0"/>
        <w:snapToGrid w:val="0"/>
        <w:spacing w:line="560" w:lineRule="exact"/>
        <w:ind w:firstLine="617" w:firstLineChars="193"/>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（五）与本项目报价有关的一切往来通讯请密封后寄：</w:t>
      </w:r>
    </w:p>
    <w:p w14:paraId="3EF86723">
      <w:pPr>
        <w:keepNext w:val="0"/>
        <w:keepLines w:val="0"/>
        <w:pageBreakBefore w:val="0"/>
        <w:widowControl w:val="0"/>
        <w:kinsoku/>
        <w:wordWrap/>
        <w:overflowPunct/>
        <w:topLinePunct w:val="0"/>
        <w:autoSpaceDE/>
        <w:autoSpaceDN/>
        <w:bidi w:val="0"/>
        <w:adjustRightInd w:val="0"/>
        <w:snapToGrid w:val="0"/>
        <w:spacing w:line="560" w:lineRule="exact"/>
        <w:ind w:left="660" w:leftChars="304" w:hanging="22" w:hangingChars="7"/>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公司：江苏索普（集团）有限公司企业管理部</w:t>
      </w:r>
    </w:p>
    <w:p w14:paraId="191DC90B">
      <w:pPr>
        <w:keepNext w:val="0"/>
        <w:keepLines w:val="0"/>
        <w:pageBreakBefore w:val="0"/>
        <w:widowControl w:val="0"/>
        <w:kinsoku/>
        <w:wordWrap/>
        <w:overflowPunct/>
        <w:topLinePunct w:val="0"/>
        <w:autoSpaceDE/>
        <w:autoSpaceDN/>
        <w:bidi w:val="0"/>
        <w:adjustRightInd w:val="0"/>
        <w:snapToGrid w:val="0"/>
        <w:spacing w:line="560" w:lineRule="exact"/>
        <w:ind w:left="660" w:leftChars="304" w:hanging="22" w:hangingChars="7"/>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地址：江苏省镇江市京口区求索路101号</w:t>
      </w:r>
    </w:p>
    <w:p w14:paraId="727BC995">
      <w:pPr>
        <w:keepNext w:val="0"/>
        <w:keepLines w:val="0"/>
        <w:pageBreakBefore w:val="0"/>
        <w:widowControl w:val="0"/>
        <w:kinsoku/>
        <w:wordWrap/>
        <w:overflowPunct/>
        <w:topLinePunct w:val="0"/>
        <w:autoSpaceDE/>
        <w:autoSpaceDN/>
        <w:bidi w:val="0"/>
        <w:adjustRightInd w:val="0"/>
        <w:snapToGrid w:val="0"/>
        <w:spacing w:line="560" w:lineRule="exact"/>
        <w:ind w:firstLine="617" w:firstLineChars="193"/>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邮编：212006</w:t>
      </w:r>
    </w:p>
    <w:p w14:paraId="4BF7C4A1">
      <w:pPr>
        <w:keepNext w:val="0"/>
        <w:keepLines w:val="0"/>
        <w:pageBreakBefore w:val="0"/>
        <w:widowControl w:val="0"/>
        <w:kinsoku/>
        <w:wordWrap/>
        <w:overflowPunct/>
        <w:topLinePunct w:val="0"/>
        <w:autoSpaceDE/>
        <w:autoSpaceDN/>
        <w:bidi w:val="0"/>
        <w:adjustRightInd w:val="0"/>
        <w:snapToGrid w:val="0"/>
        <w:spacing w:line="560" w:lineRule="exact"/>
        <w:ind w:firstLine="617" w:firstLineChars="193"/>
        <w:textAlignment w:val="auto"/>
        <w:rPr>
          <w:rFonts w:hint="default"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收件人：李巍</w:t>
      </w:r>
    </w:p>
    <w:p w14:paraId="5BDD52CF">
      <w:pPr>
        <w:keepNext w:val="0"/>
        <w:keepLines w:val="0"/>
        <w:pageBreakBefore w:val="0"/>
        <w:widowControl w:val="0"/>
        <w:kinsoku/>
        <w:wordWrap/>
        <w:overflowPunct/>
        <w:topLinePunct w:val="0"/>
        <w:autoSpaceDE/>
        <w:autoSpaceDN/>
        <w:bidi w:val="0"/>
        <w:adjustRightInd w:val="0"/>
        <w:snapToGrid w:val="0"/>
        <w:spacing w:line="560" w:lineRule="exact"/>
        <w:ind w:firstLine="617" w:firstLineChars="193"/>
        <w:textAlignment w:val="auto"/>
        <w:rPr>
          <w:rFonts w:hint="default"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联系电话：13815488715</w:t>
      </w:r>
    </w:p>
    <w:p w14:paraId="138827F6">
      <w:pPr>
        <w:keepNext w:val="0"/>
        <w:keepLines w:val="0"/>
        <w:pageBreakBefore w:val="0"/>
        <w:widowControl w:val="0"/>
        <w:kinsoku/>
        <w:wordWrap/>
        <w:overflowPunct/>
        <w:topLinePunct w:val="0"/>
        <w:autoSpaceDE/>
        <w:autoSpaceDN/>
        <w:bidi w:val="0"/>
        <w:adjustRightInd w:val="0"/>
        <w:snapToGrid w:val="0"/>
        <w:spacing w:line="560" w:lineRule="exact"/>
        <w:ind w:firstLine="617" w:firstLineChars="193"/>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（六）凡对公开采购询价书条款有疑义的，请在报价前按以下方式联系：</w:t>
      </w:r>
    </w:p>
    <w:p w14:paraId="5FEF5CB0">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联系单位：江苏索普（集团）有限公司商务合作部</w:t>
      </w:r>
    </w:p>
    <w:p w14:paraId="4A7A251A">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地址：江苏省镇江市京口区求索路101号，邮编：212006</w:t>
      </w:r>
    </w:p>
    <w:p w14:paraId="6896B1F0">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采购业务联系人：朱冰华     电话：15805288747</w:t>
      </w:r>
    </w:p>
    <w:p w14:paraId="7AC1D805">
      <w:pPr>
        <w:keepNext w:val="0"/>
        <w:keepLines w:val="0"/>
        <w:pageBreakBefore w:val="0"/>
        <w:widowControl w:val="0"/>
        <w:kinsoku/>
        <w:wordWrap/>
        <w:overflowPunct/>
        <w:topLinePunct w:val="0"/>
        <w:autoSpaceDE/>
        <w:autoSpaceDN/>
        <w:bidi w:val="0"/>
        <w:adjustRightInd w:val="0"/>
        <w:snapToGrid w:val="0"/>
        <w:spacing w:line="560" w:lineRule="exact"/>
        <w:ind w:firstLine="617" w:firstLineChars="193"/>
        <w:textAlignment w:val="auto"/>
        <w:rPr>
          <w:rFonts w:hint="default"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技术咨询联系人：陈灿欣    电话：18900623399</w:t>
      </w:r>
    </w:p>
    <w:p w14:paraId="5600916C">
      <w:pPr>
        <w:keepNext w:val="0"/>
        <w:keepLines w:val="0"/>
        <w:pageBreakBefore w:val="0"/>
        <w:widowControl w:val="0"/>
        <w:kinsoku/>
        <w:wordWrap/>
        <w:overflowPunct/>
        <w:topLinePunct w:val="0"/>
        <w:autoSpaceDE/>
        <w:autoSpaceDN/>
        <w:bidi w:val="0"/>
        <w:adjustRightInd w:val="0"/>
        <w:snapToGrid w:val="0"/>
        <w:spacing w:line="560" w:lineRule="exact"/>
        <w:ind w:firstLine="617" w:firstLineChars="193"/>
        <w:textAlignment w:val="auto"/>
        <w:rPr>
          <w:rFonts w:hint="eastAsia" w:ascii="黑体" w:hAnsi="黑体" w:eastAsia="黑体" w:cs="黑体"/>
          <w:b w:val="0"/>
          <w:bCs/>
          <w:color w:val="auto"/>
          <w:kern w:val="1"/>
          <w:sz w:val="32"/>
          <w:szCs w:val="32"/>
          <w:highlight w:val="none"/>
          <w:lang w:val="en-US" w:eastAsia="zh-CN" w:bidi="ar-SA"/>
        </w:rPr>
      </w:pPr>
      <w:r>
        <w:rPr>
          <w:rFonts w:hint="eastAsia" w:ascii="黑体" w:hAnsi="黑体" w:eastAsia="黑体" w:cs="黑体"/>
          <w:b w:val="0"/>
          <w:bCs/>
          <w:color w:val="auto"/>
          <w:kern w:val="1"/>
          <w:sz w:val="32"/>
          <w:szCs w:val="32"/>
          <w:highlight w:val="none"/>
          <w:lang w:val="en-US" w:eastAsia="zh-CN" w:bidi="ar-SA"/>
        </w:rPr>
        <w:t>五、评审流程：</w:t>
      </w:r>
    </w:p>
    <w:p w14:paraId="35F59DB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left="0" w:right="0" w:firstLine="640" w:firstLineChars="2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（一）评审</w:t>
      </w:r>
    </w:p>
    <w:p w14:paraId="0CF32E25">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left="0" w:firstLine="640" w:firstLineChars="2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本项目由采购人组织评审小组负责评审工作，确定最终中选人。</w:t>
      </w:r>
    </w:p>
    <w:p w14:paraId="5E6A84F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left="0" w:firstLine="640" w:firstLineChars="2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（二）评定</w:t>
      </w:r>
    </w:p>
    <w:p w14:paraId="17FD8593">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left="0" w:firstLine="640" w:firstLineChars="2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1、在能够满足采购人技术要求及供货期要求的报价人中选择总价最低的一家作为中选候选人。</w:t>
      </w:r>
    </w:p>
    <w:p w14:paraId="034CA0AA">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left="0" w:firstLine="640" w:firstLineChars="2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2、请各报价人保持通讯畅通，便于评审小组在评审现场电话联系。</w:t>
      </w:r>
    </w:p>
    <w:p w14:paraId="3F115043">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left="0" w:firstLine="640" w:firstLineChars="2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3、评审小组不得泄露各报价人的报价。</w:t>
      </w:r>
    </w:p>
    <w:p w14:paraId="7130C9D9">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left="0" w:firstLine="640" w:firstLineChars="2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（三）无效报价</w:t>
      </w:r>
    </w:p>
    <w:p w14:paraId="75C682F5">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left="0" w:firstLine="640" w:firstLineChars="2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1.采购人如发现采购过程中如有任何试图通过不正当手段影响比价结果的行为（如报价人之间私下协商报价、与采购方串通等扰乱采购人经营秩序的恶劣情况，经评审小组评定可作无效报价处理，并可将相关报价方列入供应商负面清单，一年内不再接受参与报价。</w:t>
      </w:r>
    </w:p>
    <w:p w14:paraId="3EBD392B">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left="0" w:firstLine="640" w:firstLineChars="2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2.凡报价人不具备培训资质的，或报价文件填写不完整、报价有空项的，或不符合技术要求条款的，或者存在其他不符合采购人有关要求的问题，经评审小组评定，可作无效报价处理。</w:t>
      </w:r>
    </w:p>
    <w:p w14:paraId="6B0AB1E7">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left="0" w:firstLine="640" w:firstLineChars="2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 xml:space="preserve"> 3.报价人应如实提供符合市场规律和自身成本的合理报价。如果报价人的报价与市场价格明显偏离并因此影响了采购活动的公正合理性，损害了采购人的正当利益，经采购人评审小组评定，可作无效报价处理。</w:t>
      </w:r>
    </w:p>
    <w:p w14:paraId="3DF47CA3">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firstLine="640" w:firstLineChars="200"/>
        <w:textAlignment w:val="auto"/>
        <w:rPr>
          <w:rFonts w:hint="eastAsia" w:ascii="黑体" w:hAnsi="黑体" w:eastAsia="黑体" w:cs="黑体"/>
          <w:b w:val="0"/>
          <w:bCs/>
          <w:color w:val="auto"/>
          <w:kern w:val="1"/>
          <w:sz w:val="32"/>
          <w:szCs w:val="32"/>
          <w:highlight w:val="none"/>
          <w:lang w:val="en-US" w:eastAsia="zh-CN" w:bidi="ar-SA"/>
        </w:rPr>
      </w:pPr>
      <w:r>
        <w:rPr>
          <w:rFonts w:hint="eastAsia" w:ascii="黑体" w:hAnsi="黑体" w:eastAsia="黑体" w:cs="黑体"/>
          <w:b w:val="0"/>
          <w:bCs/>
          <w:color w:val="auto"/>
          <w:kern w:val="1"/>
          <w:sz w:val="32"/>
          <w:szCs w:val="32"/>
          <w:highlight w:val="none"/>
          <w:lang w:val="en-US" w:eastAsia="zh-CN" w:bidi="ar-SA"/>
        </w:rPr>
        <w:t>六、其他注意事项：</w:t>
      </w:r>
    </w:p>
    <w:p w14:paraId="4B4D80AB">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left="0" w:firstLine="640" w:firstLineChars="2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（一）违约责任</w:t>
      </w:r>
    </w:p>
    <w:p w14:paraId="332B608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left="0" w:firstLine="640" w:firstLineChars="2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如报价人没有按照采购要求提供服务，采购人有权解除合同，在五个工作日内返还采购人合同货款，并赔偿合同总货款的20%违约金给采购人。</w:t>
      </w:r>
    </w:p>
    <w:p w14:paraId="1B31211C">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left="0" w:firstLine="640" w:firstLineChars="2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 xml:space="preserve">（二）中选人中选以后应严格按照采购文件约定与采购方签定供需合同，并按合同约定做好服务工作。对中选人所有违背采购文件及合同约定的行为，采购人均可持续保留与中选方中止合作的一切权利。 </w:t>
      </w:r>
    </w:p>
    <w:p w14:paraId="192437F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三）如报价人不能正常履约，对采购人生产经营活动造成影响的，根据《索普集团供应商负面清单管理规定(2025年修订版)》（详见附件1），采购人有权对违反规定的报价人进行考核扣分，对列入负面清单的供应商，索普集团本部及各分子公司将不接受其报价，产生严重影响的，采购人将依法追究报价人法律责任。索普集团供应商负面清单的公示地址为：www.sopo.com.cn。</w:t>
      </w:r>
    </w:p>
    <w:p w14:paraId="4216CDBB">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（四）报价人应详细阅读本采购文件，参与报价即视为对本采购文件所列之条款均表示接受。</w:t>
      </w:r>
    </w:p>
    <w:p w14:paraId="62F7DF17">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（五）本次采购解释权归江苏索普（集团）有限公司商务合作部所有。</w:t>
      </w:r>
    </w:p>
    <w:p w14:paraId="1734065A">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（六）本次采购中选信息公示网址：</w:t>
      </w:r>
    </w:p>
    <w:p w14:paraId="7C0ED2F2">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http://www.sopo.com.cn/list/91-93.html。</w:t>
      </w:r>
    </w:p>
    <w:p w14:paraId="4749FA59">
      <w:pPr>
        <w:pStyle w:val="4"/>
        <w:keepNext w:val="0"/>
        <w:keepLines w:val="0"/>
        <w:pageBreakBefore w:val="0"/>
        <w:widowControl w:val="0"/>
        <w:kinsoku/>
        <w:wordWrap/>
        <w:overflowPunct/>
        <w:topLinePunct w:val="0"/>
        <w:autoSpaceDE/>
        <w:autoSpaceDN/>
        <w:bidi w:val="0"/>
        <w:spacing w:beforeAutospacing="0" w:afterAutospacing="0" w:line="560" w:lineRule="exact"/>
        <w:textAlignment w:val="auto"/>
        <w:rPr>
          <w:rFonts w:hint="eastAsia" w:ascii="仿宋_GB2312" w:hAnsi="仿宋_GB2312" w:eastAsia="仿宋_GB2312" w:cs="仿宋_GB2312"/>
          <w:bCs/>
          <w:color w:val="auto"/>
          <w:kern w:val="1"/>
          <w:sz w:val="32"/>
          <w:szCs w:val="32"/>
          <w:highlight w:val="none"/>
          <w:lang w:val="en-US" w:eastAsia="zh-CN" w:bidi="ar-SA"/>
        </w:rPr>
      </w:pPr>
    </w:p>
    <w:p w14:paraId="60D646A4">
      <w:pPr>
        <w:pStyle w:val="4"/>
        <w:keepNext w:val="0"/>
        <w:keepLines w:val="0"/>
        <w:pageBreakBefore w:val="0"/>
        <w:widowControl w:val="0"/>
        <w:kinsoku/>
        <w:wordWrap/>
        <w:overflowPunct/>
        <w:topLinePunct w:val="0"/>
        <w:autoSpaceDE/>
        <w:autoSpaceDN/>
        <w:bidi w:val="0"/>
        <w:spacing w:beforeAutospacing="0" w:afterAutospacing="0" w:line="560" w:lineRule="exact"/>
        <w:textAlignment w:val="auto"/>
        <w:rPr>
          <w:rFonts w:hint="eastAsia" w:ascii="仿宋_GB2312" w:hAnsi="仿宋_GB2312" w:eastAsia="仿宋_GB2312" w:cs="仿宋_GB2312"/>
          <w:bCs/>
          <w:color w:val="auto"/>
          <w:kern w:val="1"/>
          <w:sz w:val="32"/>
          <w:szCs w:val="32"/>
          <w:highlight w:val="none"/>
          <w:lang w:val="en-US" w:eastAsia="zh-CN" w:bidi="ar-SA"/>
        </w:rPr>
      </w:pPr>
    </w:p>
    <w:p w14:paraId="0643E212">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textAlignment w:val="auto"/>
        <w:rPr>
          <w:rFonts w:hint="eastAsia" w:ascii="仿宋_GB2312" w:hAnsi="仿宋_GB2312" w:eastAsia="仿宋_GB2312" w:cs="仿宋_GB2312"/>
          <w:bCs/>
          <w:color w:val="auto"/>
          <w:kern w:val="1"/>
          <w:sz w:val="32"/>
          <w:szCs w:val="32"/>
          <w:highlight w:val="none"/>
          <w:lang w:val="en-US" w:eastAsia="zh-CN" w:bidi="ar-SA"/>
        </w:rPr>
      </w:pPr>
    </w:p>
    <w:p w14:paraId="2AFAD425">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textAlignment w:val="auto"/>
        <w:rPr>
          <w:rFonts w:hint="eastAsia" w:ascii="仿宋_GB2312" w:hAnsi="仿宋_GB2312" w:eastAsia="仿宋_GB2312" w:cs="仿宋_GB2312"/>
          <w:bCs/>
          <w:color w:val="auto"/>
          <w:kern w:val="1"/>
          <w:sz w:val="32"/>
          <w:szCs w:val="32"/>
          <w:highlight w:val="none"/>
          <w:lang w:val="en-US" w:eastAsia="zh-CN" w:bidi="ar-SA"/>
        </w:rPr>
      </w:pPr>
    </w:p>
    <w:p w14:paraId="385D44AE">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textAlignment w:val="auto"/>
        <w:rPr>
          <w:rFonts w:hint="eastAsia" w:ascii="仿宋_GB2312" w:hAnsi="仿宋_GB2312" w:eastAsia="仿宋_GB2312" w:cs="仿宋_GB2312"/>
          <w:bCs/>
          <w:color w:val="auto"/>
          <w:kern w:val="1"/>
          <w:sz w:val="32"/>
          <w:szCs w:val="32"/>
          <w:highlight w:val="none"/>
          <w:lang w:val="en-US" w:eastAsia="zh-CN" w:bidi="ar-SA"/>
        </w:rPr>
      </w:pPr>
    </w:p>
    <w:p w14:paraId="2889063C">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textAlignment w:val="auto"/>
        <w:rPr>
          <w:rFonts w:hint="eastAsia" w:ascii="仿宋_GB2312" w:hAnsi="仿宋_GB2312" w:eastAsia="仿宋_GB2312" w:cs="仿宋_GB2312"/>
          <w:bCs/>
          <w:color w:val="auto"/>
          <w:kern w:val="1"/>
          <w:sz w:val="32"/>
          <w:szCs w:val="32"/>
          <w:highlight w:val="none"/>
          <w:lang w:val="en-US" w:eastAsia="zh-CN" w:bidi="ar-SA"/>
        </w:rPr>
      </w:pPr>
    </w:p>
    <w:p w14:paraId="3D7034AD">
      <w:pPr>
        <w:rPr>
          <w:rFonts w:hint="eastAsia" w:ascii="方正小标宋简体" w:hAnsi="方正小标宋简体" w:eastAsia="方正小标宋简体" w:cs="方正小标宋简体"/>
          <w:sz w:val="44"/>
          <w:szCs w:val="44"/>
        </w:rPr>
      </w:pPr>
    </w:p>
    <w:p w14:paraId="3C1BE82B">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报价函</w:t>
      </w:r>
    </w:p>
    <w:p w14:paraId="0F0E0004">
      <w:pPr>
        <w:keepNext w:val="0"/>
        <w:keepLines w:val="0"/>
        <w:pageBreakBefore w:val="0"/>
        <w:widowControl w:val="0"/>
        <w:tabs>
          <w:tab w:val="left" w:pos="180"/>
        </w:tabs>
        <w:kinsoku/>
        <w:wordWrap w:val="0"/>
        <w:overflowPunct/>
        <w:topLinePunct w:val="0"/>
        <w:autoSpaceDE/>
        <w:autoSpaceDN/>
        <w:bidi w:val="0"/>
        <w:adjustRightInd w:val="0"/>
        <w:snapToGrid w:val="0"/>
        <w:spacing w:line="540" w:lineRule="exact"/>
        <w:ind w:left="0" w:leftChars="0" w:right="0" w:rightChars="0"/>
        <w:textAlignment w:val="auto"/>
        <w:outlineLvl w:val="9"/>
        <w:rPr>
          <w:rFonts w:hint="eastAsia" w:ascii="仿宋_GB2312" w:hAnsi="仿宋_GB2312" w:eastAsia="仿宋_GB2312" w:cs="仿宋_GB2312"/>
          <w:kern w:val="1"/>
          <w:sz w:val="32"/>
          <w:szCs w:val="32"/>
        </w:rPr>
      </w:pPr>
    </w:p>
    <w:p w14:paraId="5DC38B0E">
      <w:pPr>
        <w:keepNext w:val="0"/>
        <w:keepLines w:val="0"/>
        <w:pageBreakBefore w:val="0"/>
        <w:widowControl w:val="0"/>
        <w:tabs>
          <w:tab w:val="left" w:pos="180"/>
        </w:tabs>
        <w:kinsoku/>
        <w:wordWrap w:val="0"/>
        <w:overflowPunct/>
        <w:topLinePunct w:val="0"/>
        <w:autoSpaceDE/>
        <w:autoSpaceDN/>
        <w:bidi w:val="0"/>
        <w:adjustRightInd w:val="0"/>
        <w:snapToGrid w:val="0"/>
        <w:spacing w:line="540" w:lineRule="exact"/>
        <w:ind w:left="0" w:leftChars="0" w:right="0" w:rightChars="0"/>
        <w:textAlignment w:val="auto"/>
        <w:outlineLvl w:val="9"/>
        <w:rPr>
          <w:rFonts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江苏索普（集团）有限公司：</w:t>
      </w:r>
    </w:p>
    <w:p w14:paraId="723AE095">
      <w:pPr>
        <w:keepNext w:val="0"/>
        <w:keepLines w:val="0"/>
        <w:pageBreakBefore w:val="0"/>
        <w:widowControl w:val="0"/>
        <w:kinsoku/>
        <w:wordWrap w:val="0"/>
        <w:overflowPunct/>
        <w:topLinePunct w:val="0"/>
        <w:autoSpaceDE/>
        <w:autoSpaceDN/>
        <w:bidi w:val="0"/>
        <w:adjustRightInd w:val="0"/>
        <w:snapToGrid w:val="0"/>
        <w:spacing w:line="540" w:lineRule="exact"/>
        <w:ind w:left="0" w:leftChars="0" w:right="0" w:rightChars="0" w:firstLine="640" w:firstLineChars="200"/>
        <w:jc w:val="left"/>
        <w:textAlignment w:val="auto"/>
        <w:outlineLvl w:val="9"/>
        <w:rPr>
          <w:rFonts w:ascii="仿宋_GB2312" w:hAnsi="仿宋_GB2312" w:eastAsia="仿宋_GB2312" w:cs="仿宋_GB2312"/>
          <w:color w:val="auto"/>
          <w:kern w:val="1"/>
          <w:sz w:val="32"/>
          <w:szCs w:val="32"/>
        </w:rPr>
      </w:pPr>
      <w:r>
        <w:rPr>
          <w:rFonts w:hint="eastAsia" w:ascii="仿宋_GB2312" w:hAnsi="仿宋_GB2312" w:eastAsia="仿宋_GB2312" w:cs="仿宋_GB2312"/>
          <w:color w:val="auto"/>
          <w:kern w:val="1"/>
          <w:sz w:val="32"/>
          <w:szCs w:val="32"/>
          <w:u w:val="single"/>
          <w:lang w:val="en-US" w:eastAsia="zh-CN"/>
        </w:rPr>
        <w:t xml:space="preserve">                          </w:t>
      </w:r>
      <w:r>
        <w:rPr>
          <w:rFonts w:hint="eastAsia" w:ascii="仿宋_GB2312" w:hAnsi="仿宋_GB2312" w:eastAsia="仿宋_GB2312" w:cs="仿宋_GB2312"/>
          <w:color w:val="auto"/>
          <w:kern w:val="1"/>
          <w:sz w:val="32"/>
          <w:szCs w:val="32"/>
        </w:rPr>
        <w:t>授权</w:t>
      </w:r>
      <w:r>
        <w:rPr>
          <w:rFonts w:hint="eastAsia" w:ascii="仿宋_GB2312" w:hAnsi="仿宋_GB2312" w:eastAsia="仿宋_GB2312" w:cs="仿宋_GB2312"/>
          <w:color w:val="auto"/>
          <w:kern w:val="1"/>
          <w:sz w:val="32"/>
          <w:szCs w:val="32"/>
          <w:u w:val="single"/>
          <w:lang w:val="en-US" w:eastAsia="zh-CN"/>
        </w:rPr>
        <w:t xml:space="preserve">             </w:t>
      </w:r>
      <w:r>
        <w:rPr>
          <w:rFonts w:hint="eastAsia" w:ascii="仿宋_GB2312" w:hAnsi="仿宋_GB2312" w:eastAsia="仿宋_GB2312" w:cs="仿宋_GB2312"/>
          <w:color w:val="auto"/>
          <w:kern w:val="1"/>
          <w:sz w:val="32"/>
          <w:szCs w:val="32"/>
        </w:rPr>
        <w:t>为全权代表，参加贵方组织的</w:t>
      </w:r>
      <w:r>
        <w:rPr>
          <w:rFonts w:hint="eastAsia" w:ascii="仿宋_GB2312" w:hAnsi="仿宋_GB2312" w:eastAsia="仿宋_GB2312" w:cs="仿宋_GB2312"/>
          <w:color w:val="auto"/>
          <w:kern w:val="1"/>
          <w:sz w:val="32"/>
          <w:szCs w:val="32"/>
          <w:lang w:val="en-US" w:eastAsia="zh-CN"/>
        </w:rPr>
        <w:t>采购</w:t>
      </w:r>
      <w:r>
        <w:rPr>
          <w:rFonts w:hint="eastAsia" w:ascii="仿宋_GB2312" w:hAnsi="仿宋_GB2312" w:eastAsia="仿宋_GB2312" w:cs="仿宋_GB2312"/>
          <w:color w:val="auto"/>
          <w:kern w:val="1"/>
          <w:sz w:val="32"/>
          <w:szCs w:val="32"/>
        </w:rPr>
        <w:t>有关活动，并对该项目进行</w:t>
      </w:r>
      <w:r>
        <w:rPr>
          <w:rFonts w:hint="eastAsia" w:ascii="仿宋_GB2312" w:hAnsi="仿宋_GB2312" w:eastAsia="仿宋_GB2312" w:cs="仿宋_GB2312"/>
          <w:color w:val="auto"/>
          <w:kern w:val="1"/>
          <w:sz w:val="32"/>
          <w:szCs w:val="32"/>
          <w:lang w:val="en-US" w:eastAsia="zh-CN"/>
        </w:rPr>
        <w:t>报价</w:t>
      </w:r>
      <w:r>
        <w:rPr>
          <w:rFonts w:hint="eastAsia" w:ascii="仿宋_GB2312" w:hAnsi="仿宋_GB2312" w:eastAsia="仿宋_GB2312" w:cs="仿宋_GB2312"/>
          <w:color w:val="auto"/>
          <w:kern w:val="1"/>
          <w:sz w:val="32"/>
          <w:szCs w:val="32"/>
        </w:rPr>
        <w:t>。</w:t>
      </w:r>
    </w:p>
    <w:p w14:paraId="43C70139">
      <w:pPr>
        <w:keepNext w:val="0"/>
        <w:keepLines w:val="0"/>
        <w:pageBreakBefore w:val="0"/>
        <w:widowControl w:val="0"/>
        <w:kinsoku/>
        <w:wordWrap w:val="0"/>
        <w:overflowPunct/>
        <w:topLinePunct w:val="0"/>
        <w:autoSpaceDE/>
        <w:autoSpaceDN/>
        <w:bidi w:val="0"/>
        <w:adjustRightInd w:val="0"/>
        <w:snapToGrid w:val="0"/>
        <w:spacing w:line="540" w:lineRule="exact"/>
        <w:ind w:right="0" w:rightChars="0" w:firstLine="640" w:firstLineChars="200"/>
        <w:jc w:val="left"/>
        <w:textAlignment w:val="auto"/>
        <w:outlineLvl w:val="9"/>
        <w:rPr>
          <w:rFonts w:hint="eastAsia" w:ascii="仿宋_GB2312" w:hAnsi="仿宋_GB2312" w:eastAsia="仿宋_GB2312" w:cs="仿宋_GB2312"/>
          <w:color w:val="auto"/>
          <w:kern w:val="1"/>
          <w:sz w:val="32"/>
          <w:szCs w:val="32"/>
          <w:lang w:eastAsia="zh-CN"/>
        </w:rPr>
      </w:pPr>
      <w:r>
        <w:rPr>
          <w:rFonts w:hint="eastAsia" w:ascii="仿宋_GB2312" w:hAnsi="仿宋_GB2312" w:eastAsia="仿宋_GB2312" w:cs="仿宋_GB2312"/>
          <w:color w:val="auto"/>
          <w:kern w:val="1"/>
          <w:sz w:val="32"/>
          <w:szCs w:val="32"/>
          <w:lang w:val="en-US" w:eastAsia="zh-CN"/>
        </w:rPr>
        <w:t>报价</w:t>
      </w:r>
      <w:r>
        <w:rPr>
          <w:rFonts w:hint="eastAsia" w:ascii="仿宋_GB2312" w:hAnsi="仿宋_GB2312" w:eastAsia="仿宋_GB2312" w:cs="仿宋_GB2312"/>
          <w:color w:val="auto"/>
          <w:kern w:val="1"/>
          <w:sz w:val="32"/>
          <w:szCs w:val="32"/>
        </w:rPr>
        <w:t>项目的总价（含税）为</w:t>
      </w:r>
      <w:r>
        <w:rPr>
          <w:rFonts w:ascii="仿宋_GB2312" w:hAnsi="仿宋_GB2312" w:eastAsia="仿宋_GB2312" w:cs="仿宋_GB2312"/>
          <w:color w:val="auto"/>
          <w:kern w:val="1"/>
          <w:sz w:val="32"/>
          <w:szCs w:val="32"/>
          <w:u w:val="single"/>
        </w:rPr>
        <w:softHyphen/>
      </w:r>
      <w:r>
        <w:rPr>
          <w:rFonts w:hint="eastAsia" w:ascii="仿宋_GB2312" w:hAnsi="仿宋_GB2312" w:eastAsia="仿宋_GB2312" w:cs="仿宋_GB2312"/>
          <w:color w:val="auto"/>
          <w:kern w:val="1"/>
          <w:sz w:val="32"/>
          <w:szCs w:val="32"/>
          <w:u w:val="single"/>
        </w:rPr>
        <w:t xml:space="preserve">    </w:t>
      </w:r>
      <w:r>
        <w:rPr>
          <w:rFonts w:hint="eastAsia" w:ascii="仿宋_GB2312" w:hAnsi="仿宋_GB2312" w:eastAsia="仿宋_GB2312" w:cs="仿宋_GB2312"/>
          <w:color w:val="auto"/>
          <w:kern w:val="1"/>
          <w:sz w:val="32"/>
          <w:szCs w:val="32"/>
          <w:u w:val="single"/>
          <w:lang w:val="en-US" w:eastAsia="zh-CN"/>
        </w:rPr>
        <w:t xml:space="preserve">   </w:t>
      </w:r>
      <w:r>
        <w:rPr>
          <w:rFonts w:hint="eastAsia" w:ascii="仿宋_GB2312" w:hAnsi="仿宋_GB2312" w:eastAsia="仿宋_GB2312" w:cs="仿宋_GB2312"/>
          <w:color w:val="auto"/>
          <w:kern w:val="1"/>
          <w:sz w:val="32"/>
          <w:szCs w:val="32"/>
          <w:u w:val="single"/>
        </w:rPr>
        <w:t xml:space="preserve">   </w:t>
      </w:r>
      <w:r>
        <w:rPr>
          <w:rFonts w:hint="eastAsia" w:ascii="仿宋_GB2312" w:hAnsi="仿宋_GB2312" w:eastAsia="仿宋_GB2312" w:cs="仿宋_GB2312"/>
          <w:color w:val="auto"/>
          <w:kern w:val="1"/>
          <w:sz w:val="32"/>
          <w:szCs w:val="32"/>
        </w:rPr>
        <w:t>(大写)：</w:t>
      </w:r>
      <w:r>
        <w:rPr>
          <w:rFonts w:hint="eastAsia" w:ascii="仿宋_GB2312" w:hAnsi="仿宋_GB2312" w:eastAsia="仿宋_GB2312" w:cs="仿宋_GB2312"/>
          <w:color w:val="auto"/>
          <w:kern w:val="1"/>
          <w:sz w:val="32"/>
          <w:szCs w:val="32"/>
          <w:u w:val="single"/>
        </w:rPr>
        <w:t xml:space="preserve">    </w:t>
      </w:r>
      <w:r>
        <w:rPr>
          <w:rFonts w:hint="eastAsia" w:ascii="仿宋_GB2312" w:hAnsi="仿宋_GB2312" w:eastAsia="仿宋_GB2312" w:cs="仿宋_GB2312"/>
          <w:color w:val="auto"/>
          <w:kern w:val="1"/>
          <w:sz w:val="32"/>
          <w:szCs w:val="32"/>
          <w:u w:val="single"/>
          <w:lang w:val="en-US" w:eastAsia="zh-CN"/>
        </w:rPr>
        <w:t xml:space="preserve">   </w:t>
      </w:r>
      <w:r>
        <w:rPr>
          <w:rFonts w:hint="eastAsia" w:ascii="仿宋_GB2312" w:hAnsi="仿宋_GB2312" w:eastAsia="仿宋_GB2312" w:cs="仿宋_GB2312"/>
          <w:color w:val="auto"/>
          <w:kern w:val="1"/>
          <w:sz w:val="32"/>
          <w:szCs w:val="32"/>
          <w:u w:val="single"/>
        </w:rPr>
        <w:t xml:space="preserve">  </w:t>
      </w:r>
      <w:r>
        <w:rPr>
          <w:rFonts w:hint="eastAsia" w:ascii="仿宋_GB2312" w:hAnsi="仿宋_GB2312" w:eastAsia="仿宋_GB2312" w:cs="仿宋_GB2312"/>
          <w:color w:val="auto"/>
          <w:kern w:val="1"/>
          <w:sz w:val="32"/>
          <w:szCs w:val="32"/>
        </w:rPr>
        <w:t>元人民币；税率</w:t>
      </w:r>
      <w:r>
        <w:rPr>
          <w:rFonts w:hint="eastAsia" w:ascii="仿宋_GB2312" w:hAnsi="仿宋_GB2312" w:eastAsia="仿宋_GB2312" w:cs="仿宋_GB2312"/>
          <w:color w:val="auto"/>
          <w:kern w:val="1"/>
          <w:sz w:val="32"/>
          <w:szCs w:val="32"/>
          <w:u w:val="single"/>
        </w:rPr>
        <w:t xml:space="preserve">       </w:t>
      </w:r>
      <w:r>
        <w:rPr>
          <w:rFonts w:hint="eastAsia" w:ascii="仿宋_GB2312" w:hAnsi="仿宋_GB2312" w:eastAsia="仿宋_GB2312" w:cs="仿宋_GB2312"/>
          <w:color w:val="auto"/>
          <w:kern w:val="1"/>
          <w:sz w:val="32"/>
          <w:szCs w:val="32"/>
        </w:rPr>
        <w:t>%</w:t>
      </w:r>
      <w:r>
        <w:rPr>
          <w:rFonts w:hint="eastAsia" w:ascii="仿宋_GB2312" w:hAnsi="仿宋_GB2312" w:eastAsia="仿宋_GB2312" w:cs="仿宋_GB2312"/>
          <w:color w:val="auto"/>
          <w:kern w:val="1"/>
          <w:sz w:val="32"/>
          <w:szCs w:val="32"/>
          <w:lang w:eastAsia="zh-CN"/>
        </w:rPr>
        <w:t>，</w:t>
      </w:r>
      <w:r>
        <w:rPr>
          <w:rFonts w:hint="eastAsia" w:ascii="仿宋_GB2312" w:hAnsi="仿宋_GB2312" w:eastAsia="仿宋_GB2312" w:cs="仿宋_GB2312"/>
          <w:color w:val="auto"/>
          <w:kern w:val="1"/>
          <w:sz w:val="32"/>
          <w:szCs w:val="32"/>
        </w:rPr>
        <w:t>如有分项报价，请另附分项报价清单</w:t>
      </w:r>
      <w:r>
        <w:rPr>
          <w:rFonts w:hint="eastAsia" w:ascii="仿宋_GB2312" w:hAnsi="仿宋_GB2312" w:eastAsia="仿宋_GB2312" w:cs="仿宋_GB2312"/>
          <w:color w:val="auto"/>
          <w:kern w:val="1"/>
          <w:sz w:val="32"/>
          <w:szCs w:val="32"/>
          <w:lang w:eastAsia="zh-CN"/>
        </w:rPr>
        <w:t>。</w:t>
      </w:r>
    </w:p>
    <w:p w14:paraId="247AC501">
      <w:pPr>
        <w:keepNext w:val="0"/>
        <w:keepLines w:val="0"/>
        <w:pageBreakBefore w:val="0"/>
        <w:widowControl w:val="0"/>
        <w:kinsoku/>
        <w:wordWrap w:val="0"/>
        <w:overflowPunct/>
        <w:topLinePunct w:val="0"/>
        <w:autoSpaceDE/>
        <w:autoSpaceDN/>
        <w:bidi w:val="0"/>
        <w:adjustRightInd w:val="0"/>
        <w:snapToGrid w:val="0"/>
        <w:spacing w:line="540" w:lineRule="exact"/>
        <w:ind w:right="0" w:rightChars="0" w:firstLine="640" w:firstLineChars="200"/>
        <w:jc w:val="left"/>
        <w:textAlignment w:val="auto"/>
        <w:outlineLvl w:val="9"/>
        <w:rPr>
          <w:rFonts w:hint="eastAsia" w:ascii="仿宋_GB2312" w:hAnsi="仿宋_GB2312" w:eastAsia="仿宋_GB2312" w:cs="仿宋_GB2312"/>
          <w:color w:val="auto"/>
          <w:kern w:val="1"/>
          <w:sz w:val="32"/>
          <w:szCs w:val="32"/>
          <w:lang w:eastAsia="zh-CN"/>
        </w:rPr>
      </w:pPr>
    </w:p>
    <w:tbl>
      <w:tblPr>
        <w:tblStyle w:val="9"/>
        <w:tblW w:w="4983" w:type="pct"/>
        <w:jc w:val="center"/>
        <w:tblLayout w:type="autofit"/>
        <w:tblCellMar>
          <w:top w:w="0" w:type="dxa"/>
          <w:left w:w="108" w:type="dxa"/>
          <w:bottom w:w="0" w:type="dxa"/>
          <w:right w:w="108" w:type="dxa"/>
        </w:tblCellMar>
      </w:tblPr>
      <w:tblGrid>
        <w:gridCol w:w="2085"/>
        <w:gridCol w:w="1769"/>
        <w:gridCol w:w="1805"/>
        <w:gridCol w:w="951"/>
        <w:gridCol w:w="1545"/>
        <w:gridCol w:w="763"/>
      </w:tblGrid>
      <w:tr w14:paraId="599473B1">
        <w:tblPrEx>
          <w:tblCellMar>
            <w:top w:w="0" w:type="dxa"/>
            <w:left w:w="108" w:type="dxa"/>
            <w:bottom w:w="0" w:type="dxa"/>
            <w:right w:w="108" w:type="dxa"/>
          </w:tblCellMar>
        </w:tblPrEx>
        <w:trPr>
          <w:trHeight w:val="541" w:hRule="atLeast"/>
          <w:jc w:val="center"/>
        </w:trPr>
        <w:tc>
          <w:tcPr>
            <w:tcW w:w="5000" w:type="pct"/>
            <w:gridSpan w:val="6"/>
            <w:tcBorders>
              <w:bottom w:val="single" w:color="auto" w:sz="4" w:space="0"/>
            </w:tcBorders>
            <w:noWrap w:val="0"/>
            <w:vAlign w:val="center"/>
          </w:tcPr>
          <w:p w14:paraId="30C1BD4B">
            <w:pPr>
              <w:widowControl/>
              <w:snapToGrid w:val="0"/>
              <w:jc w:val="center"/>
              <w:rPr>
                <w:rFonts w:hint="default" w:ascii="宋体" w:hAnsi="宋体" w:eastAsia="宋体" w:cs="宋体"/>
                <w:color w:val="auto"/>
                <w:kern w:val="0"/>
                <w:sz w:val="20"/>
                <w:szCs w:val="20"/>
                <w:lang w:val="en-US" w:eastAsia="zh-CN"/>
              </w:rPr>
            </w:pPr>
            <w:r>
              <w:rPr>
                <w:rFonts w:hint="eastAsia" w:ascii="宋体" w:hAnsi="宋体" w:cs="宋体"/>
                <w:b/>
                <w:color w:val="auto"/>
                <w:kern w:val="0"/>
                <w:sz w:val="32"/>
                <w:szCs w:val="32"/>
              </w:rPr>
              <w:t>房屋</w:t>
            </w:r>
            <w:r>
              <w:rPr>
                <w:rFonts w:hint="eastAsia" w:ascii="宋体" w:hAnsi="宋体" w:cs="宋体"/>
                <w:b/>
                <w:color w:val="auto"/>
                <w:kern w:val="0"/>
                <w:sz w:val="32"/>
                <w:szCs w:val="32"/>
                <w:lang w:val="en-US" w:eastAsia="zh-CN"/>
              </w:rPr>
              <w:t>安全鉴定和消防评估报价清单</w:t>
            </w:r>
          </w:p>
        </w:tc>
      </w:tr>
      <w:tr w14:paraId="5F554D30">
        <w:tblPrEx>
          <w:tblCellMar>
            <w:top w:w="0" w:type="dxa"/>
            <w:left w:w="108" w:type="dxa"/>
            <w:bottom w:w="0" w:type="dxa"/>
            <w:right w:w="108" w:type="dxa"/>
          </w:tblCellMar>
        </w:tblPrEx>
        <w:trPr>
          <w:trHeight w:val="689" w:hRule="atLeast"/>
          <w:jc w:val="center"/>
        </w:trPr>
        <w:tc>
          <w:tcPr>
            <w:tcW w:w="1169" w:type="pct"/>
            <w:tcBorders>
              <w:top w:val="single" w:color="auto" w:sz="4" w:space="0"/>
              <w:left w:val="single" w:color="auto" w:sz="4" w:space="0"/>
              <w:bottom w:val="single" w:color="auto" w:sz="4" w:space="0"/>
              <w:right w:val="single" w:color="auto" w:sz="4" w:space="0"/>
            </w:tcBorders>
            <w:noWrap w:val="0"/>
            <w:vAlign w:val="center"/>
          </w:tcPr>
          <w:p w14:paraId="7FC53FED">
            <w:pPr>
              <w:widowControl/>
              <w:snapToGrid w:val="0"/>
              <w:jc w:val="center"/>
              <w:rPr>
                <w:rFonts w:ascii="宋体" w:hAnsi="宋体" w:cs="宋体"/>
                <w:color w:val="auto"/>
                <w:kern w:val="0"/>
                <w:sz w:val="20"/>
                <w:szCs w:val="20"/>
              </w:rPr>
            </w:pPr>
            <w:r>
              <w:rPr>
                <w:rFonts w:hint="eastAsia" w:ascii="宋体" w:hAnsi="宋体" w:cs="宋体"/>
                <w:color w:val="auto"/>
                <w:kern w:val="0"/>
                <w:sz w:val="20"/>
                <w:szCs w:val="20"/>
              </w:rPr>
              <w:t>序号</w:t>
            </w:r>
          </w:p>
        </w:tc>
        <w:tc>
          <w:tcPr>
            <w:tcW w:w="992" w:type="pct"/>
            <w:tcBorders>
              <w:top w:val="single" w:color="auto" w:sz="4" w:space="0"/>
              <w:left w:val="nil"/>
              <w:bottom w:val="single" w:color="auto" w:sz="4" w:space="0"/>
              <w:right w:val="single" w:color="auto" w:sz="4" w:space="0"/>
            </w:tcBorders>
            <w:noWrap w:val="0"/>
            <w:vAlign w:val="center"/>
          </w:tcPr>
          <w:p w14:paraId="28FFFF7F">
            <w:pPr>
              <w:widowControl/>
              <w:snapToGrid w:val="0"/>
              <w:jc w:val="center"/>
              <w:rPr>
                <w:rFonts w:hint="default" w:ascii="宋体" w:hAnsi="宋体" w:eastAsia="宋体" w:cs="宋体"/>
                <w:color w:val="auto"/>
                <w:kern w:val="0"/>
                <w:sz w:val="20"/>
                <w:szCs w:val="20"/>
                <w:lang w:val="en-US" w:eastAsia="zh-CN"/>
              </w:rPr>
            </w:pPr>
            <w:r>
              <w:rPr>
                <w:rFonts w:hint="eastAsia" w:ascii="宋体" w:hAnsi="宋体" w:cs="宋体"/>
                <w:color w:val="auto"/>
                <w:kern w:val="0"/>
                <w:sz w:val="20"/>
                <w:szCs w:val="20"/>
                <w:lang w:val="en-US" w:eastAsia="zh-CN"/>
              </w:rPr>
              <w:t>项目名称</w:t>
            </w:r>
          </w:p>
        </w:tc>
        <w:tc>
          <w:tcPr>
            <w:tcW w:w="1012" w:type="pct"/>
            <w:tcBorders>
              <w:top w:val="single" w:color="auto" w:sz="4" w:space="0"/>
              <w:left w:val="nil"/>
              <w:bottom w:val="single" w:color="auto" w:sz="4" w:space="0"/>
              <w:right w:val="single" w:color="auto" w:sz="4" w:space="0"/>
            </w:tcBorders>
            <w:noWrap w:val="0"/>
            <w:vAlign w:val="center"/>
          </w:tcPr>
          <w:p w14:paraId="54EA924A">
            <w:pPr>
              <w:widowControl/>
              <w:snapToGrid w:val="0"/>
              <w:jc w:val="center"/>
              <w:rPr>
                <w:rFonts w:hint="eastAsia" w:ascii="宋体" w:hAnsi="宋体" w:cs="宋体"/>
                <w:color w:val="auto"/>
                <w:kern w:val="0"/>
                <w:sz w:val="20"/>
                <w:szCs w:val="20"/>
              </w:rPr>
            </w:pPr>
            <w:r>
              <w:rPr>
                <w:rFonts w:hint="eastAsia" w:ascii="宋体" w:hAnsi="宋体" w:cs="宋体"/>
                <w:color w:val="auto"/>
                <w:kern w:val="0"/>
                <w:sz w:val="20"/>
                <w:szCs w:val="20"/>
              </w:rPr>
              <w:t>单价（元）</w:t>
            </w:r>
          </w:p>
        </w:tc>
        <w:tc>
          <w:tcPr>
            <w:tcW w:w="533" w:type="pct"/>
            <w:tcBorders>
              <w:top w:val="single" w:color="auto" w:sz="4" w:space="0"/>
              <w:left w:val="nil"/>
              <w:bottom w:val="single" w:color="auto" w:sz="4" w:space="0"/>
              <w:right w:val="single" w:color="auto" w:sz="4" w:space="0"/>
            </w:tcBorders>
            <w:noWrap w:val="0"/>
            <w:vAlign w:val="center"/>
          </w:tcPr>
          <w:p w14:paraId="2FBD7573">
            <w:pPr>
              <w:widowControl/>
              <w:snapToGrid w:val="0"/>
              <w:jc w:val="center"/>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数量</w:t>
            </w:r>
          </w:p>
          <w:p w14:paraId="5B830D3E">
            <w:pPr>
              <w:widowControl/>
              <w:snapToGrid w:val="0"/>
              <w:jc w:val="center"/>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w:t>
            </w:r>
          </w:p>
        </w:tc>
        <w:tc>
          <w:tcPr>
            <w:tcW w:w="866" w:type="pct"/>
            <w:tcBorders>
              <w:top w:val="single" w:color="auto" w:sz="4" w:space="0"/>
              <w:left w:val="nil"/>
              <w:bottom w:val="single" w:color="auto" w:sz="4" w:space="0"/>
              <w:right w:val="single" w:color="auto" w:sz="4" w:space="0"/>
            </w:tcBorders>
            <w:noWrap w:val="0"/>
            <w:vAlign w:val="center"/>
          </w:tcPr>
          <w:p w14:paraId="11508C2B">
            <w:pPr>
              <w:widowControl/>
              <w:snapToGrid w:val="0"/>
              <w:jc w:val="center"/>
              <w:rPr>
                <w:rFonts w:hint="eastAsia" w:ascii="宋体" w:hAnsi="宋体" w:cs="宋体"/>
                <w:color w:val="auto"/>
                <w:kern w:val="0"/>
                <w:sz w:val="20"/>
                <w:szCs w:val="20"/>
              </w:rPr>
            </w:pPr>
            <w:r>
              <w:rPr>
                <w:rFonts w:hint="eastAsia" w:ascii="宋体" w:hAnsi="宋体" w:cs="宋体"/>
                <w:color w:val="auto"/>
                <w:kern w:val="0"/>
                <w:sz w:val="20"/>
                <w:szCs w:val="20"/>
              </w:rPr>
              <w:t>总价 （元）</w:t>
            </w:r>
          </w:p>
        </w:tc>
        <w:tc>
          <w:tcPr>
            <w:tcW w:w="426" w:type="pct"/>
            <w:tcBorders>
              <w:top w:val="single" w:color="auto" w:sz="4" w:space="0"/>
              <w:left w:val="nil"/>
              <w:bottom w:val="single" w:color="auto" w:sz="4" w:space="0"/>
              <w:right w:val="single" w:color="auto" w:sz="4" w:space="0"/>
            </w:tcBorders>
            <w:noWrap w:val="0"/>
            <w:vAlign w:val="center"/>
          </w:tcPr>
          <w:p w14:paraId="012A2C13">
            <w:pPr>
              <w:widowControl/>
              <w:snapToGrid w:val="0"/>
              <w:jc w:val="center"/>
              <w:rPr>
                <w:rFonts w:ascii="宋体" w:hAnsi="宋体" w:cs="宋体"/>
                <w:color w:val="auto"/>
                <w:kern w:val="0"/>
                <w:sz w:val="20"/>
                <w:szCs w:val="20"/>
              </w:rPr>
            </w:pPr>
            <w:r>
              <w:rPr>
                <w:rFonts w:hint="eastAsia" w:ascii="宋体" w:hAnsi="宋体" w:cs="宋体"/>
                <w:color w:val="auto"/>
                <w:kern w:val="0"/>
                <w:sz w:val="20"/>
                <w:szCs w:val="20"/>
              </w:rPr>
              <w:t>备注</w:t>
            </w:r>
          </w:p>
        </w:tc>
      </w:tr>
      <w:tr w14:paraId="3D41AAB4">
        <w:tblPrEx>
          <w:tblCellMar>
            <w:top w:w="0" w:type="dxa"/>
            <w:left w:w="108" w:type="dxa"/>
            <w:bottom w:w="0" w:type="dxa"/>
            <w:right w:w="108" w:type="dxa"/>
          </w:tblCellMar>
        </w:tblPrEx>
        <w:trPr>
          <w:trHeight w:val="937" w:hRule="atLeast"/>
          <w:jc w:val="center"/>
        </w:trPr>
        <w:tc>
          <w:tcPr>
            <w:tcW w:w="1169" w:type="pct"/>
            <w:tcBorders>
              <w:top w:val="single" w:color="auto" w:sz="4" w:space="0"/>
              <w:left w:val="single" w:color="auto" w:sz="4" w:space="0"/>
              <w:bottom w:val="single" w:color="auto" w:sz="4" w:space="0"/>
              <w:right w:val="single" w:color="auto" w:sz="4" w:space="0"/>
            </w:tcBorders>
            <w:noWrap w:val="0"/>
            <w:vAlign w:val="center"/>
          </w:tcPr>
          <w:p w14:paraId="7DB8BADD">
            <w:pPr>
              <w:widowControl/>
              <w:snapToGrid w:val="0"/>
              <w:jc w:val="center"/>
              <w:rPr>
                <w:rFonts w:hint="eastAsia" w:ascii="宋体" w:hAnsi="宋体" w:eastAsia="宋体" w:cs="宋体"/>
                <w:color w:val="auto"/>
                <w:kern w:val="0"/>
                <w:sz w:val="20"/>
                <w:szCs w:val="20"/>
                <w:lang w:val="en-US" w:eastAsia="zh-CN"/>
              </w:rPr>
            </w:pPr>
            <w:r>
              <w:rPr>
                <w:rFonts w:hint="eastAsia" w:ascii="宋体" w:hAnsi="宋体" w:cs="宋体"/>
                <w:color w:val="auto"/>
                <w:kern w:val="0"/>
                <w:sz w:val="20"/>
                <w:szCs w:val="20"/>
                <w:lang w:val="en-US" w:eastAsia="zh-CN"/>
              </w:rPr>
              <w:t>1</w:t>
            </w:r>
          </w:p>
        </w:tc>
        <w:tc>
          <w:tcPr>
            <w:tcW w:w="992" w:type="pct"/>
            <w:tcBorders>
              <w:top w:val="single" w:color="auto" w:sz="4" w:space="0"/>
              <w:left w:val="nil"/>
              <w:bottom w:val="single" w:color="auto" w:sz="4" w:space="0"/>
              <w:right w:val="single" w:color="auto" w:sz="4" w:space="0"/>
            </w:tcBorders>
            <w:noWrap w:val="0"/>
            <w:vAlign w:val="center"/>
          </w:tcPr>
          <w:p w14:paraId="73DAA4B7">
            <w:pPr>
              <w:widowControl/>
              <w:snapToGrid w:val="0"/>
              <w:jc w:val="center"/>
              <w:rPr>
                <w:rFonts w:hint="default" w:ascii="宋体" w:hAnsi="宋体" w:eastAsia="宋体" w:cs="宋体"/>
                <w:color w:val="auto"/>
                <w:kern w:val="0"/>
                <w:sz w:val="20"/>
                <w:szCs w:val="20"/>
                <w:lang w:val="en-US" w:eastAsia="zh-CN"/>
              </w:rPr>
            </w:pPr>
            <w:r>
              <w:rPr>
                <w:rFonts w:hint="eastAsia" w:ascii="宋体" w:hAnsi="宋体" w:cs="宋体"/>
                <w:color w:val="auto"/>
                <w:kern w:val="0"/>
                <w:sz w:val="20"/>
                <w:szCs w:val="20"/>
                <w:lang w:val="en-US" w:eastAsia="zh-CN"/>
              </w:rPr>
              <w:t>房屋安全鉴定</w:t>
            </w:r>
          </w:p>
        </w:tc>
        <w:tc>
          <w:tcPr>
            <w:tcW w:w="1012" w:type="pct"/>
            <w:tcBorders>
              <w:top w:val="single" w:color="auto" w:sz="4" w:space="0"/>
              <w:left w:val="nil"/>
              <w:bottom w:val="single" w:color="auto" w:sz="4" w:space="0"/>
              <w:right w:val="single" w:color="auto" w:sz="4" w:space="0"/>
            </w:tcBorders>
            <w:noWrap w:val="0"/>
            <w:vAlign w:val="center"/>
          </w:tcPr>
          <w:p w14:paraId="5B64A3A2">
            <w:pPr>
              <w:widowControl/>
              <w:snapToGrid w:val="0"/>
              <w:jc w:val="center"/>
              <w:rPr>
                <w:rFonts w:hint="eastAsia" w:ascii="宋体" w:hAnsi="宋体" w:cs="宋体"/>
                <w:color w:val="auto"/>
                <w:kern w:val="0"/>
                <w:sz w:val="20"/>
                <w:szCs w:val="20"/>
              </w:rPr>
            </w:pPr>
          </w:p>
        </w:tc>
        <w:tc>
          <w:tcPr>
            <w:tcW w:w="533" w:type="pct"/>
            <w:vMerge w:val="restart"/>
            <w:tcBorders>
              <w:top w:val="single" w:color="auto" w:sz="4" w:space="0"/>
              <w:left w:val="nil"/>
              <w:right w:val="single" w:color="auto" w:sz="4" w:space="0"/>
            </w:tcBorders>
            <w:noWrap w:val="0"/>
            <w:vAlign w:val="center"/>
          </w:tcPr>
          <w:p w14:paraId="1CCAEF21">
            <w:pPr>
              <w:widowControl/>
              <w:snapToGrid w:val="0"/>
              <w:jc w:val="center"/>
              <w:rPr>
                <w:rFonts w:hint="default" w:ascii="宋体" w:hAnsi="宋体" w:eastAsia="宋体" w:cs="宋体"/>
                <w:color w:val="auto"/>
                <w:kern w:val="0"/>
                <w:sz w:val="20"/>
                <w:szCs w:val="20"/>
                <w:lang w:val="en-US" w:eastAsia="zh-CN"/>
              </w:rPr>
            </w:pPr>
            <w:r>
              <w:rPr>
                <w:rFonts w:hint="eastAsia" w:ascii="宋体" w:hAnsi="宋体" w:cs="宋体"/>
                <w:color w:val="auto"/>
                <w:kern w:val="0"/>
                <w:sz w:val="20"/>
                <w:szCs w:val="20"/>
                <w:lang w:val="en-US" w:eastAsia="zh-CN"/>
              </w:rPr>
              <w:t>3349</w:t>
            </w:r>
          </w:p>
        </w:tc>
        <w:tc>
          <w:tcPr>
            <w:tcW w:w="866" w:type="pct"/>
            <w:tcBorders>
              <w:top w:val="single" w:color="auto" w:sz="4" w:space="0"/>
              <w:left w:val="nil"/>
              <w:bottom w:val="single" w:color="auto" w:sz="4" w:space="0"/>
              <w:right w:val="single" w:color="auto" w:sz="4" w:space="0"/>
            </w:tcBorders>
            <w:noWrap w:val="0"/>
            <w:vAlign w:val="center"/>
          </w:tcPr>
          <w:p w14:paraId="6F41EB53">
            <w:pPr>
              <w:widowControl/>
              <w:snapToGrid w:val="0"/>
              <w:jc w:val="center"/>
              <w:rPr>
                <w:rFonts w:hint="eastAsia" w:ascii="宋体" w:hAnsi="宋体" w:cs="宋体"/>
                <w:color w:val="auto"/>
                <w:kern w:val="0"/>
                <w:sz w:val="20"/>
                <w:szCs w:val="20"/>
              </w:rPr>
            </w:pPr>
          </w:p>
        </w:tc>
        <w:tc>
          <w:tcPr>
            <w:tcW w:w="426" w:type="pct"/>
            <w:tcBorders>
              <w:top w:val="single" w:color="auto" w:sz="4" w:space="0"/>
              <w:left w:val="nil"/>
              <w:bottom w:val="single" w:color="auto" w:sz="4" w:space="0"/>
              <w:right w:val="single" w:color="auto" w:sz="4" w:space="0"/>
            </w:tcBorders>
            <w:noWrap w:val="0"/>
            <w:vAlign w:val="center"/>
          </w:tcPr>
          <w:p w14:paraId="1E09E610">
            <w:pPr>
              <w:widowControl/>
              <w:snapToGrid w:val="0"/>
              <w:jc w:val="center"/>
              <w:rPr>
                <w:rFonts w:hint="eastAsia" w:ascii="宋体" w:hAnsi="宋体" w:cs="宋体"/>
                <w:color w:val="auto"/>
                <w:kern w:val="0"/>
                <w:sz w:val="20"/>
                <w:szCs w:val="20"/>
              </w:rPr>
            </w:pPr>
          </w:p>
        </w:tc>
      </w:tr>
      <w:tr w14:paraId="600CA5A1">
        <w:tblPrEx>
          <w:tblCellMar>
            <w:top w:w="0" w:type="dxa"/>
            <w:left w:w="108" w:type="dxa"/>
            <w:bottom w:w="0" w:type="dxa"/>
            <w:right w:w="108" w:type="dxa"/>
          </w:tblCellMar>
        </w:tblPrEx>
        <w:trPr>
          <w:trHeight w:val="937" w:hRule="atLeast"/>
          <w:jc w:val="center"/>
        </w:trPr>
        <w:tc>
          <w:tcPr>
            <w:tcW w:w="1169" w:type="pct"/>
            <w:tcBorders>
              <w:top w:val="single" w:color="auto" w:sz="4" w:space="0"/>
              <w:left w:val="single" w:color="auto" w:sz="4" w:space="0"/>
              <w:bottom w:val="single" w:color="auto" w:sz="4" w:space="0"/>
              <w:right w:val="single" w:color="auto" w:sz="4" w:space="0"/>
            </w:tcBorders>
            <w:noWrap w:val="0"/>
            <w:vAlign w:val="center"/>
          </w:tcPr>
          <w:p w14:paraId="0CEEF055">
            <w:pPr>
              <w:widowControl/>
              <w:snapToGrid w:val="0"/>
              <w:jc w:val="center"/>
              <w:rPr>
                <w:rFonts w:hint="eastAsia" w:ascii="宋体" w:hAnsi="宋体" w:eastAsia="宋体" w:cs="宋体"/>
                <w:color w:val="auto"/>
                <w:kern w:val="0"/>
                <w:sz w:val="20"/>
                <w:szCs w:val="20"/>
                <w:lang w:val="en-US" w:eastAsia="zh-CN"/>
              </w:rPr>
            </w:pPr>
            <w:r>
              <w:rPr>
                <w:rFonts w:hint="eastAsia" w:ascii="宋体" w:hAnsi="宋体" w:cs="宋体"/>
                <w:color w:val="auto"/>
                <w:kern w:val="0"/>
                <w:sz w:val="20"/>
                <w:szCs w:val="20"/>
                <w:lang w:val="en-US" w:eastAsia="zh-CN"/>
              </w:rPr>
              <w:t>2</w:t>
            </w:r>
          </w:p>
        </w:tc>
        <w:tc>
          <w:tcPr>
            <w:tcW w:w="992" w:type="pct"/>
            <w:tcBorders>
              <w:top w:val="single" w:color="auto" w:sz="4" w:space="0"/>
              <w:left w:val="nil"/>
              <w:bottom w:val="single" w:color="auto" w:sz="4" w:space="0"/>
              <w:right w:val="single" w:color="auto" w:sz="4" w:space="0"/>
            </w:tcBorders>
            <w:noWrap w:val="0"/>
            <w:vAlign w:val="center"/>
          </w:tcPr>
          <w:p w14:paraId="49E1FDBD">
            <w:pPr>
              <w:widowControl/>
              <w:snapToGrid w:val="0"/>
              <w:jc w:val="center"/>
              <w:rPr>
                <w:rFonts w:hint="default" w:ascii="宋体" w:hAnsi="宋体" w:eastAsia="宋体" w:cs="宋体"/>
                <w:color w:val="auto"/>
                <w:kern w:val="0"/>
                <w:sz w:val="20"/>
                <w:szCs w:val="20"/>
                <w:lang w:val="en-US" w:eastAsia="zh-CN"/>
              </w:rPr>
            </w:pPr>
            <w:r>
              <w:rPr>
                <w:rFonts w:hint="eastAsia" w:ascii="宋体" w:hAnsi="宋体" w:cs="宋体"/>
                <w:color w:val="auto"/>
                <w:kern w:val="0"/>
                <w:sz w:val="20"/>
                <w:szCs w:val="20"/>
                <w:lang w:val="en-US" w:eastAsia="zh-CN"/>
              </w:rPr>
              <w:t>消防安全评估</w:t>
            </w:r>
          </w:p>
        </w:tc>
        <w:tc>
          <w:tcPr>
            <w:tcW w:w="1012" w:type="pct"/>
            <w:tcBorders>
              <w:top w:val="single" w:color="auto" w:sz="4" w:space="0"/>
              <w:left w:val="nil"/>
              <w:bottom w:val="single" w:color="auto" w:sz="4" w:space="0"/>
              <w:right w:val="single" w:color="auto" w:sz="4" w:space="0"/>
            </w:tcBorders>
            <w:noWrap w:val="0"/>
            <w:vAlign w:val="center"/>
          </w:tcPr>
          <w:p w14:paraId="01CAC2DD">
            <w:pPr>
              <w:widowControl/>
              <w:snapToGrid w:val="0"/>
              <w:jc w:val="center"/>
              <w:rPr>
                <w:rFonts w:hint="eastAsia" w:ascii="宋体" w:hAnsi="宋体" w:cs="宋体"/>
                <w:color w:val="auto"/>
                <w:kern w:val="0"/>
                <w:sz w:val="20"/>
                <w:szCs w:val="20"/>
              </w:rPr>
            </w:pPr>
          </w:p>
        </w:tc>
        <w:tc>
          <w:tcPr>
            <w:tcW w:w="533" w:type="pct"/>
            <w:vMerge w:val="continue"/>
            <w:tcBorders>
              <w:left w:val="nil"/>
              <w:bottom w:val="single" w:color="auto" w:sz="4" w:space="0"/>
              <w:right w:val="single" w:color="auto" w:sz="4" w:space="0"/>
            </w:tcBorders>
            <w:noWrap w:val="0"/>
            <w:vAlign w:val="center"/>
          </w:tcPr>
          <w:p w14:paraId="788EDB5E">
            <w:pPr>
              <w:widowControl/>
              <w:snapToGrid w:val="0"/>
              <w:jc w:val="center"/>
              <w:rPr>
                <w:rFonts w:hint="eastAsia" w:ascii="宋体" w:hAnsi="宋体" w:cs="宋体"/>
                <w:color w:val="auto"/>
                <w:kern w:val="0"/>
                <w:sz w:val="20"/>
                <w:szCs w:val="20"/>
              </w:rPr>
            </w:pPr>
          </w:p>
        </w:tc>
        <w:tc>
          <w:tcPr>
            <w:tcW w:w="866" w:type="pct"/>
            <w:tcBorders>
              <w:top w:val="single" w:color="auto" w:sz="4" w:space="0"/>
              <w:left w:val="nil"/>
              <w:bottom w:val="single" w:color="auto" w:sz="4" w:space="0"/>
              <w:right w:val="single" w:color="auto" w:sz="4" w:space="0"/>
            </w:tcBorders>
            <w:noWrap w:val="0"/>
            <w:vAlign w:val="center"/>
          </w:tcPr>
          <w:p w14:paraId="60B65990">
            <w:pPr>
              <w:widowControl/>
              <w:snapToGrid w:val="0"/>
              <w:jc w:val="center"/>
              <w:rPr>
                <w:rFonts w:hint="eastAsia" w:ascii="宋体" w:hAnsi="宋体" w:cs="宋体"/>
                <w:color w:val="auto"/>
                <w:kern w:val="0"/>
                <w:sz w:val="20"/>
                <w:szCs w:val="20"/>
              </w:rPr>
            </w:pPr>
          </w:p>
        </w:tc>
        <w:tc>
          <w:tcPr>
            <w:tcW w:w="426" w:type="pct"/>
            <w:tcBorders>
              <w:top w:val="single" w:color="auto" w:sz="4" w:space="0"/>
              <w:left w:val="nil"/>
              <w:bottom w:val="single" w:color="auto" w:sz="4" w:space="0"/>
              <w:right w:val="single" w:color="auto" w:sz="4" w:space="0"/>
            </w:tcBorders>
            <w:noWrap w:val="0"/>
            <w:vAlign w:val="center"/>
          </w:tcPr>
          <w:p w14:paraId="5B019EBF">
            <w:pPr>
              <w:widowControl/>
              <w:snapToGrid w:val="0"/>
              <w:jc w:val="center"/>
              <w:rPr>
                <w:rFonts w:hint="eastAsia" w:ascii="宋体" w:hAnsi="宋体" w:cs="宋体"/>
                <w:color w:val="auto"/>
                <w:kern w:val="0"/>
                <w:sz w:val="20"/>
                <w:szCs w:val="20"/>
              </w:rPr>
            </w:pPr>
          </w:p>
        </w:tc>
      </w:tr>
      <w:tr w14:paraId="5C3BC94D">
        <w:tblPrEx>
          <w:tblCellMar>
            <w:top w:w="0" w:type="dxa"/>
            <w:left w:w="108" w:type="dxa"/>
            <w:bottom w:w="0" w:type="dxa"/>
            <w:right w:w="108" w:type="dxa"/>
          </w:tblCellMar>
        </w:tblPrEx>
        <w:trPr>
          <w:trHeight w:val="351" w:hRule="atLeast"/>
          <w:jc w:val="center"/>
        </w:trPr>
        <w:tc>
          <w:tcPr>
            <w:tcW w:w="1169" w:type="pct"/>
            <w:tcBorders>
              <w:top w:val="nil"/>
              <w:left w:val="single" w:color="auto" w:sz="4" w:space="0"/>
              <w:bottom w:val="single" w:color="auto" w:sz="4" w:space="0"/>
              <w:right w:val="single" w:color="auto" w:sz="4" w:space="0"/>
            </w:tcBorders>
            <w:noWrap w:val="0"/>
            <w:vAlign w:val="center"/>
          </w:tcPr>
          <w:p w14:paraId="1380A7BE">
            <w:pPr>
              <w:widowControl/>
              <w:snapToGrid w:val="0"/>
              <w:jc w:val="center"/>
              <w:rPr>
                <w:rFonts w:ascii="宋体" w:hAnsi="宋体" w:cs="宋体"/>
                <w:color w:val="auto"/>
                <w:kern w:val="0"/>
                <w:sz w:val="20"/>
                <w:szCs w:val="20"/>
              </w:rPr>
            </w:pPr>
          </w:p>
        </w:tc>
        <w:tc>
          <w:tcPr>
            <w:tcW w:w="992" w:type="pct"/>
            <w:tcBorders>
              <w:top w:val="nil"/>
              <w:left w:val="nil"/>
              <w:bottom w:val="single" w:color="auto" w:sz="4" w:space="0"/>
              <w:right w:val="single" w:color="auto" w:sz="4" w:space="0"/>
            </w:tcBorders>
            <w:noWrap w:val="0"/>
            <w:vAlign w:val="center"/>
          </w:tcPr>
          <w:p w14:paraId="7A4C73F7">
            <w:pPr>
              <w:widowControl/>
              <w:snapToGrid w:val="0"/>
              <w:jc w:val="center"/>
              <w:rPr>
                <w:rFonts w:ascii="宋体" w:hAnsi="宋体" w:cs="宋体"/>
                <w:color w:val="auto"/>
                <w:kern w:val="0"/>
                <w:sz w:val="20"/>
                <w:szCs w:val="20"/>
              </w:rPr>
            </w:pPr>
          </w:p>
        </w:tc>
        <w:tc>
          <w:tcPr>
            <w:tcW w:w="1012" w:type="pct"/>
            <w:tcBorders>
              <w:top w:val="nil"/>
              <w:left w:val="nil"/>
              <w:bottom w:val="single" w:color="auto" w:sz="4" w:space="0"/>
              <w:right w:val="single" w:color="auto" w:sz="4" w:space="0"/>
            </w:tcBorders>
            <w:noWrap w:val="0"/>
            <w:vAlign w:val="center"/>
          </w:tcPr>
          <w:p w14:paraId="117C1876">
            <w:pPr>
              <w:widowControl/>
              <w:snapToGrid w:val="0"/>
              <w:jc w:val="center"/>
              <w:rPr>
                <w:rFonts w:ascii="宋体" w:hAnsi="宋体" w:cs="宋体"/>
                <w:color w:val="auto"/>
                <w:kern w:val="0"/>
                <w:sz w:val="20"/>
                <w:szCs w:val="20"/>
              </w:rPr>
            </w:pPr>
          </w:p>
        </w:tc>
        <w:tc>
          <w:tcPr>
            <w:tcW w:w="533" w:type="pct"/>
            <w:tcBorders>
              <w:top w:val="nil"/>
              <w:left w:val="nil"/>
              <w:bottom w:val="single" w:color="auto" w:sz="4" w:space="0"/>
              <w:right w:val="single" w:color="auto" w:sz="4" w:space="0"/>
            </w:tcBorders>
            <w:noWrap w:val="0"/>
            <w:vAlign w:val="center"/>
          </w:tcPr>
          <w:p w14:paraId="018306EF">
            <w:pPr>
              <w:widowControl/>
              <w:snapToGrid w:val="0"/>
              <w:jc w:val="center"/>
              <w:rPr>
                <w:rFonts w:ascii="宋体" w:hAnsi="宋体" w:cs="宋体"/>
                <w:color w:val="auto"/>
                <w:kern w:val="0"/>
                <w:sz w:val="20"/>
                <w:szCs w:val="20"/>
              </w:rPr>
            </w:pPr>
          </w:p>
        </w:tc>
        <w:tc>
          <w:tcPr>
            <w:tcW w:w="866" w:type="pct"/>
            <w:tcBorders>
              <w:top w:val="nil"/>
              <w:left w:val="nil"/>
              <w:bottom w:val="single" w:color="auto" w:sz="4" w:space="0"/>
              <w:right w:val="single" w:color="auto" w:sz="4" w:space="0"/>
            </w:tcBorders>
            <w:noWrap w:val="0"/>
            <w:vAlign w:val="center"/>
          </w:tcPr>
          <w:p w14:paraId="796ECACC">
            <w:pPr>
              <w:widowControl/>
              <w:snapToGrid w:val="0"/>
              <w:jc w:val="center"/>
              <w:rPr>
                <w:rFonts w:ascii="宋体" w:hAnsi="宋体" w:cs="宋体"/>
                <w:color w:val="auto"/>
                <w:kern w:val="0"/>
                <w:sz w:val="20"/>
                <w:szCs w:val="20"/>
              </w:rPr>
            </w:pPr>
          </w:p>
        </w:tc>
        <w:tc>
          <w:tcPr>
            <w:tcW w:w="426" w:type="pct"/>
            <w:tcBorders>
              <w:top w:val="nil"/>
              <w:left w:val="nil"/>
              <w:bottom w:val="single" w:color="auto" w:sz="4" w:space="0"/>
              <w:right w:val="single" w:color="auto" w:sz="4" w:space="0"/>
            </w:tcBorders>
            <w:noWrap w:val="0"/>
            <w:vAlign w:val="center"/>
          </w:tcPr>
          <w:p w14:paraId="028ECDCC">
            <w:pPr>
              <w:widowControl/>
              <w:snapToGrid w:val="0"/>
              <w:jc w:val="center"/>
              <w:rPr>
                <w:rFonts w:ascii="宋体" w:hAnsi="宋体" w:cs="宋体"/>
                <w:color w:val="auto"/>
                <w:kern w:val="0"/>
                <w:sz w:val="20"/>
                <w:szCs w:val="20"/>
              </w:rPr>
            </w:pPr>
          </w:p>
        </w:tc>
      </w:tr>
      <w:tr w14:paraId="3042786F">
        <w:tblPrEx>
          <w:tblCellMar>
            <w:top w:w="0" w:type="dxa"/>
            <w:left w:w="108" w:type="dxa"/>
            <w:bottom w:w="0" w:type="dxa"/>
            <w:right w:w="108" w:type="dxa"/>
          </w:tblCellMar>
        </w:tblPrEx>
        <w:trPr>
          <w:trHeight w:val="886" w:hRule="atLeast"/>
          <w:jc w:val="center"/>
        </w:trPr>
        <w:tc>
          <w:tcPr>
            <w:tcW w:w="5000" w:type="pct"/>
            <w:gridSpan w:val="6"/>
            <w:tcBorders>
              <w:top w:val="single" w:color="auto" w:sz="4" w:space="0"/>
              <w:left w:val="single" w:color="auto" w:sz="4" w:space="0"/>
              <w:bottom w:val="single" w:color="auto" w:sz="4" w:space="0"/>
              <w:right w:val="single" w:color="000000" w:sz="4" w:space="0"/>
            </w:tcBorders>
            <w:noWrap w:val="0"/>
            <w:vAlign w:val="center"/>
          </w:tcPr>
          <w:p w14:paraId="0AAB6FAA">
            <w:pPr>
              <w:widowControl/>
              <w:snapToGrid w:val="0"/>
              <w:jc w:val="left"/>
              <w:rPr>
                <w:rFonts w:ascii="宋体" w:hAnsi="宋体" w:cs="宋体"/>
                <w:color w:val="000000"/>
                <w:kern w:val="0"/>
                <w:sz w:val="20"/>
                <w:szCs w:val="20"/>
              </w:rPr>
            </w:pPr>
            <w:r>
              <w:rPr>
                <w:rFonts w:hint="eastAsia" w:ascii="宋体" w:hAnsi="宋体" w:cs="宋体"/>
                <w:color w:val="000000"/>
                <w:kern w:val="0"/>
                <w:sz w:val="20"/>
                <w:szCs w:val="20"/>
              </w:rPr>
              <w:t>总报价（人民币大写）：                 （小写）：</w:t>
            </w:r>
          </w:p>
        </w:tc>
      </w:tr>
      <w:tr w14:paraId="35448E85">
        <w:tblPrEx>
          <w:tblCellMar>
            <w:top w:w="0" w:type="dxa"/>
            <w:left w:w="108" w:type="dxa"/>
            <w:bottom w:w="0" w:type="dxa"/>
            <w:right w:w="108" w:type="dxa"/>
          </w:tblCellMar>
        </w:tblPrEx>
        <w:trPr>
          <w:trHeight w:val="641" w:hRule="atLeast"/>
          <w:jc w:val="center"/>
        </w:trPr>
        <w:tc>
          <w:tcPr>
            <w:tcW w:w="5000" w:type="pct"/>
            <w:gridSpan w:val="6"/>
            <w:tcBorders>
              <w:top w:val="single" w:color="auto" w:sz="4" w:space="0"/>
              <w:left w:val="single" w:color="auto" w:sz="4" w:space="0"/>
              <w:bottom w:val="single" w:color="auto" w:sz="4" w:space="0"/>
              <w:right w:val="single" w:color="auto" w:sz="4" w:space="0"/>
            </w:tcBorders>
            <w:noWrap w:val="0"/>
            <w:vAlign w:val="center"/>
          </w:tcPr>
          <w:p w14:paraId="5A7053A7">
            <w:pPr>
              <w:widowControl/>
              <w:snapToGrid w:val="0"/>
              <w:jc w:val="left"/>
              <w:rPr>
                <w:rFonts w:ascii="宋体" w:hAnsi="宋体" w:cs="宋体"/>
                <w:color w:val="000000"/>
                <w:kern w:val="0"/>
                <w:sz w:val="20"/>
                <w:szCs w:val="20"/>
              </w:rPr>
            </w:pPr>
            <w:r>
              <w:rPr>
                <w:rFonts w:hint="eastAsia" w:ascii="宋体" w:hAnsi="宋体" w:eastAsia="宋体" w:cs="宋体"/>
                <w:color w:val="auto"/>
                <w:kern w:val="0"/>
                <w:sz w:val="20"/>
                <w:szCs w:val="20"/>
                <w:lang w:val="en-US" w:eastAsia="zh-CN"/>
              </w:rPr>
              <w:t>备注：费用包含专家费、管理费、交通费等所有费用</w:t>
            </w:r>
            <w:r>
              <w:rPr>
                <w:rFonts w:hint="eastAsia" w:ascii="宋体" w:hAnsi="宋体" w:cs="宋体"/>
                <w:color w:val="000000"/>
                <w:kern w:val="0"/>
                <w:sz w:val="20"/>
                <w:szCs w:val="20"/>
              </w:rPr>
              <w:t>　</w:t>
            </w:r>
          </w:p>
        </w:tc>
      </w:tr>
      <w:tr w14:paraId="36736957">
        <w:tblPrEx>
          <w:tblCellMar>
            <w:top w:w="0" w:type="dxa"/>
            <w:left w:w="108" w:type="dxa"/>
            <w:bottom w:w="0" w:type="dxa"/>
            <w:right w:w="108" w:type="dxa"/>
          </w:tblCellMar>
        </w:tblPrEx>
        <w:trPr>
          <w:trHeight w:val="351" w:hRule="atLeast"/>
          <w:jc w:val="center"/>
        </w:trPr>
        <w:tc>
          <w:tcPr>
            <w:tcW w:w="1169" w:type="pct"/>
            <w:tcBorders>
              <w:top w:val="single" w:color="auto" w:sz="4" w:space="0"/>
              <w:left w:val="nil"/>
              <w:bottom w:val="nil"/>
              <w:right w:val="nil"/>
            </w:tcBorders>
            <w:noWrap w:val="0"/>
            <w:vAlign w:val="center"/>
          </w:tcPr>
          <w:p w14:paraId="4F04FA22">
            <w:pPr>
              <w:widowControl/>
              <w:snapToGrid w:val="0"/>
              <w:jc w:val="left"/>
              <w:rPr>
                <w:rFonts w:ascii="宋体" w:hAnsi="宋体" w:cs="宋体"/>
                <w:color w:val="000000"/>
                <w:kern w:val="0"/>
                <w:sz w:val="20"/>
                <w:szCs w:val="20"/>
              </w:rPr>
            </w:pPr>
            <w:r>
              <w:rPr>
                <w:rFonts w:hint="eastAsia" w:ascii="宋体" w:hAnsi="宋体" w:cs="宋体"/>
                <w:color w:val="000000"/>
                <w:kern w:val="0"/>
                <w:sz w:val="20"/>
                <w:szCs w:val="20"/>
              </w:rPr>
              <w:t>投标人：（单位盖章）</w:t>
            </w:r>
          </w:p>
        </w:tc>
        <w:tc>
          <w:tcPr>
            <w:tcW w:w="992" w:type="pct"/>
            <w:tcBorders>
              <w:top w:val="single" w:color="auto" w:sz="4" w:space="0"/>
              <w:left w:val="nil"/>
              <w:bottom w:val="nil"/>
              <w:right w:val="nil"/>
            </w:tcBorders>
            <w:noWrap w:val="0"/>
            <w:vAlign w:val="center"/>
          </w:tcPr>
          <w:p w14:paraId="5AF42E7C">
            <w:pPr>
              <w:widowControl/>
              <w:snapToGrid w:val="0"/>
              <w:jc w:val="center"/>
              <w:rPr>
                <w:rFonts w:ascii="宋体" w:hAnsi="宋体" w:cs="宋体"/>
                <w:color w:val="000000"/>
                <w:kern w:val="0"/>
                <w:sz w:val="20"/>
                <w:szCs w:val="20"/>
              </w:rPr>
            </w:pPr>
          </w:p>
        </w:tc>
        <w:tc>
          <w:tcPr>
            <w:tcW w:w="1012" w:type="pct"/>
            <w:tcBorders>
              <w:top w:val="single" w:color="auto" w:sz="4" w:space="0"/>
              <w:left w:val="nil"/>
              <w:bottom w:val="nil"/>
              <w:right w:val="nil"/>
            </w:tcBorders>
            <w:noWrap w:val="0"/>
            <w:vAlign w:val="center"/>
          </w:tcPr>
          <w:p w14:paraId="2FEAF4AF">
            <w:pPr>
              <w:widowControl/>
              <w:snapToGrid w:val="0"/>
              <w:jc w:val="center"/>
              <w:rPr>
                <w:rFonts w:ascii="宋体" w:hAnsi="宋体" w:cs="宋体"/>
                <w:color w:val="000000"/>
                <w:kern w:val="0"/>
                <w:sz w:val="20"/>
                <w:szCs w:val="20"/>
              </w:rPr>
            </w:pPr>
          </w:p>
        </w:tc>
        <w:tc>
          <w:tcPr>
            <w:tcW w:w="533" w:type="pct"/>
            <w:tcBorders>
              <w:top w:val="single" w:color="auto" w:sz="4" w:space="0"/>
              <w:left w:val="nil"/>
              <w:bottom w:val="nil"/>
              <w:right w:val="nil"/>
            </w:tcBorders>
            <w:noWrap w:val="0"/>
            <w:vAlign w:val="center"/>
          </w:tcPr>
          <w:p w14:paraId="64F03678">
            <w:pPr>
              <w:widowControl/>
              <w:snapToGrid w:val="0"/>
              <w:jc w:val="center"/>
              <w:rPr>
                <w:rFonts w:ascii="宋体" w:hAnsi="宋体" w:cs="宋体"/>
                <w:color w:val="000000"/>
                <w:kern w:val="0"/>
                <w:sz w:val="20"/>
                <w:szCs w:val="20"/>
              </w:rPr>
            </w:pPr>
          </w:p>
        </w:tc>
        <w:tc>
          <w:tcPr>
            <w:tcW w:w="866" w:type="pct"/>
            <w:tcBorders>
              <w:top w:val="single" w:color="auto" w:sz="4" w:space="0"/>
              <w:left w:val="nil"/>
              <w:bottom w:val="nil"/>
              <w:right w:val="nil"/>
            </w:tcBorders>
            <w:noWrap w:val="0"/>
            <w:vAlign w:val="center"/>
          </w:tcPr>
          <w:p w14:paraId="4831A99A">
            <w:pPr>
              <w:widowControl/>
              <w:snapToGrid w:val="0"/>
              <w:jc w:val="center"/>
              <w:rPr>
                <w:rFonts w:ascii="宋体" w:hAnsi="宋体" w:cs="宋体"/>
                <w:color w:val="000000"/>
                <w:kern w:val="0"/>
                <w:sz w:val="20"/>
                <w:szCs w:val="20"/>
              </w:rPr>
            </w:pPr>
          </w:p>
        </w:tc>
        <w:tc>
          <w:tcPr>
            <w:tcW w:w="426" w:type="pct"/>
            <w:tcBorders>
              <w:top w:val="single" w:color="auto" w:sz="4" w:space="0"/>
              <w:left w:val="nil"/>
              <w:bottom w:val="nil"/>
              <w:right w:val="nil"/>
            </w:tcBorders>
            <w:noWrap w:val="0"/>
            <w:vAlign w:val="center"/>
          </w:tcPr>
          <w:p w14:paraId="13D852CC">
            <w:pPr>
              <w:widowControl/>
              <w:snapToGrid w:val="0"/>
              <w:jc w:val="center"/>
              <w:rPr>
                <w:rFonts w:ascii="宋体" w:hAnsi="宋体" w:cs="宋体"/>
                <w:color w:val="000000"/>
                <w:kern w:val="0"/>
                <w:sz w:val="20"/>
                <w:szCs w:val="20"/>
              </w:rPr>
            </w:pPr>
          </w:p>
        </w:tc>
      </w:tr>
      <w:tr w14:paraId="4370DDA6">
        <w:tblPrEx>
          <w:tblCellMar>
            <w:top w:w="0" w:type="dxa"/>
            <w:left w:w="108" w:type="dxa"/>
            <w:bottom w:w="0" w:type="dxa"/>
            <w:right w:w="108" w:type="dxa"/>
          </w:tblCellMar>
        </w:tblPrEx>
        <w:trPr>
          <w:trHeight w:val="338" w:hRule="atLeast"/>
          <w:jc w:val="center"/>
        </w:trPr>
        <w:tc>
          <w:tcPr>
            <w:tcW w:w="5000" w:type="pct"/>
            <w:gridSpan w:val="6"/>
            <w:tcBorders>
              <w:top w:val="nil"/>
              <w:left w:val="nil"/>
              <w:bottom w:val="nil"/>
              <w:right w:val="nil"/>
            </w:tcBorders>
            <w:noWrap w:val="0"/>
            <w:vAlign w:val="center"/>
          </w:tcPr>
          <w:p w14:paraId="4373EE5B">
            <w:pPr>
              <w:widowControl/>
              <w:snapToGrid w:val="0"/>
              <w:jc w:val="left"/>
              <w:rPr>
                <w:rFonts w:ascii="宋体" w:hAnsi="宋体" w:cs="宋体"/>
                <w:color w:val="000000"/>
                <w:kern w:val="0"/>
                <w:sz w:val="20"/>
                <w:szCs w:val="20"/>
              </w:rPr>
            </w:pPr>
            <w:r>
              <w:rPr>
                <w:rFonts w:hint="eastAsia" w:ascii="宋体" w:hAnsi="宋体" w:cs="宋体"/>
                <w:color w:val="000000"/>
                <w:kern w:val="0"/>
                <w:sz w:val="20"/>
                <w:szCs w:val="20"/>
              </w:rPr>
              <w:t>法定代表人或代理人：（签字或盖章）</w:t>
            </w:r>
          </w:p>
        </w:tc>
      </w:tr>
      <w:tr w14:paraId="2216BDD4">
        <w:tblPrEx>
          <w:tblCellMar>
            <w:top w:w="0" w:type="dxa"/>
            <w:left w:w="108" w:type="dxa"/>
            <w:bottom w:w="0" w:type="dxa"/>
            <w:right w:w="108" w:type="dxa"/>
          </w:tblCellMar>
        </w:tblPrEx>
        <w:trPr>
          <w:trHeight w:val="338" w:hRule="atLeast"/>
          <w:jc w:val="center"/>
        </w:trPr>
        <w:tc>
          <w:tcPr>
            <w:tcW w:w="5000" w:type="pct"/>
            <w:gridSpan w:val="6"/>
            <w:tcBorders>
              <w:top w:val="nil"/>
              <w:left w:val="nil"/>
              <w:right w:val="nil"/>
            </w:tcBorders>
            <w:noWrap w:val="0"/>
            <w:vAlign w:val="center"/>
          </w:tcPr>
          <w:p w14:paraId="19398B0D">
            <w:pPr>
              <w:widowControl/>
              <w:snapToGrid w:val="0"/>
              <w:jc w:val="left"/>
              <w:rPr>
                <w:rFonts w:hint="eastAsia" w:ascii="宋体" w:hAnsi="宋体" w:cs="宋体"/>
                <w:color w:val="000000"/>
                <w:kern w:val="0"/>
                <w:sz w:val="20"/>
                <w:szCs w:val="20"/>
              </w:rPr>
            </w:pPr>
            <w:r>
              <w:rPr>
                <w:rFonts w:hint="eastAsia" w:ascii="宋体" w:hAnsi="宋体" w:cs="宋体"/>
                <w:color w:val="000000"/>
                <w:kern w:val="0"/>
                <w:sz w:val="20"/>
                <w:szCs w:val="20"/>
              </w:rPr>
              <w:t xml:space="preserve">日 </w:t>
            </w:r>
            <w:r>
              <w:rPr>
                <w:rFonts w:ascii="宋体" w:hAnsi="宋体" w:cs="宋体"/>
                <w:color w:val="000000"/>
                <w:kern w:val="0"/>
                <w:sz w:val="20"/>
                <w:szCs w:val="20"/>
              </w:rPr>
              <w:t xml:space="preserve">  </w:t>
            </w:r>
            <w:r>
              <w:rPr>
                <w:rFonts w:hint="eastAsia" w:ascii="宋体" w:hAnsi="宋体" w:cs="宋体"/>
                <w:color w:val="000000"/>
                <w:kern w:val="0"/>
                <w:sz w:val="20"/>
                <w:szCs w:val="20"/>
              </w:rPr>
              <w:t xml:space="preserve">期： </w:t>
            </w:r>
            <w:r>
              <w:rPr>
                <w:rFonts w:ascii="宋体" w:hAnsi="宋体" w:cs="宋体"/>
                <w:color w:val="000000"/>
                <w:kern w:val="0"/>
                <w:sz w:val="20"/>
                <w:szCs w:val="20"/>
              </w:rPr>
              <w:t xml:space="preserve">    </w:t>
            </w:r>
            <w:r>
              <w:rPr>
                <w:rFonts w:hint="eastAsia" w:ascii="宋体" w:hAnsi="宋体" w:cs="宋体"/>
                <w:color w:val="000000"/>
                <w:kern w:val="0"/>
                <w:sz w:val="20"/>
                <w:szCs w:val="20"/>
              </w:rPr>
              <w:t xml:space="preserve">年 </w:t>
            </w:r>
            <w:r>
              <w:rPr>
                <w:rFonts w:ascii="宋体" w:hAnsi="宋体" w:cs="宋体"/>
                <w:color w:val="000000"/>
                <w:kern w:val="0"/>
                <w:sz w:val="20"/>
                <w:szCs w:val="20"/>
              </w:rPr>
              <w:t xml:space="preserve">   月</w:t>
            </w:r>
            <w:r>
              <w:rPr>
                <w:rFonts w:hint="eastAsia" w:ascii="宋体" w:hAnsi="宋体" w:cs="宋体"/>
                <w:color w:val="000000"/>
                <w:kern w:val="0"/>
                <w:sz w:val="20"/>
                <w:szCs w:val="20"/>
              </w:rPr>
              <w:t xml:space="preserve"> </w:t>
            </w:r>
            <w:r>
              <w:rPr>
                <w:rFonts w:ascii="宋体" w:hAnsi="宋体" w:cs="宋体"/>
                <w:color w:val="000000"/>
                <w:kern w:val="0"/>
                <w:sz w:val="20"/>
                <w:szCs w:val="20"/>
              </w:rPr>
              <w:t xml:space="preserve">   日</w:t>
            </w:r>
          </w:p>
        </w:tc>
      </w:tr>
    </w:tbl>
    <w:p w14:paraId="30038E0C">
      <w:pPr>
        <w:keepNext w:val="0"/>
        <w:keepLines w:val="0"/>
        <w:pageBreakBefore w:val="0"/>
        <w:widowControl w:val="0"/>
        <w:kinsoku/>
        <w:wordWrap w:val="0"/>
        <w:overflowPunct/>
        <w:topLinePunct w:val="0"/>
        <w:autoSpaceDE/>
        <w:autoSpaceDN/>
        <w:bidi w:val="0"/>
        <w:adjustRightInd w:val="0"/>
        <w:snapToGrid w:val="0"/>
        <w:spacing w:line="540" w:lineRule="exact"/>
        <w:ind w:right="0" w:rightChars="0" w:firstLine="640" w:firstLineChars="200"/>
        <w:jc w:val="left"/>
        <w:textAlignment w:val="auto"/>
        <w:outlineLvl w:val="9"/>
        <w:rPr>
          <w:rFonts w:ascii="仿宋_GB2312" w:hAnsi="仿宋_GB2312" w:eastAsia="仿宋_GB2312" w:cs="仿宋_GB2312"/>
          <w:color w:val="auto"/>
          <w:kern w:val="1"/>
          <w:sz w:val="32"/>
          <w:szCs w:val="32"/>
        </w:rPr>
      </w:pPr>
      <w:r>
        <w:rPr>
          <w:rFonts w:hint="eastAsia" w:ascii="仿宋_GB2312" w:hAnsi="仿宋_GB2312" w:eastAsia="仿宋_GB2312" w:cs="仿宋_GB2312"/>
          <w:color w:val="auto"/>
          <w:kern w:val="1"/>
          <w:sz w:val="32"/>
          <w:szCs w:val="32"/>
          <w:lang w:val="en-US" w:eastAsia="zh-CN"/>
        </w:rPr>
        <w:t>1.</w:t>
      </w:r>
      <w:r>
        <w:rPr>
          <w:rFonts w:hint="eastAsia" w:ascii="仿宋_GB2312" w:hAnsi="仿宋_GB2312" w:eastAsia="仿宋_GB2312" w:cs="仿宋_GB2312"/>
          <w:color w:val="auto"/>
          <w:kern w:val="1"/>
          <w:sz w:val="32"/>
          <w:szCs w:val="32"/>
        </w:rPr>
        <w:t>我方保证遵守</w:t>
      </w:r>
      <w:r>
        <w:rPr>
          <w:rFonts w:hint="eastAsia" w:ascii="仿宋_GB2312" w:hAnsi="仿宋_GB2312" w:eastAsia="仿宋_GB2312" w:cs="仿宋_GB2312"/>
          <w:color w:val="auto"/>
          <w:kern w:val="1"/>
          <w:sz w:val="32"/>
          <w:szCs w:val="32"/>
          <w:lang w:val="en-US" w:eastAsia="zh-CN"/>
        </w:rPr>
        <w:t>采购</w:t>
      </w:r>
      <w:r>
        <w:rPr>
          <w:rFonts w:hint="eastAsia" w:ascii="仿宋_GB2312" w:hAnsi="仿宋_GB2312" w:eastAsia="仿宋_GB2312" w:cs="仿宋_GB2312"/>
          <w:color w:val="auto"/>
          <w:kern w:val="1"/>
          <w:sz w:val="32"/>
          <w:szCs w:val="32"/>
        </w:rPr>
        <w:t>文件中的全部规定；</w:t>
      </w:r>
    </w:p>
    <w:p w14:paraId="240AB60F">
      <w:pPr>
        <w:keepNext w:val="0"/>
        <w:keepLines w:val="0"/>
        <w:pageBreakBefore w:val="0"/>
        <w:widowControl w:val="0"/>
        <w:kinsoku/>
        <w:wordWrap w:val="0"/>
        <w:overflowPunct/>
        <w:topLinePunct w:val="0"/>
        <w:autoSpaceDE/>
        <w:autoSpaceDN/>
        <w:bidi w:val="0"/>
        <w:adjustRightInd w:val="0"/>
        <w:snapToGrid w:val="0"/>
        <w:spacing w:line="540" w:lineRule="exact"/>
        <w:ind w:left="0" w:leftChars="0" w:right="0" w:rightChars="0" w:firstLine="640" w:firstLineChars="200"/>
        <w:jc w:val="left"/>
        <w:textAlignment w:val="auto"/>
        <w:outlineLvl w:val="9"/>
        <w:rPr>
          <w:rFonts w:ascii="仿宋_GB2312" w:hAnsi="仿宋_GB2312" w:eastAsia="仿宋_GB2312" w:cs="仿宋_GB2312"/>
          <w:bCs/>
          <w:color w:val="auto"/>
          <w:kern w:val="1"/>
          <w:sz w:val="32"/>
          <w:szCs w:val="32"/>
        </w:rPr>
      </w:pPr>
      <w:r>
        <w:rPr>
          <w:rFonts w:hint="eastAsia" w:ascii="仿宋_GB2312" w:hAnsi="仿宋_GB2312" w:eastAsia="仿宋_GB2312" w:cs="仿宋_GB2312"/>
          <w:bCs/>
          <w:color w:val="auto"/>
          <w:kern w:val="1"/>
          <w:sz w:val="32"/>
          <w:szCs w:val="32"/>
          <w:lang w:val="en-US" w:eastAsia="zh-CN"/>
        </w:rPr>
        <w:t>2.</w:t>
      </w:r>
      <w:r>
        <w:rPr>
          <w:rFonts w:hint="eastAsia" w:ascii="仿宋_GB2312" w:hAnsi="仿宋_GB2312" w:eastAsia="仿宋_GB2312" w:cs="仿宋_GB2312"/>
          <w:bCs/>
          <w:color w:val="auto"/>
          <w:kern w:val="1"/>
          <w:sz w:val="32"/>
          <w:szCs w:val="32"/>
        </w:rPr>
        <w:t>我方保证忠实地执行双方签订的合同,并承担合同规定的责任义务；</w:t>
      </w:r>
    </w:p>
    <w:p w14:paraId="1103B427">
      <w:pPr>
        <w:keepNext w:val="0"/>
        <w:keepLines w:val="0"/>
        <w:pageBreakBefore w:val="0"/>
        <w:widowControl w:val="0"/>
        <w:kinsoku/>
        <w:wordWrap w:val="0"/>
        <w:overflowPunct/>
        <w:topLinePunct w:val="0"/>
        <w:autoSpaceDE/>
        <w:autoSpaceDN/>
        <w:bidi w:val="0"/>
        <w:adjustRightInd w:val="0"/>
        <w:snapToGrid w:val="0"/>
        <w:spacing w:line="540" w:lineRule="exact"/>
        <w:ind w:left="0" w:leftChars="0" w:right="0" w:rightChars="0" w:firstLine="640" w:firstLineChars="200"/>
        <w:jc w:val="left"/>
        <w:textAlignment w:val="auto"/>
        <w:outlineLvl w:val="9"/>
        <w:rPr>
          <w:rFonts w:ascii="仿宋_GB2312" w:hAnsi="仿宋_GB2312" w:eastAsia="仿宋_GB2312" w:cs="仿宋_GB2312"/>
          <w:bCs/>
          <w:color w:val="auto"/>
          <w:kern w:val="1"/>
          <w:sz w:val="32"/>
          <w:szCs w:val="32"/>
        </w:rPr>
      </w:pPr>
      <w:r>
        <w:rPr>
          <w:rFonts w:hint="eastAsia" w:ascii="仿宋_GB2312" w:hAnsi="仿宋_GB2312" w:eastAsia="仿宋_GB2312" w:cs="仿宋_GB2312"/>
          <w:color w:val="auto"/>
          <w:sz w:val="32"/>
          <w:szCs w:val="32"/>
          <w:shd w:val="clear" w:color="auto" w:fill="FFFFFF"/>
          <w:lang w:val="en-US" w:eastAsia="zh-CN"/>
        </w:rPr>
        <w:t>3.</w:t>
      </w:r>
      <w:r>
        <w:rPr>
          <w:rFonts w:hint="eastAsia" w:ascii="仿宋_GB2312" w:hAnsi="仿宋_GB2312" w:eastAsia="仿宋_GB2312" w:cs="仿宋_GB2312"/>
          <w:color w:val="auto"/>
          <w:sz w:val="32"/>
          <w:szCs w:val="32"/>
          <w:shd w:val="clear" w:color="auto" w:fill="FFFFFF"/>
        </w:rPr>
        <w:t>我方已详细审查全部</w:t>
      </w:r>
      <w:r>
        <w:rPr>
          <w:rFonts w:hint="eastAsia" w:ascii="仿宋_GB2312" w:hAnsi="仿宋_GB2312" w:eastAsia="仿宋_GB2312" w:cs="仿宋_GB2312"/>
          <w:color w:val="auto"/>
          <w:sz w:val="32"/>
          <w:szCs w:val="32"/>
          <w:shd w:val="clear" w:color="auto" w:fill="FFFFFF"/>
          <w:lang w:val="en-US" w:eastAsia="zh-CN"/>
        </w:rPr>
        <w:t>采购</w:t>
      </w:r>
      <w:r>
        <w:rPr>
          <w:rFonts w:hint="eastAsia" w:ascii="仿宋_GB2312" w:hAnsi="仿宋_GB2312" w:eastAsia="仿宋_GB2312" w:cs="仿宋_GB2312"/>
          <w:color w:val="auto"/>
          <w:sz w:val="32"/>
          <w:szCs w:val="32"/>
          <w:shd w:val="clear" w:color="auto" w:fill="FFFFFF"/>
        </w:rPr>
        <w:t>文件，包括</w:t>
      </w:r>
      <w:r>
        <w:rPr>
          <w:rFonts w:hint="eastAsia" w:ascii="仿宋_GB2312" w:hAnsi="仿宋_GB2312" w:eastAsia="仿宋_GB2312" w:cs="仿宋_GB2312"/>
          <w:color w:val="auto"/>
          <w:sz w:val="32"/>
          <w:szCs w:val="32"/>
          <w:shd w:val="clear" w:color="auto" w:fill="FFFFFF"/>
          <w:lang w:val="en-US" w:eastAsia="zh-CN"/>
        </w:rPr>
        <w:t>采购</w:t>
      </w:r>
      <w:r>
        <w:rPr>
          <w:rFonts w:hint="eastAsia" w:ascii="仿宋_GB2312" w:hAnsi="仿宋_GB2312" w:eastAsia="仿宋_GB2312" w:cs="仿宋_GB2312"/>
          <w:color w:val="auto"/>
          <w:sz w:val="32"/>
          <w:szCs w:val="32"/>
          <w:shd w:val="clear" w:color="auto" w:fill="FFFFFF"/>
        </w:rPr>
        <w:t>文件的补充文件（如有）。我方完全理解并同意放弃对这方面有不明及误解的权力，同时完全接受</w:t>
      </w:r>
      <w:r>
        <w:rPr>
          <w:rFonts w:hint="eastAsia" w:ascii="仿宋_GB2312" w:hAnsi="仿宋_GB2312" w:eastAsia="仿宋_GB2312" w:cs="仿宋_GB2312"/>
          <w:color w:val="auto"/>
          <w:sz w:val="32"/>
          <w:szCs w:val="32"/>
          <w:shd w:val="clear" w:color="auto" w:fill="FFFFFF"/>
          <w:lang w:val="en-US" w:eastAsia="zh-CN"/>
        </w:rPr>
        <w:t>采购</w:t>
      </w:r>
      <w:r>
        <w:rPr>
          <w:rFonts w:hint="eastAsia" w:ascii="仿宋_GB2312" w:hAnsi="仿宋_GB2312" w:eastAsia="仿宋_GB2312" w:cs="仿宋_GB2312"/>
          <w:color w:val="auto"/>
          <w:sz w:val="32"/>
          <w:szCs w:val="32"/>
          <w:shd w:val="clear" w:color="auto" w:fill="FFFFFF"/>
        </w:rPr>
        <w:t>文件所有条款。如果</w:t>
      </w:r>
      <w:r>
        <w:rPr>
          <w:rFonts w:hint="eastAsia" w:ascii="仿宋_GB2312" w:hAnsi="仿宋_GB2312" w:eastAsia="仿宋_GB2312" w:cs="仿宋_GB2312"/>
          <w:color w:val="auto"/>
          <w:sz w:val="32"/>
          <w:szCs w:val="32"/>
          <w:shd w:val="clear" w:color="auto" w:fill="FFFFFF"/>
          <w:lang w:val="en-US" w:eastAsia="zh-CN"/>
        </w:rPr>
        <w:t>采购</w:t>
      </w:r>
      <w:r>
        <w:rPr>
          <w:rFonts w:hint="eastAsia" w:ascii="仿宋_GB2312" w:hAnsi="仿宋_GB2312" w:eastAsia="仿宋_GB2312" w:cs="仿宋_GB2312"/>
          <w:color w:val="auto"/>
          <w:sz w:val="32"/>
          <w:szCs w:val="32"/>
          <w:shd w:val="clear" w:color="auto" w:fill="FFFFFF"/>
        </w:rPr>
        <w:t>文件有相互矛盾之处，我方同意按</w:t>
      </w:r>
      <w:r>
        <w:rPr>
          <w:rFonts w:hint="eastAsia" w:ascii="仿宋_GB2312" w:hAnsi="仿宋_GB2312" w:eastAsia="仿宋_GB2312" w:cs="仿宋_GB2312"/>
          <w:color w:val="auto"/>
          <w:sz w:val="32"/>
          <w:szCs w:val="32"/>
          <w:shd w:val="clear" w:color="auto" w:fill="FFFFFF"/>
          <w:lang w:val="en-US" w:eastAsia="zh-CN"/>
        </w:rPr>
        <w:t>采购</w:t>
      </w:r>
      <w:r>
        <w:rPr>
          <w:rFonts w:hint="eastAsia" w:ascii="仿宋_GB2312" w:hAnsi="仿宋_GB2312" w:eastAsia="仿宋_GB2312" w:cs="仿宋_GB2312"/>
          <w:color w:val="auto"/>
          <w:sz w:val="32"/>
          <w:szCs w:val="32"/>
          <w:shd w:val="clear" w:color="auto" w:fill="FFFFFF"/>
        </w:rPr>
        <w:t>方的解释处理；</w:t>
      </w:r>
    </w:p>
    <w:p w14:paraId="681682B3">
      <w:pPr>
        <w:keepNext w:val="0"/>
        <w:keepLines w:val="0"/>
        <w:pageBreakBefore w:val="0"/>
        <w:widowControl w:val="0"/>
        <w:kinsoku/>
        <w:wordWrap w:val="0"/>
        <w:overflowPunct/>
        <w:topLinePunct w:val="0"/>
        <w:autoSpaceDE/>
        <w:autoSpaceDN/>
        <w:bidi w:val="0"/>
        <w:adjustRightInd w:val="0"/>
        <w:snapToGrid w:val="0"/>
        <w:spacing w:line="540" w:lineRule="exact"/>
        <w:ind w:left="0" w:leftChars="0" w:right="0" w:rightChars="0" w:firstLine="640" w:firstLineChars="200"/>
        <w:jc w:val="left"/>
        <w:textAlignment w:val="auto"/>
        <w:outlineLvl w:val="9"/>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bCs/>
          <w:color w:val="auto"/>
          <w:kern w:val="1"/>
          <w:sz w:val="32"/>
          <w:szCs w:val="32"/>
          <w:lang w:val="en-US" w:eastAsia="zh-CN"/>
        </w:rPr>
        <w:t>4.</w:t>
      </w:r>
      <w:r>
        <w:rPr>
          <w:rFonts w:hint="eastAsia" w:ascii="仿宋_GB2312" w:hAnsi="仿宋_GB2312" w:eastAsia="仿宋_GB2312" w:cs="仿宋_GB2312"/>
          <w:bCs/>
          <w:color w:val="auto"/>
          <w:kern w:val="1"/>
          <w:sz w:val="32"/>
          <w:szCs w:val="32"/>
        </w:rPr>
        <w:t>愿意向贵方提供任何与该项</w:t>
      </w:r>
      <w:r>
        <w:rPr>
          <w:rFonts w:hint="eastAsia" w:ascii="仿宋_GB2312" w:hAnsi="仿宋_GB2312" w:eastAsia="仿宋_GB2312" w:cs="仿宋_GB2312"/>
          <w:bCs/>
          <w:color w:val="auto"/>
          <w:kern w:val="1"/>
          <w:sz w:val="32"/>
          <w:szCs w:val="32"/>
          <w:lang w:val="en-US" w:eastAsia="zh-CN"/>
        </w:rPr>
        <w:t>采购</w:t>
      </w:r>
      <w:r>
        <w:rPr>
          <w:rFonts w:hint="eastAsia" w:ascii="仿宋_GB2312" w:hAnsi="仿宋_GB2312" w:eastAsia="仿宋_GB2312" w:cs="仿宋_GB2312"/>
          <w:bCs/>
          <w:color w:val="auto"/>
          <w:kern w:val="1"/>
          <w:sz w:val="32"/>
          <w:szCs w:val="32"/>
        </w:rPr>
        <w:t>有关的数据、情况和技术资料，</w:t>
      </w:r>
      <w:r>
        <w:rPr>
          <w:rFonts w:hint="eastAsia" w:ascii="仿宋_GB2312" w:hAnsi="仿宋_GB2312" w:eastAsia="仿宋_GB2312" w:cs="仿宋_GB2312"/>
          <w:color w:val="auto"/>
          <w:sz w:val="32"/>
          <w:szCs w:val="32"/>
          <w:shd w:val="clear" w:color="auto" w:fill="FFFFFF"/>
        </w:rPr>
        <w:t>完全理解贵方不一定接受最低价的报价或收到的任何报价。</w:t>
      </w:r>
    </w:p>
    <w:p w14:paraId="49585A84">
      <w:pPr>
        <w:pStyle w:val="4"/>
        <w:keepNext w:val="0"/>
        <w:keepLines w:val="0"/>
        <w:pageBreakBefore w:val="0"/>
        <w:widowControl w:val="0"/>
        <w:kinsoku/>
        <w:overflowPunct/>
        <w:topLinePunct w:val="0"/>
        <w:autoSpaceDE/>
        <w:autoSpaceDN/>
        <w:bidi w:val="0"/>
        <w:adjustRightInd w:val="0"/>
        <w:snapToGrid w:val="0"/>
        <w:spacing w:after="0" w:line="540" w:lineRule="exact"/>
        <w:ind w:left="0" w:leftChars="0" w:right="0" w:rightChars="0" w:firstLine="640" w:firstLineChars="200"/>
        <w:textAlignment w:val="auto"/>
        <w:outlineLvl w:val="9"/>
        <w:rPr>
          <w:rFonts w:hint="eastAsia" w:ascii="仿宋_GB2312" w:hAnsi="仿宋_GB2312" w:eastAsia="仿宋_GB2312" w:cs="仿宋_GB2312"/>
          <w:color w:val="auto"/>
          <w:kern w:val="1"/>
          <w:sz w:val="32"/>
          <w:szCs w:val="32"/>
          <w:u w:val="single"/>
        </w:rPr>
      </w:pPr>
      <w:r>
        <w:rPr>
          <w:rFonts w:hint="eastAsia" w:ascii="仿宋_GB2312" w:hAnsi="仿宋_GB2312" w:eastAsia="仿宋_GB2312" w:cs="仿宋_GB2312"/>
          <w:color w:val="auto"/>
          <w:sz w:val="32"/>
          <w:szCs w:val="32"/>
          <w:shd w:val="clear" w:color="auto" w:fill="FFFFFF"/>
          <w:lang w:val="en-US" w:eastAsia="zh-CN"/>
        </w:rPr>
        <w:t>5.</w:t>
      </w:r>
      <w:r>
        <w:rPr>
          <w:rFonts w:hint="eastAsia" w:ascii="仿宋_GB2312" w:hAnsi="仿宋_GB2312" w:eastAsia="仿宋_GB2312" w:cs="仿宋_GB2312"/>
          <w:bCs/>
          <w:color w:val="auto"/>
          <w:kern w:val="1"/>
          <w:sz w:val="32"/>
          <w:szCs w:val="32"/>
        </w:rPr>
        <w:t>对</w:t>
      </w:r>
      <w:r>
        <w:rPr>
          <w:rFonts w:hint="eastAsia" w:ascii="仿宋_GB2312" w:hAnsi="仿宋_GB2312" w:eastAsia="仿宋_GB2312" w:cs="仿宋_GB2312"/>
          <w:color w:val="auto"/>
          <w:sz w:val="32"/>
          <w:szCs w:val="32"/>
          <w:shd w:val="clear" w:color="auto" w:fill="FFFFFF"/>
        </w:rPr>
        <w:t>自主公开</w:t>
      </w:r>
      <w:r>
        <w:rPr>
          <w:rFonts w:hint="eastAsia" w:ascii="仿宋_GB2312" w:hAnsi="仿宋_GB2312" w:eastAsia="仿宋_GB2312" w:cs="仿宋_GB2312"/>
          <w:color w:val="auto"/>
          <w:sz w:val="32"/>
          <w:szCs w:val="32"/>
          <w:shd w:val="clear" w:color="auto" w:fill="FFFFFF"/>
          <w:lang w:val="en-US" w:eastAsia="zh-CN"/>
        </w:rPr>
        <w:t>采购</w:t>
      </w:r>
      <w:r>
        <w:rPr>
          <w:rFonts w:hint="eastAsia" w:ascii="仿宋_GB2312" w:hAnsi="仿宋_GB2312" w:eastAsia="仿宋_GB2312" w:cs="仿宋_GB2312"/>
          <w:color w:val="auto"/>
          <w:sz w:val="32"/>
          <w:szCs w:val="32"/>
          <w:shd w:val="clear" w:color="auto" w:fill="FFFFFF"/>
        </w:rPr>
        <w:t>文件</w:t>
      </w:r>
      <w:r>
        <w:rPr>
          <w:rFonts w:hint="eastAsia" w:ascii="仿宋_GB2312" w:hAnsi="仿宋_GB2312" w:eastAsia="仿宋_GB2312" w:cs="仿宋_GB2312"/>
          <w:bCs/>
          <w:color w:val="auto"/>
          <w:kern w:val="1"/>
          <w:sz w:val="32"/>
          <w:szCs w:val="32"/>
        </w:rPr>
        <w:t>的不接受项：</w:t>
      </w:r>
      <w:r>
        <w:rPr>
          <w:rFonts w:hint="eastAsia" w:ascii="仿宋_GB2312" w:hAnsi="仿宋_GB2312" w:eastAsia="仿宋_GB2312" w:cs="仿宋_GB2312"/>
          <w:color w:val="auto"/>
          <w:kern w:val="1"/>
          <w:sz w:val="32"/>
          <w:szCs w:val="32"/>
          <w:u w:val="single"/>
        </w:rPr>
        <w:t xml:space="preserve">                                       </w:t>
      </w:r>
    </w:p>
    <w:p w14:paraId="2A45D289">
      <w:pPr>
        <w:pStyle w:val="4"/>
        <w:keepNext w:val="0"/>
        <w:keepLines w:val="0"/>
        <w:pageBreakBefore w:val="0"/>
        <w:widowControl w:val="0"/>
        <w:kinsoku/>
        <w:overflowPunct/>
        <w:topLinePunct w:val="0"/>
        <w:autoSpaceDE/>
        <w:autoSpaceDN/>
        <w:bidi w:val="0"/>
        <w:adjustRightInd w:val="0"/>
        <w:snapToGrid w:val="0"/>
        <w:spacing w:after="0" w:line="540" w:lineRule="exact"/>
        <w:ind w:left="0" w:leftChars="0" w:right="0" w:rightChars="0"/>
        <w:textAlignment w:val="auto"/>
        <w:outlineLvl w:val="9"/>
        <w:rPr>
          <w:rFonts w:hint="eastAsia" w:ascii="仿宋_GB2312" w:hAnsi="仿宋_GB2312" w:eastAsia="仿宋_GB2312" w:cs="仿宋_GB2312"/>
          <w:color w:val="auto"/>
          <w:kern w:val="1"/>
          <w:sz w:val="32"/>
          <w:szCs w:val="32"/>
          <w:u w:val="single"/>
        </w:rPr>
      </w:pPr>
      <w:r>
        <w:rPr>
          <w:rFonts w:hint="eastAsia" w:ascii="仿宋_GB2312" w:hAnsi="仿宋_GB2312" w:eastAsia="仿宋_GB2312" w:cs="仿宋_GB2312"/>
          <w:color w:val="auto"/>
          <w:kern w:val="1"/>
          <w:sz w:val="32"/>
          <w:szCs w:val="32"/>
          <w:u w:val="single"/>
        </w:rPr>
        <w:t xml:space="preserve">                                                       </w:t>
      </w:r>
    </w:p>
    <w:p w14:paraId="6D72CEB6">
      <w:pPr>
        <w:keepNext w:val="0"/>
        <w:keepLines w:val="0"/>
        <w:pageBreakBefore w:val="0"/>
        <w:widowControl w:val="0"/>
        <w:kinsoku/>
        <w:overflowPunct/>
        <w:topLinePunct w:val="0"/>
        <w:autoSpaceDE/>
        <w:autoSpaceDN/>
        <w:bidi w:val="0"/>
        <w:spacing w:line="540" w:lineRule="exact"/>
        <w:ind w:firstLine="640" w:firstLineChars="200"/>
        <w:jc w:val="left"/>
        <w:textAlignment w:val="auto"/>
        <w:rPr>
          <w:rFonts w:hint="eastAsia" w:ascii="仿宋_GB2312" w:hAnsi="仿宋_GB2312" w:eastAsia="仿宋_GB2312" w:cs="仿宋_GB2312"/>
          <w:bCs/>
          <w:color w:val="auto"/>
          <w:kern w:val="1"/>
          <w:sz w:val="32"/>
          <w:szCs w:val="32"/>
        </w:rPr>
      </w:pPr>
      <w:r>
        <w:rPr>
          <w:rFonts w:hint="eastAsia" w:ascii="仿宋_GB2312" w:hAnsi="仿宋_GB2312" w:eastAsia="仿宋_GB2312" w:cs="仿宋_GB2312"/>
          <w:bCs/>
          <w:color w:val="auto"/>
          <w:kern w:val="1"/>
          <w:sz w:val="32"/>
          <w:szCs w:val="32"/>
        </w:rPr>
        <w:t>我公司郑重承诺：</w:t>
      </w:r>
      <w:r>
        <w:rPr>
          <w:rFonts w:hint="eastAsia" w:ascii="仿宋_GB2312" w:hAnsi="仿宋_GB2312" w:eastAsia="仿宋_GB2312" w:cs="仿宋_GB2312"/>
          <w:color w:val="auto"/>
          <w:kern w:val="1"/>
          <w:sz w:val="32"/>
          <w:szCs w:val="32"/>
        </w:rPr>
        <w:t>遵守</w:t>
      </w:r>
      <w:r>
        <w:rPr>
          <w:rFonts w:hint="eastAsia" w:ascii="仿宋_GB2312" w:hAnsi="仿宋_GB2312" w:eastAsia="仿宋_GB2312" w:cs="仿宋_GB2312"/>
          <w:bCs/>
          <w:color w:val="auto"/>
          <w:kern w:val="1"/>
          <w:sz w:val="32"/>
          <w:szCs w:val="32"/>
        </w:rPr>
        <w:t>江苏索普</w:t>
      </w:r>
      <w:r>
        <w:rPr>
          <w:rFonts w:hint="eastAsia" w:ascii="仿宋_GB2312" w:hAnsi="仿宋_GB2312" w:eastAsia="仿宋_GB2312" w:cs="仿宋_GB2312"/>
          <w:bCs/>
          <w:color w:val="auto"/>
          <w:kern w:val="1"/>
          <w:sz w:val="32"/>
          <w:szCs w:val="32"/>
          <w:lang w:eastAsia="zh-CN"/>
        </w:rPr>
        <w:t>（</w:t>
      </w:r>
      <w:r>
        <w:rPr>
          <w:rFonts w:hint="eastAsia" w:ascii="仿宋_GB2312" w:hAnsi="仿宋_GB2312" w:eastAsia="仿宋_GB2312" w:cs="仿宋_GB2312"/>
          <w:bCs/>
          <w:color w:val="auto"/>
          <w:kern w:val="1"/>
          <w:sz w:val="32"/>
          <w:szCs w:val="32"/>
          <w:lang w:val="en-US" w:eastAsia="zh-CN"/>
        </w:rPr>
        <w:t>集团</w:t>
      </w:r>
      <w:r>
        <w:rPr>
          <w:rFonts w:hint="eastAsia" w:ascii="仿宋_GB2312" w:hAnsi="仿宋_GB2312" w:eastAsia="仿宋_GB2312" w:cs="仿宋_GB2312"/>
          <w:bCs/>
          <w:color w:val="auto"/>
          <w:kern w:val="1"/>
          <w:sz w:val="32"/>
          <w:szCs w:val="32"/>
          <w:lang w:eastAsia="zh-CN"/>
        </w:rPr>
        <w:t>）</w:t>
      </w:r>
      <w:r>
        <w:rPr>
          <w:rFonts w:hint="eastAsia" w:ascii="仿宋_GB2312" w:hAnsi="仿宋_GB2312" w:eastAsia="仿宋_GB2312" w:cs="仿宋_GB2312"/>
          <w:bCs/>
          <w:color w:val="auto"/>
          <w:kern w:val="1"/>
          <w:sz w:val="32"/>
          <w:szCs w:val="32"/>
        </w:rPr>
        <w:t>有限公司</w:t>
      </w:r>
      <w:r>
        <w:rPr>
          <w:rFonts w:hint="eastAsia" w:ascii="仿宋_GB2312" w:hAnsi="仿宋_GB2312" w:eastAsia="仿宋_GB2312" w:cs="仿宋_GB2312"/>
          <w:color w:val="auto"/>
          <w:sz w:val="32"/>
          <w:szCs w:val="32"/>
          <w:shd w:val="clear" w:color="auto" w:fill="FFFFFF"/>
          <w:lang w:val="en-US" w:eastAsia="zh-CN"/>
        </w:rPr>
        <w:t>采购文件</w:t>
      </w:r>
      <w:r>
        <w:rPr>
          <w:rFonts w:hint="eastAsia" w:ascii="仿宋_GB2312" w:hAnsi="仿宋_GB2312" w:eastAsia="仿宋_GB2312" w:cs="仿宋_GB2312"/>
          <w:color w:val="auto"/>
          <w:kern w:val="1"/>
          <w:sz w:val="32"/>
          <w:szCs w:val="32"/>
        </w:rPr>
        <w:t>中的全部规定，</w:t>
      </w:r>
      <w:r>
        <w:rPr>
          <w:rFonts w:hint="eastAsia" w:ascii="仿宋_GB2312" w:hAnsi="仿宋_GB2312" w:eastAsia="仿宋_GB2312" w:cs="仿宋_GB2312"/>
          <w:bCs/>
          <w:color w:val="auto"/>
          <w:kern w:val="1"/>
          <w:sz w:val="32"/>
          <w:szCs w:val="32"/>
          <w:lang w:val="en-US" w:eastAsia="zh-CN"/>
        </w:rPr>
        <w:t>评定</w:t>
      </w:r>
      <w:r>
        <w:rPr>
          <w:rFonts w:hint="eastAsia" w:ascii="仿宋_GB2312" w:hAnsi="仿宋_GB2312" w:eastAsia="仿宋_GB2312" w:cs="仿宋_GB2312"/>
          <w:bCs/>
          <w:color w:val="auto"/>
          <w:kern w:val="1"/>
          <w:sz w:val="32"/>
          <w:szCs w:val="32"/>
        </w:rPr>
        <w:t>后及时签订合同,并承担合同规定的责任和义务；在报价过程中将严格遵守江苏索普</w:t>
      </w:r>
      <w:r>
        <w:rPr>
          <w:rFonts w:hint="eastAsia" w:ascii="仿宋_GB2312" w:hAnsi="仿宋_GB2312" w:eastAsia="仿宋_GB2312" w:cs="仿宋_GB2312"/>
          <w:bCs/>
          <w:color w:val="auto"/>
          <w:kern w:val="1"/>
          <w:sz w:val="32"/>
          <w:szCs w:val="32"/>
          <w:lang w:eastAsia="zh-CN"/>
        </w:rPr>
        <w:t>（</w:t>
      </w:r>
      <w:r>
        <w:rPr>
          <w:rFonts w:hint="eastAsia" w:ascii="仿宋_GB2312" w:hAnsi="仿宋_GB2312" w:eastAsia="仿宋_GB2312" w:cs="仿宋_GB2312"/>
          <w:bCs/>
          <w:color w:val="auto"/>
          <w:kern w:val="1"/>
          <w:sz w:val="32"/>
          <w:szCs w:val="32"/>
          <w:lang w:val="en-US" w:eastAsia="zh-CN"/>
        </w:rPr>
        <w:t>集团</w:t>
      </w:r>
      <w:r>
        <w:rPr>
          <w:rFonts w:hint="eastAsia" w:ascii="仿宋_GB2312" w:hAnsi="仿宋_GB2312" w:eastAsia="仿宋_GB2312" w:cs="仿宋_GB2312"/>
          <w:bCs/>
          <w:color w:val="auto"/>
          <w:kern w:val="1"/>
          <w:sz w:val="32"/>
          <w:szCs w:val="32"/>
          <w:lang w:eastAsia="zh-CN"/>
        </w:rPr>
        <w:t>）</w:t>
      </w:r>
      <w:r>
        <w:rPr>
          <w:rFonts w:hint="eastAsia" w:ascii="仿宋_GB2312" w:hAnsi="仿宋_GB2312" w:eastAsia="仿宋_GB2312" w:cs="仿宋_GB2312"/>
          <w:bCs/>
          <w:color w:val="auto"/>
          <w:kern w:val="1"/>
          <w:sz w:val="32"/>
          <w:szCs w:val="32"/>
        </w:rPr>
        <w:t>有限公司</w:t>
      </w:r>
      <w:r>
        <w:rPr>
          <w:rFonts w:hint="eastAsia" w:ascii="仿宋_GB2312" w:hAnsi="仿宋_GB2312" w:eastAsia="仿宋_GB2312" w:cs="仿宋_GB2312"/>
          <w:color w:val="auto"/>
          <w:sz w:val="32"/>
          <w:szCs w:val="32"/>
          <w:shd w:val="clear" w:color="auto" w:fill="FFFFFF"/>
          <w:lang w:val="en-US" w:eastAsia="zh-CN"/>
        </w:rPr>
        <w:t>采购文件</w:t>
      </w:r>
      <w:r>
        <w:rPr>
          <w:rFonts w:hint="eastAsia" w:ascii="仿宋_GB2312" w:hAnsi="仿宋_GB2312" w:eastAsia="仿宋_GB2312" w:cs="仿宋_GB2312"/>
          <w:bCs/>
          <w:color w:val="auto"/>
          <w:kern w:val="1"/>
          <w:sz w:val="32"/>
          <w:szCs w:val="32"/>
        </w:rPr>
        <w:t>的各项管理要求；不发生与关联公司共同参与报价竞争情况，不发生</w:t>
      </w:r>
      <w:r>
        <w:rPr>
          <w:rFonts w:hint="eastAsia" w:ascii="仿宋_GB2312" w:hAnsi="仿宋_GB2312" w:eastAsia="仿宋_GB2312" w:cs="仿宋_GB2312"/>
          <w:bCs/>
          <w:color w:val="auto"/>
          <w:kern w:val="1"/>
          <w:sz w:val="32"/>
          <w:szCs w:val="32"/>
          <w:lang w:eastAsia="zh-CN"/>
        </w:rPr>
        <w:t>私下比价等不正当行为</w:t>
      </w:r>
      <w:r>
        <w:rPr>
          <w:rFonts w:hint="eastAsia" w:ascii="仿宋_GB2312" w:hAnsi="仿宋_GB2312" w:eastAsia="仿宋_GB2312" w:cs="仿宋_GB2312"/>
          <w:bCs/>
          <w:color w:val="auto"/>
          <w:kern w:val="1"/>
          <w:sz w:val="32"/>
          <w:szCs w:val="32"/>
        </w:rPr>
        <w:t>；所提供信息真实、准确、合法、有效，不存在为规避江苏索普</w:t>
      </w:r>
      <w:r>
        <w:rPr>
          <w:rFonts w:hint="eastAsia" w:ascii="仿宋_GB2312" w:hAnsi="仿宋_GB2312" w:eastAsia="仿宋_GB2312" w:cs="仿宋_GB2312"/>
          <w:bCs/>
          <w:color w:val="auto"/>
          <w:kern w:val="1"/>
          <w:sz w:val="32"/>
          <w:szCs w:val="32"/>
          <w:lang w:eastAsia="zh-CN"/>
        </w:rPr>
        <w:t>（</w:t>
      </w:r>
      <w:r>
        <w:rPr>
          <w:rFonts w:hint="eastAsia" w:ascii="仿宋_GB2312" w:hAnsi="仿宋_GB2312" w:eastAsia="仿宋_GB2312" w:cs="仿宋_GB2312"/>
          <w:bCs/>
          <w:color w:val="auto"/>
          <w:kern w:val="1"/>
          <w:sz w:val="32"/>
          <w:szCs w:val="32"/>
          <w:lang w:val="en-US" w:eastAsia="zh-CN"/>
        </w:rPr>
        <w:t>集团</w:t>
      </w:r>
      <w:r>
        <w:rPr>
          <w:rFonts w:hint="eastAsia" w:ascii="仿宋_GB2312" w:hAnsi="仿宋_GB2312" w:eastAsia="仿宋_GB2312" w:cs="仿宋_GB2312"/>
          <w:bCs/>
          <w:color w:val="auto"/>
          <w:kern w:val="1"/>
          <w:sz w:val="32"/>
          <w:szCs w:val="32"/>
          <w:lang w:eastAsia="zh-CN"/>
        </w:rPr>
        <w:t>）</w:t>
      </w:r>
      <w:r>
        <w:rPr>
          <w:rFonts w:hint="eastAsia" w:ascii="仿宋_GB2312" w:hAnsi="仿宋_GB2312" w:eastAsia="仿宋_GB2312" w:cs="仿宋_GB2312"/>
          <w:bCs/>
          <w:color w:val="auto"/>
          <w:kern w:val="1"/>
          <w:sz w:val="32"/>
          <w:szCs w:val="32"/>
        </w:rPr>
        <w:t>有限公司有关要求采取的变通行为。上述信息如有虚假我公司将承担法律责任，同意按江苏索普</w:t>
      </w:r>
      <w:r>
        <w:rPr>
          <w:rFonts w:hint="eastAsia" w:ascii="仿宋_GB2312" w:hAnsi="仿宋_GB2312" w:eastAsia="仿宋_GB2312" w:cs="仿宋_GB2312"/>
          <w:bCs/>
          <w:color w:val="auto"/>
          <w:kern w:val="1"/>
          <w:sz w:val="32"/>
          <w:szCs w:val="32"/>
          <w:lang w:eastAsia="zh-CN"/>
        </w:rPr>
        <w:t>（</w:t>
      </w:r>
      <w:r>
        <w:rPr>
          <w:rFonts w:hint="eastAsia" w:ascii="仿宋_GB2312" w:hAnsi="仿宋_GB2312" w:eastAsia="仿宋_GB2312" w:cs="仿宋_GB2312"/>
          <w:bCs/>
          <w:color w:val="auto"/>
          <w:kern w:val="1"/>
          <w:sz w:val="32"/>
          <w:szCs w:val="32"/>
          <w:lang w:val="en-US" w:eastAsia="zh-CN"/>
        </w:rPr>
        <w:t>集团</w:t>
      </w:r>
      <w:r>
        <w:rPr>
          <w:rFonts w:hint="eastAsia" w:ascii="仿宋_GB2312" w:hAnsi="仿宋_GB2312" w:eastAsia="仿宋_GB2312" w:cs="仿宋_GB2312"/>
          <w:bCs/>
          <w:color w:val="auto"/>
          <w:kern w:val="1"/>
          <w:sz w:val="32"/>
          <w:szCs w:val="32"/>
          <w:lang w:eastAsia="zh-CN"/>
        </w:rPr>
        <w:t>）</w:t>
      </w:r>
      <w:r>
        <w:rPr>
          <w:rFonts w:hint="eastAsia" w:ascii="仿宋_GB2312" w:hAnsi="仿宋_GB2312" w:eastAsia="仿宋_GB2312" w:cs="仿宋_GB2312"/>
          <w:bCs/>
          <w:color w:val="auto"/>
          <w:kern w:val="1"/>
          <w:sz w:val="32"/>
          <w:szCs w:val="32"/>
        </w:rPr>
        <w:t>有限公司相关管理规定接受处理。我公司将严格遵守江苏索普</w:t>
      </w:r>
      <w:r>
        <w:rPr>
          <w:rFonts w:hint="eastAsia" w:ascii="仿宋_GB2312" w:hAnsi="仿宋_GB2312" w:eastAsia="仿宋_GB2312" w:cs="仿宋_GB2312"/>
          <w:bCs/>
          <w:color w:val="auto"/>
          <w:kern w:val="1"/>
          <w:sz w:val="32"/>
          <w:szCs w:val="32"/>
          <w:lang w:eastAsia="zh-CN"/>
        </w:rPr>
        <w:t>（</w:t>
      </w:r>
      <w:r>
        <w:rPr>
          <w:rFonts w:hint="eastAsia" w:ascii="仿宋_GB2312" w:hAnsi="仿宋_GB2312" w:eastAsia="仿宋_GB2312" w:cs="仿宋_GB2312"/>
          <w:bCs/>
          <w:color w:val="auto"/>
          <w:kern w:val="1"/>
          <w:sz w:val="32"/>
          <w:szCs w:val="32"/>
          <w:lang w:val="en-US" w:eastAsia="zh-CN"/>
        </w:rPr>
        <w:t>集团</w:t>
      </w:r>
      <w:r>
        <w:rPr>
          <w:rFonts w:hint="eastAsia" w:ascii="仿宋_GB2312" w:hAnsi="仿宋_GB2312" w:eastAsia="仿宋_GB2312" w:cs="仿宋_GB2312"/>
          <w:bCs/>
          <w:color w:val="auto"/>
          <w:kern w:val="1"/>
          <w:sz w:val="32"/>
          <w:szCs w:val="32"/>
          <w:lang w:eastAsia="zh-CN"/>
        </w:rPr>
        <w:t>）</w:t>
      </w:r>
      <w:r>
        <w:rPr>
          <w:rFonts w:hint="eastAsia" w:ascii="仿宋_GB2312" w:hAnsi="仿宋_GB2312" w:eastAsia="仿宋_GB2312" w:cs="仿宋_GB2312"/>
          <w:bCs/>
          <w:color w:val="auto"/>
          <w:kern w:val="1"/>
          <w:sz w:val="32"/>
          <w:szCs w:val="32"/>
        </w:rPr>
        <w:t>有限公司对供应商管理的要求，无条件接受和配合江苏索普</w:t>
      </w:r>
      <w:r>
        <w:rPr>
          <w:rFonts w:hint="eastAsia" w:ascii="仿宋_GB2312" w:hAnsi="仿宋_GB2312" w:eastAsia="仿宋_GB2312" w:cs="仿宋_GB2312"/>
          <w:bCs/>
          <w:color w:val="auto"/>
          <w:kern w:val="1"/>
          <w:sz w:val="32"/>
          <w:szCs w:val="32"/>
          <w:lang w:eastAsia="zh-CN"/>
        </w:rPr>
        <w:t>（</w:t>
      </w:r>
      <w:r>
        <w:rPr>
          <w:rFonts w:hint="eastAsia" w:ascii="仿宋_GB2312" w:hAnsi="仿宋_GB2312" w:eastAsia="仿宋_GB2312" w:cs="仿宋_GB2312"/>
          <w:bCs/>
          <w:color w:val="auto"/>
          <w:kern w:val="1"/>
          <w:sz w:val="32"/>
          <w:szCs w:val="32"/>
          <w:lang w:val="en-US" w:eastAsia="zh-CN"/>
        </w:rPr>
        <w:t>集团</w:t>
      </w:r>
      <w:r>
        <w:rPr>
          <w:rFonts w:hint="eastAsia" w:ascii="仿宋_GB2312" w:hAnsi="仿宋_GB2312" w:eastAsia="仿宋_GB2312" w:cs="仿宋_GB2312"/>
          <w:bCs/>
          <w:color w:val="auto"/>
          <w:kern w:val="1"/>
          <w:sz w:val="32"/>
          <w:szCs w:val="32"/>
          <w:lang w:eastAsia="zh-CN"/>
        </w:rPr>
        <w:t>）</w:t>
      </w:r>
      <w:r>
        <w:rPr>
          <w:rFonts w:hint="eastAsia" w:ascii="仿宋_GB2312" w:hAnsi="仿宋_GB2312" w:eastAsia="仿宋_GB2312" w:cs="仿宋_GB2312"/>
          <w:bCs/>
          <w:color w:val="auto"/>
          <w:kern w:val="1"/>
          <w:sz w:val="32"/>
          <w:szCs w:val="32"/>
        </w:rPr>
        <w:t>有限公司或其委托的有关机构进行的与上述内容相关的核查与审计。</w:t>
      </w:r>
    </w:p>
    <w:p w14:paraId="5D9BED1D">
      <w:pPr>
        <w:keepNext w:val="0"/>
        <w:keepLines w:val="0"/>
        <w:pageBreakBefore w:val="0"/>
        <w:widowControl w:val="0"/>
        <w:kinsoku/>
        <w:wordWrap w:val="0"/>
        <w:overflowPunct/>
        <w:topLinePunct w:val="0"/>
        <w:autoSpaceDE/>
        <w:autoSpaceDN/>
        <w:bidi w:val="0"/>
        <w:adjustRightInd w:val="0"/>
        <w:snapToGrid w:val="0"/>
        <w:spacing w:before="156" w:beforeLines="50" w:line="540" w:lineRule="exact"/>
        <w:ind w:left="0" w:leftChars="0" w:right="0" w:rightChars="0"/>
        <w:jc w:val="left"/>
        <w:textAlignment w:val="auto"/>
        <w:outlineLvl w:val="9"/>
        <w:rPr>
          <w:rFonts w:hint="eastAsia" w:ascii="仿宋_GB2312" w:hAnsi="仿宋_GB2312" w:eastAsia="仿宋_GB2312" w:cs="仿宋_GB2312"/>
          <w:color w:val="auto"/>
          <w:kern w:val="1"/>
          <w:sz w:val="32"/>
          <w:szCs w:val="32"/>
        </w:rPr>
      </w:pPr>
      <w:r>
        <w:rPr>
          <w:rFonts w:hint="eastAsia" w:ascii="仿宋_GB2312" w:hAnsi="仿宋_GB2312" w:eastAsia="仿宋_GB2312" w:cs="仿宋_GB2312"/>
          <w:color w:val="auto"/>
          <w:kern w:val="1"/>
          <w:sz w:val="32"/>
          <w:szCs w:val="32"/>
        </w:rPr>
        <w:t>全权代表（签字）：</w:t>
      </w:r>
    </w:p>
    <w:p w14:paraId="1ABD1D98">
      <w:pPr>
        <w:keepNext w:val="0"/>
        <w:keepLines w:val="0"/>
        <w:pageBreakBefore w:val="0"/>
        <w:widowControl w:val="0"/>
        <w:kinsoku/>
        <w:wordWrap w:val="0"/>
        <w:overflowPunct/>
        <w:topLinePunct w:val="0"/>
        <w:autoSpaceDE/>
        <w:autoSpaceDN/>
        <w:bidi w:val="0"/>
        <w:adjustRightInd w:val="0"/>
        <w:snapToGrid w:val="0"/>
        <w:spacing w:before="156" w:beforeLines="50" w:line="540" w:lineRule="exact"/>
        <w:ind w:left="0" w:leftChars="0" w:right="0" w:rightChars="0"/>
        <w:jc w:val="left"/>
        <w:textAlignment w:val="auto"/>
        <w:outlineLvl w:val="9"/>
        <w:rPr>
          <w:rFonts w:ascii="仿宋_GB2312" w:hAnsi="仿宋_GB2312" w:eastAsia="仿宋_GB2312" w:cs="仿宋_GB2312"/>
          <w:color w:val="auto"/>
          <w:kern w:val="1"/>
          <w:sz w:val="32"/>
          <w:szCs w:val="32"/>
        </w:rPr>
      </w:pPr>
      <w:r>
        <w:rPr>
          <w:rFonts w:hint="eastAsia" w:ascii="仿宋_GB2312" w:hAnsi="仿宋_GB2312" w:eastAsia="仿宋_GB2312" w:cs="仿宋_GB2312"/>
          <w:color w:val="auto"/>
          <w:kern w:val="1"/>
          <w:sz w:val="32"/>
          <w:szCs w:val="32"/>
        </w:rPr>
        <w:t>联系电话：</w:t>
      </w:r>
    </w:p>
    <w:p w14:paraId="5DB9B1D5">
      <w:pPr>
        <w:keepNext w:val="0"/>
        <w:keepLines w:val="0"/>
        <w:pageBreakBefore w:val="0"/>
        <w:widowControl w:val="0"/>
        <w:kinsoku/>
        <w:wordWrap w:val="0"/>
        <w:overflowPunct/>
        <w:topLinePunct w:val="0"/>
        <w:autoSpaceDE/>
        <w:autoSpaceDN/>
        <w:bidi w:val="0"/>
        <w:adjustRightInd w:val="0"/>
        <w:snapToGrid w:val="0"/>
        <w:spacing w:before="156" w:beforeLines="50" w:line="540" w:lineRule="exact"/>
        <w:ind w:left="0" w:leftChars="0" w:right="0" w:rightChars="0"/>
        <w:jc w:val="left"/>
        <w:textAlignment w:val="auto"/>
        <w:outlineLvl w:val="9"/>
        <w:rPr>
          <w:rFonts w:ascii="仿宋_GB2312" w:hAnsi="仿宋_GB2312" w:eastAsia="仿宋_GB2312" w:cs="仿宋_GB2312"/>
          <w:color w:val="auto"/>
          <w:kern w:val="1"/>
          <w:sz w:val="32"/>
          <w:szCs w:val="32"/>
        </w:rPr>
      </w:pPr>
      <w:r>
        <w:rPr>
          <w:rFonts w:hint="eastAsia" w:ascii="仿宋_GB2312" w:hAnsi="仿宋_GB2312" w:eastAsia="仿宋_GB2312" w:cs="仿宋_GB2312"/>
          <w:color w:val="auto"/>
          <w:kern w:val="1"/>
          <w:sz w:val="32"/>
          <w:szCs w:val="32"/>
          <w:lang w:val="en-US" w:eastAsia="zh-CN"/>
        </w:rPr>
        <w:t>报价</w:t>
      </w:r>
      <w:r>
        <w:rPr>
          <w:rFonts w:hint="eastAsia" w:ascii="仿宋_GB2312" w:hAnsi="仿宋_GB2312" w:eastAsia="仿宋_GB2312" w:cs="仿宋_GB2312"/>
          <w:color w:val="auto"/>
          <w:kern w:val="1"/>
          <w:sz w:val="32"/>
          <w:szCs w:val="32"/>
        </w:rPr>
        <w:t>单位（盖章）：</w:t>
      </w:r>
    </w:p>
    <w:p w14:paraId="58E33735">
      <w:pPr>
        <w:keepNext w:val="0"/>
        <w:keepLines w:val="0"/>
        <w:pageBreakBefore w:val="0"/>
        <w:widowControl w:val="0"/>
        <w:kinsoku/>
        <w:wordWrap w:val="0"/>
        <w:overflowPunct/>
        <w:topLinePunct w:val="0"/>
        <w:autoSpaceDE/>
        <w:autoSpaceDN/>
        <w:bidi w:val="0"/>
        <w:adjustRightInd w:val="0"/>
        <w:snapToGrid w:val="0"/>
        <w:spacing w:before="156" w:beforeLines="50" w:line="540" w:lineRule="exact"/>
        <w:ind w:left="0" w:leftChars="0" w:right="0" w:rightChars="0"/>
        <w:jc w:val="left"/>
        <w:textAlignment w:val="auto"/>
        <w:outlineLvl w:val="9"/>
        <w:rPr>
          <w:rFonts w:ascii="仿宋_GB2312" w:hAnsi="仿宋_GB2312" w:eastAsia="仿宋_GB2312" w:cs="仿宋_GB2312"/>
          <w:bCs/>
          <w:kern w:val="1"/>
          <w:sz w:val="32"/>
          <w:szCs w:val="32"/>
        </w:rPr>
      </w:pPr>
      <w:r>
        <w:rPr>
          <w:rFonts w:hint="eastAsia" w:ascii="仿宋_GB2312" w:hAnsi="仿宋_GB2312" w:eastAsia="仿宋_GB2312" w:cs="仿宋_GB2312"/>
          <w:kern w:val="1"/>
          <w:sz w:val="32"/>
          <w:szCs w:val="32"/>
        </w:rPr>
        <w:t>日期：</w:t>
      </w:r>
    </w:p>
    <w:p w14:paraId="078CAD88">
      <w:pPr>
        <w:tabs>
          <w:tab w:val="left" w:pos="2565"/>
        </w:tabs>
        <w:spacing w:line="600" w:lineRule="exact"/>
        <w:jc w:val="both"/>
        <w:rPr>
          <w:rFonts w:hint="eastAsia" w:ascii="黑体" w:hAnsi="黑体" w:eastAsia="黑体" w:cs="黑体"/>
          <w:b w:val="0"/>
          <w:bCs/>
          <w:color w:val="auto"/>
          <w:kern w:val="0"/>
          <w:sz w:val="34"/>
          <w:szCs w:val="34"/>
          <w:lang w:val="en-US" w:eastAsia="zh-CN" w:bidi="ar-SA"/>
        </w:rPr>
      </w:pPr>
      <w:r>
        <w:rPr>
          <w:rFonts w:hint="eastAsia" w:ascii="黑体" w:hAnsi="黑体" w:eastAsia="黑体" w:cs="黑体"/>
          <w:b w:val="0"/>
          <w:bCs/>
          <w:color w:val="auto"/>
          <w:kern w:val="0"/>
          <w:sz w:val="34"/>
          <w:szCs w:val="34"/>
          <w:lang w:val="en-US" w:eastAsia="zh-CN" w:bidi="ar-SA"/>
        </w:rPr>
        <w:t>附件1</w:t>
      </w:r>
    </w:p>
    <w:p w14:paraId="41E04601">
      <w:pPr>
        <w:tabs>
          <w:tab w:val="left" w:pos="2565"/>
        </w:tabs>
        <w:spacing w:line="600" w:lineRule="exact"/>
        <w:jc w:val="center"/>
        <w:rPr>
          <w:rFonts w:hint="eastAsia" w:ascii="方正小标宋简体" w:hAnsi="方正小标宋简体" w:eastAsia="方正小标宋简体" w:cs="方正小标宋简体"/>
          <w:b w:val="0"/>
          <w:bCs/>
          <w:color w:val="auto"/>
          <w:kern w:val="0"/>
          <w:sz w:val="44"/>
          <w:szCs w:val="44"/>
          <w:u w:val="none"/>
          <w:lang w:val="en-US" w:eastAsia="zh-CN" w:bidi="ar-SA"/>
        </w:rPr>
      </w:pPr>
    </w:p>
    <w:p w14:paraId="27C2C828">
      <w:pPr>
        <w:tabs>
          <w:tab w:val="left" w:pos="2565"/>
        </w:tabs>
        <w:spacing w:line="600" w:lineRule="exact"/>
        <w:jc w:val="center"/>
        <w:rPr>
          <w:rFonts w:hint="eastAsia" w:ascii="方正小标宋简体" w:hAnsi="方正小标宋简体" w:eastAsia="方正小标宋简体" w:cs="方正小标宋简体"/>
          <w:b w:val="0"/>
          <w:bCs/>
          <w:color w:val="auto"/>
          <w:kern w:val="0"/>
          <w:sz w:val="44"/>
          <w:szCs w:val="44"/>
          <w:u w:val="none"/>
          <w:lang w:val="en-US" w:eastAsia="zh-CN" w:bidi="ar-SA"/>
        </w:rPr>
      </w:pPr>
      <w:r>
        <w:rPr>
          <w:rFonts w:hint="eastAsia" w:ascii="方正小标宋简体" w:hAnsi="方正小标宋简体" w:eastAsia="方正小标宋简体" w:cs="方正小标宋简体"/>
          <w:b w:val="0"/>
          <w:bCs/>
          <w:color w:val="auto"/>
          <w:kern w:val="0"/>
          <w:sz w:val="44"/>
          <w:szCs w:val="44"/>
          <w:u w:val="none"/>
          <w:lang w:val="en-US" w:eastAsia="zh-CN" w:bidi="ar-SA"/>
        </w:rPr>
        <w:t>索普集团供应商负面清单管理规定</w:t>
      </w:r>
    </w:p>
    <w:p w14:paraId="092D7DF2">
      <w:pPr>
        <w:tabs>
          <w:tab w:val="left" w:pos="2565"/>
        </w:tabs>
        <w:spacing w:line="600" w:lineRule="exact"/>
        <w:jc w:val="center"/>
        <w:rPr>
          <w:rFonts w:hint="eastAsia" w:ascii="方正小标宋简体" w:hAnsi="方正小标宋简体" w:eastAsia="方正小标宋简体" w:cs="方正小标宋简体"/>
          <w:b w:val="0"/>
          <w:bCs/>
          <w:color w:val="auto"/>
          <w:sz w:val="44"/>
          <w:szCs w:val="44"/>
          <w:u w:val="none"/>
          <w:lang w:eastAsia="zh-CN"/>
        </w:rPr>
      </w:pPr>
      <w:r>
        <w:rPr>
          <w:rFonts w:hint="eastAsia" w:ascii="方正小标宋简体" w:hAnsi="方正小标宋简体" w:eastAsia="方正小标宋简体" w:cs="方正小标宋简体"/>
          <w:b w:val="0"/>
          <w:bCs/>
          <w:color w:val="auto"/>
          <w:sz w:val="44"/>
          <w:szCs w:val="44"/>
          <w:u w:val="none"/>
          <w:lang w:eastAsia="zh-CN"/>
        </w:rPr>
        <w:t>（</w:t>
      </w:r>
      <w:r>
        <w:rPr>
          <w:rFonts w:hint="eastAsia" w:ascii="方正小标宋简体" w:hAnsi="方正小标宋简体" w:eastAsia="方正小标宋简体" w:cs="方正小标宋简体"/>
          <w:b w:val="0"/>
          <w:bCs/>
          <w:color w:val="auto"/>
          <w:sz w:val="44"/>
          <w:szCs w:val="44"/>
          <w:u w:val="none"/>
          <w:lang w:val="en-US" w:eastAsia="zh-CN"/>
        </w:rPr>
        <w:t>2025年修订版</w:t>
      </w:r>
      <w:r>
        <w:rPr>
          <w:rFonts w:hint="eastAsia" w:ascii="方正小标宋简体" w:hAnsi="方正小标宋简体" w:eastAsia="方正小标宋简体" w:cs="方正小标宋简体"/>
          <w:b w:val="0"/>
          <w:bCs/>
          <w:color w:val="auto"/>
          <w:sz w:val="44"/>
          <w:szCs w:val="44"/>
          <w:u w:val="none"/>
          <w:lang w:eastAsia="zh-CN"/>
        </w:rPr>
        <w:t>）</w:t>
      </w:r>
    </w:p>
    <w:p w14:paraId="724C3C23">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right="0" w:rightChars="0"/>
        <w:jc w:val="both"/>
        <w:textAlignment w:val="auto"/>
        <w:outlineLvl w:val="9"/>
        <w:rPr>
          <w:rFonts w:hint="eastAsia" w:ascii="黑体" w:hAnsi="黑体" w:eastAsia="黑体"/>
          <w:b w:val="0"/>
          <w:bCs/>
          <w:color w:val="auto"/>
          <w:sz w:val="34"/>
          <w:szCs w:val="34"/>
          <w:u w:val="none"/>
          <w:lang w:eastAsia="zh-CN"/>
        </w:rPr>
      </w:pPr>
    </w:p>
    <w:p w14:paraId="091DBA8B">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right="0" w:rightChars="0"/>
        <w:jc w:val="center"/>
        <w:textAlignment w:val="auto"/>
        <w:outlineLvl w:val="9"/>
        <w:rPr>
          <w:rFonts w:hint="eastAsia" w:ascii="仿宋_GB2312" w:hAnsi="仿宋" w:eastAsia="黑体"/>
          <w:b w:val="0"/>
          <w:bCs/>
          <w:color w:val="auto"/>
          <w:sz w:val="34"/>
          <w:szCs w:val="34"/>
          <w:u w:val="none"/>
          <w:lang w:eastAsia="zh-CN"/>
        </w:rPr>
      </w:pPr>
      <w:r>
        <w:rPr>
          <w:rFonts w:hint="eastAsia" w:ascii="黑体" w:hAnsi="黑体" w:eastAsia="黑体"/>
          <w:b w:val="0"/>
          <w:bCs/>
          <w:color w:val="auto"/>
          <w:sz w:val="34"/>
          <w:szCs w:val="34"/>
          <w:u w:val="none"/>
          <w:lang w:eastAsia="zh-CN"/>
        </w:rPr>
        <w:t>第一章</w:t>
      </w:r>
      <w:r>
        <w:rPr>
          <w:rFonts w:hint="eastAsia" w:ascii="黑体" w:hAnsi="黑体" w:eastAsia="黑体"/>
          <w:b w:val="0"/>
          <w:bCs/>
          <w:color w:val="auto"/>
          <w:sz w:val="34"/>
          <w:szCs w:val="34"/>
          <w:u w:val="none"/>
          <w:lang w:val="en-US" w:eastAsia="zh-CN"/>
        </w:rPr>
        <w:t xml:space="preserve"> </w:t>
      </w:r>
      <w:r>
        <w:rPr>
          <w:rFonts w:hint="eastAsia" w:ascii="黑体" w:hAnsi="黑体" w:eastAsia="黑体"/>
          <w:b w:val="0"/>
          <w:bCs/>
          <w:color w:val="auto"/>
          <w:sz w:val="34"/>
          <w:szCs w:val="34"/>
          <w:u w:val="none"/>
          <w:lang w:eastAsia="zh-CN"/>
        </w:rPr>
        <w:t>总则</w:t>
      </w:r>
    </w:p>
    <w:p w14:paraId="15F73E15">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left="0" w:leftChars="0" w:right="0" w:rightChars="0" w:firstLine="683" w:firstLineChars="200"/>
        <w:textAlignment w:val="auto"/>
        <w:outlineLvl w:val="9"/>
        <w:rPr>
          <w:rFonts w:hint="eastAsia" w:ascii="仿宋_GB2312" w:hAnsi="仿宋" w:eastAsia="仿宋_GB2312"/>
          <w:b w:val="0"/>
          <w:bCs/>
          <w:color w:val="auto"/>
          <w:sz w:val="34"/>
          <w:szCs w:val="34"/>
          <w:u w:val="none"/>
        </w:rPr>
      </w:pPr>
      <w:r>
        <w:rPr>
          <w:rFonts w:hint="eastAsia" w:ascii="仿宋_GB2312" w:hAnsi="楷体" w:eastAsia="仿宋_GB2312" w:cs="Times New Roman"/>
          <w:b/>
          <w:bCs w:val="0"/>
          <w:color w:val="auto"/>
          <w:sz w:val="34"/>
          <w:szCs w:val="34"/>
          <w:u w:val="none"/>
          <w:lang w:eastAsia="zh-CN"/>
        </w:rPr>
        <w:t>第一条</w:t>
      </w:r>
      <w:r>
        <w:rPr>
          <w:rFonts w:hint="eastAsia" w:ascii="仿宋_GB2312" w:hAnsi="楷体" w:eastAsia="仿宋_GB2312" w:cs="Times New Roman"/>
          <w:b w:val="0"/>
          <w:bCs/>
          <w:color w:val="auto"/>
          <w:sz w:val="34"/>
          <w:szCs w:val="34"/>
          <w:u w:val="none"/>
          <w:lang w:val="en-US" w:eastAsia="zh-CN"/>
        </w:rPr>
        <w:t xml:space="preserve"> 凡按国家标准及相关准则或规定组织生产销售的产品供应商及承包商，证照齐全且资质满足公司采购要求的，均可参与公司组织的公开采购商务活动。</w:t>
      </w:r>
    </w:p>
    <w:p w14:paraId="1A98FDCD">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left="0" w:leftChars="0" w:right="0" w:rightChars="0" w:firstLine="683" w:firstLineChars="200"/>
        <w:jc w:val="left"/>
        <w:textAlignment w:val="auto"/>
        <w:outlineLvl w:val="9"/>
        <w:rPr>
          <w:rFonts w:hint="eastAsia" w:ascii="黑体" w:hAnsi="黑体" w:eastAsia="黑体"/>
          <w:b w:val="0"/>
          <w:bCs/>
          <w:color w:val="auto"/>
          <w:sz w:val="34"/>
          <w:szCs w:val="34"/>
          <w:u w:val="none"/>
          <w:lang w:val="en-US" w:eastAsia="zh-CN"/>
        </w:rPr>
      </w:pPr>
      <w:r>
        <w:rPr>
          <w:rFonts w:hint="eastAsia" w:ascii="仿宋_GB2312" w:hAnsi="楷体" w:eastAsia="仿宋_GB2312" w:cs="Times New Roman"/>
          <w:b/>
          <w:bCs w:val="0"/>
          <w:color w:val="auto"/>
          <w:sz w:val="34"/>
          <w:szCs w:val="34"/>
          <w:u w:val="none"/>
          <w:lang w:eastAsia="zh-CN"/>
        </w:rPr>
        <w:t>第二条</w:t>
      </w:r>
      <w:r>
        <w:rPr>
          <w:rFonts w:hint="eastAsia" w:ascii="仿宋_GB2312" w:hAnsi="楷体" w:eastAsia="仿宋_GB2312" w:cs="Times New Roman"/>
          <w:b w:val="0"/>
          <w:bCs/>
          <w:color w:val="auto"/>
          <w:sz w:val="34"/>
          <w:szCs w:val="34"/>
          <w:u w:val="none"/>
          <w:lang w:val="en-US" w:eastAsia="zh-CN"/>
        </w:rPr>
        <w:t xml:space="preserve"> </w:t>
      </w:r>
      <w:r>
        <w:rPr>
          <w:rFonts w:hint="eastAsia" w:ascii="Times New Roman" w:hAnsi="Times New Roman" w:eastAsia="仿宋_GB2312" w:cs="Times New Roman"/>
          <w:b w:val="0"/>
          <w:bCs/>
          <w:color w:val="auto"/>
          <w:kern w:val="2"/>
          <w:sz w:val="34"/>
          <w:szCs w:val="34"/>
          <w:u w:val="none"/>
        </w:rPr>
        <w:t>本制度适用于</w:t>
      </w:r>
      <w:r>
        <w:rPr>
          <w:rFonts w:hint="eastAsia" w:ascii="Times New Roman" w:hAnsi="Times New Roman" w:eastAsia="仿宋_GB2312" w:cs="Times New Roman"/>
          <w:b w:val="0"/>
          <w:bCs/>
          <w:color w:val="auto"/>
          <w:kern w:val="2"/>
          <w:sz w:val="34"/>
          <w:szCs w:val="34"/>
          <w:u w:val="none"/>
          <w:lang w:eastAsia="zh-CN"/>
        </w:rPr>
        <w:t>索普集团本部各部门</w:t>
      </w:r>
      <w:r>
        <w:rPr>
          <w:rFonts w:hint="eastAsia" w:eastAsia="仿宋_GB2312" w:cs="Times New Roman"/>
          <w:b w:val="0"/>
          <w:bCs/>
          <w:color w:val="auto"/>
          <w:kern w:val="2"/>
          <w:sz w:val="34"/>
          <w:szCs w:val="34"/>
          <w:u w:val="none"/>
          <w:lang w:eastAsia="zh-CN"/>
        </w:rPr>
        <w:t>，</w:t>
      </w:r>
      <w:r>
        <w:rPr>
          <w:rFonts w:hint="eastAsia" w:eastAsia="仿宋_GB2312" w:cs="Times New Roman"/>
          <w:b w:val="0"/>
          <w:bCs/>
          <w:color w:val="auto"/>
          <w:kern w:val="2"/>
          <w:sz w:val="34"/>
          <w:szCs w:val="34"/>
          <w:u w:val="none"/>
          <w:lang w:val="en-US" w:eastAsia="zh-CN"/>
        </w:rPr>
        <w:t>同时也对各直属单位有明确的指导和约束作用。</w:t>
      </w:r>
      <w:r>
        <w:rPr>
          <w:rFonts w:hint="eastAsia" w:ascii="黑体" w:hAnsi="黑体" w:eastAsia="黑体"/>
          <w:b w:val="0"/>
          <w:bCs/>
          <w:color w:val="auto"/>
          <w:sz w:val="34"/>
          <w:szCs w:val="34"/>
          <w:u w:val="none"/>
          <w:lang w:val="en-US" w:eastAsia="zh-CN"/>
        </w:rPr>
        <w:t xml:space="preserve"> </w:t>
      </w:r>
    </w:p>
    <w:p w14:paraId="42E1177A">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left="0" w:leftChars="0" w:right="0" w:rightChars="0" w:firstLine="683" w:firstLineChars="200"/>
        <w:textAlignment w:val="auto"/>
        <w:outlineLvl w:val="9"/>
        <w:rPr>
          <w:rFonts w:ascii="Segoe UI" w:hAnsi="Segoe UI" w:eastAsia="Segoe UI" w:cs="Segoe UI"/>
          <w:i w:val="0"/>
          <w:iCs w:val="0"/>
          <w:caps w:val="0"/>
          <w:color w:val="auto"/>
          <w:spacing w:val="0"/>
          <w:sz w:val="22"/>
          <w:szCs w:val="22"/>
          <w:u w:val="none"/>
          <w:shd w:val="clear" w:color="auto" w:fill="FDFDFE"/>
        </w:rPr>
      </w:pPr>
      <w:r>
        <w:rPr>
          <w:rFonts w:hint="eastAsia" w:ascii="仿宋_GB2312" w:hAnsi="楷体" w:eastAsia="仿宋_GB2312" w:cs="Times New Roman"/>
          <w:b/>
          <w:bCs w:val="0"/>
          <w:color w:val="auto"/>
          <w:sz w:val="34"/>
          <w:szCs w:val="34"/>
          <w:u w:val="none"/>
          <w:lang w:val="en-US" w:eastAsia="zh-CN"/>
        </w:rPr>
        <w:t xml:space="preserve">第三条 </w:t>
      </w:r>
      <w:r>
        <w:rPr>
          <w:rFonts w:hint="eastAsia" w:ascii="黑体" w:hAnsi="黑体" w:eastAsia="黑体"/>
          <w:b w:val="0"/>
          <w:bCs/>
          <w:color w:val="auto"/>
          <w:sz w:val="34"/>
          <w:szCs w:val="34"/>
          <w:u w:val="none"/>
          <w:lang w:val="en-US" w:eastAsia="zh-CN"/>
        </w:rPr>
        <w:t xml:space="preserve"> </w:t>
      </w:r>
      <w:r>
        <w:rPr>
          <w:rFonts w:hint="eastAsia" w:ascii="仿宋_GB2312" w:hAnsi="仿宋" w:eastAsia="仿宋_GB2312" w:cs="Times New Roman"/>
          <w:bCs/>
          <w:i w:val="0"/>
          <w:iCs w:val="0"/>
          <w:caps w:val="0"/>
          <w:color w:val="auto"/>
          <w:spacing w:val="0"/>
          <w:sz w:val="34"/>
          <w:szCs w:val="34"/>
          <w:u w:val="none"/>
          <w:shd w:val="clear" w:color="auto" w:fill="auto"/>
          <w:lang w:val="en-US" w:eastAsia="zh-CN"/>
        </w:rPr>
        <w:t>集团供应商负面清单管理采取共享机制，由全集团共同参与构建并统一使用</w:t>
      </w:r>
      <w:r>
        <w:rPr>
          <w:rFonts w:hint="eastAsia" w:ascii="仿宋_GB2312" w:hAnsi="仿宋" w:eastAsia="仿宋_GB2312" w:cs="Times New Roman"/>
          <w:bCs/>
          <w:i w:val="0"/>
          <w:iCs w:val="0"/>
          <w:caps w:val="0"/>
          <w:color w:val="auto"/>
          <w:spacing w:val="0"/>
          <w:sz w:val="34"/>
          <w:szCs w:val="34"/>
          <w:u w:val="none"/>
          <w:lang w:val="en-US" w:eastAsia="zh-CN"/>
        </w:rPr>
        <w:t>，确保全集团采购活动中负面清单供应商范围一致</w:t>
      </w:r>
      <w:r>
        <w:rPr>
          <w:rFonts w:hint="eastAsia" w:ascii="仿宋_GB2312" w:hAnsi="仿宋" w:eastAsia="仿宋_GB2312" w:cs="Times New Roman"/>
          <w:bCs/>
          <w:i w:val="0"/>
          <w:iCs w:val="0"/>
          <w:caps w:val="0"/>
          <w:color w:val="auto"/>
          <w:spacing w:val="0"/>
          <w:sz w:val="34"/>
          <w:szCs w:val="34"/>
          <w:u w:val="none"/>
          <w:shd w:val="clear" w:color="auto" w:fill="auto"/>
          <w:lang w:val="en-US" w:eastAsia="zh-CN"/>
        </w:rPr>
        <w:t>。</w:t>
      </w:r>
    </w:p>
    <w:p w14:paraId="3D1A55EE">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right="0" w:rightChars="0"/>
        <w:jc w:val="center"/>
        <w:textAlignment w:val="auto"/>
        <w:outlineLvl w:val="9"/>
        <w:rPr>
          <w:rFonts w:hint="eastAsia" w:ascii="仿宋_GB2312" w:hAnsi="仿宋" w:eastAsia="仿宋_GB2312" w:cs="Times New Roman"/>
          <w:b w:val="0"/>
          <w:bCs/>
          <w:color w:val="auto"/>
          <w:sz w:val="34"/>
          <w:szCs w:val="34"/>
          <w:u w:val="none"/>
        </w:rPr>
      </w:pPr>
      <w:r>
        <w:rPr>
          <w:rFonts w:hint="eastAsia" w:ascii="黑体" w:hAnsi="黑体" w:eastAsia="黑体" w:cs="Times New Roman"/>
          <w:b w:val="0"/>
          <w:bCs/>
          <w:color w:val="auto"/>
          <w:sz w:val="34"/>
          <w:szCs w:val="34"/>
          <w:u w:val="none"/>
          <w:lang w:val="en-US" w:eastAsia="zh-CN"/>
        </w:rPr>
        <w:t>第二章 管理</w:t>
      </w:r>
      <w:r>
        <w:rPr>
          <w:rFonts w:hint="eastAsia" w:ascii="黑体" w:hAnsi="黑体" w:eastAsia="黑体" w:cs="Times New Roman"/>
          <w:b w:val="0"/>
          <w:bCs/>
          <w:color w:val="auto"/>
          <w:sz w:val="34"/>
          <w:szCs w:val="34"/>
          <w:u w:val="none"/>
          <w:lang w:eastAsia="zh-CN"/>
        </w:rPr>
        <w:t>职责</w:t>
      </w:r>
    </w:p>
    <w:p w14:paraId="260D7289">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left="0" w:leftChars="0" w:right="0" w:rightChars="0" w:firstLine="683" w:firstLineChars="200"/>
        <w:textAlignment w:val="auto"/>
        <w:outlineLvl w:val="9"/>
        <w:rPr>
          <w:rFonts w:hint="eastAsia" w:ascii="仿宋_GB2312" w:hAnsi="仿宋" w:eastAsia="仿宋_GB2312" w:cs="Times New Roman"/>
          <w:bCs/>
          <w:i w:val="0"/>
          <w:iCs w:val="0"/>
          <w:caps w:val="0"/>
          <w:color w:val="auto"/>
          <w:spacing w:val="0"/>
          <w:sz w:val="34"/>
          <w:szCs w:val="34"/>
          <w:u w:val="none"/>
          <w:lang w:val="en-US" w:eastAsia="zh-CN"/>
        </w:rPr>
      </w:pPr>
      <w:r>
        <w:rPr>
          <w:rFonts w:hint="eastAsia" w:ascii="仿宋_GB2312" w:hAnsi="楷体" w:eastAsia="仿宋_GB2312" w:cs="Times New Roman"/>
          <w:b/>
          <w:bCs w:val="0"/>
          <w:color w:val="auto"/>
          <w:sz w:val="34"/>
          <w:szCs w:val="34"/>
          <w:u w:val="none"/>
          <w:lang w:val="en-US" w:eastAsia="zh-CN"/>
        </w:rPr>
        <w:t>第四条</w:t>
      </w:r>
      <w:r>
        <w:rPr>
          <w:rFonts w:hint="eastAsia" w:ascii="仿宋_GB2312" w:hAnsi="仿宋" w:eastAsia="仿宋_GB2312" w:cs="Times New Roman"/>
          <w:bCs/>
          <w:i w:val="0"/>
          <w:iCs w:val="0"/>
          <w:caps w:val="0"/>
          <w:color w:val="auto"/>
          <w:spacing w:val="0"/>
          <w:sz w:val="34"/>
          <w:szCs w:val="34"/>
          <w:u w:val="none"/>
          <w:shd w:val="clear" w:color="auto" w:fill="auto"/>
          <w:lang w:val="en-US" w:eastAsia="zh-CN"/>
        </w:rPr>
        <w:t xml:space="preserve">  集团本部及各</w:t>
      </w:r>
      <w:r>
        <w:rPr>
          <w:rFonts w:hint="eastAsia" w:ascii="仿宋_GB2312" w:hAnsi="仿宋" w:eastAsia="仿宋_GB2312" w:cs="Times New Roman"/>
          <w:bCs/>
          <w:i w:val="0"/>
          <w:iCs w:val="0"/>
          <w:caps w:val="0"/>
          <w:color w:val="auto"/>
          <w:spacing w:val="0"/>
          <w:sz w:val="34"/>
          <w:szCs w:val="34"/>
          <w:u w:val="none"/>
          <w:lang w:val="en-US" w:eastAsia="zh-CN"/>
        </w:rPr>
        <w:t>单位拥有对负面清单供应商进行考核评价及解除的权限，负面清单供应商的增减变动须报集团商务合作部公示后生效执行。</w:t>
      </w:r>
    </w:p>
    <w:p w14:paraId="423A93C2">
      <w:pPr>
        <w:keepNext w:val="0"/>
        <w:keepLines w:val="0"/>
        <w:pageBreakBefore w:val="0"/>
        <w:tabs>
          <w:tab w:val="left" w:pos="2565"/>
        </w:tabs>
        <w:kinsoku/>
        <w:wordWrap/>
        <w:overflowPunct/>
        <w:topLinePunct w:val="0"/>
        <w:autoSpaceDE/>
        <w:autoSpaceDN/>
        <w:bidi w:val="0"/>
        <w:adjustRightInd w:val="0"/>
        <w:snapToGrid w:val="0"/>
        <w:spacing w:beforeLines="0" w:afterLines="0" w:line="600" w:lineRule="exact"/>
        <w:ind w:left="0" w:leftChars="0" w:right="0" w:rightChars="0" w:firstLine="683" w:firstLineChars="200"/>
        <w:textAlignment w:val="auto"/>
        <w:outlineLvl w:val="9"/>
        <w:rPr>
          <w:rFonts w:ascii="仿宋" w:hAnsi="仿宋" w:eastAsia="仿宋"/>
          <w:b w:val="0"/>
          <w:bCs/>
          <w:color w:val="auto"/>
          <w:sz w:val="34"/>
          <w:szCs w:val="34"/>
          <w:u w:val="none"/>
        </w:rPr>
      </w:pPr>
      <w:r>
        <w:rPr>
          <w:rFonts w:hint="eastAsia" w:ascii="仿宋_GB2312" w:hAnsi="楷体" w:eastAsia="仿宋_GB2312" w:cs="Times New Roman"/>
          <w:b/>
          <w:bCs w:val="0"/>
          <w:color w:val="auto"/>
          <w:sz w:val="34"/>
          <w:szCs w:val="34"/>
          <w:u w:val="none"/>
          <w:lang w:val="en-US" w:eastAsia="zh-CN"/>
        </w:rPr>
        <w:t xml:space="preserve">第五条 </w:t>
      </w:r>
      <w:r>
        <w:rPr>
          <w:rFonts w:hint="eastAsia" w:ascii="仿宋_GB2312" w:hAnsi="仿宋" w:eastAsia="仿宋_GB2312" w:cs="Times New Roman"/>
          <w:bCs/>
          <w:i w:val="0"/>
          <w:iCs w:val="0"/>
          <w:caps w:val="0"/>
          <w:color w:val="auto"/>
          <w:spacing w:val="0"/>
          <w:sz w:val="34"/>
          <w:szCs w:val="34"/>
          <w:u w:val="none"/>
          <w:shd w:val="clear" w:color="auto" w:fill="auto"/>
          <w:lang w:val="en-US" w:eastAsia="zh-CN"/>
        </w:rPr>
        <w:t xml:space="preserve"> 集团本部的负面清单管理工作由集团商务合作部直接负责，集团各部门</w:t>
      </w:r>
      <w:r>
        <w:rPr>
          <w:rFonts w:hint="eastAsia" w:ascii="仿宋_GB2312" w:hAnsi="仿宋" w:eastAsia="仿宋_GB2312" w:cs="Times New Roman"/>
          <w:bCs/>
          <w:i w:val="0"/>
          <w:iCs w:val="0"/>
          <w:caps w:val="0"/>
          <w:color w:val="auto"/>
          <w:spacing w:val="0"/>
          <w:sz w:val="34"/>
          <w:szCs w:val="34"/>
          <w:u w:val="none"/>
          <w:lang w:val="en-US" w:eastAsia="zh-CN"/>
        </w:rPr>
        <w:t>在采购、合同履约、物资使用等环节中产生的供应商考核意见，须实时报送集团商务合作部汇总管理，确保清单动态更新与信息共享。</w:t>
      </w:r>
    </w:p>
    <w:p w14:paraId="165D89BF">
      <w:pPr>
        <w:spacing w:line="600" w:lineRule="exact"/>
        <w:ind w:firstLine="0" w:firstLineChars="0"/>
        <w:jc w:val="center"/>
        <w:rPr>
          <w:rFonts w:hint="eastAsia" w:ascii="黑体" w:hAnsi="黑体" w:eastAsia="黑体" w:cs="Times New Roman"/>
          <w:b w:val="0"/>
          <w:bCs/>
          <w:color w:val="auto"/>
          <w:sz w:val="34"/>
          <w:szCs w:val="34"/>
          <w:u w:val="none"/>
          <w:lang w:eastAsia="zh-CN"/>
        </w:rPr>
      </w:pPr>
      <w:r>
        <w:rPr>
          <w:rFonts w:hint="eastAsia" w:ascii="黑体" w:hAnsi="黑体" w:eastAsia="黑体" w:cs="Times New Roman"/>
          <w:b w:val="0"/>
          <w:bCs/>
          <w:color w:val="auto"/>
          <w:sz w:val="34"/>
          <w:szCs w:val="34"/>
          <w:u w:val="none"/>
          <w:lang w:eastAsia="zh-CN"/>
        </w:rPr>
        <w:t>第</w:t>
      </w:r>
      <w:r>
        <w:rPr>
          <w:rFonts w:hint="eastAsia" w:ascii="黑体" w:hAnsi="黑体" w:eastAsia="黑体" w:cs="Times New Roman"/>
          <w:b w:val="0"/>
          <w:bCs/>
          <w:color w:val="auto"/>
          <w:sz w:val="34"/>
          <w:szCs w:val="34"/>
          <w:u w:val="none"/>
          <w:lang w:val="en-US" w:eastAsia="zh-CN"/>
        </w:rPr>
        <w:t>三</w:t>
      </w:r>
      <w:r>
        <w:rPr>
          <w:rFonts w:hint="eastAsia" w:ascii="黑体" w:hAnsi="黑体" w:eastAsia="黑体" w:cs="Times New Roman"/>
          <w:b w:val="0"/>
          <w:bCs/>
          <w:color w:val="auto"/>
          <w:sz w:val="34"/>
          <w:szCs w:val="34"/>
          <w:u w:val="none"/>
          <w:lang w:eastAsia="zh-CN"/>
        </w:rPr>
        <w:t>章　</w:t>
      </w:r>
      <w:r>
        <w:rPr>
          <w:rFonts w:hint="eastAsia" w:ascii="黑体" w:hAnsi="黑体" w:eastAsia="黑体" w:cs="Times New Roman"/>
          <w:b w:val="0"/>
          <w:bCs/>
          <w:color w:val="auto"/>
          <w:sz w:val="34"/>
          <w:szCs w:val="34"/>
          <w:u w:val="none"/>
        </w:rPr>
        <w:t>供应商</w:t>
      </w:r>
      <w:r>
        <w:rPr>
          <w:rFonts w:hint="eastAsia" w:ascii="黑体" w:hAnsi="黑体" w:eastAsia="黑体" w:cs="Times New Roman"/>
          <w:b w:val="0"/>
          <w:bCs/>
          <w:color w:val="auto"/>
          <w:sz w:val="34"/>
          <w:szCs w:val="34"/>
          <w:u w:val="none"/>
          <w:lang w:val="en-US" w:eastAsia="zh-CN"/>
        </w:rPr>
        <w:t>分级</w:t>
      </w:r>
      <w:r>
        <w:rPr>
          <w:rFonts w:hint="eastAsia" w:ascii="黑体" w:hAnsi="黑体" w:eastAsia="黑体" w:cs="Times New Roman"/>
          <w:b w:val="0"/>
          <w:bCs/>
          <w:color w:val="auto"/>
          <w:sz w:val="34"/>
          <w:szCs w:val="34"/>
          <w:u w:val="none"/>
          <w:lang w:eastAsia="zh-CN"/>
        </w:rPr>
        <w:t>管理</w:t>
      </w:r>
    </w:p>
    <w:p w14:paraId="7E00C605">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left="0" w:leftChars="0" w:firstLine="683" w:firstLineChars="200"/>
        <w:textAlignment w:val="auto"/>
        <w:outlineLvl w:val="9"/>
        <w:rPr>
          <w:rFonts w:hint="eastAsia" w:ascii="仿宋_GB2312" w:hAnsi="楷体" w:eastAsia="仿宋_GB2312" w:cs="Times New Roman"/>
          <w:b w:val="0"/>
          <w:bCs/>
          <w:color w:val="auto"/>
          <w:sz w:val="34"/>
          <w:szCs w:val="34"/>
          <w:u w:val="none"/>
          <w:lang w:val="en-US" w:eastAsia="zh-CN"/>
        </w:rPr>
      </w:pPr>
      <w:r>
        <w:rPr>
          <w:rFonts w:hint="eastAsia" w:ascii="仿宋_GB2312" w:hAnsi="楷体" w:eastAsia="仿宋_GB2312" w:cs="Times New Roman"/>
          <w:b/>
          <w:bCs w:val="0"/>
          <w:color w:val="auto"/>
          <w:sz w:val="34"/>
          <w:szCs w:val="34"/>
          <w:u w:val="none"/>
          <w:lang w:val="en-US" w:eastAsia="zh-CN"/>
        </w:rPr>
        <w:t xml:space="preserve">第六条  </w:t>
      </w:r>
      <w:r>
        <w:rPr>
          <w:rFonts w:hint="eastAsia" w:ascii="仿宋_GB2312" w:hAnsi="楷体" w:eastAsia="仿宋_GB2312" w:cs="Times New Roman"/>
          <w:b w:val="0"/>
          <w:bCs/>
          <w:color w:val="auto"/>
          <w:sz w:val="34"/>
          <w:szCs w:val="34"/>
          <w:u w:val="none"/>
          <w:lang w:val="en-US" w:eastAsia="zh-CN"/>
        </w:rPr>
        <w:t>根据考核扣分及违规严重性，将供应商分为以下三类管理：</w:t>
      </w:r>
    </w:p>
    <w:p w14:paraId="6D0FA5A5">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left="0" w:leftChars="0" w:firstLine="680" w:firstLineChars="200"/>
        <w:textAlignment w:val="auto"/>
        <w:outlineLvl w:val="9"/>
        <w:rPr>
          <w:rFonts w:hint="eastAsia" w:ascii="仿宋_GB2312" w:hAnsi="楷体" w:eastAsia="仿宋_GB2312" w:cs="Times New Roman"/>
          <w:b w:val="0"/>
          <w:bCs/>
          <w:color w:val="auto"/>
          <w:sz w:val="34"/>
          <w:szCs w:val="34"/>
          <w:u w:val="none"/>
          <w:lang w:val="en-US" w:eastAsia="zh-CN"/>
        </w:rPr>
      </w:pPr>
      <w:r>
        <w:rPr>
          <w:rFonts w:hint="eastAsia" w:ascii="仿宋_GB2312" w:hAnsi="楷体" w:eastAsia="仿宋_GB2312" w:cs="Times New Roman"/>
          <w:b w:val="0"/>
          <w:bCs/>
          <w:color w:val="auto"/>
          <w:sz w:val="34"/>
          <w:szCs w:val="34"/>
          <w:u w:val="none"/>
          <w:lang w:val="en-US" w:eastAsia="zh-CN"/>
        </w:rPr>
        <w:t>（一）合格供应商</w:t>
      </w:r>
    </w:p>
    <w:p w14:paraId="7783CE32">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left="0" w:leftChars="0" w:firstLine="680" w:firstLineChars="200"/>
        <w:textAlignment w:val="auto"/>
        <w:outlineLvl w:val="9"/>
        <w:rPr>
          <w:rFonts w:hint="eastAsia" w:ascii="仿宋_GB2312" w:hAnsi="楷体" w:eastAsia="仿宋_GB2312" w:cs="Times New Roman"/>
          <w:b w:val="0"/>
          <w:bCs/>
          <w:color w:val="auto"/>
          <w:sz w:val="34"/>
          <w:szCs w:val="34"/>
          <w:u w:val="none"/>
          <w:lang w:val="en-US" w:eastAsia="zh-CN"/>
        </w:rPr>
      </w:pPr>
      <w:r>
        <w:rPr>
          <w:rFonts w:hint="eastAsia" w:ascii="仿宋_GB2312" w:hAnsi="楷体" w:eastAsia="仿宋_GB2312" w:cs="Times New Roman"/>
          <w:b w:val="0"/>
          <w:bCs/>
          <w:color w:val="auto"/>
          <w:sz w:val="34"/>
          <w:szCs w:val="34"/>
          <w:u w:val="none"/>
          <w:lang w:val="en-US" w:eastAsia="zh-CN"/>
        </w:rPr>
        <w:t>1.考核标准：</w:t>
      </w:r>
      <w:r>
        <w:rPr>
          <w:rFonts w:hint="eastAsia" w:ascii="仿宋_GB2312" w:hAnsi="楷体" w:eastAsia="仿宋_GB2312" w:cs="Times New Roman"/>
          <w:bCs/>
          <w:i w:val="0"/>
          <w:iCs w:val="0"/>
          <w:caps w:val="0"/>
          <w:color w:val="auto"/>
          <w:spacing w:val="0"/>
          <w:sz w:val="34"/>
          <w:szCs w:val="34"/>
          <w:u w:val="none"/>
          <w:lang w:val="en-US" w:eastAsia="zh-CN"/>
        </w:rPr>
        <w:t>滚动周期</w:t>
      </w:r>
      <w:r>
        <w:rPr>
          <w:rFonts w:hint="eastAsia" w:ascii="仿宋_GB2312" w:hAnsi="楷体" w:eastAsia="仿宋_GB2312" w:cs="Times New Roman"/>
          <w:b w:val="0"/>
          <w:bCs/>
          <w:color w:val="auto"/>
          <w:sz w:val="34"/>
          <w:szCs w:val="34"/>
          <w:u w:val="none"/>
          <w:lang w:val="en-US" w:eastAsia="zh-CN"/>
        </w:rPr>
        <w:t>扣分（一年内）＜10分。</w:t>
      </w:r>
    </w:p>
    <w:p w14:paraId="58453BD0">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left="0" w:leftChars="0" w:firstLine="680" w:firstLineChars="200"/>
        <w:textAlignment w:val="auto"/>
        <w:outlineLvl w:val="9"/>
        <w:rPr>
          <w:rFonts w:hint="eastAsia" w:ascii="仿宋_GB2312" w:hAnsi="楷体" w:eastAsia="仿宋_GB2312" w:cs="Times New Roman"/>
          <w:b w:val="0"/>
          <w:bCs/>
          <w:color w:val="auto"/>
          <w:sz w:val="34"/>
          <w:szCs w:val="34"/>
          <w:u w:val="none"/>
          <w:lang w:val="en-US" w:eastAsia="zh-CN"/>
        </w:rPr>
      </w:pPr>
      <w:r>
        <w:rPr>
          <w:rFonts w:hint="eastAsia" w:ascii="仿宋_GB2312" w:hAnsi="楷体" w:eastAsia="仿宋_GB2312" w:cs="Times New Roman"/>
          <w:b w:val="0"/>
          <w:bCs/>
          <w:color w:val="auto"/>
          <w:sz w:val="34"/>
          <w:szCs w:val="34"/>
          <w:u w:val="none"/>
          <w:lang w:val="en-US" w:eastAsia="zh-CN"/>
        </w:rPr>
        <w:t>2.管理措施：可正常参与公司公开采购及合作，扣分自首次扣除满一年自动清零。</w:t>
      </w:r>
    </w:p>
    <w:p w14:paraId="388BA604">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left="0" w:leftChars="0" w:firstLine="680" w:firstLineChars="200"/>
        <w:textAlignment w:val="auto"/>
        <w:outlineLvl w:val="9"/>
        <w:rPr>
          <w:rFonts w:hint="eastAsia" w:ascii="仿宋_GB2312" w:hAnsi="楷体" w:eastAsia="仿宋_GB2312" w:cs="Times New Roman"/>
          <w:b w:val="0"/>
          <w:bCs/>
          <w:color w:val="auto"/>
          <w:sz w:val="34"/>
          <w:szCs w:val="34"/>
          <w:u w:val="none"/>
          <w:lang w:val="en-US" w:eastAsia="zh-CN"/>
        </w:rPr>
      </w:pPr>
      <w:r>
        <w:rPr>
          <w:rFonts w:hint="eastAsia" w:ascii="仿宋_GB2312" w:hAnsi="楷体" w:eastAsia="仿宋_GB2312" w:cs="Times New Roman"/>
          <w:b w:val="0"/>
          <w:bCs/>
          <w:color w:val="auto"/>
          <w:sz w:val="34"/>
          <w:szCs w:val="34"/>
          <w:u w:val="none"/>
          <w:lang w:val="en-US" w:eastAsia="zh-CN"/>
        </w:rPr>
        <w:t>（二）暂停合作供应商</w:t>
      </w:r>
    </w:p>
    <w:p w14:paraId="46A1FABA">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left="0" w:leftChars="0" w:firstLine="680" w:firstLineChars="200"/>
        <w:textAlignment w:val="auto"/>
        <w:outlineLvl w:val="9"/>
        <w:rPr>
          <w:rFonts w:hint="eastAsia" w:ascii="仿宋_GB2312" w:hAnsi="楷体" w:eastAsia="仿宋_GB2312" w:cs="Times New Roman"/>
          <w:b w:val="0"/>
          <w:bCs/>
          <w:color w:val="auto"/>
          <w:sz w:val="34"/>
          <w:szCs w:val="34"/>
          <w:u w:val="none"/>
          <w:lang w:val="en-US" w:eastAsia="zh-CN"/>
        </w:rPr>
      </w:pPr>
      <w:r>
        <w:rPr>
          <w:rFonts w:hint="eastAsia" w:ascii="仿宋_GB2312" w:hAnsi="楷体" w:eastAsia="仿宋_GB2312" w:cs="Times New Roman"/>
          <w:b w:val="0"/>
          <w:bCs/>
          <w:color w:val="auto"/>
          <w:sz w:val="34"/>
          <w:szCs w:val="34"/>
          <w:u w:val="none"/>
          <w:lang w:val="en-US" w:eastAsia="zh-CN"/>
        </w:rPr>
        <w:t>1.考核标准：同一</w:t>
      </w:r>
      <w:r>
        <w:rPr>
          <w:rFonts w:hint="eastAsia" w:ascii="仿宋_GB2312" w:hAnsi="仿宋" w:eastAsia="仿宋_GB2312" w:cs="Times New Roman"/>
          <w:b w:val="0"/>
          <w:bCs/>
          <w:color w:val="auto"/>
          <w:sz w:val="34"/>
          <w:szCs w:val="34"/>
          <w:u w:val="none"/>
          <w:lang w:val="en-US" w:eastAsia="zh-CN"/>
        </w:rPr>
        <w:t>单位对同一供应商一年内的考核扣分累计</w:t>
      </w:r>
      <w:r>
        <w:rPr>
          <w:rFonts w:hint="eastAsia" w:ascii="仿宋_GB2312" w:hAnsi="楷体" w:eastAsia="仿宋_GB2312" w:cs="Times New Roman"/>
          <w:b w:val="0"/>
          <w:bCs/>
          <w:color w:val="auto"/>
          <w:sz w:val="34"/>
          <w:szCs w:val="34"/>
          <w:u w:val="none"/>
          <w:lang w:val="en-US" w:eastAsia="zh-CN"/>
        </w:rPr>
        <w:t>≥10分；</w:t>
      </w:r>
      <w:r>
        <w:rPr>
          <w:rFonts w:hint="eastAsia" w:ascii="仿宋_GB2312" w:hAnsi="仿宋" w:eastAsia="仿宋_GB2312" w:cs="Times New Roman"/>
          <w:b w:val="0"/>
          <w:bCs/>
          <w:color w:val="auto"/>
          <w:sz w:val="34"/>
          <w:szCs w:val="34"/>
          <w:u w:val="none"/>
          <w:lang w:val="en-US" w:eastAsia="zh-CN"/>
        </w:rPr>
        <w:t>不同单位对同一供应商一年内的考核扣分累计</w:t>
      </w:r>
      <w:r>
        <w:rPr>
          <w:rFonts w:hint="eastAsia" w:ascii="仿宋_GB2312" w:hAnsi="楷体" w:eastAsia="仿宋_GB2312" w:cs="Times New Roman"/>
          <w:b w:val="0"/>
          <w:bCs/>
          <w:color w:val="auto"/>
          <w:sz w:val="34"/>
          <w:szCs w:val="34"/>
          <w:u w:val="none"/>
          <w:lang w:val="en-US" w:eastAsia="zh-CN"/>
        </w:rPr>
        <w:t>≥15分。</w:t>
      </w:r>
    </w:p>
    <w:p w14:paraId="252D73CB">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left="0" w:leftChars="0" w:firstLine="680" w:firstLineChars="200"/>
        <w:textAlignment w:val="auto"/>
        <w:outlineLvl w:val="9"/>
        <w:rPr>
          <w:rFonts w:hint="default"/>
          <w:color w:val="auto"/>
          <w:u w:val="none"/>
          <w:lang w:val="en-US" w:eastAsia="zh-CN"/>
        </w:rPr>
      </w:pPr>
      <w:r>
        <w:rPr>
          <w:rFonts w:hint="eastAsia" w:ascii="仿宋_GB2312" w:hAnsi="楷体" w:eastAsia="仿宋_GB2312" w:cs="Times New Roman"/>
          <w:b w:val="0"/>
          <w:bCs/>
          <w:color w:val="auto"/>
          <w:sz w:val="34"/>
          <w:szCs w:val="34"/>
          <w:u w:val="none"/>
          <w:lang w:val="en-US" w:eastAsia="zh-CN"/>
        </w:rPr>
        <w:t>2.管理措施：一年内停止与其产生新的合作。建立到期提示机制，到期前一个月内考核部门应主动告知相应供应商，并同步开放整改材料提交通道。</w:t>
      </w:r>
    </w:p>
    <w:p w14:paraId="45DD3CC7">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left="0" w:leftChars="0" w:firstLine="680" w:firstLineChars="200"/>
        <w:textAlignment w:val="auto"/>
        <w:outlineLvl w:val="9"/>
        <w:rPr>
          <w:rFonts w:hint="default" w:ascii="仿宋_GB2312" w:hAnsi="楷体" w:eastAsia="仿宋_GB2312" w:cs="Times New Roman"/>
          <w:b w:val="0"/>
          <w:bCs/>
          <w:color w:val="auto"/>
          <w:sz w:val="34"/>
          <w:szCs w:val="34"/>
          <w:u w:val="none"/>
          <w:lang w:val="en-US" w:eastAsia="zh-CN"/>
        </w:rPr>
      </w:pPr>
      <w:r>
        <w:rPr>
          <w:rFonts w:hint="eastAsia" w:ascii="仿宋_GB2312" w:hAnsi="楷体" w:eastAsia="仿宋_GB2312" w:cs="Times New Roman"/>
          <w:b w:val="0"/>
          <w:bCs/>
          <w:color w:val="auto"/>
          <w:sz w:val="34"/>
          <w:szCs w:val="34"/>
          <w:u w:val="none"/>
          <w:lang w:val="en-US" w:eastAsia="zh-CN"/>
        </w:rPr>
        <w:t>3.评审优先级：在采购评审过程中，同等情况下应优先选择未曾被列入暂停合作供应商清单的供应商。</w:t>
      </w:r>
    </w:p>
    <w:p w14:paraId="77895289">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left="0" w:leftChars="0" w:firstLine="680" w:firstLineChars="200"/>
        <w:textAlignment w:val="auto"/>
        <w:outlineLvl w:val="9"/>
        <w:rPr>
          <w:rFonts w:hint="eastAsia" w:ascii="仿宋_GB2312" w:hAnsi="楷体" w:eastAsia="仿宋_GB2312" w:cs="Times New Roman"/>
          <w:b w:val="0"/>
          <w:bCs/>
          <w:color w:val="auto"/>
          <w:sz w:val="34"/>
          <w:szCs w:val="34"/>
          <w:u w:val="none"/>
          <w:lang w:val="en-US" w:eastAsia="zh-CN"/>
        </w:rPr>
      </w:pPr>
      <w:r>
        <w:rPr>
          <w:rFonts w:hint="eastAsia" w:ascii="仿宋_GB2312" w:hAnsi="楷体" w:eastAsia="仿宋_GB2312" w:cs="Times New Roman"/>
          <w:b w:val="0"/>
          <w:bCs/>
          <w:color w:val="auto"/>
          <w:sz w:val="34"/>
          <w:szCs w:val="34"/>
          <w:u w:val="none"/>
          <w:lang w:val="en-US" w:eastAsia="zh-CN"/>
        </w:rPr>
        <w:t>（三）禁止合作供应商</w:t>
      </w:r>
    </w:p>
    <w:p w14:paraId="0D4539A8">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left="0" w:leftChars="0" w:firstLine="680" w:firstLineChars="200"/>
        <w:textAlignment w:val="auto"/>
        <w:outlineLvl w:val="9"/>
        <w:rPr>
          <w:rFonts w:hint="eastAsia" w:ascii="仿宋_GB2312" w:hAnsi="楷体" w:eastAsia="仿宋_GB2312" w:cs="Times New Roman"/>
          <w:b w:val="0"/>
          <w:bCs/>
          <w:color w:val="auto"/>
          <w:sz w:val="34"/>
          <w:szCs w:val="34"/>
          <w:u w:val="none"/>
          <w:lang w:val="en-US" w:eastAsia="zh-CN"/>
        </w:rPr>
      </w:pPr>
      <w:r>
        <w:rPr>
          <w:rFonts w:hint="eastAsia" w:ascii="仿宋_GB2312" w:hAnsi="楷体" w:eastAsia="仿宋_GB2312" w:cs="Times New Roman"/>
          <w:b w:val="0"/>
          <w:bCs/>
          <w:color w:val="auto"/>
          <w:sz w:val="34"/>
          <w:szCs w:val="34"/>
          <w:u w:val="none"/>
          <w:lang w:val="en-US" w:eastAsia="zh-CN"/>
        </w:rPr>
        <w:t>1.考核标准：供应商发生以下恶意行为的，将直接列入禁止合作供应商清单：</w:t>
      </w:r>
    </w:p>
    <w:p w14:paraId="28C33410">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left="0" w:leftChars="0" w:firstLine="680" w:firstLineChars="200"/>
        <w:textAlignment w:val="auto"/>
        <w:outlineLvl w:val="9"/>
        <w:rPr>
          <w:rFonts w:hint="eastAsia" w:ascii="仿宋_GB2312" w:hAnsi="楷体" w:eastAsia="仿宋_GB2312" w:cs="Times New Roman"/>
          <w:b w:val="0"/>
          <w:bCs/>
          <w:color w:val="auto"/>
          <w:sz w:val="34"/>
          <w:szCs w:val="34"/>
          <w:u w:val="none"/>
          <w:lang w:val="en-US" w:eastAsia="zh-CN"/>
        </w:rPr>
      </w:pPr>
      <w:r>
        <w:rPr>
          <w:rFonts w:hint="eastAsia" w:ascii="仿宋_GB2312" w:hAnsi="楷体" w:eastAsia="仿宋_GB2312" w:cs="Times New Roman"/>
          <w:b w:val="0"/>
          <w:bCs/>
          <w:color w:val="auto"/>
          <w:sz w:val="34"/>
          <w:szCs w:val="34"/>
          <w:u w:val="none"/>
          <w:lang w:val="en-US" w:eastAsia="zh-CN"/>
        </w:rPr>
        <w:t>（1）主观恶意且对公司生产经营活动造成重大损害的；</w:t>
      </w:r>
    </w:p>
    <w:p w14:paraId="7A68B6EF">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left="0" w:leftChars="0" w:firstLine="680" w:firstLineChars="200"/>
        <w:textAlignment w:val="auto"/>
        <w:outlineLvl w:val="9"/>
        <w:rPr>
          <w:rFonts w:hint="eastAsia" w:ascii="仿宋_GB2312" w:hAnsi="仿宋" w:eastAsia="仿宋_GB2312" w:cs="Times New Roman"/>
          <w:b w:val="0"/>
          <w:bCs/>
          <w:color w:val="auto"/>
          <w:sz w:val="34"/>
          <w:szCs w:val="34"/>
          <w:u w:val="none"/>
          <w:lang w:val="en-US" w:eastAsia="zh-CN"/>
        </w:rPr>
      </w:pPr>
      <w:r>
        <w:rPr>
          <w:rFonts w:hint="eastAsia" w:ascii="仿宋_GB2312" w:hAnsi="楷体" w:eastAsia="仿宋_GB2312" w:cs="Times New Roman"/>
          <w:bCs/>
          <w:i w:val="0"/>
          <w:iCs w:val="0"/>
          <w:caps w:val="0"/>
          <w:color w:val="auto"/>
          <w:spacing w:val="0"/>
          <w:sz w:val="34"/>
          <w:szCs w:val="34"/>
          <w:u w:val="none"/>
          <w:lang w:val="en-US" w:eastAsia="zh-CN"/>
        </w:rPr>
        <w:t>（2）</w:t>
      </w:r>
      <w:r>
        <w:rPr>
          <w:rFonts w:hint="eastAsia" w:ascii="仿宋_GB2312" w:hAnsi="仿宋" w:eastAsia="仿宋_GB2312" w:cs="Times New Roman"/>
          <w:b w:val="0"/>
          <w:bCs/>
          <w:color w:val="auto"/>
          <w:sz w:val="34"/>
          <w:szCs w:val="34"/>
          <w:u w:val="none"/>
          <w:lang w:val="en-US" w:eastAsia="zh-CN"/>
        </w:rPr>
        <w:t>恶意法律诉讼起诉我公司最终被法院裁定为败诉的；</w:t>
      </w:r>
    </w:p>
    <w:p w14:paraId="26F6F3FD">
      <w:pPr>
        <w:keepNext w:val="0"/>
        <w:keepLines w:val="0"/>
        <w:pageBreakBefore w:val="0"/>
        <w:widowControl/>
        <w:kinsoku/>
        <w:wordWrap/>
        <w:overflowPunct/>
        <w:topLinePunct w:val="0"/>
        <w:autoSpaceDE/>
        <w:autoSpaceDN/>
        <w:bidi w:val="0"/>
        <w:adjustRightInd w:val="0"/>
        <w:snapToGrid w:val="0"/>
        <w:spacing w:beforeLines="0" w:beforeAutospacing="0" w:afterLines="0" w:afterAutospacing="0" w:line="600" w:lineRule="exact"/>
        <w:ind w:left="0" w:leftChars="0" w:firstLine="0" w:firstLineChars="0"/>
        <w:textAlignment w:val="auto"/>
        <w:outlineLvl w:val="9"/>
        <w:rPr>
          <w:rFonts w:hint="eastAsia" w:ascii="仿宋_GB2312" w:hAnsi="仿宋" w:eastAsia="仿宋_GB2312" w:cs="Times New Roman"/>
          <w:b w:val="0"/>
          <w:bCs/>
          <w:color w:val="auto"/>
          <w:sz w:val="34"/>
          <w:szCs w:val="34"/>
          <w:u w:val="none"/>
          <w:lang w:val="en-US" w:eastAsia="zh-CN"/>
        </w:rPr>
      </w:pPr>
      <w:r>
        <w:rPr>
          <w:rFonts w:hint="eastAsia" w:ascii="仿宋_GB2312" w:hAnsi="仿宋" w:eastAsia="仿宋_GB2312" w:cs="Times New Roman"/>
          <w:b w:val="0"/>
          <w:bCs/>
          <w:color w:val="auto"/>
          <w:sz w:val="34"/>
          <w:szCs w:val="34"/>
          <w:u w:val="none"/>
          <w:lang w:val="en-US" w:eastAsia="zh-CN"/>
        </w:rPr>
        <w:t xml:space="preserve">    （3）</w:t>
      </w:r>
      <w:r>
        <w:rPr>
          <w:rFonts w:hint="eastAsia" w:ascii="仿宋_GB2312" w:hAnsi="楷体" w:eastAsia="仿宋_GB2312" w:cs="Times New Roman"/>
          <w:b w:val="0"/>
          <w:bCs/>
          <w:color w:val="auto"/>
          <w:sz w:val="34"/>
          <w:szCs w:val="34"/>
          <w:u w:val="none"/>
          <w:lang w:val="en-US" w:eastAsia="zh-CN"/>
        </w:rPr>
        <w:t>两次列入暂停合作供应商的；</w:t>
      </w:r>
    </w:p>
    <w:p w14:paraId="57BBE122">
      <w:pPr>
        <w:keepNext w:val="0"/>
        <w:keepLines w:val="0"/>
        <w:pageBreakBefore w:val="0"/>
        <w:widowControl/>
        <w:tabs>
          <w:tab w:val="left" w:pos="2565"/>
        </w:tabs>
        <w:kinsoku/>
        <w:wordWrap/>
        <w:overflowPunct/>
        <w:topLinePunct w:val="0"/>
        <w:autoSpaceDE/>
        <w:autoSpaceDN/>
        <w:bidi w:val="0"/>
        <w:adjustRightInd w:val="0"/>
        <w:snapToGrid w:val="0"/>
        <w:spacing w:beforeAutospacing="0" w:afterAutospacing="0" w:line="600" w:lineRule="exact"/>
        <w:ind w:firstLine="680" w:firstLineChars="200"/>
        <w:textAlignment w:val="auto"/>
        <w:outlineLvl w:val="9"/>
        <w:rPr>
          <w:rFonts w:hint="eastAsia" w:ascii="仿宋_GB2312" w:hAnsi="楷体" w:eastAsia="仿宋_GB2312" w:cs="Times New Roman"/>
          <w:b w:val="0"/>
          <w:bCs/>
          <w:color w:val="auto"/>
          <w:sz w:val="34"/>
          <w:szCs w:val="34"/>
          <w:u w:val="none"/>
          <w:lang w:val="en-US" w:eastAsia="zh-CN"/>
        </w:rPr>
      </w:pPr>
      <w:r>
        <w:rPr>
          <w:rFonts w:hint="eastAsia" w:ascii="仿宋_GB2312" w:hAnsi="楷体" w:eastAsia="仿宋_GB2312" w:cs="Times New Roman"/>
          <w:b w:val="0"/>
          <w:bCs/>
          <w:color w:val="auto"/>
          <w:sz w:val="34"/>
          <w:szCs w:val="34"/>
          <w:u w:val="none"/>
          <w:lang w:val="en-US" w:eastAsia="zh-CN"/>
        </w:rPr>
        <w:t>（4）</w:t>
      </w:r>
      <w:r>
        <w:rPr>
          <w:rFonts w:hint="eastAsia" w:ascii="仿宋_GB2312" w:hAnsi="仿宋" w:eastAsia="仿宋_GB2312" w:cs="Times New Roman"/>
          <w:b w:val="0"/>
          <w:bCs/>
          <w:color w:val="auto"/>
          <w:sz w:val="34"/>
          <w:szCs w:val="34"/>
          <w:u w:val="none"/>
        </w:rPr>
        <w:t>违反廉</w:t>
      </w:r>
      <w:r>
        <w:rPr>
          <w:rFonts w:hint="eastAsia" w:ascii="仿宋_GB2312" w:hAnsi="仿宋" w:eastAsia="仿宋_GB2312" w:cs="Times New Roman"/>
          <w:b w:val="0"/>
          <w:bCs/>
          <w:color w:val="auto"/>
          <w:sz w:val="34"/>
          <w:szCs w:val="34"/>
          <w:u w:val="none"/>
          <w:lang w:eastAsia="zh-CN"/>
        </w:rPr>
        <w:t>政</w:t>
      </w:r>
      <w:r>
        <w:rPr>
          <w:rFonts w:hint="eastAsia" w:ascii="仿宋_GB2312" w:hAnsi="仿宋" w:eastAsia="仿宋_GB2312" w:cs="Times New Roman"/>
          <w:b w:val="0"/>
          <w:bCs/>
          <w:color w:val="auto"/>
          <w:sz w:val="34"/>
          <w:szCs w:val="34"/>
          <w:u w:val="none"/>
        </w:rPr>
        <w:t>协议，滋生腐败现象</w:t>
      </w:r>
      <w:r>
        <w:rPr>
          <w:rFonts w:hint="eastAsia" w:ascii="仿宋_GB2312" w:hAnsi="仿宋" w:eastAsia="仿宋_GB2312" w:cs="Times New Roman"/>
          <w:b w:val="0"/>
          <w:bCs/>
          <w:color w:val="auto"/>
          <w:sz w:val="34"/>
          <w:szCs w:val="34"/>
          <w:u w:val="none"/>
          <w:lang w:eastAsia="zh-CN"/>
        </w:rPr>
        <w:t>的；</w:t>
      </w:r>
    </w:p>
    <w:p w14:paraId="796723C8">
      <w:pPr>
        <w:pStyle w:val="3"/>
        <w:keepNext w:val="0"/>
        <w:keepLines w:val="0"/>
        <w:pageBreakBefore w:val="0"/>
        <w:widowControl/>
        <w:kinsoku/>
        <w:wordWrap/>
        <w:overflowPunct/>
        <w:topLinePunct w:val="0"/>
        <w:autoSpaceDE/>
        <w:autoSpaceDN/>
        <w:bidi w:val="0"/>
        <w:adjustRightInd w:val="0"/>
        <w:snapToGrid w:val="0"/>
        <w:spacing w:beforeAutospacing="0" w:afterAutospacing="0" w:line="600" w:lineRule="exact"/>
        <w:ind w:firstLine="680" w:firstLineChars="200"/>
        <w:textAlignment w:val="auto"/>
        <w:rPr>
          <w:rFonts w:hint="default"/>
          <w:color w:val="auto"/>
          <w:u w:val="none"/>
          <w:lang w:val="en-US" w:eastAsia="zh-CN"/>
        </w:rPr>
      </w:pPr>
      <w:r>
        <w:rPr>
          <w:rFonts w:hint="eastAsia" w:ascii="仿宋_GB2312" w:hAnsi="楷体" w:eastAsia="仿宋_GB2312" w:cs="Times New Roman"/>
          <w:b w:val="0"/>
          <w:bCs/>
          <w:color w:val="auto"/>
          <w:sz w:val="34"/>
          <w:szCs w:val="34"/>
          <w:u w:val="none"/>
          <w:lang w:val="en-US" w:eastAsia="zh-CN"/>
        </w:rPr>
        <w:t>（5）存在其他严重侵害公司利益行为的。</w:t>
      </w:r>
    </w:p>
    <w:p w14:paraId="1B1E09F3">
      <w:pPr>
        <w:keepNext w:val="0"/>
        <w:keepLines w:val="0"/>
        <w:pageBreakBefore w:val="0"/>
        <w:widowControl/>
        <w:tabs>
          <w:tab w:val="left" w:pos="2565"/>
        </w:tabs>
        <w:kinsoku/>
        <w:wordWrap/>
        <w:overflowPunct/>
        <w:topLinePunct w:val="0"/>
        <w:autoSpaceDE/>
        <w:autoSpaceDN/>
        <w:bidi w:val="0"/>
        <w:adjustRightInd w:val="0"/>
        <w:snapToGrid w:val="0"/>
        <w:spacing w:beforeLines="0" w:beforeAutospacing="0" w:afterLines="0" w:afterAutospacing="0" w:line="600" w:lineRule="exact"/>
        <w:ind w:left="0" w:leftChars="0" w:firstLine="680" w:firstLineChars="200"/>
        <w:textAlignment w:val="auto"/>
        <w:outlineLvl w:val="9"/>
        <w:rPr>
          <w:rFonts w:hint="eastAsia" w:ascii="仿宋_GB2312" w:hAnsi="楷体" w:eastAsia="仿宋_GB2312" w:cs="Times New Roman"/>
          <w:b w:val="0"/>
          <w:bCs/>
          <w:color w:val="auto"/>
          <w:sz w:val="34"/>
          <w:szCs w:val="34"/>
          <w:u w:val="none"/>
          <w:lang w:val="en-US" w:eastAsia="zh-CN"/>
        </w:rPr>
      </w:pPr>
      <w:r>
        <w:rPr>
          <w:rFonts w:hint="eastAsia" w:ascii="仿宋_GB2312" w:hAnsi="楷体" w:eastAsia="仿宋_GB2312" w:cs="Times New Roman"/>
          <w:b w:val="0"/>
          <w:bCs/>
          <w:color w:val="auto"/>
          <w:sz w:val="34"/>
          <w:szCs w:val="34"/>
          <w:u w:val="none"/>
          <w:lang w:val="en-US" w:eastAsia="zh-CN"/>
        </w:rPr>
        <w:t>2.管理措施：原则上</w:t>
      </w:r>
      <w:r>
        <w:rPr>
          <w:rFonts w:hint="eastAsia" w:ascii="仿宋_GB2312" w:hAnsi="楷体" w:eastAsia="仿宋_GB2312" w:cs="Times New Roman"/>
          <w:bCs/>
          <w:i w:val="0"/>
          <w:iCs w:val="0"/>
          <w:caps w:val="0"/>
          <w:color w:val="auto"/>
          <w:spacing w:val="0"/>
          <w:sz w:val="34"/>
          <w:szCs w:val="34"/>
          <w:u w:val="none"/>
          <w:lang w:val="en-US" w:eastAsia="zh-CN"/>
        </w:rPr>
        <w:t>永久禁止合作。</w:t>
      </w:r>
    </w:p>
    <w:p w14:paraId="250601C6">
      <w:pPr>
        <w:keepNext w:val="0"/>
        <w:keepLines w:val="0"/>
        <w:pageBreakBefore w:val="0"/>
        <w:widowControl/>
        <w:kinsoku/>
        <w:wordWrap/>
        <w:overflowPunct/>
        <w:topLinePunct w:val="0"/>
        <w:autoSpaceDE/>
        <w:autoSpaceDN/>
        <w:bidi w:val="0"/>
        <w:spacing w:beforeLines="0" w:afterLines="0" w:line="600" w:lineRule="exact"/>
        <w:ind w:left="0" w:leftChars="0" w:firstLine="0" w:firstLineChars="0"/>
        <w:jc w:val="center"/>
        <w:textAlignment w:val="auto"/>
        <w:outlineLvl w:val="9"/>
        <w:rPr>
          <w:rFonts w:hint="default" w:ascii="黑体" w:hAnsi="黑体" w:eastAsia="黑体" w:cs="Times New Roman"/>
          <w:b w:val="0"/>
          <w:bCs/>
          <w:color w:val="auto"/>
          <w:sz w:val="34"/>
          <w:szCs w:val="34"/>
          <w:u w:val="none"/>
          <w:lang w:val="en-US" w:eastAsia="zh-CN"/>
        </w:rPr>
      </w:pPr>
      <w:r>
        <w:rPr>
          <w:rFonts w:hint="eastAsia" w:ascii="黑体" w:hAnsi="黑体" w:eastAsia="黑体" w:cs="Times New Roman"/>
          <w:b w:val="0"/>
          <w:bCs/>
          <w:color w:val="auto"/>
          <w:sz w:val="34"/>
          <w:szCs w:val="34"/>
          <w:u w:val="none"/>
          <w:lang w:val="en-US" w:eastAsia="zh-CN"/>
        </w:rPr>
        <w:t>第四章 积分考核细则</w:t>
      </w:r>
    </w:p>
    <w:p w14:paraId="0853C5DB">
      <w:pPr>
        <w:keepNext w:val="0"/>
        <w:keepLines w:val="0"/>
        <w:pageBreakBefore w:val="0"/>
        <w:widowControl/>
        <w:kinsoku/>
        <w:wordWrap/>
        <w:overflowPunct/>
        <w:topLinePunct w:val="0"/>
        <w:autoSpaceDE/>
        <w:autoSpaceDN/>
        <w:bidi w:val="0"/>
        <w:spacing w:beforeLines="0" w:afterLines="0" w:line="600" w:lineRule="exact"/>
        <w:ind w:left="0" w:leftChars="0" w:firstLine="683" w:firstLineChars="200"/>
        <w:textAlignment w:val="auto"/>
        <w:outlineLvl w:val="9"/>
        <w:rPr>
          <w:rFonts w:hint="eastAsia" w:ascii="仿宋_GB2312" w:hAnsi="楷体" w:eastAsia="仿宋_GB2312" w:cs="Times New Roman"/>
          <w:b w:val="0"/>
          <w:bCs/>
          <w:color w:val="auto"/>
          <w:sz w:val="34"/>
          <w:szCs w:val="34"/>
          <w:u w:val="none"/>
          <w:lang w:val="en-US" w:eastAsia="zh-CN"/>
        </w:rPr>
      </w:pPr>
      <w:r>
        <w:rPr>
          <w:rFonts w:hint="eastAsia" w:ascii="仿宋_GB2312" w:hAnsi="楷体" w:eastAsia="仿宋_GB2312" w:cs="Times New Roman"/>
          <w:b/>
          <w:bCs w:val="0"/>
          <w:color w:val="auto"/>
          <w:sz w:val="34"/>
          <w:szCs w:val="34"/>
          <w:u w:val="none"/>
          <w:lang w:val="en-US" w:eastAsia="zh-CN"/>
        </w:rPr>
        <w:t xml:space="preserve">第七条 </w:t>
      </w:r>
      <w:r>
        <w:rPr>
          <w:rFonts w:hint="eastAsia" w:ascii="仿宋_GB2312" w:hAnsi="楷体" w:eastAsia="仿宋_GB2312" w:cs="Times New Roman"/>
          <w:b w:val="0"/>
          <w:bCs/>
          <w:color w:val="auto"/>
          <w:sz w:val="34"/>
          <w:szCs w:val="34"/>
          <w:u w:val="none"/>
          <w:lang w:val="en-US" w:eastAsia="zh-CN"/>
        </w:rPr>
        <w:t>供应商的积分考核主要包括供货质量、交货周期、售后服务、资质信誉等方面，每项各10分，各相关部门均可提出书面考核意见。商务合作部负责对各相关部门提出的考核意见进行收集汇总，并及时公示。</w:t>
      </w:r>
    </w:p>
    <w:p w14:paraId="34EF8812">
      <w:pPr>
        <w:keepNext w:val="0"/>
        <w:keepLines w:val="0"/>
        <w:pageBreakBefore w:val="0"/>
        <w:widowControl/>
        <w:kinsoku/>
        <w:wordWrap/>
        <w:overflowPunct/>
        <w:topLinePunct w:val="0"/>
        <w:autoSpaceDE/>
        <w:autoSpaceDN/>
        <w:bidi w:val="0"/>
        <w:spacing w:beforeLines="0" w:afterLines="0" w:line="600" w:lineRule="exact"/>
        <w:ind w:left="0" w:leftChars="0" w:firstLine="0" w:firstLineChars="0"/>
        <w:textAlignment w:val="auto"/>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eastAsia="zh-CN"/>
        </w:rPr>
        <w:t>　　（</w:t>
      </w:r>
      <w:r>
        <w:rPr>
          <w:rFonts w:hint="eastAsia" w:ascii="仿宋_GB2312" w:hAnsi="仿宋" w:eastAsia="仿宋_GB2312" w:cs="Times New Roman"/>
          <w:b w:val="0"/>
          <w:bCs/>
          <w:color w:val="auto"/>
          <w:sz w:val="34"/>
          <w:szCs w:val="34"/>
          <w:u w:val="none"/>
          <w:lang w:val="en-US" w:eastAsia="zh-CN"/>
        </w:rPr>
        <w:t>一</w:t>
      </w:r>
      <w:r>
        <w:rPr>
          <w:rFonts w:hint="eastAsia" w:ascii="仿宋_GB2312" w:hAnsi="仿宋" w:eastAsia="仿宋_GB2312" w:cs="Times New Roman"/>
          <w:b w:val="0"/>
          <w:bCs/>
          <w:color w:val="auto"/>
          <w:sz w:val="34"/>
          <w:szCs w:val="34"/>
          <w:u w:val="none"/>
          <w:lang w:eastAsia="zh-CN"/>
        </w:rPr>
        <w:t>）</w:t>
      </w:r>
      <w:r>
        <w:rPr>
          <w:rFonts w:hint="eastAsia" w:ascii="仿宋_GB2312" w:hAnsi="仿宋" w:eastAsia="仿宋_GB2312" w:cs="Times New Roman"/>
          <w:b w:val="0"/>
          <w:bCs/>
          <w:color w:val="auto"/>
          <w:sz w:val="34"/>
          <w:szCs w:val="34"/>
          <w:u w:val="none"/>
        </w:rPr>
        <w:t>质量方面</w:t>
      </w:r>
    </w:p>
    <w:p w14:paraId="6C46FEA9">
      <w:pPr>
        <w:keepNext w:val="0"/>
        <w:keepLines w:val="0"/>
        <w:pageBreakBefore w:val="0"/>
        <w:widowControl/>
        <w:kinsoku/>
        <w:wordWrap/>
        <w:overflowPunct/>
        <w:topLinePunct w:val="0"/>
        <w:autoSpaceDE/>
        <w:autoSpaceDN/>
        <w:bidi w:val="0"/>
        <w:spacing w:beforeLines="0" w:afterLines="0" w:line="600" w:lineRule="exact"/>
        <w:ind w:left="0" w:leftChars="0" w:firstLine="0" w:firstLineChars="0"/>
        <w:textAlignment w:val="auto"/>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val="en-US" w:eastAsia="zh-CN"/>
        </w:rPr>
        <w:t xml:space="preserve">    1.</w:t>
      </w:r>
      <w:r>
        <w:rPr>
          <w:rFonts w:hint="eastAsia" w:ascii="仿宋_GB2312" w:hAnsi="仿宋" w:eastAsia="仿宋_GB2312" w:cs="Times New Roman"/>
          <w:b w:val="0"/>
          <w:bCs/>
          <w:color w:val="auto"/>
          <w:sz w:val="34"/>
          <w:szCs w:val="34"/>
          <w:u w:val="none"/>
        </w:rPr>
        <w:t>所供产品出现质量问题，未对</w:t>
      </w:r>
      <w:r>
        <w:rPr>
          <w:rFonts w:hint="eastAsia" w:ascii="仿宋_GB2312" w:hAnsi="仿宋" w:eastAsia="仿宋_GB2312" w:cs="Times New Roman"/>
          <w:b w:val="0"/>
          <w:bCs/>
          <w:color w:val="auto"/>
          <w:sz w:val="34"/>
          <w:szCs w:val="34"/>
          <w:u w:val="none"/>
          <w:lang w:eastAsia="zh-CN"/>
        </w:rPr>
        <w:t>公司</w:t>
      </w:r>
      <w:r>
        <w:rPr>
          <w:rFonts w:hint="eastAsia" w:ascii="仿宋_GB2312" w:hAnsi="仿宋" w:eastAsia="仿宋_GB2312" w:cs="Times New Roman"/>
          <w:b w:val="0"/>
          <w:bCs/>
          <w:color w:val="auto"/>
          <w:sz w:val="34"/>
          <w:szCs w:val="34"/>
          <w:u w:val="none"/>
        </w:rPr>
        <w:t>造成影响，单次扣</w:t>
      </w:r>
      <w:r>
        <w:rPr>
          <w:rFonts w:hint="eastAsia" w:ascii="仿宋_GB2312" w:hAnsi="仿宋" w:eastAsia="仿宋_GB2312" w:cs="Times New Roman"/>
          <w:b w:val="0"/>
          <w:bCs/>
          <w:color w:val="auto"/>
          <w:sz w:val="34"/>
          <w:szCs w:val="34"/>
          <w:u w:val="none"/>
          <w:lang w:val="en-US" w:eastAsia="zh-CN"/>
        </w:rPr>
        <w:t>1-</w:t>
      </w:r>
      <w:r>
        <w:rPr>
          <w:rFonts w:hint="eastAsia" w:ascii="仿宋_GB2312" w:hAnsi="仿宋" w:eastAsia="仿宋_GB2312" w:cs="Times New Roman"/>
          <w:b w:val="0"/>
          <w:bCs/>
          <w:color w:val="auto"/>
          <w:sz w:val="34"/>
          <w:szCs w:val="34"/>
          <w:u w:val="none"/>
        </w:rPr>
        <w:t>3分。</w:t>
      </w:r>
    </w:p>
    <w:p w14:paraId="54F75C0C">
      <w:pPr>
        <w:keepNext w:val="0"/>
        <w:keepLines w:val="0"/>
        <w:pageBreakBefore w:val="0"/>
        <w:widowControl/>
        <w:kinsoku/>
        <w:wordWrap/>
        <w:overflowPunct/>
        <w:topLinePunct w:val="0"/>
        <w:autoSpaceDE/>
        <w:autoSpaceDN/>
        <w:bidi w:val="0"/>
        <w:spacing w:beforeLines="0" w:afterLines="0" w:line="600" w:lineRule="exact"/>
        <w:ind w:left="0" w:leftChars="0" w:firstLine="0" w:firstLineChars="0"/>
        <w:textAlignment w:val="auto"/>
        <w:outlineLvl w:val="9"/>
        <w:rPr>
          <w:rFonts w:hint="eastAsia" w:ascii="仿宋_GB2312" w:hAnsi="仿宋" w:eastAsia="仿宋_GB2312" w:cs="Times New Roman"/>
          <w:b w:val="0"/>
          <w:bCs/>
          <w:color w:val="auto"/>
          <w:sz w:val="34"/>
          <w:szCs w:val="34"/>
          <w:u w:val="none"/>
          <w:lang w:val="en-US" w:eastAsia="zh-CN"/>
        </w:rPr>
      </w:pPr>
      <w:r>
        <w:rPr>
          <w:rFonts w:hint="eastAsia" w:ascii="仿宋_GB2312" w:hAnsi="仿宋" w:eastAsia="仿宋_GB2312" w:cs="Times New Roman"/>
          <w:b w:val="0"/>
          <w:bCs/>
          <w:color w:val="auto"/>
          <w:sz w:val="34"/>
          <w:szCs w:val="34"/>
          <w:u w:val="none"/>
          <w:lang w:eastAsia="zh-CN"/>
        </w:rPr>
        <w:t>　　</w:t>
      </w:r>
      <w:r>
        <w:rPr>
          <w:rFonts w:hint="eastAsia" w:ascii="仿宋_GB2312" w:hAnsi="仿宋" w:eastAsia="仿宋_GB2312" w:cs="Times New Roman"/>
          <w:b w:val="0"/>
          <w:bCs/>
          <w:color w:val="auto"/>
          <w:sz w:val="34"/>
          <w:szCs w:val="34"/>
          <w:u w:val="none"/>
          <w:lang w:val="en-US" w:eastAsia="zh-CN"/>
        </w:rPr>
        <w:t>2.</w:t>
      </w:r>
      <w:r>
        <w:rPr>
          <w:rFonts w:hint="eastAsia" w:ascii="仿宋_GB2312" w:hAnsi="仿宋" w:eastAsia="仿宋_GB2312" w:cs="Times New Roman"/>
          <w:b w:val="0"/>
          <w:bCs/>
          <w:color w:val="auto"/>
          <w:sz w:val="34"/>
          <w:szCs w:val="34"/>
          <w:u w:val="none"/>
        </w:rPr>
        <w:t>所供产品出现质量问题，对</w:t>
      </w:r>
      <w:r>
        <w:rPr>
          <w:rFonts w:hint="eastAsia" w:ascii="仿宋_GB2312" w:hAnsi="仿宋" w:eastAsia="仿宋_GB2312" w:cs="Times New Roman"/>
          <w:b w:val="0"/>
          <w:bCs/>
          <w:color w:val="auto"/>
          <w:sz w:val="34"/>
          <w:szCs w:val="34"/>
          <w:u w:val="none"/>
          <w:lang w:eastAsia="zh-CN"/>
        </w:rPr>
        <w:t>公司</w:t>
      </w:r>
      <w:r>
        <w:rPr>
          <w:rFonts w:hint="eastAsia" w:ascii="仿宋_GB2312" w:hAnsi="仿宋" w:eastAsia="仿宋_GB2312" w:cs="Times New Roman"/>
          <w:b w:val="0"/>
          <w:bCs/>
          <w:color w:val="auto"/>
          <w:sz w:val="34"/>
          <w:szCs w:val="34"/>
          <w:u w:val="none"/>
        </w:rPr>
        <w:t>造成</w:t>
      </w:r>
      <w:r>
        <w:rPr>
          <w:rFonts w:hint="eastAsia" w:ascii="仿宋_GB2312" w:hAnsi="仿宋" w:eastAsia="仿宋_GB2312" w:cs="Times New Roman"/>
          <w:b w:val="0"/>
          <w:bCs/>
          <w:color w:val="auto"/>
          <w:sz w:val="34"/>
          <w:szCs w:val="34"/>
          <w:u w:val="none"/>
          <w:lang w:eastAsia="zh-CN"/>
        </w:rPr>
        <w:t>了一定</w:t>
      </w:r>
      <w:r>
        <w:rPr>
          <w:rFonts w:hint="eastAsia" w:ascii="仿宋_GB2312" w:hAnsi="仿宋" w:eastAsia="仿宋_GB2312" w:cs="Times New Roman"/>
          <w:b w:val="0"/>
          <w:bCs/>
          <w:color w:val="auto"/>
          <w:sz w:val="34"/>
          <w:szCs w:val="34"/>
          <w:u w:val="none"/>
        </w:rPr>
        <w:t>影响，单次扣</w:t>
      </w:r>
      <w:r>
        <w:rPr>
          <w:rFonts w:hint="eastAsia" w:ascii="仿宋_GB2312" w:hAnsi="仿宋" w:eastAsia="仿宋_GB2312" w:cs="Times New Roman"/>
          <w:b w:val="0"/>
          <w:bCs/>
          <w:color w:val="auto"/>
          <w:sz w:val="34"/>
          <w:szCs w:val="34"/>
          <w:u w:val="none"/>
          <w:lang w:val="en-US" w:eastAsia="zh-CN"/>
        </w:rPr>
        <w:t>3-5分。</w:t>
      </w:r>
    </w:p>
    <w:p w14:paraId="2C738715">
      <w:pPr>
        <w:spacing w:line="600" w:lineRule="exact"/>
        <w:ind w:firstLine="680"/>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val="en-US" w:eastAsia="zh-CN"/>
        </w:rPr>
        <w:t>3.</w:t>
      </w:r>
      <w:r>
        <w:rPr>
          <w:rFonts w:hint="eastAsia" w:ascii="仿宋_GB2312" w:hAnsi="仿宋" w:eastAsia="仿宋_GB2312" w:cs="Times New Roman"/>
          <w:b w:val="0"/>
          <w:bCs/>
          <w:color w:val="auto"/>
          <w:sz w:val="34"/>
          <w:szCs w:val="34"/>
          <w:u w:val="none"/>
        </w:rPr>
        <w:t>所供产品出现质量问题，</w:t>
      </w:r>
      <w:r>
        <w:rPr>
          <w:rFonts w:hint="eastAsia" w:ascii="仿宋_GB2312" w:hAnsi="仿宋" w:eastAsia="仿宋_GB2312" w:cs="Times New Roman"/>
          <w:b w:val="0"/>
          <w:bCs/>
          <w:color w:val="auto"/>
          <w:sz w:val="34"/>
          <w:szCs w:val="34"/>
          <w:u w:val="none"/>
          <w:lang w:eastAsia="zh-CN"/>
        </w:rPr>
        <w:t>对公司造成了严重影响</w:t>
      </w:r>
      <w:r>
        <w:rPr>
          <w:rFonts w:hint="eastAsia" w:ascii="仿宋_GB2312" w:hAnsi="仿宋" w:eastAsia="仿宋_GB2312" w:cs="Times New Roman"/>
          <w:b w:val="0"/>
          <w:bCs/>
          <w:color w:val="auto"/>
          <w:sz w:val="34"/>
          <w:szCs w:val="34"/>
          <w:u w:val="none"/>
        </w:rPr>
        <w:t>，单次扣</w:t>
      </w:r>
      <w:r>
        <w:rPr>
          <w:rFonts w:hint="eastAsia" w:ascii="仿宋_GB2312" w:hAnsi="仿宋" w:eastAsia="仿宋_GB2312" w:cs="Times New Roman"/>
          <w:b w:val="0"/>
          <w:bCs/>
          <w:color w:val="auto"/>
          <w:sz w:val="34"/>
          <w:szCs w:val="34"/>
          <w:u w:val="none"/>
          <w:lang w:val="en-US" w:eastAsia="zh-CN"/>
        </w:rPr>
        <w:t>5-</w:t>
      </w:r>
      <w:r>
        <w:rPr>
          <w:rFonts w:hint="eastAsia" w:ascii="仿宋_GB2312" w:hAnsi="仿宋" w:eastAsia="仿宋_GB2312" w:cs="Times New Roman"/>
          <w:b w:val="0"/>
          <w:bCs/>
          <w:color w:val="auto"/>
          <w:sz w:val="34"/>
          <w:szCs w:val="34"/>
          <w:u w:val="none"/>
        </w:rPr>
        <w:t>10分。</w:t>
      </w:r>
    </w:p>
    <w:p w14:paraId="63E3E15A">
      <w:pPr>
        <w:spacing w:line="600" w:lineRule="exact"/>
        <w:ind w:firstLine="0"/>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val="en-US" w:eastAsia="zh-CN"/>
        </w:rPr>
        <w:t xml:space="preserve">    4.</w:t>
      </w:r>
      <w:r>
        <w:rPr>
          <w:rFonts w:hint="eastAsia" w:ascii="仿宋_GB2312" w:hAnsi="仿宋" w:eastAsia="仿宋_GB2312" w:cs="Times New Roman"/>
          <w:b w:val="0"/>
          <w:bCs/>
          <w:color w:val="auto"/>
          <w:sz w:val="34"/>
          <w:szCs w:val="34"/>
          <w:u w:val="none"/>
        </w:rPr>
        <w:t>所供产品故意隐瞒质量缺陷或以次充好，单次扣10分。</w:t>
      </w:r>
    </w:p>
    <w:p w14:paraId="1E99C473">
      <w:pPr>
        <w:keepNext w:val="0"/>
        <w:keepLines w:val="0"/>
        <w:pageBreakBefore w:val="0"/>
        <w:widowControl/>
        <w:kinsoku/>
        <w:wordWrap/>
        <w:overflowPunct/>
        <w:topLinePunct w:val="0"/>
        <w:autoSpaceDE/>
        <w:autoSpaceDN/>
        <w:bidi w:val="0"/>
        <w:spacing w:beforeLines="0" w:afterLines="0" w:line="600" w:lineRule="exact"/>
        <w:ind w:left="0" w:leftChars="0" w:firstLine="0" w:firstLineChars="0"/>
        <w:textAlignment w:val="auto"/>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eastAsia="zh-CN"/>
        </w:rPr>
        <w:t>　　（</w:t>
      </w:r>
      <w:r>
        <w:rPr>
          <w:rFonts w:hint="eastAsia" w:ascii="仿宋_GB2312" w:hAnsi="仿宋" w:eastAsia="仿宋_GB2312" w:cs="Times New Roman"/>
          <w:b w:val="0"/>
          <w:bCs/>
          <w:color w:val="auto"/>
          <w:sz w:val="34"/>
          <w:szCs w:val="34"/>
          <w:u w:val="none"/>
          <w:lang w:val="en-US" w:eastAsia="zh-CN"/>
        </w:rPr>
        <w:t>二</w:t>
      </w:r>
      <w:r>
        <w:rPr>
          <w:rFonts w:hint="eastAsia" w:ascii="仿宋_GB2312" w:hAnsi="仿宋" w:eastAsia="仿宋_GB2312" w:cs="Times New Roman"/>
          <w:b w:val="0"/>
          <w:bCs/>
          <w:color w:val="auto"/>
          <w:sz w:val="34"/>
          <w:szCs w:val="34"/>
          <w:u w:val="none"/>
          <w:lang w:eastAsia="zh-CN"/>
        </w:rPr>
        <w:t>）</w:t>
      </w:r>
      <w:r>
        <w:rPr>
          <w:rFonts w:hint="eastAsia" w:ascii="仿宋_GB2312" w:hAnsi="仿宋" w:eastAsia="仿宋_GB2312" w:cs="Times New Roman"/>
          <w:b w:val="0"/>
          <w:bCs/>
          <w:color w:val="auto"/>
          <w:sz w:val="34"/>
          <w:szCs w:val="34"/>
          <w:u w:val="none"/>
        </w:rPr>
        <w:t>交货方面</w:t>
      </w:r>
    </w:p>
    <w:p w14:paraId="3E1203B2">
      <w:pPr>
        <w:keepNext w:val="0"/>
        <w:keepLines w:val="0"/>
        <w:pageBreakBefore w:val="0"/>
        <w:widowControl/>
        <w:kinsoku/>
        <w:wordWrap/>
        <w:overflowPunct/>
        <w:topLinePunct w:val="0"/>
        <w:autoSpaceDE/>
        <w:autoSpaceDN/>
        <w:bidi w:val="0"/>
        <w:spacing w:beforeLines="0" w:afterLines="0" w:line="600" w:lineRule="exact"/>
        <w:ind w:left="0" w:leftChars="0" w:firstLine="0" w:firstLineChars="0"/>
        <w:textAlignment w:val="auto"/>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val="en-US" w:eastAsia="zh-CN"/>
        </w:rPr>
        <w:t xml:space="preserve">    1.</w:t>
      </w:r>
      <w:r>
        <w:rPr>
          <w:rFonts w:hint="eastAsia" w:ascii="仿宋_GB2312" w:hAnsi="仿宋" w:eastAsia="仿宋_GB2312" w:cs="Times New Roman"/>
          <w:b w:val="0"/>
          <w:bCs/>
          <w:color w:val="auto"/>
          <w:sz w:val="34"/>
          <w:szCs w:val="34"/>
          <w:u w:val="none"/>
        </w:rPr>
        <w:t>交货时无质检报告或合格证等必要资料的，单次扣1</w:t>
      </w:r>
      <w:r>
        <w:rPr>
          <w:rFonts w:hint="eastAsia" w:ascii="仿宋_GB2312" w:hAnsi="仿宋" w:eastAsia="仿宋_GB2312" w:cs="Times New Roman"/>
          <w:b w:val="0"/>
          <w:bCs/>
          <w:color w:val="auto"/>
          <w:sz w:val="34"/>
          <w:szCs w:val="34"/>
          <w:u w:val="none"/>
          <w:lang w:val="en-US" w:eastAsia="zh-CN"/>
        </w:rPr>
        <w:t>-3</w:t>
      </w:r>
      <w:r>
        <w:rPr>
          <w:rFonts w:hint="eastAsia" w:ascii="仿宋_GB2312" w:hAnsi="仿宋" w:eastAsia="仿宋_GB2312" w:cs="Times New Roman"/>
          <w:b w:val="0"/>
          <w:bCs/>
          <w:color w:val="auto"/>
          <w:sz w:val="34"/>
          <w:szCs w:val="34"/>
          <w:u w:val="none"/>
        </w:rPr>
        <w:t>分。</w:t>
      </w:r>
    </w:p>
    <w:p w14:paraId="6B22BE29">
      <w:pPr>
        <w:keepNext w:val="0"/>
        <w:keepLines w:val="0"/>
        <w:pageBreakBefore w:val="0"/>
        <w:widowControl/>
        <w:kinsoku/>
        <w:wordWrap/>
        <w:overflowPunct/>
        <w:topLinePunct w:val="0"/>
        <w:autoSpaceDE/>
        <w:autoSpaceDN/>
        <w:bidi w:val="0"/>
        <w:spacing w:beforeLines="0" w:afterLines="0" w:line="600" w:lineRule="exact"/>
        <w:ind w:left="0" w:leftChars="0" w:firstLine="0" w:firstLineChars="0"/>
        <w:textAlignment w:val="auto"/>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val="en-US" w:eastAsia="zh-CN"/>
        </w:rPr>
        <w:t xml:space="preserve">    2.</w:t>
      </w:r>
      <w:r>
        <w:rPr>
          <w:rFonts w:hint="eastAsia" w:ascii="仿宋_GB2312" w:hAnsi="仿宋" w:eastAsia="仿宋_GB2312" w:cs="Times New Roman"/>
          <w:b w:val="0"/>
          <w:bCs/>
          <w:color w:val="auto"/>
          <w:sz w:val="34"/>
          <w:szCs w:val="34"/>
          <w:u w:val="none"/>
        </w:rPr>
        <w:t>交货时未按规定包装的，单次扣</w:t>
      </w:r>
      <w:r>
        <w:rPr>
          <w:rFonts w:hint="eastAsia" w:ascii="仿宋_GB2312" w:hAnsi="仿宋" w:eastAsia="仿宋_GB2312" w:cs="Times New Roman"/>
          <w:b w:val="0"/>
          <w:bCs/>
          <w:color w:val="auto"/>
          <w:sz w:val="34"/>
          <w:szCs w:val="34"/>
          <w:u w:val="none"/>
          <w:lang w:val="en-US" w:eastAsia="zh-CN"/>
        </w:rPr>
        <w:t>1-3</w:t>
      </w:r>
      <w:r>
        <w:rPr>
          <w:rFonts w:hint="eastAsia" w:ascii="仿宋_GB2312" w:hAnsi="仿宋" w:eastAsia="仿宋_GB2312" w:cs="Times New Roman"/>
          <w:b w:val="0"/>
          <w:bCs/>
          <w:color w:val="auto"/>
          <w:sz w:val="34"/>
          <w:szCs w:val="34"/>
          <w:u w:val="none"/>
        </w:rPr>
        <w:t>分。</w:t>
      </w:r>
    </w:p>
    <w:p w14:paraId="3B5A9F62">
      <w:pPr>
        <w:keepNext w:val="0"/>
        <w:keepLines w:val="0"/>
        <w:pageBreakBefore w:val="0"/>
        <w:widowControl/>
        <w:kinsoku/>
        <w:wordWrap/>
        <w:overflowPunct/>
        <w:topLinePunct w:val="0"/>
        <w:autoSpaceDE/>
        <w:autoSpaceDN/>
        <w:bidi w:val="0"/>
        <w:spacing w:beforeLines="0" w:afterLines="0" w:line="600" w:lineRule="exact"/>
        <w:ind w:left="0" w:leftChars="0" w:firstLine="0" w:firstLineChars="0"/>
        <w:textAlignment w:val="auto"/>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val="en-US" w:eastAsia="zh-CN"/>
        </w:rPr>
        <w:t xml:space="preserve">    3.</w:t>
      </w:r>
      <w:r>
        <w:rPr>
          <w:rFonts w:hint="eastAsia" w:ascii="仿宋_GB2312" w:hAnsi="仿宋" w:eastAsia="仿宋_GB2312" w:cs="Times New Roman"/>
          <w:b w:val="0"/>
          <w:bCs/>
          <w:color w:val="auto"/>
          <w:sz w:val="34"/>
          <w:szCs w:val="34"/>
          <w:u w:val="none"/>
        </w:rPr>
        <w:t>延期交货，</w:t>
      </w:r>
      <w:r>
        <w:rPr>
          <w:rFonts w:hint="eastAsia" w:ascii="仿宋_GB2312" w:hAnsi="仿宋" w:eastAsia="仿宋_GB2312" w:cs="Times New Roman"/>
          <w:b w:val="0"/>
          <w:bCs/>
          <w:color w:val="auto"/>
          <w:sz w:val="34"/>
          <w:szCs w:val="34"/>
          <w:u w:val="none"/>
          <w:lang w:eastAsia="zh-CN"/>
        </w:rPr>
        <w:t>但</w:t>
      </w:r>
      <w:r>
        <w:rPr>
          <w:rFonts w:hint="eastAsia" w:ascii="仿宋_GB2312" w:hAnsi="仿宋" w:eastAsia="仿宋_GB2312" w:cs="Times New Roman"/>
          <w:b w:val="0"/>
          <w:bCs/>
          <w:color w:val="auto"/>
          <w:sz w:val="34"/>
          <w:szCs w:val="34"/>
          <w:u w:val="none"/>
        </w:rPr>
        <w:t>未对</w:t>
      </w:r>
      <w:r>
        <w:rPr>
          <w:rFonts w:hint="eastAsia" w:ascii="仿宋_GB2312" w:hAnsi="仿宋" w:eastAsia="仿宋_GB2312" w:cs="Times New Roman"/>
          <w:b w:val="0"/>
          <w:bCs/>
          <w:color w:val="auto"/>
          <w:sz w:val="34"/>
          <w:szCs w:val="34"/>
          <w:u w:val="none"/>
          <w:lang w:eastAsia="zh-CN"/>
        </w:rPr>
        <w:t>公司</w:t>
      </w:r>
      <w:r>
        <w:rPr>
          <w:rFonts w:hint="eastAsia" w:ascii="仿宋_GB2312" w:hAnsi="仿宋" w:eastAsia="仿宋_GB2312" w:cs="Times New Roman"/>
          <w:b w:val="0"/>
          <w:bCs/>
          <w:color w:val="auto"/>
          <w:sz w:val="34"/>
          <w:szCs w:val="34"/>
          <w:u w:val="none"/>
        </w:rPr>
        <w:t>造成影响，单次扣</w:t>
      </w:r>
      <w:r>
        <w:rPr>
          <w:rFonts w:hint="eastAsia" w:ascii="仿宋_GB2312" w:hAnsi="仿宋" w:eastAsia="仿宋_GB2312" w:cs="Times New Roman"/>
          <w:b w:val="0"/>
          <w:bCs/>
          <w:color w:val="auto"/>
          <w:sz w:val="34"/>
          <w:szCs w:val="34"/>
          <w:u w:val="none"/>
          <w:lang w:val="en-US" w:eastAsia="zh-CN"/>
        </w:rPr>
        <w:t>1-</w:t>
      </w:r>
      <w:r>
        <w:rPr>
          <w:rFonts w:hint="eastAsia" w:ascii="仿宋_GB2312" w:hAnsi="仿宋" w:eastAsia="仿宋_GB2312" w:cs="Times New Roman"/>
          <w:b w:val="0"/>
          <w:bCs/>
          <w:color w:val="auto"/>
          <w:sz w:val="34"/>
          <w:szCs w:val="34"/>
          <w:u w:val="none"/>
        </w:rPr>
        <w:t>3分；</w:t>
      </w:r>
      <w:r>
        <w:rPr>
          <w:rFonts w:hint="eastAsia" w:ascii="仿宋_GB2312" w:hAnsi="仿宋" w:eastAsia="仿宋_GB2312" w:cs="Times New Roman"/>
          <w:b w:val="0"/>
          <w:bCs/>
          <w:color w:val="auto"/>
          <w:sz w:val="34"/>
          <w:szCs w:val="34"/>
          <w:u w:val="none"/>
          <w:lang w:eastAsia="zh-CN"/>
        </w:rPr>
        <w:t>造成一定影响，单次扣</w:t>
      </w:r>
      <w:r>
        <w:rPr>
          <w:rFonts w:hint="eastAsia" w:ascii="仿宋_GB2312" w:hAnsi="仿宋" w:eastAsia="仿宋_GB2312" w:cs="Times New Roman"/>
          <w:b w:val="0"/>
          <w:bCs/>
          <w:color w:val="auto"/>
          <w:sz w:val="34"/>
          <w:szCs w:val="34"/>
          <w:u w:val="none"/>
          <w:lang w:val="en-US" w:eastAsia="zh-CN"/>
        </w:rPr>
        <w:t>3-5分</w:t>
      </w:r>
      <w:r>
        <w:rPr>
          <w:rFonts w:hint="eastAsia" w:ascii="仿宋_GB2312" w:hAnsi="仿宋" w:eastAsia="仿宋_GB2312" w:cs="Times New Roman"/>
          <w:b w:val="0"/>
          <w:bCs/>
          <w:color w:val="auto"/>
          <w:sz w:val="34"/>
          <w:szCs w:val="34"/>
          <w:u w:val="none"/>
        </w:rPr>
        <w:t>；</w:t>
      </w:r>
      <w:r>
        <w:rPr>
          <w:rFonts w:hint="eastAsia" w:ascii="仿宋_GB2312" w:hAnsi="仿宋" w:eastAsia="仿宋_GB2312" w:cs="Times New Roman"/>
          <w:b w:val="0"/>
          <w:bCs/>
          <w:color w:val="auto"/>
          <w:sz w:val="34"/>
          <w:szCs w:val="34"/>
          <w:u w:val="none"/>
          <w:lang w:val="en-US" w:eastAsia="zh-CN"/>
        </w:rPr>
        <w:t>造成严重影响，</w:t>
      </w:r>
      <w:r>
        <w:rPr>
          <w:rFonts w:hint="eastAsia" w:ascii="仿宋_GB2312" w:hAnsi="仿宋" w:eastAsia="仿宋_GB2312" w:cs="Times New Roman"/>
          <w:b w:val="0"/>
          <w:bCs/>
          <w:color w:val="auto"/>
          <w:sz w:val="34"/>
          <w:szCs w:val="34"/>
          <w:u w:val="none"/>
        </w:rPr>
        <w:t>单次扣</w:t>
      </w:r>
      <w:r>
        <w:rPr>
          <w:rFonts w:hint="eastAsia" w:ascii="仿宋_GB2312" w:hAnsi="仿宋" w:eastAsia="仿宋_GB2312" w:cs="Times New Roman"/>
          <w:b w:val="0"/>
          <w:bCs/>
          <w:color w:val="auto"/>
          <w:sz w:val="34"/>
          <w:szCs w:val="34"/>
          <w:u w:val="none"/>
          <w:lang w:val="en-US" w:eastAsia="zh-CN"/>
        </w:rPr>
        <w:t>5-</w:t>
      </w:r>
      <w:r>
        <w:rPr>
          <w:rFonts w:hint="eastAsia" w:ascii="仿宋_GB2312" w:hAnsi="仿宋" w:eastAsia="仿宋_GB2312" w:cs="Times New Roman"/>
          <w:b w:val="0"/>
          <w:bCs/>
          <w:color w:val="auto"/>
          <w:sz w:val="34"/>
          <w:szCs w:val="34"/>
          <w:u w:val="none"/>
        </w:rPr>
        <w:t>10分。</w:t>
      </w:r>
    </w:p>
    <w:p w14:paraId="50EEBB09">
      <w:pPr>
        <w:keepNext w:val="0"/>
        <w:keepLines w:val="0"/>
        <w:pageBreakBefore w:val="0"/>
        <w:widowControl/>
        <w:kinsoku/>
        <w:wordWrap/>
        <w:overflowPunct/>
        <w:topLinePunct w:val="0"/>
        <w:autoSpaceDE/>
        <w:autoSpaceDN/>
        <w:bidi w:val="0"/>
        <w:spacing w:beforeLines="0" w:afterLines="0" w:line="600" w:lineRule="exact"/>
        <w:ind w:left="0" w:leftChars="0" w:firstLine="0" w:firstLineChars="0"/>
        <w:textAlignment w:val="auto"/>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val="en-US" w:eastAsia="zh-CN"/>
        </w:rPr>
        <w:t xml:space="preserve">   （三）</w:t>
      </w:r>
      <w:r>
        <w:rPr>
          <w:rFonts w:hint="eastAsia" w:ascii="仿宋_GB2312" w:hAnsi="仿宋" w:eastAsia="仿宋_GB2312" w:cs="Times New Roman"/>
          <w:b w:val="0"/>
          <w:bCs/>
          <w:color w:val="auto"/>
          <w:sz w:val="34"/>
          <w:szCs w:val="34"/>
          <w:u w:val="none"/>
        </w:rPr>
        <w:t>售后方面</w:t>
      </w:r>
    </w:p>
    <w:p w14:paraId="065A9C46">
      <w:pPr>
        <w:keepNext w:val="0"/>
        <w:keepLines w:val="0"/>
        <w:pageBreakBefore w:val="0"/>
        <w:widowControl/>
        <w:kinsoku/>
        <w:wordWrap/>
        <w:overflowPunct/>
        <w:topLinePunct w:val="0"/>
        <w:autoSpaceDE/>
        <w:autoSpaceDN/>
        <w:bidi w:val="0"/>
        <w:spacing w:beforeLines="0" w:afterLines="0" w:line="600" w:lineRule="exact"/>
        <w:ind w:left="0" w:leftChars="0" w:firstLine="0" w:firstLineChars="0"/>
        <w:textAlignment w:val="auto"/>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val="en-US" w:eastAsia="zh-CN"/>
        </w:rPr>
        <w:t xml:space="preserve">    1.</w:t>
      </w:r>
      <w:r>
        <w:rPr>
          <w:rFonts w:hint="eastAsia" w:ascii="仿宋_GB2312" w:hAnsi="仿宋" w:eastAsia="仿宋_GB2312" w:cs="Times New Roman"/>
          <w:b w:val="0"/>
          <w:bCs/>
          <w:color w:val="auto"/>
          <w:sz w:val="34"/>
          <w:szCs w:val="34"/>
          <w:u w:val="none"/>
        </w:rPr>
        <w:t>对我公司的售后服务要求不能及时响应，单次扣1</w:t>
      </w:r>
      <w:r>
        <w:rPr>
          <w:rFonts w:hint="eastAsia" w:ascii="仿宋_GB2312" w:hAnsi="仿宋" w:eastAsia="仿宋_GB2312" w:cs="Times New Roman"/>
          <w:b w:val="0"/>
          <w:bCs/>
          <w:color w:val="auto"/>
          <w:sz w:val="34"/>
          <w:szCs w:val="34"/>
          <w:u w:val="none"/>
          <w:lang w:val="en-US" w:eastAsia="zh-CN"/>
        </w:rPr>
        <w:t>-3</w:t>
      </w:r>
      <w:r>
        <w:rPr>
          <w:rFonts w:hint="eastAsia" w:ascii="仿宋_GB2312" w:hAnsi="仿宋" w:eastAsia="仿宋_GB2312" w:cs="Times New Roman"/>
          <w:b w:val="0"/>
          <w:bCs/>
          <w:color w:val="auto"/>
          <w:sz w:val="34"/>
          <w:szCs w:val="34"/>
          <w:u w:val="none"/>
        </w:rPr>
        <w:t>分</w:t>
      </w:r>
      <w:r>
        <w:rPr>
          <w:rFonts w:hint="eastAsia" w:ascii="仿宋_GB2312" w:hAnsi="仿宋" w:eastAsia="仿宋_GB2312" w:cs="Times New Roman"/>
          <w:b w:val="0"/>
          <w:bCs/>
          <w:color w:val="auto"/>
          <w:sz w:val="34"/>
          <w:szCs w:val="34"/>
          <w:u w:val="none"/>
          <w:lang w:eastAsia="zh-CN"/>
        </w:rPr>
        <w:t>；已造成一定影响，单次扣</w:t>
      </w:r>
      <w:r>
        <w:rPr>
          <w:rFonts w:hint="eastAsia" w:ascii="仿宋_GB2312" w:hAnsi="仿宋" w:eastAsia="仿宋_GB2312" w:cs="Times New Roman"/>
          <w:b w:val="0"/>
          <w:bCs/>
          <w:color w:val="auto"/>
          <w:sz w:val="34"/>
          <w:szCs w:val="34"/>
          <w:u w:val="none"/>
          <w:lang w:val="en-US" w:eastAsia="zh-CN"/>
        </w:rPr>
        <w:t>3-5分</w:t>
      </w:r>
      <w:r>
        <w:rPr>
          <w:rFonts w:hint="eastAsia" w:ascii="仿宋_GB2312" w:hAnsi="仿宋" w:eastAsia="仿宋_GB2312" w:cs="Times New Roman"/>
          <w:b w:val="0"/>
          <w:bCs/>
          <w:color w:val="auto"/>
          <w:sz w:val="34"/>
          <w:szCs w:val="34"/>
          <w:u w:val="none"/>
        </w:rPr>
        <w:t>；</w:t>
      </w:r>
      <w:r>
        <w:rPr>
          <w:rFonts w:hint="eastAsia" w:ascii="仿宋_GB2312" w:hAnsi="仿宋" w:eastAsia="仿宋_GB2312" w:cs="Times New Roman"/>
          <w:b w:val="0"/>
          <w:bCs/>
          <w:color w:val="auto"/>
          <w:sz w:val="34"/>
          <w:szCs w:val="34"/>
          <w:u w:val="none"/>
          <w:lang w:val="en-US" w:eastAsia="zh-CN"/>
        </w:rPr>
        <w:t>造成严重影响，</w:t>
      </w:r>
      <w:r>
        <w:rPr>
          <w:rFonts w:hint="eastAsia" w:ascii="仿宋_GB2312" w:hAnsi="仿宋" w:eastAsia="仿宋_GB2312" w:cs="Times New Roman"/>
          <w:b w:val="0"/>
          <w:bCs/>
          <w:color w:val="auto"/>
          <w:sz w:val="34"/>
          <w:szCs w:val="34"/>
          <w:u w:val="none"/>
        </w:rPr>
        <w:t>单次扣</w:t>
      </w:r>
      <w:r>
        <w:rPr>
          <w:rFonts w:hint="eastAsia" w:ascii="仿宋_GB2312" w:hAnsi="仿宋" w:eastAsia="仿宋_GB2312" w:cs="Times New Roman"/>
          <w:b w:val="0"/>
          <w:bCs/>
          <w:color w:val="auto"/>
          <w:sz w:val="34"/>
          <w:szCs w:val="34"/>
          <w:u w:val="none"/>
          <w:lang w:val="en-US" w:eastAsia="zh-CN"/>
        </w:rPr>
        <w:t>5-10</w:t>
      </w:r>
      <w:r>
        <w:rPr>
          <w:rFonts w:hint="eastAsia" w:ascii="仿宋_GB2312" w:hAnsi="仿宋" w:eastAsia="仿宋_GB2312" w:cs="Times New Roman"/>
          <w:b w:val="0"/>
          <w:bCs/>
          <w:color w:val="auto"/>
          <w:sz w:val="34"/>
          <w:szCs w:val="34"/>
          <w:u w:val="none"/>
        </w:rPr>
        <w:t>分。</w:t>
      </w:r>
    </w:p>
    <w:p w14:paraId="4DFA7092">
      <w:pPr>
        <w:keepNext w:val="0"/>
        <w:keepLines w:val="0"/>
        <w:pageBreakBefore w:val="0"/>
        <w:widowControl/>
        <w:kinsoku/>
        <w:wordWrap/>
        <w:overflowPunct/>
        <w:topLinePunct w:val="0"/>
        <w:autoSpaceDE/>
        <w:autoSpaceDN/>
        <w:bidi w:val="0"/>
        <w:spacing w:beforeLines="0" w:afterLines="0" w:line="600" w:lineRule="exact"/>
        <w:ind w:left="0" w:leftChars="0" w:firstLine="0" w:firstLineChars="0"/>
        <w:textAlignment w:val="auto"/>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val="en-US" w:eastAsia="zh-CN"/>
        </w:rPr>
        <w:t xml:space="preserve">    2.</w:t>
      </w:r>
      <w:r>
        <w:rPr>
          <w:rFonts w:hint="eastAsia" w:ascii="仿宋_GB2312" w:hAnsi="仿宋" w:eastAsia="仿宋_GB2312" w:cs="Times New Roman"/>
          <w:b w:val="0"/>
          <w:bCs/>
          <w:color w:val="auto"/>
          <w:sz w:val="34"/>
          <w:szCs w:val="34"/>
          <w:u w:val="none"/>
        </w:rPr>
        <w:t>售后人员不能及时解决问题，单次扣</w:t>
      </w:r>
      <w:r>
        <w:rPr>
          <w:rFonts w:hint="eastAsia" w:ascii="仿宋_GB2312" w:hAnsi="仿宋" w:eastAsia="仿宋_GB2312" w:cs="Times New Roman"/>
          <w:b w:val="0"/>
          <w:bCs/>
          <w:color w:val="auto"/>
          <w:sz w:val="34"/>
          <w:szCs w:val="34"/>
          <w:u w:val="none"/>
          <w:lang w:val="en-US" w:eastAsia="zh-CN"/>
        </w:rPr>
        <w:t>1-</w:t>
      </w:r>
      <w:r>
        <w:rPr>
          <w:rFonts w:hint="eastAsia" w:ascii="仿宋_GB2312" w:hAnsi="仿宋" w:eastAsia="仿宋_GB2312" w:cs="Times New Roman"/>
          <w:b w:val="0"/>
          <w:bCs/>
          <w:color w:val="auto"/>
          <w:sz w:val="34"/>
          <w:szCs w:val="34"/>
          <w:u w:val="none"/>
        </w:rPr>
        <w:t>3分。</w:t>
      </w:r>
    </w:p>
    <w:p w14:paraId="0AF87FF0">
      <w:pPr>
        <w:keepNext w:val="0"/>
        <w:keepLines w:val="0"/>
        <w:pageBreakBefore w:val="0"/>
        <w:widowControl/>
        <w:kinsoku/>
        <w:wordWrap/>
        <w:overflowPunct/>
        <w:topLinePunct w:val="0"/>
        <w:autoSpaceDE/>
        <w:autoSpaceDN/>
        <w:bidi w:val="0"/>
        <w:spacing w:beforeLines="0" w:afterLines="0" w:line="600" w:lineRule="exact"/>
        <w:ind w:left="0" w:leftChars="0" w:firstLine="0" w:firstLineChars="0"/>
        <w:textAlignment w:val="auto"/>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val="en-US" w:eastAsia="zh-CN"/>
        </w:rPr>
        <w:t xml:space="preserve">    3.</w:t>
      </w:r>
      <w:r>
        <w:rPr>
          <w:rFonts w:hint="eastAsia" w:ascii="仿宋_GB2312" w:hAnsi="仿宋" w:eastAsia="仿宋_GB2312" w:cs="Times New Roman"/>
          <w:b w:val="0"/>
          <w:bCs/>
          <w:color w:val="auto"/>
          <w:sz w:val="34"/>
          <w:szCs w:val="34"/>
          <w:u w:val="none"/>
        </w:rPr>
        <w:t>在质保期之内，拒绝按合同提供售后服务，单次扣</w:t>
      </w:r>
      <w:r>
        <w:rPr>
          <w:rFonts w:hint="eastAsia" w:ascii="仿宋_GB2312" w:hAnsi="仿宋" w:eastAsia="仿宋_GB2312" w:cs="Times New Roman"/>
          <w:b w:val="0"/>
          <w:bCs/>
          <w:color w:val="auto"/>
          <w:sz w:val="34"/>
          <w:szCs w:val="34"/>
          <w:u w:val="none"/>
          <w:lang w:val="en-US" w:eastAsia="zh-CN"/>
        </w:rPr>
        <w:t>5-</w:t>
      </w:r>
      <w:r>
        <w:rPr>
          <w:rFonts w:hint="eastAsia" w:ascii="仿宋_GB2312" w:hAnsi="仿宋" w:eastAsia="仿宋_GB2312" w:cs="Times New Roman"/>
          <w:b w:val="0"/>
          <w:bCs/>
          <w:color w:val="auto"/>
          <w:sz w:val="34"/>
          <w:szCs w:val="34"/>
          <w:u w:val="none"/>
        </w:rPr>
        <w:t>10分。</w:t>
      </w:r>
    </w:p>
    <w:p w14:paraId="174AFCCD">
      <w:pPr>
        <w:keepNext w:val="0"/>
        <w:keepLines w:val="0"/>
        <w:pageBreakBefore w:val="0"/>
        <w:widowControl/>
        <w:kinsoku/>
        <w:wordWrap/>
        <w:overflowPunct/>
        <w:topLinePunct w:val="0"/>
        <w:autoSpaceDE/>
        <w:autoSpaceDN/>
        <w:bidi w:val="0"/>
        <w:spacing w:beforeLines="0" w:afterLines="0" w:line="600" w:lineRule="exact"/>
        <w:ind w:left="0" w:leftChars="0" w:firstLine="0" w:firstLineChars="0"/>
        <w:textAlignment w:val="auto"/>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val="en-US" w:eastAsia="zh-CN"/>
        </w:rPr>
        <w:t xml:space="preserve">    </w:t>
      </w:r>
      <w:r>
        <w:rPr>
          <w:rFonts w:hint="eastAsia" w:ascii="仿宋_GB2312" w:hAnsi="仿宋" w:eastAsia="仿宋_GB2312" w:cs="Times New Roman"/>
          <w:b w:val="0"/>
          <w:bCs/>
          <w:color w:val="auto"/>
          <w:sz w:val="34"/>
          <w:szCs w:val="34"/>
          <w:u w:val="none"/>
          <w:lang w:eastAsia="zh-CN"/>
        </w:rPr>
        <w:t>（</w:t>
      </w:r>
      <w:r>
        <w:rPr>
          <w:rFonts w:hint="eastAsia" w:ascii="仿宋_GB2312" w:hAnsi="仿宋" w:eastAsia="仿宋_GB2312" w:cs="Times New Roman"/>
          <w:b w:val="0"/>
          <w:bCs/>
          <w:color w:val="auto"/>
          <w:sz w:val="34"/>
          <w:szCs w:val="34"/>
          <w:u w:val="none"/>
          <w:lang w:val="en-US" w:eastAsia="zh-CN"/>
        </w:rPr>
        <w:t>四</w:t>
      </w:r>
      <w:r>
        <w:rPr>
          <w:rFonts w:hint="eastAsia" w:ascii="仿宋_GB2312" w:hAnsi="仿宋" w:eastAsia="仿宋_GB2312" w:cs="Times New Roman"/>
          <w:b w:val="0"/>
          <w:bCs/>
          <w:color w:val="auto"/>
          <w:sz w:val="34"/>
          <w:szCs w:val="34"/>
          <w:u w:val="none"/>
          <w:lang w:eastAsia="zh-CN"/>
        </w:rPr>
        <w:t>）</w:t>
      </w:r>
      <w:r>
        <w:rPr>
          <w:rFonts w:hint="eastAsia" w:ascii="仿宋_GB2312" w:hAnsi="仿宋" w:eastAsia="仿宋_GB2312" w:cs="Times New Roman"/>
          <w:b w:val="0"/>
          <w:bCs/>
          <w:color w:val="auto"/>
          <w:sz w:val="34"/>
          <w:szCs w:val="34"/>
          <w:u w:val="none"/>
        </w:rPr>
        <w:t>资信方面</w:t>
      </w:r>
    </w:p>
    <w:p w14:paraId="111D3B2C">
      <w:pPr>
        <w:keepNext w:val="0"/>
        <w:keepLines w:val="0"/>
        <w:pageBreakBefore w:val="0"/>
        <w:widowControl/>
        <w:kinsoku/>
        <w:wordWrap/>
        <w:overflowPunct/>
        <w:topLinePunct w:val="0"/>
        <w:autoSpaceDE/>
        <w:autoSpaceDN/>
        <w:bidi w:val="0"/>
        <w:spacing w:beforeLines="0" w:afterLines="0" w:line="600" w:lineRule="exact"/>
        <w:ind w:left="0" w:leftChars="0" w:firstLine="0" w:firstLineChars="0"/>
        <w:textAlignment w:val="auto"/>
        <w:outlineLvl w:val="9"/>
        <w:rPr>
          <w:rFonts w:hint="eastAsia" w:ascii="仿宋_GB2312" w:hAnsi="仿宋" w:eastAsia="仿宋_GB2312" w:cs="Times New Roman"/>
          <w:b w:val="0"/>
          <w:bCs/>
          <w:color w:val="auto"/>
          <w:sz w:val="34"/>
          <w:szCs w:val="34"/>
          <w:u w:val="none"/>
          <w:lang w:val="en-US" w:eastAsia="zh-CN"/>
        </w:rPr>
      </w:pPr>
      <w:r>
        <w:rPr>
          <w:rFonts w:hint="eastAsia" w:ascii="仿宋_GB2312" w:hAnsi="仿宋" w:eastAsia="仿宋_GB2312" w:cs="Times New Roman"/>
          <w:b w:val="0"/>
          <w:bCs/>
          <w:color w:val="auto"/>
          <w:sz w:val="34"/>
          <w:szCs w:val="34"/>
          <w:u w:val="none"/>
          <w:lang w:val="en-US" w:eastAsia="zh-CN"/>
        </w:rPr>
        <w:t xml:space="preserve">    1.未提供询价书要求的资质文件、不满足询价书资质要求、报价与技术要求不符等，单次扣1～3 分。   </w:t>
      </w:r>
    </w:p>
    <w:p w14:paraId="14DE31EB">
      <w:pPr>
        <w:keepNext w:val="0"/>
        <w:keepLines w:val="0"/>
        <w:pageBreakBefore w:val="0"/>
        <w:widowControl/>
        <w:kinsoku/>
        <w:wordWrap/>
        <w:overflowPunct/>
        <w:topLinePunct w:val="0"/>
        <w:autoSpaceDE/>
        <w:autoSpaceDN/>
        <w:bidi w:val="0"/>
        <w:spacing w:beforeLines="0" w:afterLines="0" w:line="600" w:lineRule="exact"/>
        <w:ind w:left="0" w:leftChars="0" w:firstLine="680" w:firstLineChars="200"/>
        <w:textAlignment w:val="auto"/>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val="en-US" w:eastAsia="zh-CN"/>
        </w:rPr>
        <w:t>2.</w:t>
      </w:r>
      <w:r>
        <w:rPr>
          <w:rFonts w:hint="eastAsia" w:ascii="仿宋_GB2312" w:hAnsi="仿宋" w:eastAsia="仿宋_GB2312" w:cs="Times New Roman"/>
          <w:b w:val="0"/>
          <w:bCs/>
          <w:color w:val="auto"/>
          <w:sz w:val="34"/>
          <w:szCs w:val="34"/>
          <w:u w:val="none"/>
        </w:rPr>
        <w:t>中</w:t>
      </w:r>
      <w:r>
        <w:rPr>
          <w:rFonts w:hint="eastAsia" w:ascii="仿宋_GB2312" w:hAnsi="仿宋" w:eastAsia="仿宋_GB2312" w:cs="Times New Roman"/>
          <w:b w:val="0"/>
          <w:bCs/>
          <w:color w:val="auto"/>
          <w:sz w:val="34"/>
          <w:szCs w:val="34"/>
          <w:u w:val="none"/>
          <w:lang w:val="en-US" w:eastAsia="zh-CN"/>
        </w:rPr>
        <w:t>选</w:t>
      </w:r>
      <w:r>
        <w:rPr>
          <w:rFonts w:hint="eastAsia" w:ascii="仿宋_GB2312" w:hAnsi="仿宋" w:eastAsia="仿宋_GB2312" w:cs="Times New Roman"/>
          <w:b w:val="0"/>
          <w:bCs/>
          <w:color w:val="auto"/>
          <w:sz w:val="34"/>
          <w:szCs w:val="34"/>
          <w:u w:val="none"/>
        </w:rPr>
        <w:t>之后因报价、参数错误等原因，</w:t>
      </w:r>
      <w:r>
        <w:rPr>
          <w:rFonts w:hint="eastAsia" w:ascii="仿宋_GB2312" w:hAnsi="仿宋" w:eastAsia="仿宋_GB2312" w:cs="Times New Roman"/>
          <w:b w:val="0"/>
          <w:bCs/>
          <w:color w:val="auto"/>
          <w:sz w:val="34"/>
          <w:szCs w:val="34"/>
          <w:u w:val="none"/>
          <w:lang w:val="en-US" w:eastAsia="zh-CN"/>
        </w:rPr>
        <w:t>报价人放弃成交</w:t>
      </w:r>
      <w:r>
        <w:rPr>
          <w:rFonts w:hint="eastAsia" w:ascii="仿宋_GB2312" w:hAnsi="仿宋" w:eastAsia="仿宋_GB2312" w:cs="Times New Roman"/>
          <w:b w:val="0"/>
          <w:bCs/>
          <w:color w:val="auto"/>
          <w:sz w:val="34"/>
          <w:szCs w:val="34"/>
          <w:u w:val="none"/>
        </w:rPr>
        <w:t>，单次扣</w:t>
      </w:r>
      <w:r>
        <w:rPr>
          <w:rFonts w:hint="eastAsia" w:ascii="仿宋_GB2312" w:hAnsi="仿宋" w:eastAsia="仿宋_GB2312" w:cs="Times New Roman"/>
          <w:b w:val="0"/>
          <w:bCs/>
          <w:color w:val="auto"/>
          <w:sz w:val="34"/>
          <w:szCs w:val="34"/>
          <w:u w:val="none"/>
          <w:lang w:val="en-US" w:eastAsia="zh-CN"/>
        </w:rPr>
        <w:t>3-5</w:t>
      </w:r>
      <w:r>
        <w:rPr>
          <w:rFonts w:hint="eastAsia" w:ascii="仿宋_GB2312" w:hAnsi="仿宋" w:eastAsia="仿宋_GB2312" w:cs="Times New Roman"/>
          <w:b w:val="0"/>
          <w:bCs/>
          <w:color w:val="auto"/>
          <w:sz w:val="34"/>
          <w:szCs w:val="34"/>
          <w:u w:val="none"/>
        </w:rPr>
        <w:t>分。</w:t>
      </w:r>
    </w:p>
    <w:p w14:paraId="1E7B643D">
      <w:pPr>
        <w:keepNext w:val="0"/>
        <w:keepLines w:val="0"/>
        <w:pageBreakBefore w:val="0"/>
        <w:widowControl/>
        <w:kinsoku/>
        <w:wordWrap/>
        <w:overflowPunct/>
        <w:topLinePunct w:val="0"/>
        <w:autoSpaceDE/>
        <w:autoSpaceDN/>
        <w:bidi w:val="0"/>
        <w:spacing w:beforeLines="0" w:afterLines="0" w:line="600" w:lineRule="exact"/>
        <w:ind w:left="0" w:leftChars="0" w:firstLine="0" w:firstLineChars="0"/>
        <w:textAlignment w:val="auto"/>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val="en-US" w:eastAsia="zh-CN"/>
        </w:rPr>
        <w:t xml:space="preserve">    3.</w:t>
      </w:r>
      <w:r>
        <w:rPr>
          <w:rFonts w:hint="eastAsia" w:ascii="仿宋_GB2312" w:hAnsi="仿宋" w:eastAsia="仿宋_GB2312" w:cs="Times New Roman"/>
          <w:b w:val="0"/>
          <w:bCs/>
          <w:color w:val="auto"/>
          <w:sz w:val="34"/>
          <w:szCs w:val="34"/>
          <w:u w:val="none"/>
        </w:rPr>
        <w:t>中</w:t>
      </w:r>
      <w:r>
        <w:rPr>
          <w:rFonts w:hint="eastAsia" w:ascii="仿宋_GB2312" w:hAnsi="仿宋" w:eastAsia="仿宋_GB2312" w:cs="Times New Roman"/>
          <w:b w:val="0"/>
          <w:bCs/>
          <w:color w:val="auto"/>
          <w:sz w:val="34"/>
          <w:szCs w:val="34"/>
          <w:u w:val="none"/>
          <w:lang w:val="en-US" w:eastAsia="zh-CN"/>
        </w:rPr>
        <w:t>选</w:t>
      </w:r>
      <w:r>
        <w:rPr>
          <w:rFonts w:hint="eastAsia" w:ascii="仿宋_GB2312" w:hAnsi="仿宋" w:eastAsia="仿宋_GB2312" w:cs="Times New Roman"/>
          <w:b w:val="0"/>
          <w:bCs/>
          <w:color w:val="auto"/>
          <w:sz w:val="34"/>
          <w:szCs w:val="34"/>
          <w:u w:val="none"/>
        </w:rPr>
        <w:t>之后拒绝签订合同或拒绝履行合同，单次扣</w:t>
      </w:r>
      <w:r>
        <w:rPr>
          <w:rFonts w:hint="eastAsia" w:ascii="仿宋_GB2312" w:hAnsi="仿宋" w:eastAsia="仿宋_GB2312" w:cs="Times New Roman"/>
          <w:b w:val="0"/>
          <w:bCs/>
          <w:color w:val="auto"/>
          <w:sz w:val="34"/>
          <w:szCs w:val="34"/>
          <w:u w:val="none"/>
          <w:lang w:val="en-US" w:eastAsia="zh-CN"/>
        </w:rPr>
        <w:t>5-</w:t>
      </w:r>
      <w:r>
        <w:rPr>
          <w:rFonts w:hint="eastAsia" w:ascii="仿宋_GB2312" w:hAnsi="仿宋" w:eastAsia="仿宋_GB2312" w:cs="Times New Roman"/>
          <w:b w:val="0"/>
          <w:bCs/>
          <w:color w:val="auto"/>
          <w:sz w:val="34"/>
          <w:szCs w:val="34"/>
          <w:u w:val="none"/>
        </w:rPr>
        <w:t>10分。</w:t>
      </w:r>
    </w:p>
    <w:p w14:paraId="23DC2970">
      <w:pPr>
        <w:keepNext w:val="0"/>
        <w:keepLines w:val="0"/>
        <w:pageBreakBefore w:val="0"/>
        <w:widowControl/>
        <w:kinsoku/>
        <w:wordWrap/>
        <w:overflowPunct/>
        <w:topLinePunct w:val="0"/>
        <w:autoSpaceDE/>
        <w:autoSpaceDN/>
        <w:bidi w:val="0"/>
        <w:spacing w:beforeLines="0" w:afterLines="0" w:line="600" w:lineRule="exact"/>
        <w:ind w:left="0" w:leftChars="0" w:firstLine="680" w:firstLineChars="0"/>
        <w:textAlignment w:val="auto"/>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val="en-US" w:eastAsia="zh-CN"/>
        </w:rPr>
        <w:t>4.</w:t>
      </w:r>
      <w:r>
        <w:rPr>
          <w:rFonts w:hint="eastAsia" w:ascii="仿宋_GB2312" w:hAnsi="仿宋" w:eastAsia="仿宋_GB2312" w:cs="Times New Roman"/>
          <w:b w:val="0"/>
          <w:bCs/>
          <w:color w:val="auto"/>
          <w:sz w:val="34"/>
          <w:szCs w:val="34"/>
          <w:u w:val="none"/>
        </w:rPr>
        <w:t>无正当理由未及时开具发票给我方</w:t>
      </w:r>
      <w:r>
        <w:rPr>
          <w:rFonts w:hint="eastAsia" w:ascii="仿宋_GB2312" w:hAnsi="仿宋" w:eastAsia="仿宋_GB2312" w:cs="Times New Roman"/>
          <w:b w:val="0"/>
          <w:bCs/>
          <w:color w:val="auto"/>
          <w:sz w:val="34"/>
          <w:szCs w:val="34"/>
          <w:u w:val="none"/>
          <w:lang w:val="en-US" w:eastAsia="zh-CN"/>
        </w:rPr>
        <w:t>或</w:t>
      </w:r>
      <w:r>
        <w:rPr>
          <w:rFonts w:hint="eastAsia" w:ascii="仿宋_GB2312" w:hAnsi="仿宋" w:eastAsia="仿宋_GB2312" w:cs="Times New Roman"/>
          <w:b w:val="0"/>
          <w:bCs/>
          <w:color w:val="auto"/>
          <w:sz w:val="34"/>
          <w:szCs w:val="34"/>
          <w:u w:val="none"/>
        </w:rPr>
        <w:t>未按合同约定价格开票，单次扣1</w:t>
      </w:r>
      <w:r>
        <w:rPr>
          <w:rFonts w:hint="eastAsia" w:ascii="仿宋_GB2312" w:hAnsi="仿宋" w:eastAsia="仿宋_GB2312" w:cs="Times New Roman"/>
          <w:b w:val="0"/>
          <w:bCs/>
          <w:color w:val="auto"/>
          <w:sz w:val="34"/>
          <w:szCs w:val="34"/>
          <w:u w:val="none"/>
          <w:lang w:val="en-US" w:eastAsia="zh-CN"/>
        </w:rPr>
        <w:t>-3</w:t>
      </w:r>
      <w:r>
        <w:rPr>
          <w:rFonts w:hint="eastAsia" w:ascii="仿宋_GB2312" w:hAnsi="仿宋" w:eastAsia="仿宋_GB2312" w:cs="Times New Roman"/>
          <w:b w:val="0"/>
          <w:bCs/>
          <w:color w:val="auto"/>
          <w:sz w:val="34"/>
          <w:szCs w:val="34"/>
          <w:u w:val="none"/>
        </w:rPr>
        <w:t>分。</w:t>
      </w:r>
    </w:p>
    <w:p w14:paraId="4CA7ACF7">
      <w:pPr>
        <w:keepNext w:val="0"/>
        <w:keepLines w:val="0"/>
        <w:pageBreakBefore w:val="0"/>
        <w:widowControl/>
        <w:kinsoku/>
        <w:wordWrap/>
        <w:overflowPunct/>
        <w:topLinePunct w:val="0"/>
        <w:autoSpaceDE/>
        <w:autoSpaceDN/>
        <w:bidi w:val="0"/>
        <w:spacing w:beforeLines="0" w:afterLines="0" w:line="600" w:lineRule="exact"/>
        <w:ind w:left="0" w:leftChars="0" w:firstLine="680" w:firstLineChars="0"/>
        <w:textAlignment w:val="auto"/>
        <w:outlineLvl w:val="9"/>
        <w:rPr>
          <w:rFonts w:hint="default" w:ascii="仿宋_GB2312" w:hAnsi="仿宋" w:eastAsia="仿宋_GB2312" w:cs="Times New Roman"/>
          <w:b w:val="0"/>
          <w:bCs/>
          <w:color w:val="auto"/>
          <w:sz w:val="34"/>
          <w:szCs w:val="34"/>
          <w:u w:val="none"/>
          <w:lang w:val="en-US" w:eastAsia="zh-CN"/>
        </w:rPr>
      </w:pPr>
      <w:r>
        <w:rPr>
          <w:rFonts w:hint="eastAsia" w:ascii="仿宋_GB2312" w:hAnsi="仿宋" w:eastAsia="仿宋_GB2312" w:cs="Times New Roman"/>
          <w:b w:val="0"/>
          <w:bCs/>
          <w:color w:val="auto"/>
          <w:sz w:val="34"/>
          <w:szCs w:val="34"/>
          <w:u w:val="none"/>
          <w:lang w:val="en-US" w:eastAsia="zh-CN"/>
        </w:rPr>
        <w:t>5.未按照《江苏索普(集团)有限公司工程造价审计管理制度》要求提供工程结算资料，或未按规定进行工程结算确认的，单次扣1-3分。</w:t>
      </w:r>
    </w:p>
    <w:p w14:paraId="70031CE7">
      <w:pPr>
        <w:keepNext w:val="0"/>
        <w:keepLines w:val="0"/>
        <w:pageBreakBefore w:val="0"/>
        <w:widowControl/>
        <w:kinsoku/>
        <w:wordWrap/>
        <w:overflowPunct/>
        <w:topLinePunct w:val="0"/>
        <w:autoSpaceDE/>
        <w:autoSpaceDN/>
        <w:bidi w:val="0"/>
        <w:spacing w:beforeLines="0" w:afterLines="0" w:line="600" w:lineRule="exact"/>
        <w:ind w:left="0" w:leftChars="0" w:firstLine="680" w:firstLineChars="0"/>
        <w:textAlignment w:val="auto"/>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val="en-US" w:eastAsia="zh-CN"/>
        </w:rPr>
        <w:t>6.报价</w:t>
      </w:r>
      <w:r>
        <w:rPr>
          <w:rFonts w:hint="eastAsia" w:ascii="仿宋_GB2312" w:hAnsi="仿宋" w:eastAsia="仿宋_GB2312" w:cs="Times New Roman"/>
          <w:b w:val="0"/>
          <w:bCs/>
          <w:color w:val="auto"/>
          <w:sz w:val="34"/>
          <w:szCs w:val="34"/>
          <w:u w:val="none"/>
        </w:rPr>
        <w:t>人经核实资质造假或因知识产权引起纠纷，单次扣</w:t>
      </w:r>
      <w:r>
        <w:rPr>
          <w:rFonts w:hint="eastAsia" w:ascii="仿宋_GB2312" w:hAnsi="仿宋" w:eastAsia="仿宋_GB2312" w:cs="Times New Roman"/>
          <w:b w:val="0"/>
          <w:bCs/>
          <w:color w:val="auto"/>
          <w:sz w:val="34"/>
          <w:szCs w:val="34"/>
          <w:u w:val="none"/>
          <w:lang w:val="en-US" w:eastAsia="zh-CN"/>
        </w:rPr>
        <w:t>6-</w:t>
      </w:r>
      <w:r>
        <w:rPr>
          <w:rFonts w:hint="eastAsia" w:ascii="仿宋_GB2312" w:hAnsi="仿宋" w:eastAsia="仿宋_GB2312" w:cs="Times New Roman"/>
          <w:b w:val="0"/>
          <w:bCs/>
          <w:color w:val="auto"/>
          <w:sz w:val="34"/>
          <w:szCs w:val="34"/>
          <w:u w:val="none"/>
        </w:rPr>
        <w:t>10分。</w:t>
      </w:r>
    </w:p>
    <w:p w14:paraId="061BD90A">
      <w:pPr>
        <w:keepNext w:val="0"/>
        <w:keepLines w:val="0"/>
        <w:pageBreakBefore w:val="0"/>
        <w:widowControl/>
        <w:kinsoku/>
        <w:wordWrap/>
        <w:overflowPunct/>
        <w:topLinePunct w:val="0"/>
        <w:autoSpaceDE/>
        <w:autoSpaceDN/>
        <w:bidi w:val="0"/>
        <w:spacing w:beforeLines="0" w:afterLines="0" w:line="600" w:lineRule="exact"/>
        <w:ind w:left="0" w:leftChars="0" w:firstLine="680" w:firstLineChars="0"/>
        <w:textAlignment w:val="auto"/>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val="en-US" w:eastAsia="zh-CN"/>
        </w:rPr>
        <w:t>7.</w:t>
      </w:r>
      <w:r>
        <w:rPr>
          <w:rFonts w:hint="eastAsia" w:ascii="仿宋_GB2312" w:hAnsi="仿宋" w:eastAsia="仿宋_GB2312" w:cs="Times New Roman"/>
          <w:bCs/>
          <w:i w:val="0"/>
          <w:iCs w:val="0"/>
          <w:caps w:val="0"/>
          <w:color w:val="auto"/>
          <w:spacing w:val="0"/>
          <w:sz w:val="34"/>
          <w:szCs w:val="34"/>
          <w:u w:val="none"/>
        </w:rPr>
        <w:t>报价低于成本价且无合理说明</w:t>
      </w:r>
      <w:r>
        <w:rPr>
          <w:rFonts w:hint="eastAsia" w:ascii="仿宋_GB2312" w:hAnsi="仿宋" w:eastAsia="仿宋_GB2312" w:cs="Times New Roman"/>
          <w:b w:val="0"/>
          <w:bCs/>
          <w:color w:val="auto"/>
          <w:sz w:val="34"/>
          <w:szCs w:val="34"/>
          <w:u w:val="none"/>
        </w:rPr>
        <w:t>扰乱公开采购秩序,</w:t>
      </w:r>
      <w:r>
        <w:rPr>
          <w:rFonts w:hint="eastAsia" w:ascii="仿宋_GB2312" w:hAnsi="仿宋" w:eastAsia="仿宋_GB2312" w:cs="Times New Roman"/>
          <w:b w:val="0"/>
          <w:bCs/>
          <w:color w:val="auto"/>
          <w:sz w:val="34"/>
          <w:szCs w:val="34"/>
          <w:u w:val="none"/>
          <w:lang w:val="en-US" w:eastAsia="zh-CN"/>
        </w:rPr>
        <w:t>单次扣</w:t>
      </w:r>
      <w:r>
        <w:rPr>
          <w:rFonts w:hint="eastAsia" w:ascii="仿宋_GB2312" w:hAnsi="仿宋" w:eastAsia="仿宋_GB2312" w:cs="Times New Roman"/>
          <w:b w:val="0"/>
          <w:bCs/>
          <w:color w:val="auto"/>
          <w:sz w:val="34"/>
          <w:szCs w:val="34"/>
          <w:u w:val="none"/>
        </w:rPr>
        <w:t>10 分。</w:t>
      </w:r>
    </w:p>
    <w:p w14:paraId="7962FDC7">
      <w:pPr>
        <w:keepNext w:val="0"/>
        <w:keepLines w:val="0"/>
        <w:pageBreakBefore w:val="0"/>
        <w:widowControl/>
        <w:kinsoku/>
        <w:wordWrap/>
        <w:overflowPunct/>
        <w:topLinePunct w:val="0"/>
        <w:autoSpaceDE/>
        <w:autoSpaceDN/>
        <w:bidi w:val="0"/>
        <w:spacing w:beforeLines="0" w:afterLines="0" w:line="600" w:lineRule="exact"/>
        <w:ind w:left="0" w:leftChars="0" w:firstLine="642" w:firstLineChars="0"/>
        <w:textAlignment w:val="auto"/>
        <w:outlineLvl w:val="9"/>
        <w:rPr>
          <w:rFonts w:hint="eastAsia" w:ascii="仿宋_GB2312" w:hAnsi="仿宋" w:eastAsia="仿宋_GB2312" w:cs="Times New Roman"/>
          <w:b w:val="0"/>
          <w:bCs/>
          <w:color w:val="auto"/>
          <w:sz w:val="34"/>
          <w:szCs w:val="34"/>
          <w:u w:val="none"/>
          <w:lang w:val="en-US" w:eastAsia="zh-CN"/>
        </w:rPr>
      </w:pPr>
      <w:r>
        <w:rPr>
          <w:rFonts w:hint="eastAsia" w:ascii="仿宋_GB2312" w:hAnsi="楷体" w:eastAsia="仿宋_GB2312" w:cs="Times New Roman"/>
          <w:b/>
          <w:bCs w:val="0"/>
          <w:color w:val="auto"/>
          <w:sz w:val="34"/>
          <w:szCs w:val="34"/>
          <w:u w:val="none"/>
          <w:lang w:val="en-US" w:eastAsia="zh-CN"/>
        </w:rPr>
        <w:t xml:space="preserve">第八条 </w:t>
      </w:r>
      <w:r>
        <w:rPr>
          <w:rFonts w:hint="eastAsia" w:ascii="仿宋_GB2312" w:hAnsi="仿宋" w:eastAsia="仿宋_GB2312" w:cs="Times New Roman"/>
          <w:b w:val="0"/>
          <w:bCs/>
          <w:color w:val="auto"/>
          <w:sz w:val="34"/>
          <w:szCs w:val="34"/>
          <w:u w:val="none"/>
          <w:lang w:val="en-US" w:eastAsia="zh-CN"/>
        </w:rPr>
        <w:t>关于无效投诉的处理办法</w:t>
      </w:r>
    </w:p>
    <w:p w14:paraId="71286356">
      <w:pPr>
        <w:keepNext w:val="0"/>
        <w:keepLines w:val="0"/>
        <w:pageBreakBefore w:val="0"/>
        <w:widowControl/>
        <w:kinsoku/>
        <w:wordWrap/>
        <w:overflowPunct/>
        <w:topLinePunct w:val="0"/>
        <w:autoSpaceDE/>
        <w:autoSpaceDN/>
        <w:bidi w:val="0"/>
        <w:adjustRightInd/>
        <w:snapToGrid/>
        <w:spacing w:beforeLines="0" w:afterLines="0" w:line="600" w:lineRule="exact"/>
        <w:ind w:left="0" w:leftChars="0" w:firstLine="641" w:firstLineChars="0"/>
        <w:textAlignment w:val="auto"/>
        <w:outlineLvl w:val="9"/>
        <w:rPr>
          <w:rFonts w:hint="eastAsia" w:ascii="仿宋_GB2312" w:hAnsi="仿宋" w:eastAsia="仿宋_GB2312" w:cs="Times New Roman"/>
          <w:b w:val="0"/>
          <w:bCs/>
          <w:color w:val="auto"/>
          <w:sz w:val="34"/>
          <w:szCs w:val="34"/>
          <w:u w:val="none"/>
          <w:lang w:val="en-US" w:eastAsia="zh-CN"/>
        </w:rPr>
      </w:pPr>
      <w:r>
        <w:rPr>
          <w:rFonts w:hint="eastAsia" w:ascii="仿宋_GB2312" w:hAnsi="仿宋" w:eastAsia="仿宋_GB2312" w:cs="Times New Roman"/>
          <w:b w:val="0"/>
          <w:bCs/>
          <w:color w:val="auto"/>
          <w:sz w:val="34"/>
          <w:szCs w:val="34"/>
          <w:u w:val="none"/>
          <w:lang w:val="en-US" w:eastAsia="zh-CN"/>
        </w:rPr>
        <w:t>报价人如对评审结果存有异议，可向监管部门提起投诉。但为了维护公开采购工作的严肃性，报价人所提出的投诉一旦被公司认定为无效投诉，单次扣除投诉人3分；如果报价人仍不接受解释且采取重复投诉，甚至出现捏造事实、无理取闹、聚众围堵、恶意诽谤等严重扰乱公司生产经营秩序的恶劣行为，可再扣除投诉人5-10分；报价人对同一事件进行重复的无效投诉，或一年内累计无效投诉达三次以上（含三次），均直接列入暂停交易清单，情节严重的可直接列入禁止交易供应商清单。</w:t>
      </w:r>
    </w:p>
    <w:p w14:paraId="2ABB18DC">
      <w:pPr>
        <w:keepNext w:val="0"/>
        <w:keepLines w:val="0"/>
        <w:pageBreakBefore w:val="0"/>
        <w:widowControl/>
        <w:kinsoku/>
        <w:wordWrap/>
        <w:overflowPunct/>
        <w:topLinePunct w:val="0"/>
        <w:autoSpaceDE/>
        <w:autoSpaceDN/>
        <w:bidi w:val="0"/>
        <w:adjustRightInd w:val="0"/>
        <w:snapToGrid w:val="0"/>
        <w:spacing w:beforeLines="0" w:afterLines="0" w:line="600" w:lineRule="exact"/>
        <w:ind w:left="0" w:leftChars="0" w:right="210" w:rightChars="100"/>
        <w:jc w:val="center"/>
        <w:textAlignment w:val="auto"/>
        <w:outlineLvl w:val="9"/>
        <w:rPr>
          <w:rFonts w:hint="eastAsia" w:ascii="黑体" w:hAnsi="黑体" w:eastAsia="黑体" w:cs="仿宋"/>
          <w:b w:val="0"/>
          <w:bCs/>
          <w:color w:val="auto"/>
          <w:sz w:val="34"/>
          <w:szCs w:val="34"/>
          <w:u w:val="none"/>
          <w:lang w:val="en-US" w:eastAsia="zh-CN"/>
        </w:rPr>
      </w:pPr>
      <w:r>
        <w:rPr>
          <w:rFonts w:hint="eastAsia" w:ascii="黑体" w:hAnsi="黑体" w:eastAsia="黑体" w:cs="仿宋"/>
          <w:b w:val="0"/>
          <w:bCs/>
          <w:color w:val="auto"/>
          <w:sz w:val="34"/>
          <w:szCs w:val="34"/>
          <w:u w:val="none"/>
          <w:lang w:val="en-US" w:eastAsia="zh-CN"/>
        </w:rPr>
        <w:t>第五章  重要事项</w:t>
      </w:r>
    </w:p>
    <w:p w14:paraId="00EA2B7B">
      <w:pPr>
        <w:pStyle w:val="3"/>
        <w:keepNext w:val="0"/>
        <w:keepLines w:val="0"/>
        <w:pageBreakBefore w:val="0"/>
        <w:widowControl/>
        <w:kinsoku/>
        <w:wordWrap/>
        <w:overflowPunct/>
        <w:topLinePunct w:val="0"/>
        <w:autoSpaceDE/>
        <w:autoSpaceDN/>
        <w:bidi w:val="0"/>
        <w:adjustRightInd w:val="0"/>
        <w:snapToGrid w:val="0"/>
        <w:spacing w:beforeAutospacing="0" w:afterAutospacing="0" w:line="600" w:lineRule="exact"/>
        <w:ind w:firstLine="683" w:firstLineChars="200"/>
        <w:textAlignment w:val="auto"/>
        <w:rPr>
          <w:rFonts w:hint="eastAsia" w:ascii="仿宋_GB2312" w:hAnsi="仿宋" w:eastAsia="仿宋_GB2312" w:cs="Times New Roman"/>
          <w:b w:val="0"/>
          <w:bCs/>
          <w:color w:val="auto"/>
          <w:kern w:val="2"/>
          <w:sz w:val="34"/>
          <w:szCs w:val="34"/>
          <w:u w:val="none"/>
          <w:lang w:val="en-US" w:eastAsia="zh-CN"/>
        </w:rPr>
      </w:pPr>
      <w:r>
        <w:rPr>
          <w:rFonts w:hint="eastAsia" w:ascii="仿宋_GB2312" w:hAnsi="仿宋" w:eastAsia="仿宋_GB2312" w:cs="Times New Roman"/>
          <w:b/>
          <w:bCs w:val="0"/>
          <w:color w:val="auto"/>
          <w:kern w:val="2"/>
          <w:sz w:val="34"/>
          <w:szCs w:val="34"/>
          <w:u w:val="none"/>
          <w:lang w:val="en-US" w:eastAsia="zh-CN"/>
        </w:rPr>
        <w:t>第九条</w:t>
      </w:r>
      <w:r>
        <w:rPr>
          <w:rFonts w:hint="eastAsia" w:ascii="仿宋_GB2312" w:hAnsi="仿宋" w:eastAsia="仿宋_GB2312" w:cs="Times New Roman"/>
          <w:b w:val="0"/>
          <w:bCs/>
          <w:color w:val="auto"/>
          <w:kern w:val="2"/>
          <w:sz w:val="34"/>
          <w:szCs w:val="34"/>
          <w:u w:val="none"/>
          <w:lang w:val="en-US" w:eastAsia="zh-CN"/>
        </w:rPr>
        <w:t xml:space="preserve">  为确保集团内部供应商管理的一致性和高效性，各部门应统一按照集团公司制定的供应商管理要求严格执行。</w:t>
      </w:r>
    </w:p>
    <w:p w14:paraId="69CD571A">
      <w:pPr>
        <w:keepNext w:val="0"/>
        <w:keepLines w:val="0"/>
        <w:pageBreakBefore w:val="0"/>
        <w:widowControl/>
        <w:kinsoku/>
        <w:wordWrap/>
        <w:overflowPunct/>
        <w:topLinePunct w:val="0"/>
        <w:autoSpaceDE/>
        <w:autoSpaceDN/>
        <w:bidi w:val="0"/>
        <w:adjustRightInd w:val="0"/>
        <w:snapToGrid w:val="0"/>
        <w:spacing w:beforeAutospacing="0" w:afterAutospacing="0" w:line="600" w:lineRule="exact"/>
        <w:ind w:firstLine="683" w:firstLineChars="200"/>
        <w:textAlignment w:val="auto"/>
        <w:rPr>
          <w:rFonts w:hint="eastAsia" w:ascii="仿宋_GB2312" w:hAnsi="仿宋" w:eastAsia="仿宋_GB2312" w:cs="Times New Roman"/>
          <w:b w:val="0"/>
          <w:bCs/>
          <w:color w:val="auto"/>
          <w:kern w:val="2"/>
          <w:sz w:val="34"/>
          <w:szCs w:val="34"/>
          <w:u w:val="none"/>
          <w:lang w:val="en-US" w:eastAsia="zh-CN"/>
        </w:rPr>
      </w:pPr>
      <w:r>
        <w:rPr>
          <w:rFonts w:hint="eastAsia" w:ascii="仿宋_GB2312" w:hAnsi="仿宋" w:eastAsia="仿宋_GB2312" w:cs="Times New Roman"/>
          <w:b/>
          <w:bCs w:val="0"/>
          <w:color w:val="auto"/>
          <w:kern w:val="2"/>
          <w:sz w:val="34"/>
          <w:szCs w:val="34"/>
          <w:u w:val="none"/>
          <w:lang w:val="en-US" w:eastAsia="zh-CN"/>
        </w:rPr>
        <w:t>第十条</w:t>
      </w:r>
      <w:r>
        <w:rPr>
          <w:rFonts w:hint="eastAsia" w:ascii="仿宋_GB2312" w:hAnsi="仿宋" w:eastAsia="仿宋_GB2312" w:cs="Times New Roman"/>
          <w:b w:val="0"/>
          <w:bCs/>
          <w:color w:val="auto"/>
          <w:kern w:val="2"/>
          <w:sz w:val="34"/>
          <w:szCs w:val="34"/>
          <w:u w:val="none"/>
          <w:lang w:val="en-US" w:eastAsia="zh-CN"/>
        </w:rPr>
        <w:t xml:space="preserve">  各部门将供应商纳入负面清单时应秉持审慎原则，需建立在事实调查与证据收集基础之上，确保决定的合理性与公正性。</w:t>
      </w:r>
    </w:p>
    <w:p w14:paraId="788C61B2">
      <w:pPr>
        <w:keepNext w:val="0"/>
        <w:keepLines w:val="0"/>
        <w:pageBreakBefore w:val="0"/>
        <w:widowControl/>
        <w:kinsoku/>
        <w:wordWrap/>
        <w:overflowPunct/>
        <w:topLinePunct w:val="0"/>
        <w:autoSpaceDE/>
        <w:autoSpaceDN/>
        <w:bidi w:val="0"/>
        <w:adjustRightInd w:val="0"/>
        <w:snapToGrid w:val="0"/>
        <w:spacing w:beforeAutospacing="0" w:afterAutospacing="0" w:line="600" w:lineRule="exact"/>
        <w:ind w:firstLine="683" w:firstLineChars="200"/>
        <w:textAlignment w:val="auto"/>
        <w:rPr>
          <w:rFonts w:hint="eastAsia" w:ascii="仿宋_GB2312" w:hAnsi="仿宋" w:eastAsia="仿宋_GB2312" w:cs="Times New Roman"/>
          <w:b w:val="0"/>
          <w:bCs/>
          <w:color w:val="auto"/>
          <w:kern w:val="2"/>
          <w:sz w:val="34"/>
          <w:szCs w:val="34"/>
          <w:u w:val="none"/>
          <w:lang w:val="en-US" w:eastAsia="zh-CN"/>
        </w:rPr>
      </w:pPr>
      <w:r>
        <w:rPr>
          <w:rFonts w:hint="eastAsia" w:ascii="仿宋_GB2312" w:hAnsi="仿宋" w:eastAsia="仿宋_GB2312" w:cs="Times New Roman"/>
          <w:b/>
          <w:bCs w:val="0"/>
          <w:color w:val="auto"/>
          <w:kern w:val="2"/>
          <w:sz w:val="34"/>
          <w:szCs w:val="34"/>
          <w:u w:val="none"/>
          <w:lang w:val="en-US" w:eastAsia="zh-CN"/>
        </w:rPr>
        <w:t>第十一条</w:t>
      </w:r>
      <w:r>
        <w:rPr>
          <w:rFonts w:hint="eastAsia" w:ascii="仿宋_GB2312" w:hAnsi="仿宋" w:eastAsia="仿宋_GB2312" w:cs="Times New Roman"/>
          <w:b w:val="0"/>
          <w:bCs/>
          <w:color w:val="auto"/>
          <w:kern w:val="2"/>
          <w:sz w:val="34"/>
          <w:szCs w:val="34"/>
          <w:u w:val="none"/>
          <w:lang w:val="en-US" w:eastAsia="zh-CN"/>
        </w:rPr>
        <w:t xml:space="preserve">  原则上不得与禁止合作的供应商恢复合作关系。如确因生产需要恢复合作的，须经相关审批流程后方可实施。</w:t>
      </w:r>
    </w:p>
    <w:p w14:paraId="041ABFE7">
      <w:pPr>
        <w:keepNext w:val="0"/>
        <w:keepLines w:val="0"/>
        <w:pageBreakBefore w:val="0"/>
        <w:widowControl/>
        <w:kinsoku/>
        <w:wordWrap/>
        <w:overflowPunct/>
        <w:topLinePunct w:val="0"/>
        <w:autoSpaceDE/>
        <w:autoSpaceDN/>
        <w:bidi w:val="0"/>
        <w:adjustRightInd w:val="0"/>
        <w:snapToGrid w:val="0"/>
        <w:spacing w:beforeAutospacing="0" w:afterAutospacing="0" w:line="600" w:lineRule="exact"/>
        <w:ind w:firstLine="683" w:firstLineChars="200"/>
        <w:textAlignment w:val="auto"/>
        <w:rPr>
          <w:rFonts w:hint="eastAsia" w:ascii="仿宋_GB2312" w:hAnsi="仿宋" w:eastAsia="仿宋_GB2312" w:cs="Times New Roman"/>
          <w:b w:val="0"/>
          <w:bCs/>
          <w:color w:val="auto"/>
          <w:kern w:val="2"/>
          <w:sz w:val="34"/>
          <w:szCs w:val="34"/>
          <w:u w:val="none"/>
          <w:lang w:val="en-US" w:eastAsia="zh-CN"/>
        </w:rPr>
      </w:pPr>
      <w:r>
        <w:rPr>
          <w:rFonts w:hint="eastAsia" w:ascii="仿宋_GB2312" w:hAnsi="仿宋" w:eastAsia="仿宋_GB2312" w:cs="Times New Roman"/>
          <w:b/>
          <w:bCs w:val="0"/>
          <w:color w:val="auto"/>
          <w:kern w:val="2"/>
          <w:sz w:val="34"/>
          <w:szCs w:val="34"/>
          <w:u w:val="none"/>
          <w:lang w:val="en-US" w:eastAsia="zh-CN"/>
        </w:rPr>
        <w:t>第十二条</w:t>
      </w:r>
      <w:r>
        <w:rPr>
          <w:rFonts w:hint="eastAsia" w:ascii="仿宋_GB2312" w:hAnsi="仿宋" w:eastAsia="仿宋_GB2312" w:cs="Times New Roman"/>
          <w:b w:val="0"/>
          <w:bCs/>
          <w:color w:val="auto"/>
          <w:kern w:val="2"/>
          <w:sz w:val="34"/>
          <w:szCs w:val="34"/>
          <w:u w:val="none"/>
          <w:lang w:val="en-US" w:eastAsia="zh-CN"/>
        </w:rPr>
        <w:t xml:space="preserve">  暂停合作供应商考核满一年后，经审议符合移出暂停合作清单条件的，各部门无正当理由不得拒绝或拖延将其移出负面清单。</w:t>
      </w:r>
    </w:p>
    <w:p w14:paraId="165C8BFE">
      <w:pPr>
        <w:keepNext w:val="0"/>
        <w:keepLines w:val="0"/>
        <w:pageBreakBefore w:val="0"/>
        <w:widowControl/>
        <w:kinsoku/>
        <w:wordWrap/>
        <w:overflowPunct/>
        <w:topLinePunct w:val="0"/>
        <w:autoSpaceDE/>
        <w:autoSpaceDN/>
        <w:bidi w:val="0"/>
        <w:adjustRightInd w:val="0"/>
        <w:snapToGrid w:val="0"/>
        <w:spacing w:beforeAutospacing="0" w:afterAutospacing="0" w:line="600" w:lineRule="exact"/>
        <w:ind w:firstLine="683" w:firstLineChars="200"/>
        <w:textAlignment w:val="auto"/>
        <w:rPr>
          <w:rFonts w:hint="default" w:ascii="仿宋_GB2312" w:hAnsi="仿宋" w:eastAsia="仿宋_GB2312" w:cs="Times New Roman"/>
          <w:b w:val="0"/>
          <w:bCs/>
          <w:color w:val="auto"/>
          <w:kern w:val="2"/>
          <w:sz w:val="34"/>
          <w:szCs w:val="34"/>
          <w:u w:val="none"/>
          <w:lang w:val="en-US" w:eastAsia="zh-CN"/>
        </w:rPr>
      </w:pPr>
      <w:r>
        <w:rPr>
          <w:rFonts w:hint="eastAsia" w:ascii="仿宋_GB2312" w:hAnsi="仿宋" w:eastAsia="仿宋_GB2312" w:cs="Times New Roman"/>
          <w:b/>
          <w:bCs w:val="0"/>
          <w:color w:val="auto"/>
          <w:kern w:val="2"/>
          <w:sz w:val="34"/>
          <w:szCs w:val="34"/>
          <w:u w:val="none"/>
          <w:lang w:val="en-US" w:eastAsia="zh-CN"/>
        </w:rPr>
        <w:t>第十三条</w:t>
      </w:r>
      <w:r>
        <w:rPr>
          <w:rFonts w:hint="eastAsia" w:ascii="仿宋_GB2312" w:hAnsi="仿宋" w:eastAsia="仿宋_GB2312" w:cs="Times New Roman"/>
          <w:b w:val="0"/>
          <w:bCs/>
          <w:color w:val="auto"/>
          <w:kern w:val="2"/>
          <w:sz w:val="34"/>
          <w:szCs w:val="34"/>
          <w:u w:val="none"/>
          <w:lang w:val="en-US" w:eastAsia="zh-CN"/>
        </w:rPr>
        <w:t xml:space="preserve">  如果被暂停合作供应商在收到我司到期告知后三个月内未能提供有效整改材料或一年内不能完成整改的，相关单位可将其列入禁止合作供应商清单，不再与其开展合作。</w:t>
      </w:r>
    </w:p>
    <w:p w14:paraId="6FB4E62F">
      <w:pPr>
        <w:keepNext w:val="0"/>
        <w:keepLines w:val="0"/>
        <w:pageBreakBefore w:val="0"/>
        <w:widowControl/>
        <w:kinsoku/>
        <w:wordWrap/>
        <w:overflowPunct/>
        <w:topLinePunct w:val="0"/>
        <w:autoSpaceDE/>
        <w:autoSpaceDN/>
        <w:bidi w:val="0"/>
        <w:adjustRightInd w:val="0"/>
        <w:snapToGrid w:val="0"/>
        <w:spacing w:beforeAutospacing="0" w:afterAutospacing="0" w:line="600" w:lineRule="exact"/>
        <w:ind w:firstLine="683" w:firstLineChars="200"/>
        <w:textAlignment w:val="auto"/>
        <w:rPr>
          <w:rFonts w:hint="eastAsia" w:ascii="仿宋_GB2312" w:hAnsi="仿宋" w:eastAsia="仿宋_GB2312" w:cs="Times New Roman"/>
          <w:b w:val="0"/>
          <w:bCs/>
          <w:color w:val="auto"/>
          <w:kern w:val="2"/>
          <w:sz w:val="34"/>
          <w:szCs w:val="34"/>
          <w:u w:val="none"/>
          <w:lang w:val="en-US" w:eastAsia="zh-CN"/>
        </w:rPr>
      </w:pPr>
      <w:r>
        <w:rPr>
          <w:rFonts w:hint="eastAsia" w:ascii="仿宋_GB2312" w:hAnsi="仿宋" w:eastAsia="仿宋_GB2312" w:cs="Times New Roman"/>
          <w:b/>
          <w:bCs w:val="0"/>
          <w:color w:val="auto"/>
          <w:kern w:val="2"/>
          <w:sz w:val="34"/>
          <w:szCs w:val="34"/>
          <w:u w:val="none"/>
          <w:lang w:val="en-US" w:eastAsia="zh-CN"/>
        </w:rPr>
        <w:t xml:space="preserve">第十四条 </w:t>
      </w:r>
      <w:r>
        <w:rPr>
          <w:rFonts w:hint="eastAsia" w:ascii="仿宋_GB2312" w:hAnsi="仿宋" w:eastAsia="仿宋_GB2312" w:cs="Times New Roman"/>
          <w:b w:val="0"/>
          <w:bCs/>
          <w:color w:val="auto"/>
          <w:kern w:val="2"/>
          <w:sz w:val="34"/>
          <w:szCs w:val="34"/>
          <w:u w:val="none"/>
          <w:lang w:val="en-US" w:eastAsia="zh-CN"/>
        </w:rPr>
        <w:t xml:space="preserve"> 各单位、各部门需真实、准确地记录供应商的考核结果，并按照要求及时报送供应商考核信息至集团商务合作部，确保信息及时、透明。</w:t>
      </w:r>
    </w:p>
    <w:p w14:paraId="256AC681">
      <w:pPr>
        <w:keepNext w:val="0"/>
        <w:keepLines w:val="0"/>
        <w:pageBreakBefore w:val="0"/>
        <w:widowControl/>
        <w:kinsoku/>
        <w:wordWrap/>
        <w:overflowPunct/>
        <w:topLinePunct w:val="0"/>
        <w:autoSpaceDE/>
        <w:autoSpaceDN/>
        <w:bidi w:val="0"/>
        <w:adjustRightInd w:val="0"/>
        <w:snapToGrid w:val="0"/>
        <w:spacing w:beforeAutospacing="0" w:afterAutospacing="0" w:line="600" w:lineRule="exact"/>
        <w:ind w:firstLine="683" w:firstLineChars="200"/>
        <w:textAlignment w:val="auto"/>
        <w:rPr>
          <w:rFonts w:hint="default" w:ascii="仿宋_GB2312" w:hAnsi="仿宋" w:eastAsia="仿宋_GB2312" w:cs="Times New Roman"/>
          <w:b w:val="0"/>
          <w:bCs/>
          <w:color w:val="auto"/>
          <w:kern w:val="2"/>
          <w:sz w:val="34"/>
          <w:szCs w:val="34"/>
          <w:u w:val="none"/>
          <w:lang w:val="en-US" w:eastAsia="zh-CN"/>
        </w:rPr>
      </w:pPr>
      <w:r>
        <w:rPr>
          <w:rFonts w:hint="eastAsia" w:ascii="仿宋_GB2312" w:hAnsi="仿宋" w:eastAsia="仿宋_GB2312" w:cs="Times New Roman"/>
          <w:b/>
          <w:bCs w:val="0"/>
          <w:color w:val="auto"/>
          <w:kern w:val="2"/>
          <w:sz w:val="34"/>
          <w:szCs w:val="34"/>
          <w:u w:val="none"/>
          <w:lang w:val="en-US" w:eastAsia="zh-CN"/>
        </w:rPr>
        <w:t>第十五条</w:t>
      </w:r>
      <w:r>
        <w:rPr>
          <w:rFonts w:hint="eastAsia" w:ascii="仿宋_GB2312" w:hAnsi="仿宋" w:eastAsia="仿宋_GB2312" w:cs="Times New Roman"/>
          <w:b w:val="0"/>
          <w:bCs/>
          <w:color w:val="auto"/>
          <w:kern w:val="2"/>
          <w:sz w:val="34"/>
          <w:szCs w:val="34"/>
          <w:u w:val="none"/>
          <w:lang w:val="en-US" w:eastAsia="zh-CN"/>
        </w:rPr>
        <w:t xml:space="preserve">  对于严重侵害我公司利益的供应商，除按照供应商管理制度进行正常考核外，对于存在违法违规行为的供应商，应依法追究其法律责任，包括但不限于通过法律途径索赔、向相关监管机构举报等。</w:t>
      </w:r>
    </w:p>
    <w:p w14:paraId="450F8531">
      <w:pPr>
        <w:keepNext w:val="0"/>
        <w:keepLines w:val="0"/>
        <w:pageBreakBefore w:val="0"/>
        <w:widowControl/>
        <w:kinsoku/>
        <w:wordWrap/>
        <w:overflowPunct/>
        <w:topLinePunct w:val="0"/>
        <w:autoSpaceDE/>
        <w:autoSpaceDN/>
        <w:bidi w:val="0"/>
        <w:adjustRightInd w:val="0"/>
        <w:snapToGrid w:val="0"/>
        <w:spacing w:beforeLines="0" w:afterLines="0" w:line="600" w:lineRule="exact"/>
        <w:ind w:left="0" w:leftChars="0" w:right="210" w:rightChars="100"/>
        <w:jc w:val="center"/>
        <w:textAlignment w:val="auto"/>
        <w:outlineLvl w:val="9"/>
        <w:rPr>
          <w:rFonts w:hint="eastAsia" w:ascii="黑体" w:hAnsi="黑体" w:eastAsia="黑体" w:cs="仿宋"/>
          <w:b w:val="0"/>
          <w:bCs/>
          <w:color w:val="auto"/>
          <w:sz w:val="34"/>
          <w:szCs w:val="34"/>
          <w:u w:val="none"/>
          <w:lang w:val="en-US" w:eastAsia="zh-CN"/>
        </w:rPr>
      </w:pPr>
      <w:r>
        <w:rPr>
          <w:rFonts w:hint="eastAsia" w:ascii="黑体" w:hAnsi="黑体" w:eastAsia="黑体" w:cs="仿宋"/>
          <w:b w:val="0"/>
          <w:bCs/>
          <w:color w:val="auto"/>
          <w:sz w:val="34"/>
          <w:szCs w:val="34"/>
          <w:u w:val="none"/>
          <w:lang w:eastAsia="zh-CN"/>
        </w:rPr>
        <w:t>第</w:t>
      </w:r>
      <w:r>
        <w:rPr>
          <w:rFonts w:hint="eastAsia" w:ascii="黑体" w:hAnsi="黑体" w:eastAsia="黑体" w:cs="仿宋"/>
          <w:b w:val="0"/>
          <w:bCs/>
          <w:color w:val="auto"/>
          <w:sz w:val="34"/>
          <w:szCs w:val="34"/>
          <w:u w:val="none"/>
          <w:lang w:val="en-US" w:eastAsia="zh-CN"/>
        </w:rPr>
        <w:t>六</w:t>
      </w:r>
      <w:r>
        <w:rPr>
          <w:rFonts w:hint="eastAsia" w:ascii="黑体" w:hAnsi="黑体" w:eastAsia="黑体" w:cs="仿宋"/>
          <w:b w:val="0"/>
          <w:bCs/>
          <w:color w:val="auto"/>
          <w:sz w:val="34"/>
          <w:szCs w:val="34"/>
          <w:u w:val="none"/>
          <w:lang w:eastAsia="zh-CN"/>
        </w:rPr>
        <w:t>章</w:t>
      </w:r>
      <w:r>
        <w:rPr>
          <w:rFonts w:hint="eastAsia" w:ascii="黑体" w:hAnsi="黑体" w:eastAsia="黑体" w:cs="仿宋"/>
          <w:b w:val="0"/>
          <w:bCs/>
          <w:color w:val="auto"/>
          <w:sz w:val="34"/>
          <w:szCs w:val="34"/>
          <w:u w:val="none"/>
          <w:lang w:val="en-US" w:eastAsia="zh-CN"/>
        </w:rPr>
        <w:t xml:space="preserve">  附则</w:t>
      </w:r>
    </w:p>
    <w:p w14:paraId="5313E7E1">
      <w:pPr>
        <w:spacing w:line="600" w:lineRule="exact"/>
        <w:ind w:left="0" w:firstLine="642"/>
        <w:outlineLvl w:val="9"/>
        <w:rPr>
          <w:rFonts w:hint="eastAsia" w:ascii="仿宋_GB2312" w:hAnsi="仿宋" w:eastAsia="仿宋_GB2312" w:cs="Times New Roman"/>
          <w:b w:val="0"/>
          <w:bCs/>
          <w:color w:val="auto"/>
          <w:sz w:val="34"/>
          <w:szCs w:val="34"/>
          <w:u w:val="none"/>
          <w:lang w:val="en-US" w:eastAsia="zh-CN"/>
        </w:rPr>
      </w:pPr>
      <w:r>
        <w:rPr>
          <w:rFonts w:hint="eastAsia" w:ascii="仿宋_GB2312" w:hAnsi="楷体" w:eastAsia="仿宋_GB2312" w:cs="Times New Roman"/>
          <w:b/>
          <w:bCs w:val="0"/>
          <w:color w:val="auto"/>
          <w:sz w:val="34"/>
          <w:szCs w:val="34"/>
          <w:u w:val="none"/>
          <w:lang w:val="en-US" w:eastAsia="zh-CN"/>
        </w:rPr>
        <w:t xml:space="preserve">第十六条 </w:t>
      </w:r>
      <w:r>
        <w:rPr>
          <w:rFonts w:hint="eastAsia" w:ascii="仿宋_GB2312" w:hAnsi="仿宋" w:eastAsia="仿宋_GB2312" w:cs="Times New Roman"/>
          <w:b w:val="0"/>
          <w:bCs/>
          <w:color w:val="auto"/>
          <w:sz w:val="34"/>
          <w:szCs w:val="34"/>
          <w:u w:val="none"/>
          <w:lang w:val="en-US" w:eastAsia="zh-CN"/>
        </w:rPr>
        <w:t>各部门、各单位应努力按照公开、公平、公正的原则，做好供应商负面清单的考核和管理工作。</w:t>
      </w:r>
    </w:p>
    <w:p w14:paraId="1E42F01A">
      <w:pPr>
        <w:spacing w:line="600" w:lineRule="exact"/>
        <w:ind w:left="0" w:firstLine="642"/>
        <w:outlineLvl w:val="9"/>
        <w:rPr>
          <w:rFonts w:hint="eastAsia" w:ascii="仿宋_GB2312" w:hAnsi="仿宋" w:eastAsia="仿宋_GB2312" w:cs="Times New Roman"/>
          <w:b w:val="0"/>
          <w:bCs/>
          <w:color w:val="auto"/>
          <w:sz w:val="34"/>
          <w:szCs w:val="34"/>
          <w:u w:val="none"/>
          <w:lang w:val="en-US" w:eastAsia="zh-CN"/>
        </w:rPr>
      </w:pPr>
      <w:r>
        <w:rPr>
          <w:rFonts w:hint="eastAsia" w:ascii="仿宋_GB2312" w:hAnsi="楷体" w:eastAsia="仿宋_GB2312" w:cs="Times New Roman"/>
          <w:b/>
          <w:bCs w:val="0"/>
          <w:color w:val="auto"/>
          <w:sz w:val="34"/>
          <w:szCs w:val="34"/>
          <w:u w:val="none"/>
          <w:lang w:val="en-US" w:eastAsia="zh-CN"/>
        </w:rPr>
        <w:t xml:space="preserve">第十七条 </w:t>
      </w:r>
      <w:r>
        <w:rPr>
          <w:rFonts w:hint="eastAsia" w:ascii="仿宋_GB2312" w:hAnsi="仿宋" w:eastAsia="仿宋_GB2312" w:cs="Times New Roman"/>
          <w:b w:val="0"/>
          <w:bCs/>
          <w:color w:val="auto"/>
          <w:sz w:val="34"/>
          <w:szCs w:val="34"/>
          <w:u w:val="none"/>
          <w:lang w:val="en-US" w:eastAsia="zh-CN"/>
        </w:rPr>
        <w:t>不同单位对同一供应商12个月内的考核扣分累计达到15分及以上的，由集团商务合作部将其列为暂停合作供应商。</w:t>
      </w:r>
    </w:p>
    <w:p w14:paraId="3829E9CF">
      <w:pPr>
        <w:keepNext w:val="0"/>
        <w:keepLines w:val="0"/>
        <w:pageBreakBefore w:val="0"/>
        <w:widowControl/>
        <w:kinsoku/>
        <w:wordWrap/>
        <w:overflowPunct/>
        <w:topLinePunct w:val="0"/>
        <w:autoSpaceDE/>
        <w:autoSpaceDN/>
        <w:bidi w:val="0"/>
        <w:adjustRightInd/>
        <w:snapToGrid/>
        <w:spacing w:beforeLines="0" w:afterLines="0" w:line="600" w:lineRule="exact"/>
        <w:ind w:left="0" w:leftChars="0" w:right="0" w:rightChars="0" w:firstLine="683" w:firstLineChars="200"/>
        <w:jc w:val="left"/>
        <w:textAlignment w:val="auto"/>
        <w:outlineLvl w:val="9"/>
        <w:rPr>
          <w:rFonts w:hint="eastAsia" w:ascii="仿宋_GB2312" w:hAnsi="楷体" w:eastAsia="仿宋_GB2312" w:cs="Times New Roman"/>
          <w:b w:val="0"/>
          <w:bCs/>
          <w:color w:val="auto"/>
          <w:sz w:val="34"/>
          <w:szCs w:val="34"/>
          <w:highlight w:val="none"/>
          <w:u w:val="none"/>
          <w:lang w:val="en-US" w:eastAsia="zh-CN"/>
        </w:rPr>
      </w:pPr>
      <w:r>
        <w:rPr>
          <w:rFonts w:hint="eastAsia" w:ascii="仿宋_GB2312" w:hAnsi="楷体" w:eastAsia="仿宋_GB2312" w:cs="Times New Roman"/>
          <w:b/>
          <w:bCs w:val="0"/>
          <w:color w:val="auto"/>
          <w:sz w:val="34"/>
          <w:szCs w:val="34"/>
          <w:highlight w:val="none"/>
          <w:u w:val="none"/>
          <w:lang w:val="en-US" w:eastAsia="zh-CN"/>
        </w:rPr>
        <w:t>第十八条</w:t>
      </w:r>
      <w:r>
        <w:rPr>
          <w:rFonts w:hint="eastAsia" w:ascii="仿宋_GB2312" w:hAnsi="楷体" w:eastAsia="仿宋_GB2312" w:cs="Times New Roman"/>
          <w:b w:val="0"/>
          <w:bCs/>
          <w:color w:val="auto"/>
          <w:sz w:val="34"/>
          <w:szCs w:val="34"/>
          <w:highlight w:val="none"/>
          <w:u w:val="none"/>
          <w:lang w:val="en-US" w:eastAsia="zh-CN"/>
        </w:rPr>
        <w:t xml:space="preserve"> 自然人、废旧物资处置单位参照本制度进行管理。</w:t>
      </w:r>
    </w:p>
    <w:p w14:paraId="5DCEBB71">
      <w:pPr>
        <w:keepNext w:val="0"/>
        <w:keepLines w:val="0"/>
        <w:pageBreakBefore w:val="0"/>
        <w:widowControl/>
        <w:kinsoku/>
        <w:wordWrap/>
        <w:overflowPunct/>
        <w:topLinePunct w:val="0"/>
        <w:autoSpaceDE/>
        <w:autoSpaceDN/>
        <w:bidi w:val="0"/>
        <w:adjustRightInd/>
        <w:snapToGrid/>
        <w:spacing w:beforeLines="0" w:afterLines="0" w:line="600" w:lineRule="exact"/>
        <w:ind w:left="0" w:leftChars="0" w:right="0" w:rightChars="0" w:firstLine="683" w:firstLineChars="200"/>
        <w:jc w:val="left"/>
        <w:textAlignment w:val="auto"/>
        <w:outlineLvl w:val="9"/>
        <w:rPr>
          <w:rFonts w:hint="default" w:ascii="仿宋_GB2312" w:hAnsi="楷体" w:eastAsia="仿宋_GB2312" w:cs="Times New Roman"/>
          <w:b w:val="0"/>
          <w:bCs/>
          <w:color w:val="auto"/>
          <w:sz w:val="34"/>
          <w:szCs w:val="34"/>
          <w:highlight w:val="none"/>
          <w:u w:val="none"/>
          <w:lang w:val="en-US" w:eastAsia="zh-CN"/>
        </w:rPr>
      </w:pPr>
      <w:r>
        <w:rPr>
          <w:rFonts w:hint="eastAsia" w:ascii="仿宋_GB2312" w:hAnsi="楷体" w:eastAsia="仿宋_GB2312" w:cs="Times New Roman"/>
          <w:b/>
          <w:bCs w:val="0"/>
          <w:color w:val="auto"/>
          <w:sz w:val="34"/>
          <w:szCs w:val="34"/>
          <w:highlight w:val="none"/>
          <w:u w:val="none"/>
          <w:lang w:val="en-US" w:eastAsia="zh-CN"/>
        </w:rPr>
        <w:t>第十九条</w:t>
      </w:r>
      <w:r>
        <w:rPr>
          <w:rFonts w:hint="eastAsia" w:ascii="仿宋_GB2312" w:hAnsi="楷体" w:eastAsia="仿宋_GB2312" w:cs="Times New Roman"/>
          <w:b w:val="0"/>
          <w:bCs/>
          <w:color w:val="auto"/>
          <w:sz w:val="34"/>
          <w:szCs w:val="34"/>
          <w:highlight w:val="none"/>
          <w:u w:val="none"/>
          <w:lang w:val="en-US" w:eastAsia="zh-CN"/>
        </w:rPr>
        <w:t xml:space="preserve"> 如某一实际控制人所控制的公司被列入负面清单，该实控人直接或间接控制的所有相关公司也视同列入负面清单。</w:t>
      </w:r>
    </w:p>
    <w:p w14:paraId="7FD732B6">
      <w:pPr>
        <w:keepNext w:val="0"/>
        <w:keepLines w:val="0"/>
        <w:pageBreakBefore w:val="0"/>
        <w:widowControl/>
        <w:kinsoku/>
        <w:wordWrap/>
        <w:overflowPunct/>
        <w:topLinePunct w:val="0"/>
        <w:autoSpaceDE/>
        <w:autoSpaceDN/>
        <w:bidi w:val="0"/>
        <w:adjustRightInd/>
        <w:snapToGrid/>
        <w:spacing w:beforeLines="0" w:afterLines="0" w:line="600" w:lineRule="exact"/>
        <w:ind w:left="0" w:leftChars="0" w:right="0" w:rightChars="0" w:firstLine="683" w:firstLineChars="200"/>
        <w:jc w:val="left"/>
        <w:textAlignment w:val="auto"/>
        <w:outlineLvl w:val="9"/>
        <w:rPr>
          <w:rFonts w:hint="default" w:ascii="仿宋_GB2312" w:hAnsi="楷体" w:eastAsia="仿宋_GB2312" w:cs="Times New Roman"/>
          <w:b w:val="0"/>
          <w:bCs/>
          <w:color w:val="auto"/>
          <w:sz w:val="34"/>
          <w:szCs w:val="34"/>
          <w:highlight w:val="none"/>
          <w:u w:val="none"/>
          <w:lang w:val="en-US" w:eastAsia="zh-CN"/>
        </w:rPr>
      </w:pPr>
      <w:r>
        <w:rPr>
          <w:rFonts w:hint="eastAsia" w:ascii="仿宋_GB2312" w:hAnsi="楷体" w:eastAsia="仿宋_GB2312" w:cs="Times New Roman"/>
          <w:b/>
          <w:bCs w:val="0"/>
          <w:color w:val="auto"/>
          <w:sz w:val="34"/>
          <w:szCs w:val="34"/>
          <w:highlight w:val="none"/>
          <w:u w:val="none"/>
          <w:lang w:val="en-US" w:eastAsia="zh-CN"/>
        </w:rPr>
        <w:t>第二十条</w:t>
      </w:r>
      <w:r>
        <w:rPr>
          <w:rFonts w:hint="eastAsia" w:ascii="仿宋_GB2312" w:hAnsi="楷体" w:eastAsia="仿宋_GB2312" w:cs="Times New Roman"/>
          <w:b w:val="0"/>
          <w:bCs/>
          <w:color w:val="auto"/>
          <w:sz w:val="34"/>
          <w:szCs w:val="34"/>
          <w:highlight w:val="none"/>
          <w:u w:val="none"/>
          <w:lang w:val="en-US" w:eastAsia="zh-CN"/>
        </w:rPr>
        <w:t xml:space="preserve"> 集团公司开发供应商管理信息系统，实现扣分、清单更新、公示全流程线上化，并与采购系统联动拦截违规供应商。</w:t>
      </w:r>
    </w:p>
    <w:p w14:paraId="6D9EAD6E">
      <w:pPr>
        <w:keepNext w:val="0"/>
        <w:keepLines w:val="0"/>
        <w:pageBreakBefore w:val="0"/>
        <w:widowControl/>
        <w:kinsoku/>
        <w:wordWrap/>
        <w:overflowPunct/>
        <w:topLinePunct w:val="0"/>
        <w:autoSpaceDE/>
        <w:autoSpaceDN/>
        <w:bidi w:val="0"/>
        <w:adjustRightInd/>
        <w:snapToGrid/>
        <w:spacing w:beforeLines="0" w:afterLines="0" w:line="600" w:lineRule="exact"/>
        <w:ind w:left="0" w:leftChars="0" w:right="0" w:rightChars="0" w:firstLine="0" w:firstLineChars="0"/>
        <w:jc w:val="left"/>
        <w:textAlignment w:val="auto"/>
        <w:outlineLvl w:val="9"/>
        <w:rPr>
          <w:rFonts w:hint="eastAsia" w:ascii="仿宋_GB2312" w:hAnsi="仿宋" w:eastAsia="仿宋_GB2312" w:cs="Times New Roman"/>
          <w:b w:val="0"/>
          <w:bCs/>
          <w:color w:val="auto"/>
          <w:sz w:val="34"/>
          <w:szCs w:val="34"/>
          <w:highlight w:val="none"/>
          <w:u w:val="none"/>
          <w:lang w:val="en-US" w:eastAsia="zh-CN"/>
        </w:rPr>
        <w:sectPr>
          <w:headerReference r:id="rId3" w:type="default"/>
          <w:footerReference r:id="rId4" w:type="default"/>
          <w:footerReference r:id="rId5" w:type="even"/>
          <w:pgSz w:w="11906" w:h="16838"/>
          <w:pgMar w:top="1701" w:right="1587" w:bottom="1701" w:left="1587" w:header="851" w:footer="1418" w:gutter="0"/>
          <w:cols w:space="720" w:num="1"/>
          <w:docGrid w:linePitch="312" w:charSpace="0"/>
        </w:sectPr>
      </w:pPr>
      <w:r>
        <w:rPr>
          <w:rFonts w:hint="eastAsia" w:ascii="仿宋_GB2312" w:hAnsi="楷体" w:eastAsia="仿宋_GB2312" w:cs="Times New Roman"/>
          <w:b w:val="0"/>
          <w:bCs/>
          <w:color w:val="auto"/>
          <w:sz w:val="34"/>
          <w:szCs w:val="34"/>
          <w:highlight w:val="none"/>
          <w:u w:val="none"/>
          <w:lang w:val="en-US" w:eastAsia="zh-CN"/>
        </w:rPr>
        <w:t>　</w:t>
      </w:r>
      <w:r>
        <w:rPr>
          <w:rFonts w:hint="eastAsia" w:ascii="仿宋_GB2312" w:hAnsi="楷体" w:eastAsia="仿宋_GB2312" w:cs="Times New Roman"/>
          <w:b/>
          <w:bCs w:val="0"/>
          <w:color w:val="auto"/>
          <w:sz w:val="34"/>
          <w:szCs w:val="34"/>
          <w:u w:val="none"/>
          <w:lang w:val="en-US" w:eastAsia="zh-CN"/>
        </w:rPr>
        <w:t>　第二十一条</w:t>
      </w:r>
      <w:r>
        <w:rPr>
          <w:rFonts w:hint="eastAsia" w:ascii="仿宋_GB2312" w:hAnsi="楷体" w:eastAsia="仿宋_GB2312" w:cs="Times New Roman"/>
          <w:b w:val="0"/>
          <w:bCs/>
          <w:color w:val="auto"/>
          <w:sz w:val="34"/>
          <w:szCs w:val="34"/>
          <w:highlight w:val="none"/>
          <w:u w:val="none"/>
          <w:lang w:val="en-US" w:eastAsia="zh-CN"/>
        </w:rPr>
        <w:t xml:space="preserve"> </w:t>
      </w:r>
      <w:r>
        <w:rPr>
          <w:rFonts w:hint="eastAsia" w:ascii="仿宋_GB2312" w:hAnsi="仿宋" w:eastAsia="仿宋_GB2312" w:cs="Times New Roman"/>
          <w:b w:val="0"/>
          <w:bCs/>
          <w:color w:val="auto"/>
          <w:sz w:val="34"/>
          <w:szCs w:val="34"/>
          <w:highlight w:val="none"/>
          <w:u w:val="none"/>
          <w:lang w:val="en-US" w:eastAsia="zh-CN"/>
        </w:rPr>
        <w:t>本规定自颁发之日起生效，由集团商务合作部负责解释，</w:t>
      </w:r>
      <w:r>
        <w:rPr>
          <w:rFonts w:hint="eastAsia" w:ascii="仿宋_GB2312" w:hAnsi="宋体" w:eastAsia="仿宋_GB2312" w:cs="宋体"/>
          <w:b w:val="0"/>
          <w:bCs/>
          <w:color w:val="auto"/>
          <w:kern w:val="0"/>
          <w:sz w:val="34"/>
          <w:szCs w:val="34"/>
          <w:u w:val="none"/>
        </w:rPr>
        <w:t>原《索普集团供应商负面清单管理规定（试行）》</w:t>
      </w:r>
      <w:r>
        <w:rPr>
          <w:rFonts w:hint="eastAsia" w:ascii="仿宋_GB2312" w:eastAsia="仿宋_GB2312"/>
          <w:b w:val="0"/>
          <w:bCs/>
          <w:color w:val="auto"/>
          <w:sz w:val="34"/>
          <w:szCs w:val="34"/>
          <w:u w:val="none"/>
        </w:rPr>
        <w:t>（苏索</w:t>
      </w:r>
      <w:r>
        <w:rPr>
          <w:rFonts w:hint="eastAsia" w:ascii="仿宋_GB2312" w:eastAsia="仿宋_GB2312"/>
          <w:b w:val="0"/>
          <w:bCs/>
          <w:color w:val="auto"/>
          <w:sz w:val="34"/>
          <w:szCs w:val="34"/>
          <w:u w:val="none"/>
          <w:lang w:eastAsia="zh-CN"/>
        </w:rPr>
        <w:t>企</w:t>
      </w:r>
      <w:r>
        <w:rPr>
          <w:rFonts w:hint="eastAsia" w:ascii="仿宋_GB2312" w:eastAsia="仿宋_GB2312"/>
          <w:b w:val="0"/>
          <w:bCs/>
          <w:color w:val="auto"/>
          <w:sz w:val="34"/>
          <w:szCs w:val="34"/>
          <w:u w:val="none"/>
        </w:rPr>
        <w:t>字〔</w:t>
      </w:r>
      <w:r>
        <w:rPr>
          <w:rFonts w:ascii="仿宋_GB2312" w:eastAsia="仿宋_GB2312"/>
          <w:b w:val="0"/>
          <w:bCs/>
          <w:color w:val="auto"/>
          <w:sz w:val="34"/>
          <w:szCs w:val="34"/>
          <w:u w:val="none"/>
        </w:rPr>
        <w:t>20</w:t>
      </w:r>
      <w:r>
        <w:rPr>
          <w:rFonts w:hint="eastAsia" w:ascii="仿宋_GB2312" w:eastAsia="仿宋_GB2312"/>
          <w:b w:val="0"/>
          <w:bCs/>
          <w:color w:val="auto"/>
          <w:sz w:val="34"/>
          <w:szCs w:val="34"/>
          <w:u w:val="none"/>
        </w:rPr>
        <w:t>2</w:t>
      </w:r>
      <w:r>
        <w:rPr>
          <w:rFonts w:hint="eastAsia" w:ascii="仿宋_GB2312" w:eastAsia="仿宋_GB2312"/>
          <w:b w:val="0"/>
          <w:bCs/>
          <w:color w:val="auto"/>
          <w:sz w:val="34"/>
          <w:szCs w:val="34"/>
          <w:u w:val="none"/>
          <w:lang w:val="en-US" w:eastAsia="zh-CN"/>
        </w:rPr>
        <w:t>3</w:t>
      </w:r>
      <w:r>
        <w:rPr>
          <w:rFonts w:hint="eastAsia" w:ascii="仿宋_GB2312" w:eastAsia="仿宋_GB2312"/>
          <w:b w:val="0"/>
          <w:bCs/>
          <w:color w:val="auto"/>
          <w:sz w:val="34"/>
          <w:szCs w:val="34"/>
          <w:u w:val="none"/>
        </w:rPr>
        <w:t>〕</w:t>
      </w:r>
      <w:r>
        <w:rPr>
          <w:rFonts w:hint="eastAsia" w:ascii="仿宋_GB2312" w:eastAsia="仿宋_GB2312"/>
          <w:b w:val="0"/>
          <w:bCs/>
          <w:color w:val="auto"/>
          <w:sz w:val="34"/>
          <w:szCs w:val="34"/>
          <w:u w:val="none"/>
          <w:lang w:val="en-US" w:eastAsia="zh-CN"/>
        </w:rPr>
        <w:t>90</w:t>
      </w:r>
      <w:r>
        <w:rPr>
          <w:rFonts w:hint="eastAsia" w:ascii="仿宋_GB2312" w:eastAsia="仿宋_GB2312"/>
          <w:b w:val="0"/>
          <w:bCs/>
          <w:color w:val="auto"/>
          <w:sz w:val="34"/>
          <w:szCs w:val="34"/>
          <w:u w:val="none"/>
        </w:rPr>
        <w:t>号）同时废止。</w:t>
      </w:r>
    </w:p>
    <w:p w14:paraId="03564E0B">
      <w:pPr>
        <w:widowControl/>
        <w:jc w:val="left"/>
        <w:rPr>
          <w:rFonts w:hint="eastAsia" w:ascii="黑体" w:hAnsi="黑体" w:eastAsia="黑体" w:cs="黑体"/>
          <w:b w:val="0"/>
          <w:bCs/>
          <w:color w:val="auto"/>
          <w:kern w:val="0"/>
          <w:sz w:val="34"/>
          <w:szCs w:val="34"/>
          <w:u w:val="none"/>
          <w:lang w:eastAsia="zh-CN"/>
        </w:rPr>
      </w:pPr>
      <w:r>
        <w:rPr>
          <w:rFonts w:hint="eastAsia" w:ascii="黑体" w:hAnsi="黑体" w:eastAsia="黑体" w:cs="黑体"/>
          <w:b w:val="0"/>
          <w:bCs/>
          <w:color w:val="auto"/>
          <w:kern w:val="0"/>
          <w:sz w:val="34"/>
          <w:szCs w:val="34"/>
          <w:u w:val="none"/>
        </w:rPr>
        <w:t>附件</w:t>
      </w:r>
      <w:r>
        <w:rPr>
          <w:rFonts w:hint="eastAsia" w:ascii="黑体" w:hAnsi="黑体" w:eastAsia="黑体" w:cs="黑体"/>
          <w:b w:val="0"/>
          <w:bCs/>
          <w:color w:val="auto"/>
          <w:kern w:val="0"/>
          <w:sz w:val="34"/>
          <w:szCs w:val="34"/>
          <w:u w:val="none"/>
          <w:lang w:val="en-US" w:eastAsia="zh-CN"/>
        </w:rPr>
        <w:t>2</w:t>
      </w:r>
    </w:p>
    <w:tbl>
      <w:tblPr>
        <w:tblStyle w:val="9"/>
        <w:tblW w:w="14225" w:type="dxa"/>
        <w:tblInd w:w="0" w:type="dxa"/>
        <w:tblLayout w:type="fixed"/>
        <w:tblCellMar>
          <w:top w:w="0" w:type="dxa"/>
          <w:left w:w="108" w:type="dxa"/>
          <w:bottom w:w="0" w:type="dxa"/>
          <w:right w:w="108" w:type="dxa"/>
        </w:tblCellMar>
      </w:tblPr>
      <w:tblGrid>
        <w:gridCol w:w="705"/>
        <w:gridCol w:w="1685"/>
        <w:gridCol w:w="1328"/>
        <w:gridCol w:w="908"/>
        <w:gridCol w:w="788"/>
        <w:gridCol w:w="824"/>
        <w:gridCol w:w="703"/>
        <w:gridCol w:w="753"/>
        <w:gridCol w:w="806"/>
        <w:gridCol w:w="925"/>
        <w:gridCol w:w="955"/>
        <w:gridCol w:w="1200"/>
        <w:gridCol w:w="1250"/>
        <w:gridCol w:w="109"/>
        <w:gridCol w:w="1286"/>
      </w:tblGrid>
      <w:tr w14:paraId="0864D58C">
        <w:tblPrEx>
          <w:tblCellMar>
            <w:top w:w="0" w:type="dxa"/>
            <w:left w:w="108" w:type="dxa"/>
            <w:bottom w:w="0" w:type="dxa"/>
            <w:right w:w="108" w:type="dxa"/>
          </w:tblCellMar>
        </w:tblPrEx>
        <w:trPr>
          <w:trHeight w:val="375" w:hRule="atLeast"/>
        </w:trPr>
        <w:tc>
          <w:tcPr>
            <w:tcW w:w="11580" w:type="dxa"/>
            <w:gridSpan w:val="12"/>
            <w:tcBorders>
              <w:top w:val="nil"/>
              <w:left w:val="nil"/>
              <w:bottom w:val="nil"/>
              <w:right w:val="nil"/>
            </w:tcBorders>
            <w:noWrap w:val="0"/>
            <w:vAlign w:val="center"/>
          </w:tcPr>
          <w:p w14:paraId="1A2F4B94">
            <w:pPr>
              <w:widowControl/>
              <w:jc w:val="center"/>
              <w:rPr>
                <w:rFonts w:hint="eastAsia" w:ascii="方正小标宋简体" w:hAnsi="宋体" w:eastAsia="方正小标宋简体" w:cs="宋体"/>
                <w:b w:val="0"/>
                <w:bCs/>
                <w:color w:val="auto"/>
                <w:kern w:val="0"/>
                <w:sz w:val="44"/>
                <w:szCs w:val="44"/>
                <w:u w:val="none"/>
              </w:rPr>
            </w:pPr>
            <w:r>
              <w:rPr>
                <w:rFonts w:hint="eastAsia" w:ascii="方正小标宋简体" w:hAnsi="宋体" w:eastAsia="方正小标宋简体" w:cs="宋体"/>
                <w:b w:val="0"/>
                <w:bCs/>
                <w:color w:val="auto"/>
                <w:kern w:val="0"/>
                <w:sz w:val="44"/>
                <w:szCs w:val="44"/>
                <w:u w:val="none"/>
              </w:rPr>
              <w:t>供应商考核表</w:t>
            </w:r>
          </w:p>
        </w:tc>
        <w:tc>
          <w:tcPr>
            <w:tcW w:w="1359" w:type="dxa"/>
            <w:gridSpan w:val="2"/>
            <w:tcBorders>
              <w:top w:val="nil"/>
              <w:left w:val="nil"/>
              <w:bottom w:val="nil"/>
              <w:right w:val="nil"/>
            </w:tcBorders>
            <w:noWrap w:val="0"/>
            <w:vAlign w:val="center"/>
          </w:tcPr>
          <w:p w14:paraId="4A0BFE31">
            <w:pPr>
              <w:widowControl/>
              <w:jc w:val="center"/>
              <w:rPr>
                <w:rFonts w:hint="eastAsia" w:ascii="方正小标宋简体" w:hAnsi="宋体" w:eastAsia="方正小标宋简体" w:cs="宋体"/>
                <w:b w:val="0"/>
                <w:bCs/>
                <w:color w:val="auto"/>
                <w:kern w:val="0"/>
                <w:sz w:val="44"/>
                <w:szCs w:val="44"/>
                <w:u w:val="none"/>
              </w:rPr>
            </w:pPr>
          </w:p>
        </w:tc>
        <w:tc>
          <w:tcPr>
            <w:tcW w:w="1286" w:type="dxa"/>
            <w:tcBorders>
              <w:top w:val="nil"/>
              <w:left w:val="nil"/>
              <w:bottom w:val="nil"/>
              <w:right w:val="nil"/>
            </w:tcBorders>
            <w:noWrap w:val="0"/>
            <w:vAlign w:val="center"/>
          </w:tcPr>
          <w:p w14:paraId="73718B23">
            <w:pPr>
              <w:widowControl/>
              <w:jc w:val="center"/>
              <w:rPr>
                <w:rFonts w:hint="eastAsia" w:ascii="方正小标宋简体" w:hAnsi="宋体" w:eastAsia="方正小标宋简体" w:cs="宋体"/>
                <w:b w:val="0"/>
                <w:bCs/>
                <w:color w:val="auto"/>
                <w:kern w:val="0"/>
                <w:sz w:val="44"/>
                <w:szCs w:val="44"/>
                <w:u w:val="none"/>
              </w:rPr>
            </w:pPr>
          </w:p>
        </w:tc>
      </w:tr>
      <w:tr w14:paraId="6A7F3925">
        <w:tblPrEx>
          <w:tblCellMar>
            <w:top w:w="0" w:type="dxa"/>
            <w:left w:w="108" w:type="dxa"/>
            <w:bottom w:w="0" w:type="dxa"/>
            <w:right w:w="108" w:type="dxa"/>
          </w:tblCellMar>
        </w:tblPrEx>
        <w:trPr>
          <w:trHeight w:val="285" w:hRule="atLeast"/>
        </w:trPr>
        <w:tc>
          <w:tcPr>
            <w:tcW w:w="11580" w:type="dxa"/>
            <w:gridSpan w:val="12"/>
            <w:tcBorders>
              <w:top w:val="nil"/>
              <w:left w:val="nil"/>
              <w:bottom w:val="nil"/>
              <w:right w:val="nil"/>
            </w:tcBorders>
            <w:noWrap w:val="0"/>
            <w:vAlign w:val="center"/>
          </w:tcPr>
          <w:p w14:paraId="46335AC7">
            <w:pPr>
              <w:widowControl/>
              <w:jc w:val="left"/>
              <w:rPr>
                <w:rFonts w:hint="eastAsia" w:ascii="宋体" w:hAnsi="宋体" w:cs="宋体"/>
                <w:b w:val="0"/>
                <w:bCs/>
                <w:color w:val="auto"/>
                <w:kern w:val="0"/>
                <w:sz w:val="24"/>
                <w:szCs w:val="24"/>
                <w:u w:val="none"/>
              </w:rPr>
            </w:pPr>
            <w:r>
              <w:rPr>
                <w:rFonts w:hint="eastAsia" w:ascii="宋体" w:hAnsi="宋体" w:cs="宋体"/>
                <w:b w:val="0"/>
                <w:bCs/>
                <w:color w:val="auto"/>
                <w:kern w:val="0"/>
                <w:sz w:val="24"/>
                <w:szCs w:val="24"/>
                <w:u w:val="none"/>
              </w:rPr>
              <w:t xml:space="preserve">                                                                      　 时间：    年   月   日                                                           </w:t>
            </w:r>
          </w:p>
        </w:tc>
        <w:tc>
          <w:tcPr>
            <w:tcW w:w="1359" w:type="dxa"/>
            <w:gridSpan w:val="2"/>
            <w:tcBorders>
              <w:top w:val="nil"/>
              <w:left w:val="nil"/>
              <w:bottom w:val="nil"/>
              <w:right w:val="nil"/>
            </w:tcBorders>
            <w:noWrap w:val="0"/>
            <w:vAlign w:val="center"/>
          </w:tcPr>
          <w:p w14:paraId="4238F522">
            <w:pPr>
              <w:widowControl/>
              <w:jc w:val="left"/>
              <w:rPr>
                <w:rFonts w:hint="eastAsia" w:ascii="宋体" w:hAnsi="宋体" w:cs="宋体"/>
                <w:b w:val="0"/>
                <w:bCs/>
                <w:color w:val="auto"/>
                <w:kern w:val="0"/>
                <w:sz w:val="24"/>
                <w:szCs w:val="24"/>
                <w:u w:val="none"/>
              </w:rPr>
            </w:pPr>
          </w:p>
        </w:tc>
        <w:tc>
          <w:tcPr>
            <w:tcW w:w="1286" w:type="dxa"/>
            <w:tcBorders>
              <w:top w:val="nil"/>
              <w:left w:val="nil"/>
              <w:bottom w:val="nil"/>
              <w:right w:val="nil"/>
            </w:tcBorders>
            <w:noWrap w:val="0"/>
            <w:vAlign w:val="center"/>
          </w:tcPr>
          <w:p w14:paraId="55818BFE">
            <w:pPr>
              <w:widowControl/>
              <w:jc w:val="left"/>
              <w:rPr>
                <w:rFonts w:hint="eastAsia" w:ascii="宋体" w:hAnsi="宋体" w:cs="宋体"/>
                <w:b w:val="0"/>
                <w:bCs/>
                <w:color w:val="auto"/>
                <w:kern w:val="0"/>
                <w:sz w:val="24"/>
                <w:szCs w:val="24"/>
                <w:u w:val="none"/>
              </w:rPr>
            </w:pPr>
          </w:p>
        </w:tc>
      </w:tr>
      <w:tr w14:paraId="5C1862B5">
        <w:tblPrEx>
          <w:tblCellMar>
            <w:top w:w="0" w:type="dxa"/>
            <w:left w:w="108" w:type="dxa"/>
            <w:bottom w:w="0" w:type="dxa"/>
            <w:right w:w="108" w:type="dxa"/>
          </w:tblCellMar>
        </w:tblPrEx>
        <w:trPr>
          <w:trHeight w:val="498" w:hRule="atLeast"/>
        </w:trPr>
        <w:tc>
          <w:tcPr>
            <w:tcW w:w="705" w:type="dxa"/>
            <w:vMerge w:val="restart"/>
            <w:tcBorders>
              <w:top w:val="single" w:color="auto" w:sz="4" w:space="0"/>
              <w:left w:val="single" w:color="auto" w:sz="4" w:space="0"/>
              <w:right w:val="single" w:color="auto" w:sz="4" w:space="0"/>
            </w:tcBorders>
            <w:noWrap w:val="0"/>
            <w:vAlign w:val="center"/>
          </w:tcPr>
          <w:p w14:paraId="12CC6278">
            <w:pPr>
              <w:widowControl/>
              <w:jc w:val="center"/>
              <w:rPr>
                <w:rFonts w:ascii="宋体" w:hAnsi="宋体" w:cs="宋体"/>
                <w:b w:val="0"/>
                <w:bCs/>
                <w:color w:val="auto"/>
                <w:kern w:val="0"/>
                <w:sz w:val="24"/>
                <w:szCs w:val="24"/>
                <w:u w:val="none"/>
              </w:rPr>
            </w:pPr>
            <w:r>
              <w:rPr>
                <w:rFonts w:hint="eastAsia" w:ascii="宋体" w:hAnsi="宋体" w:cs="宋体"/>
                <w:b w:val="0"/>
                <w:bCs/>
                <w:color w:val="auto"/>
                <w:kern w:val="0"/>
                <w:sz w:val="24"/>
                <w:szCs w:val="24"/>
                <w:u w:val="none"/>
              </w:rPr>
              <w:t>序号</w:t>
            </w:r>
          </w:p>
        </w:tc>
        <w:tc>
          <w:tcPr>
            <w:tcW w:w="1685" w:type="dxa"/>
            <w:vMerge w:val="restart"/>
            <w:tcBorders>
              <w:top w:val="single" w:color="auto" w:sz="4" w:space="0"/>
              <w:left w:val="single" w:color="auto" w:sz="4" w:space="0"/>
              <w:right w:val="single" w:color="auto" w:sz="4" w:space="0"/>
            </w:tcBorders>
            <w:noWrap w:val="0"/>
            <w:vAlign w:val="center"/>
          </w:tcPr>
          <w:p w14:paraId="769681DE">
            <w:pPr>
              <w:widowControl/>
              <w:jc w:val="center"/>
              <w:rPr>
                <w:rFonts w:ascii="宋体" w:hAnsi="宋体" w:cs="宋体"/>
                <w:b w:val="0"/>
                <w:bCs/>
                <w:color w:val="auto"/>
                <w:kern w:val="0"/>
                <w:sz w:val="24"/>
                <w:szCs w:val="24"/>
                <w:u w:val="none"/>
              </w:rPr>
            </w:pPr>
            <w:r>
              <w:rPr>
                <w:rFonts w:hint="eastAsia" w:ascii="宋体" w:hAnsi="宋体" w:cs="宋体"/>
                <w:b w:val="0"/>
                <w:bCs/>
                <w:color w:val="auto"/>
                <w:kern w:val="0"/>
                <w:sz w:val="24"/>
                <w:szCs w:val="24"/>
                <w:u w:val="none"/>
              </w:rPr>
              <w:t>企业名称</w:t>
            </w:r>
          </w:p>
        </w:tc>
        <w:tc>
          <w:tcPr>
            <w:tcW w:w="1328" w:type="dxa"/>
            <w:vMerge w:val="restart"/>
            <w:tcBorders>
              <w:top w:val="single" w:color="auto" w:sz="4" w:space="0"/>
              <w:left w:val="single" w:color="auto" w:sz="4" w:space="0"/>
              <w:right w:val="single" w:color="auto" w:sz="4" w:space="0"/>
            </w:tcBorders>
            <w:noWrap w:val="0"/>
            <w:vAlign w:val="center"/>
          </w:tcPr>
          <w:p w14:paraId="5CE029F4">
            <w:pPr>
              <w:widowControl/>
              <w:jc w:val="center"/>
              <w:rPr>
                <w:rFonts w:ascii="宋体" w:hAnsi="宋体" w:cs="宋体"/>
                <w:b w:val="0"/>
                <w:bCs/>
                <w:color w:val="auto"/>
                <w:kern w:val="0"/>
                <w:sz w:val="24"/>
                <w:szCs w:val="24"/>
                <w:u w:val="none"/>
              </w:rPr>
            </w:pPr>
            <w:r>
              <w:rPr>
                <w:rFonts w:hint="eastAsia" w:ascii="宋体" w:hAnsi="宋体" w:cs="宋体"/>
                <w:b w:val="0"/>
                <w:bCs/>
                <w:color w:val="auto"/>
                <w:kern w:val="0"/>
                <w:sz w:val="24"/>
                <w:szCs w:val="24"/>
                <w:u w:val="none"/>
              </w:rPr>
              <w:t>供货产品</w:t>
            </w:r>
          </w:p>
        </w:tc>
        <w:tc>
          <w:tcPr>
            <w:tcW w:w="4782" w:type="dxa"/>
            <w:gridSpan w:val="6"/>
            <w:tcBorders>
              <w:top w:val="single" w:color="auto" w:sz="4" w:space="0"/>
              <w:left w:val="single" w:color="auto" w:sz="4" w:space="0"/>
              <w:bottom w:val="single" w:color="auto" w:sz="4" w:space="0"/>
              <w:right w:val="single" w:color="auto" w:sz="4" w:space="0"/>
            </w:tcBorders>
            <w:noWrap w:val="0"/>
            <w:vAlign w:val="center"/>
          </w:tcPr>
          <w:p w14:paraId="7AFD2F47">
            <w:pPr>
              <w:widowControl/>
              <w:jc w:val="center"/>
              <w:rPr>
                <w:rFonts w:ascii="宋体" w:hAnsi="宋体" w:cs="宋体"/>
                <w:b w:val="0"/>
                <w:bCs/>
                <w:color w:val="auto"/>
                <w:kern w:val="0"/>
                <w:sz w:val="24"/>
                <w:szCs w:val="24"/>
                <w:u w:val="none"/>
              </w:rPr>
            </w:pPr>
            <w:r>
              <w:rPr>
                <w:rFonts w:hint="eastAsia" w:ascii="宋体" w:hAnsi="宋体" w:cs="宋体"/>
                <w:b w:val="0"/>
                <w:bCs/>
                <w:color w:val="auto"/>
                <w:kern w:val="0"/>
                <w:sz w:val="24"/>
                <w:szCs w:val="24"/>
                <w:u w:val="none"/>
              </w:rPr>
              <w:t>考核扣分</w:t>
            </w:r>
          </w:p>
        </w:tc>
        <w:tc>
          <w:tcPr>
            <w:tcW w:w="925" w:type="dxa"/>
            <w:vMerge w:val="restart"/>
            <w:tcBorders>
              <w:top w:val="single" w:color="auto" w:sz="4" w:space="0"/>
              <w:left w:val="single" w:color="auto" w:sz="4" w:space="0"/>
              <w:bottom w:val="single" w:color="auto" w:sz="4" w:space="0"/>
              <w:right w:val="single" w:color="auto" w:sz="4" w:space="0"/>
            </w:tcBorders>
            <w:noWrap w:val="0"/>
            <w:vAlign w:val="center"/>
          </w:tcPr>
          <w:p w14:paraId="68DBC6E1">
            <w:pPr>
              <w:widowControl/>
              <w:jc w:val="center"/>
              <w:rPr>
                <w:rFonts w:hint="eastAsia" w:ascii="宋体" w:hAnsi="宋体" w:eastAsia="宋体" w:cs="宋体"/>
                <w:b w:val="0"/>
                <w:bCs/>
                <w:color w:val="auto"/>
                <w:kern w:val="0"/>
                <w:sz w:val="24"/>
                <w:szCs w:val="24"/>
                <w:u w:val="none"/>
                <w:lang w:eastAsia="zh-CN"/>
              </w:rPr>
            </w:pPr>
            <w:r>
              <w:rPr>
                <w:rFonts w:hint="eastAsia" w:ascii="宋体" w:hAnsi="宋体" w:cs="宋体"/>
                <w:b w:val="0"/>
                <w:bCs/>
                <w:color w:val="auto"/>
                <w:kern w:val="0"/>
                <w:sz w:val="24"/>
                <w:szCs w:val="24"/>
                <w:u w:val="none"/>
                <w:lang w:eastAsia="zh-CN"/>
              </w:rPr>
              <w:t>扣分时间</w:t>
            </w:r>
          </w:p>
        </w:tc>
        <w:tc>
          <w:tcPr>
            <w:tcW w:w="3405" w:type="dxa"/>
            <w:gridSpan w:val="3"/>
            <w:tcBorders>
              <w:top w:val="single" w:color="auto" w:sz="4" w:space="0"/>
              <w:left w:val="single" w:color="auto" w:sz="4" w:space="0"/>
              <w:bottom w:val="single" w:color="auto" w:sz="4" w:space="0"/>
              <w:right w:val="single" w:color="auto" w:sz="4" w:space="0"/>
            </w:tcBorders>
            <w:noWrap w:val="0"/>
            <w:vAlign w:val="center"/>
          </w:tcPr>
          <w:p w14:paraId="6FCB5AF3">
            <w:pPr>
              <w:widowControl/>
              <w:jc w:val="center"/>
              <w:rPr>
                <w:rFonts w:hint="eastAsia" w:ascii="宋体" w:hAnsi="宋体" w:cs="宋体"/>
                <w:b w:val="0"/>
                <w:bCs/>
                <w:color w:val="auto"/>
                <w:kern w:val="0"/>
                <w:sz w:val="24"/>
                <w:szCs w:val="24"/>
                <w:u w:val="none"/>
              </w:rPr>
            </w:pPr>
            <w:r>
              <w:rPr>
                <w:rFonts w:hint="eastAsia" w:ascii="宋体" w:hAnsi="宋体" w:cs="宋体"/>
                <w:b w:val="0"/>
                <w:bCs/>
                <w:color w:val="auto"/>
                <w:kern w:val="0"/>
                <w:sz w:val="24"/>
                <w:szCs w:val="24"/>
                <w:u w:val="none"/>
              </w:rPr>
              <w:t>总体评估</w:t>
            </w:r>
          </w:p>
        </w:tc>
        <w:tc>
          <w:tcPr>
            <w:tcW w:w="1395" w:type="dxa"/>
            <w:gridSpan w:val="2"/>
            <w:vMerge w:val="restart"/>
            <w:tcBorders>
              <w:top w:val="single" w:color="auto" w:sz="4" w:space="0"/>
              <w:left w:val="single" w:color="auto" w:sz="4" w:space="0"/>
              <w:right w:val="single" w:color="auto" w:sz="4" w:space="0"/>
            </w:tcBorders>
            <w:noWrap w:val="0"/>
            <w:vAlign w:val="center"/>
          </w:tcPr>
          <w:p w14:paraId="4B3C8416">
            <w:pPr>
              <w:widowControl/>
              <w:jc w:val="center"/>
              <w:rPr>
                <w:rFonts w:hint="eastAsia" w:ascii="宋体" w:hAnsi="宋体" w:cs="宋体"/>
                <w:b w:val="0"/>
                <w:bCs/>
                <w:color w:val="auto"/>
                <w:kern w:val="0"/>
                <w:sz w:val="24"/>
                <w:szCs w:val="24"/>
                <w:u w:val="none"/>
                <w:lang w:eastAsia="zh-CN"/>
              </w:rPr>
            </w:pPr>
            <w:r>
              <w:rPr>
                <w:rFonts w:hint="eastAsia" w:ascii="宋体" w:hAnsi="宋体" w:cs="宋体"/>
                <w:b w:val="0"/>
                <w:bCs/>
                <w:color w:val="auto"/>
                <w:kern w:val="0"/>
                <w:sz w:val="24"/>
                <w:szCs w:val="24"/>
                <w:u w:val="none"/>
                <w:lang w:eastAsia="zh-CN"/>
              </w:rPr>
              <w:t>备注</w:t>
            </w:r>
          </w:p>
        </w:tc>
      </w:tr>
      <w:tr w14:paraId="4DAED36E">
        <w:tblPrEx>
          <w:tblCellMar>
            <w:top w:w="0" w:type="dxa"/>
            <w:left w:w="108" w:type="dxa"/>
            <w:bottom w:w="0" w:type="dxa"/>
            <w:right w:w="108" w:type="dxa"/>
          </w:tblCellMar>
        </w:tblPrEx>
        <w:trPr>
          <w:trHeight w:val="534" w:hRule="atLeast"/>
        </w:trPr>
        <w:tc>
          <w:tcPr>
            <w:tcW w:w="705" w:type="dxa"/>
            <w:vMerge w:val="continue"/>
            <w:tcBorders>
              <w:left w:val="single" w:color="auto" w:sz="4" w:space="0"/>
              <w:bottom w:val="single" w:color="auto" w:sz="4" w:space="0"/>
              <w:right w:val="single" w:color="auto" w:sz="4" w:space="0"/>
            </w:tcBorders>
            <w:noWrap w:val="0"/>
            <w:vAlign w:val="center"/>
          </w:tcPr>
          <w:p w14:paraId="566DEA8E">
            <w:pPr>
              <w:widowControl/>
              <w:jc w:val="center"/>
              <w:rPr>
                <w:rFonts w:ascii="宋体" w:hAnsi="宋体" w:cs="宋体"/>
                <w:b w:val="0"/>
                <w:bCs/>
                <w:color w:val="auto"/>
                <w:kern w:val="0"/>
                <w:sz w:val="24"/>
                <w:szCs w:val="24"/>
                <w:u w:val="none"/>
              </w:rPr>
            </w:pPr>
          </w:p>
        </w:tc>
        <w:tc>
          <w:tcPr>
            <w:tcW w:w="1685" w:type="dxa"/>
            <w:vMerge w:val="continue"/>
            <w:tcBorders>
              <w:left w:val="single" w:color="auto" w:sz="4" w:space="0"/>
              <w:bottom w:val="single" w:color="auto" w:sz="4" w:space="0"/>
              <w:right w:val="single" w:color="auto" w:sz="4" w:space="0"/>
            </w:tcBorders>
            <w:noWrap w:val="0"/>
            <w:vAlign w:val="center"/>
          </w:tcPr>
          <w:p w14:paraId="38378D11">
            <w:pPr>
              <w:widowControl/>
              <w:jc w:val="center"/>
              <w:rPr>
                <w:rFonts w:ascii="宋体" w:hAnsi="宋体" w:cs="宋体"/>
                <w:b w:val="0"/>
                <w:bCs/>
                <w:color w:val="auto"/>
                <w:kern w:val="0"/>
                <w:sz w:val="24"/>
                <w:szCs w:val="24"/>
                <w:u w:val="none"/>
              </w:rPr>
            </w:pPr>
          </w:p>
        </w:tc>
        <w:tc>
          <w:tcPr>
            <w:tcW w:w="1328" w:type="dxa"/>
            <w:vMerge w:val="continue"/>
            <w:tcBorders>
              <w:left w:val="single" w:color="auto" w:sz="4" w:space="0"/>
              <w:bottom w:val="single" w:color="auto" w:sz="4" w:space="0"/>
              <w:right w:val="single" w:color="auto" w:sz="4" w:space="0"/>
            </w:tcBorders>
            <w:noWrap w:val="0"/>
            <w:vAlign w:val="center"/>
          </w:tcPr>
          <w:p w14:paraId="4E9F5191">
            <w:pPr>
              <w:widowControl/>
              <w:jc w:val="center"/>
              <w:rPr>
                <w:rFonts w:ascii="宋体" w:hAnsi="宋体" w:cs="宋体"/>
                <w:b w:val="0"/>
                <w:bCs/>
                <w:color w:val="auto"/>
                <w:kern w:val="0"/>
                <w:sz w:val="24"/>
                <w:szCs w:val="24"/>
                <w:u w:val="none"/>
              </w:rPr>
            </w:pPr>
          </w:p>
        </w:tc>
        <w:tc>
          <w:tcPr>
            <w:tcW w:w="908" w:type="dxa"/>
            <w:tcBorders>
              <w:top w:val="single" w:color="auto" w:sz="4" w:space="0"/>
              <w:left w:val="nil"/>
              <w:bottom w:val="single" w:color="auto" w:sz="4" w:space="0"/>
              <w:right w:val="single" w:color="auto" w:sz="4" w:space="0"/>
            </w:tcBorders>
            <w:noWrap w:val="0"/>
            <w:vAlign w:val="center"/>
          </w:tcPr>
          <w:p w14:paraId="132E2AB3">
            <w:pPr>
              <w:widowControl/>
              <w:jc w:val="center"/>
              <w:rPr>
                <w:rFonts w:ascii="宋体" w:hAnsi="宋体" w:cs="宋体"/>
                <w:b w:val="0"/>
                <w:bCs/>
                <w:color w:val="auto"/>
                <w:kern w:val="0"/>
                <w:sz w:val="24"/>
                <w:szCs w:val="24"/>
                <w:u w:val="none"/>
              </w:rPr>
            </w:pPr>
            <w:r>
              <w:rPr>
                <w:rFonts w:hint="eastAsia" w:ascii="宋体" w:hAnsi="宋体" w:cs="宋体"/>
                <w:b w:val="0"/>
                <w:bCs/>
                <w:color w:val="auto"/>
                <w:kern w:val="0"/>
                <w:sz w:val="24"/>
                <w:szCs w:val="24"/>
                <w:u w:val="none"/>
              </w:rPr>
              <w:t>质量</w:t>
            </w:r>
          </w:p>
        </w:tc>
        <w:tc>
          <w:tcPr>
            <w:tcW w:w="788" w:type="dxa"/>
            <w:tcBorders>
              <w:top w:val="single" w:color="auto" w:sz="4" w:space="0"/>
              <w:left w:val="nil"/>
              <w:bottom w:val="single" w:color="auto" w:sz="4" w:space="0"/>
              <w:right w:val="single" w:color="auto" w:sz="4" w:space="0"/>
            </w:tcBorders>
            <w:noWrap w:val="0"/>
            <w:vAlign w:val="center"/>
          </w:tcPr>
          <w:p w14:paraId="1952BF59">
            <w:pPr>
              <w:widowControl/>
              <w:jc w:val="center"/>
              <w:rPr>
                <w:rFonts w:ascii="宋体" w:hAnsi="宋体" w:cs="宋体"/>
                <w:b w:val="0"/>
                <w:bCs/>
                <w:color w:val="auto"/>
                <w:kern w:val="0"/>
                <w:sz w:val="24"/>
                <w:szCs w:val="24"/>
                <w:u w:val="none"/>
              </w:rPr>
            </w:pPr>
            <w:r>
              <w:rPr>
                <w:rFonts w:hint="eastAsia" w:ascii="宋体" w:hAnsi="宋体" w:cs="宋体"/>
                <w:b w:val="0"/>
                <w:bCs/>
                <w:color w:val="auto"/>
                <w:kern w:val="0"/>
                <w:sz w:val="24"/>
                <w:szCs w:val="24"/>
                <w:u w:val="none"/>
              </w:rPr>
              <w:t>交货</w:t>
            </w:r>
          </w:p>
        </w:tc>
        <w:tc>
          <w:tcPr>
            <w:tcW w:w="824" w:type="dxa"/>
            <w:tcBorders>
              <w:top w:val="single" w:color="auto" w:sz="4" w:space="0"/>
              <w:left w:val="nil"/>
              <w:bottom w:val="single" w:color="auto" w:sz="4" w:space="0"/>
              <w:right w:val="single" w:color="auto" w:sz="4" w:space="0"/>
            </w:tcBorders>
            <w:noWrap w:val="0"/>
            <w:vAlign w:val="center"/>
          </w:tcPr>
          <w:p w14:paraId="2EC73704">
            <w:pPr>
              <w:widowControl/>
              <w:jc w:val="center"/>
              <w:rPr>
                <w:rFonts w:ascii="宋体" w:hAnsi="宋体" w:cs="宋体"/>
                <w:b w:val="0"/>
                <w:bCs/>
                <w:color w:val="auto"/>
                <w:kern w:val="0"/>
                <w:sz w:val="24"/>
                <w:szCs w:val="24"/>
                <w:u w:val="none"/>
              </w:rPr>
            </w:pPr>
            <w:r>
              <w:rPr>
                <w:rFonts w:hint="eastAsia" w:ascii="宋体" w:hAnsi="宋体" w:cs="宋体"/>
                <w:b w:val="0"/>
                <w:bCs/>
                <w:color w:val="auto"/>
                <w:kern w:val="0"/>
                <w:sz w:val="24"/>
                <w:szCs w:val="24"/>
                <w:u w:val="none"/>
              </w:rPr>
              <w:t>售后</w:t>
            </w:r>
          </w:p>
        </w:tc>
        <w:tc>
          <w:tcPr>
            <w:tcW w:w="703" w:type="dxa"/>
            <w:tcBorders>
              <w:top w:val="single" w:color="auto" w:sz="4" w:space="0"/>
              <w:left w:val="nil"/>
              <w:bottom w:val="single" w:color="auto" w:sz="4" w:space="0"/>
              <w:right w:val="single" w:color="auto" w:sz="4" w:space="0"/>
            </w:tcBorders>
            <w:noWrap w:val="0"/>
            <w:vAlign w:val="center"/>
          </w:tcPr>
          <w:p w14:paraId="2C381CCD">
            <w:pPr>
              <w:widowControl/>
              <w:jc w:val="center"/>
              <w:rPr>
                <w:rFonts w:ascii="宋体" w:hAnsi="宋体" w:cs="宋体"/>
                <w:b w:val="0"/>
                <w:bCs/>
                <w:color w:val="auto"/>
                <w:kern w:val="0"/>
                <w:sz w:val="24"/>
                <w:szCs w:val="24"/>
                <w:u w:val="none"/>
              </w:rPr>
            </w:pPr>
            <w:r>
              <w:rPr>
                <w:rFonts w:hint="eastAsia" w:ascii="宋体" w:hAnsi="宋体" w:cs="宋体"/>
                <w:b w:val="0"/>
                <w:bCs/>
                <w:color w:val="auto"/>
                <w:kern w:val="0"/>
                <w:sz w:val="24"/>
                <w:szCs w:val="24"/>
                <w:u w:val="none"/>
              </w:rPr>
              <w:t>资信</w:t>
            </w:r>
          </w:p>
        </w:tc>
        <w:tc>
          <w:tcPr>
            <w:tcW w:w="753" w:type="dxa"/>
            <w:tcBorders>
              <w:top w:val="single" w:color="auto" w:sz="4" w:space="0"/>
              <w:left w:val="nil"/>
              <w:bottom w:val="single" w:color="auto" w:sz="4" w:space="0"/>
              <w:right w:val="single" w:color="auto" w:sz="4" w:space="0"/>
            </w:tcBorders>
            <w:noWrap w:val="0"/>
            <w:vAlign w:val="center"/>
          </w:tcPr>
          <w:p w14:paraId="3318B334">
            <w:pPr>
              <w:widowControl/>
              <w:jc w:val="center"/>
              <w:rPr>
                <w:rFonts w:hint="eastAsia" w:ascii="宋体" w:hAnsi="宋体" w:eastAsia="宋体" w:cs="宋体"/>
                <w:b w:val="0"/>
                <w:bCs/>
                <w:color w:val="auto"/>
                <w:kern w:val="0"/>
                <w:sz w:val="24"/>
                <w:szCs w:val="24"/>
                <w:u w:val="none"/>
                <w:lang w:eastAsia="zh-CN"/>
              </w:rPr>
            </w:pPr>
            <w:r>
              <w:rPr>
                <w:rFonts w:hint="eastAsia" w:ascii="宋体" w:hAnsi="宋体" w:cs="宋体"/>
                <w:b w:val="0"/>
                <w:bCs/>
                <w:color w:val="auto"/>
                <w:kern w:val="0"/>
                <w:sz w:val="24"/>
                <w:szCs w:val="24"/>
                <w:u w:val="none"/>
                <w:lang w:eastAsia="zh-CN"/>
              </w:rPr>
              <w:t>其他</w:t>
            </w:r>
          </w:p>
        </w:tc>
        <w:tc>
          <w:tcPr>
            <w:tcW w:w="806" w:type="dxa"/>
            <w:tcBorders>
              <w:top w:val="single" w:color="auto" w:sz="4" w:space="0"/>
              <w:left w:val="nil"/>
              <w:bottom w:val="single" w:color="auto" w:sz="4" w:space="0"/>
              <w:right w:val="single" w:color="auto" w:sz="4" w:space="0"/>
            </w:tcBorders>
            <w:noWrap w:val="0"/>
            <w:vAlign w:val="center"/>
          </w:tcPr>
          <w:p w14:paraId="0DB18935">
            <w:pPr>
              <w:widowControl/>
              <w:jc w:val="center"/>
              <w:rPr>
                <w:rFonts w:ascii="宋体" w:hAnsi="宋体" w:cs="宋体"/>
                <w:b w:val="0"/>
                <w:bCs/>
                <w:color w:val="auto"/>
                <w:kern w:val="0"/>
                <w:sz w:val="24"/>
                <w:szCs w:val="24"/>
                <w:u w:val="none"/>
              </w:rPr>
            </w:pPr>
            <w:r>
              <w:rPr>
                <w:rFonts w:hint="eastAsia" w:ascii="宋体" w:hAnsi="宋体" w:cs="宋体"/>
                <w:b w:val="0"/>
                <w:bCs/>
                <w:color w:val="auto"/>
                <w:kern w:val="0"/>
                <w:sz w:val="24"/>
                <w:szCs w:val="24"/>
                <w:u w:val="none"/>
              </w:rPr>
              <w:t>累计</w:t>
            </w:r>
          </w:p>
        </w:tc>
        <w:tc>
          <w:tcPr>
            <w:tcW w:w="925" w:type="dxa"/>
            <w:vMerge w:val="continue"/>
            <w:tcBorders>
              <w:top w:val="single" w:color="auto" w:sz="4" w:space="0"/>
              <w:left w:val="nil"/>
              <w:bottom w:val="single" w:color="auto" w:sz="4" w:space="0"/>
              <w:right w:val="single" w:color="auto" w:sz="4" w:space="0"/>
            </w:tcBorders>
            <w:noWrap w:val="0"/>
            <w:vAlign w:val="center"/>
          </w:tcPr>
          <w:p w14:paraId="61B7B6FF">
            <w:pPr>
              <w:widowControl/>
              <w:jc w:val="center"/>
              <w:rPr>
                <w:rFonts w:ascii="宋体" w:hAnsi="宋体" w:cs="宋体"/>
                <w:b w:val="0"/>
                <w:bCs/>
                <w:color w:val="auto"/>
                <w:kern w:val="0"/>
                <w:sz w:val="24"/>
                <w:szCs w:val="24"/>
                <w:u w:val="none"/>
              </w:rPr>
            </w:pPr>
          </w:p>
        </w:tc>
        <w:tc>
          <w:tcPr>
            <w:tcW w:w="955" w:type="dxa"/>
            <w:tcBorders>
              <w:top w:val="single" w:color="auto" w:sz="4" w:space="0"/>
              <w:left w:val="single" w:color="auto" w:sz="4" w:space="0"/>
              <w:bottom w:val="single" w:color="auto" w:sz="4" w:space="0"/>
              <w:right w:val="single" w:color="auto" w:sz="4" w:space="0"/>
            </w:tcBorders>
            <w:noWrap w:val="0"/>
            <w:vAlign w:val="center"/>
          </w:tcPr>
          <w:p w14:paraId="0EF86C2A">
            <w:pPr>
              <w:widowControl/>
              <w:jc w:val="center"/>
              <w:rPr>
                <w:rFonts w:hint="eastAsia" w:ascii="宋体" w:hAnsi="宋体" w:eastAsia="宋体" w:cs="宋体"/>
                <w:b w:val="0"/>
                <w:bCs/>
                <w:color w:val="auto"/>
                <w:kern w:val="0"/>
                <w:sz w:val="24"/>
                <w:szCs w:val="24"/>
                <w:u w:val="none"/>
                <w:lang w:eastAsia="zh-CN"/>
              </w:rPr>
            </w:pPr>
            <w:r>
              <w:rPr>
                <w:rFonts w:hint="eastAsia" w:ascii="宋体" w:hAnsi="宋体" w:cs="宋体"/>
                <w:b w:val="0"/>
                <w:bCs/>
                <w:color w:val="auto"/>
                <w:kern w:val="0"/>
                <w:sz w:val="24"/>
                <w:szCs w:val="24"/>
                <w:u w:val="none"/>
                <w:lang w:eastAsia="zh-CN"/>
              </w:rPr>
              <w:t>合格供应商</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6FB7AB46">
            <w:pPr>
              <w:widowControl/>
              <w:jc w:val="center"/>
              <w:rPr>
                <w:rFonts w:hint="default" w:ascii="宋体" w:hAnsi="宋体" w:eastAsia="宋体" w:cs="宋体"/>
                <w:b w:val="0"/>
                <w:bCs/>
                <w:color w:val="auto"/>
                <w:kern w:val="0"/>
                <w:sz w:val="24"/>
                <w:szCs w:val="24"/>
                <w:u w:val="none"/>
                <w:lang w:val="en-US" w:eastAsia="zh-CN"/>
              </w:rPr>
            </w:pPr>
            <w:r>
              <w:rPr>
                <w:rFonts w:hint="eastAsia" w:ascii="宋体" w:hAnsi="宋体" w:cs="宋体"/>
                <w:b w:val="0"/>
                <w:bCs/>
                <w:color w:val="auto"/>
                <w:kern w:val="0"/>
                <w:sz w:val="24"/>
                <w:szCs w:val="24"/>
                <w:u w:val="none"/>
                <w:lang w:val="en-US" w:eastAsia="zh-CN"/>
              </w:rPr>
              <w:t>暂停合作供应商</w:t>
            </w:r>
          </w:p>
        </w:tc>
        <w:tc>
          <w:tcPr>
            <w:tcW w:w="1250" w:type="dxa"/>
            <w:tcBorders>
              <w:top w:val="single" w:color="auto" w:sz="4" w:space="0"/>
              <w:left w:val="nil"/>
              <w:bottom w:val="single" w:color="auto" w:sz="4" w:space="0"/>
              <w:right w:val="single" w:color="auto" w:sz="4" w:space="0"/>
            </w:tcBorders>
            <w:noWrap w:val="0"/>
            <w:vAlign w:val="center"/>
          </w:tcPr>
          <w:p w14:paraId="505E2B4F">
            <w:pPr>
              <w:widowControl/>
              <w:jc w:val="center"/>
              <w:rPr>
                <w:rFonts w:hint="eastAsia" w:ascii="宋体" w:hAnsi="宋体" w:cs="宋体"/>
                <w:b w:val="0"/>
                <w:bCs/>
                <w:color w:val="auto"/>
                <w:kern w:val="0"/>
                <w:sz w:val="24"/>
                <w:szCs w:val="24"/>
                <w:u w:val="none"/>
              </w:rPr>
            </w:pPr>
            <w:r>
              <w:rPr>
                <w:rFonts w:hint="eastAsia" w:ascii="宋体" w:hAnsi="宋体" w:cs="宋体"/>
                <w:b w:val="0"/>
                <w:bCs/>
                <w:color w:val="auto"/>
                <w:kern w:val="0"/>
                <w:sz w:val="24"/>
                <w:szCs w:val="24"/>
                <w:u w:val="none"/>
                <w:lang w:val="en-US" w:eastAsia="zh-CN"/>
              </w:rPr>
              <w:t>禁止合作供应商</w:t>
            </w:r>
          </w:p>
        </w:tc>
        <w:tc>
          <w:tcPr>
            <w:tcW w:w="1395" w:type="dxa"/>
            <w:gridSpan w:val="2"/>
            <w:vMerge w:val="continue"/>
            <w:tcBorders>
              <w:left w:val="single" w:color="auto" w:sz="4" w:space="0"/>
              <w:bottom w:val="single" w:color="auto" w:sz="4" w:space="0"/>
              <w:right w:val="single" w:color="auto" w:sz="4" w:space="0"/>
            </w:tcBorders>
            <w:noWrap w:val="0"/>
            <w:vAlign w:val="center"/>
          </w:tcPr>
          <w:p w14:paraId="04FC35A7">
            <w:pPr>
              <w:widowControl/>
              <w:jc w:val="center"/>
              <w:rPr>
                <w:rFonts w:hint="eastAsia" w:ascii="宋体" w:hAnsi="宋体" w:cs="宋体"/>
                <w:b w:val="0"/>
                <w:bCs/>
                <w:color w:val="auto"/>
                <w:kern w:val="0"/>
                <w:sz w:val="24"/>
                <w:szCs w:val="24"/>
                <w:u w:val="none"/>
              </w:rPr>
            </w:pPr>
          </w:p>
        </w:tc>
      </w:tr>
      <w:tr w14:paraId="59497BEA">
        <w:tblPrEx>
          <w:tblCellMar>
            <w:top w:w="0" w:type="dxa"/>
            <w:left w:w="108" w:type="dxa"/>
            <w:bottom w:w="0" w:type="dxa"/>
            <w:right w:w="108" w:type="dxa"/>
          </w:tblCellMar>
        </w:tblPrEx>
        <w:trPr>
          <w:trHeight w:val="285" w:hRule="atLeast"/>
        </w:trPr>
        <w:tc>
          <w:tcPr>
            <w:tcW w:w="705" w:type="dxa"/>
            <w:tcBorders>
              <w:top w:val="nil"/>
              <w:left w:val="single" w:color="auto" w:sz="4" w:space="0"/>
              <w:bottom w:val="single" w:color="auto" w:sz="4" w:space="0"/>
              <w:right w:val="single" w:color="auto" w:sz="4" w:space="0"/>
            </w:tcBorders>
            <w:noWrap w:val="0"/>
            <w:vAlign w:val="center"/>
          </w:tcPr>
          <w:p w14:paraId="410CD857">
            <w:pPr>
              <w:widowControl/>
              <w:jc w:val="center"/>
              <w:rPr>
                <w:rFonts w:ascii="Arial" w:hAnsi="Arial" w:cs="Arial"/>
                <w:b w:val="0"/>
                <w:bCs/>
                <w:color w:val="auto"/>
                <w:kern w:val="0"/>
                <w:sz w:val="24"/>
                <w:szCs w:val="24"/>
                <w:u w:val="none"/>
              </w:rPr>
            </w:pPr>
          </w:p>
        </w:tc>
        <w:tc>
          <w:tcPr>
            <w:tcW w:w="1685" w:type="dxa"/>
            <w:tcBorders>
              <w:top w:val="nil"/>
              <w:left w:val="nil"/>
              <w:bottom w:val="single" w:color="auto" w:sz="4" w:space="0"/>
              <w:right w:val="single" w:color="auto" w:sz="4" w:space="0"/>
            </w:tcBorders>
            <w:noWrap w:val="0"/>
            <w:vAlign w:val="center"/>
          </w:tcPr>
          <w:p w14:paraId="41501C67">
            <w:pPr>
              <w:widowControl/>
              <w:jc w:val="center"/>
              <w:rPr>
                <w:rFonts w:ascii="Arial" w:hAnsi="Arial" w:cs="Arial"/>
                <w:b w:val="0"/>
                <w:bCs/>
                <w:color w:val="auto"/>
                <w:kern w:val="0"/>
                <w:sz w:val="24"/>
                <w:szCs w:val="24"/>
                <w:u w:val="none"/>
              </w:rPr>
            </w:pPr>
          </w:p>
        </w:tc>
        <w:tc>
          <w:tcPr>
            <w:tcW w:w="1328" w:type="dxa"/>
            <w:tcBorders>
              <w:top w:val="nil"/>
              <w:left w:val="nil"/>
              <w:bottom w:val="single" w:color="auto" w:sz="4" w:space="0"/>
              <w:right w:val="single" w:color="auto" w:sz="4" w:space="0"/>
            </w:tcBorders>
            <w:noWrap w:val="0"/>
            <w:vAlign w:val="center"/>
          </w:tcPr>
          <w:p w14:paraId="6A3E6F4C">
            <w:pPr>
              <w:widowControl/>
              <w:jc w:val="center"/>
              <w:rPr>
                <w:rFonts w:ascii="Calibri" w:hAnsi="Calibri" w:cs="宋体"/>
                <w:b w:val="0"/>
                <w:bCs/>
                <w:color w:val="auto"/>
                <w:kern w:val="0"/>
                <w:sz w:val="24"/>
                <w:szCs w:val="24"/>
                <w:u w:val="none"/>
              </w:rPr>
            </w:pPr>
          </w:p>
        </w:tc>
        <w:tc>
          <w:tcPr>
            <w:tcW w:w="908" w:type="dxa"/>
            <w:tcBorders>
              <w:top w:val="nil"/>
              <w:left w:val="nil"/>
              <w:bottom w:val="single" w:color="auto" w:sz="4" w:space="0"/>
              <w:right w:val="single" w:color="auto" w:sz="4" w:space="0"/>
            </w:tcBorders>
            <w:noWrap w:val="0"/>
            <w:vAlign w:val="center"/>
          </w:tcPr>
          <w:p w14:paraId="479BABBD">
            <w:pPr>
              <w:widowControl/>
              <w:jc w:val="center"/>
              <w:rPr>
                <w:rFonts w:ascii="Calibri" w:hAnsi="Calibri" w:cs="宋体"/>
                <w:b w:val="0"/>
                <w:bCs/>
                <w:color w:val="auto"/>
                <w:kern w:val="0"/>
                <w:sz w:val="24"/>
                <w:szCs w:val="24"/>
                <w:u w:val="none"/>
              </w:rPr>
            </w:pPr>
          </w:p>
        </w:tc>
        <w:tc>
          <w:tcPr>
            <w:tcW w:w="788" w:type="dxa"/>
            <w:tcBorders>
              <w:top w:val="nil"/>
              <w:left w:val="nil"/>
              <w:bottom w:val="single" w:color="auto" w:sz="4" w:space="0"/>
              <w:right w:val="single" w:color="auto" w:sz="4" w:space="0"/>
            </w:tcBorders>
            <w:noWrap w:val="0"/>
            <w:vAlign w:val="center"/>
          </w:tcPr>
          <w:p w14:paraId="6956AABB">
            <w:pPr>
              <w:widowControl/>
              <w:jc w:val="center"/>
              <w:rPr>
                <w:rFonts w:ascii="Calibri" w:hAnsi="Calibri" w:cs="宋体"/>
                <w:b w:val="0"/>
                <w:bCs/>
                <w:color w:val="auto"/>
                <w:kern w:val="0"/>
                <w:sz w:val="24"/>
                <w:szCs w:val="24"/>
                <w:u w:val="none"/>
              </w:rPr>
            </w:pPr>
          </w:p>
        </w:tc>
        <w:tc>
          <w:tcPr>
            <w:tcW w:w="824" w:type="dxa"/>
            <w:tcBorders>
              <w:top w:val="nil"/>
              <w:left w:val="nil"/>
              <w:bottom w:val="single" w:color="auto" w:sz="4" w:space="0"/>
              <w:right w:val="single" w:color="auto" w:sz="4" w:space="0"/>
            </w:tcBorders>
            <w:noWrap w:val="0"/>
            <w:vAlign w:val="center"/>
          </w:tcPr>
          <w:p w14:paraId="55D578FE">
            <w:pPr>
              <w:widowControl/>
              <w:jc w:val="center"/>
              <w:rPr>
                <w:rFonts w:ascii="Calibri" w:hAnsi="Calibri" w:cs="宋体"/>
                <w:b w:val="0"/>
                <w:bCs/>
                <w:color w:val="auto"/>
                <w:kern w:val="0"/>
                <w:sz w:val="24"/>
                <w:szCs w:val="24"/>
                <w:u w:val="none"/>
              </w:rPr>
            </w:pPr>
          </w:p>
        </w:tc>
        <w:tc>
          <w:tcPr>
            <w:tcW w:w="703" w:type="dxa"/>
            <w:tcBorders>
              <w:top w:val="nil"/>
              <w:left w:val="nil"/>
              <w:bottom w:val="single" w:color="auto" w:sz="4" w:space="0"/>
              <w:right w:val="single" w:color="auto" w:sz="4" w:space="0"/>
            </w:tcBorders>
            <w:noWrap w:val="0"/>
            <w:vAlign w:val="center"/>
          </w:tcPr>
          <w:p w14:paraId="23DE45D9">
            <w:pPr>
              <w:widowControl/>
              <w:jc w:val="center"/>
              <w:rPr>
                <w:rFonts w:ascii="Calibri" w:hAnsi="Calibri" w:cs="宋体"/>
                <w:b w:val="0"/>
                <w:bCs/>
                <w:color w:val="auto"/>
                <w:kern w:val="0"/>
                <w:sz w:val="24"/>
                <w:szCs w:val="24"/>
                <w:u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6C56D868">
            <w:pPr>
              <w:widowControl/>
              <w:jc w:val="center"/>
              <w:rPr>
                <w:rFonts w:ascii="Calibri" w:hAnsi="Calibri" w:cs="宋体"/>
                <w:b w:val="0"/>
                <w:bCs/>
                <w:color w:val="auto"/>
                <w:kern w:val="0"/>
                <w:sz w:val="24"/>
                <w:szCs w:val="24"/>
                <w:u w:val="none"/>
              </w:rPr>
            </w:pPr>
          </w:p>
        </w:tc>
        <w:tc>
          <w:tcPr>
            <w:tcW w:w="806" w:type="dxa"/>
            <w:tcBorders>
              <w:top w:val="single" w:color="auto" w:sz="4" w:space="0"/>
              <w:left w:val="single" w:color="auto" w:sz="4" w:space="0"/>
              <w:bottom w:val="single" w:color="auto" w:sz="4" w:space="0"/>
              <w:right w:val="single" w:color="auto" w:sz="4" w:space="0"/>
            </w:tcBorders>
            <w:noWrap w:val="0"/>
            <w:vAlign w:val="center"/>
          </w:tcPr>
          <w:p w14:paraId="17599777">
            <w:pPr>
              <w:widowControl/>
              <w:jc w:val="center"/>
              <w:rPr>
                <w:rFonts w:ascii="Calibri" w:hAnsi="Calibri" w:cs="宋体"/>
                <w:b w:val="0"/>
                <w:bCs/>
                <w:color w:val="auto"/>
                <w:kern w:val="0"/>
                <w:sz w:val="24"/>
                <w:szCs w:val="24"/>
                <w:u w:val="none"/>
              </w:rPr>
            </w:pPr>
          </w:p>
        </w:tc>
        <w:tc>
          <w:tcPr>
            <w:tcW w:w="925" w:type="dxa"/>
            <w:tcBorders>
              <w:top w:val="single" w:color="auto" w:sz="4" w:space="0"/>
              <w:left w:val="single" w:color="auto" w:sz="4" w:space="0"/>
              <w:bottom w:val="single" w:color="auto" w:sz="4" w:space="0"/>
              <w:right w:val="single" w:color="auto" w:sz="4" w:space="0"/>
            </w:tcBorders>
            <w:noWrap w:val="0"/>
            <w:vAlign w:val="center"/>
          </w:tcPr>
          <w:p w14:paraId="53BFC7F4">
            <w:pPr>
              <w:widowControl/>
              <w:jc w:val="center"/>
              <w:rPr>
                <w:rFonts w:hint="eastAsia" w:ascii="宋体" w:hAnsi="宋体" w:cs="宋体"/>
                <w:b w:val="0"/>
                <w:bCs/>
                <w:color w:val="auto"/>
                <w:kern w:val="0"/>
                <w:sz w:val="24"/>
                <w:szCs w:val="24"/>
                <w:u w:val="none"/>
              </w:rPr>
            </w:pPr>
          </w:p>
        </w:tc>
        <w:tc>
          <w:tcPr>
            <w:tcW w:w="955" w:type="dxa"/>
            <w:tcBorders>
              <w:top w:val="single" w:color="auto" w:sz="4" w:space="0"/>
              <w:left w:val="nil"/>
              <w:bottom w:val="single" w:color="auto" w:sz="4" w:space="0"/>
              <w:right w:val="single" w:color="auto" w:sz="4" w:space="0"/>
            </w:tcBorders>
            <w:noWrap w:val="0"/>
            <w:vAlign w:val="center"/>
          </w:tcPr>
          <w:p w14:paraId="091A90E5">
            <w:pPr>
              <w:widowControl/>
              <w:jc w:val="center"/>
              <w:rPr>
                <w:rFonts w:ascii="Calibri" w:hAnsi="Calibri" w:cs="宋体"/>
                <w:b w:val="0"/>
                <w:bCs/>
                <w:color w:val="auto"/>
                <w:kern w:val="0"/>
                <w:sz w:val="24"/>
                <w:szCs w:val="24"/>
                <w:u w:val="none"/>
              </w:rPr>
            </w:pPr>
          </w:p>
        </w:tc>
        <w:tc>
          <w:tcPr>
            <w:tcW w:w="1200" w:type="dxa"/>
            <w:tcBorders>
              <w:top w:val="single" w:color="auto" w:sz="4" w:space="0"/>
              <w:left w:val="nil"/>
              <w:bottom w:val="single" w:color="auto" w:sz="4" w:space="0"/>
              <w:right w:val="single" w:color="auto" w:sz="4" w:space="0"/>
            </w:tcBorders>
            <w:noWrap w:val="0"/>
            <w:vAlign w:val="center"/>
          </w:tcPr>
          <w:p w14:paraId="0455B4FA">
            <w:pPr>
              <w:widowControl/>
              <w:jc w:val="center"/>
              <w:rPr>
                <w:rFonts w:ascii="Calibri" w:hAnsi="Calibri" w:cs="宋体"/>
                <w:b w:val="0"/>
                <w:bCs/>
                <w:color w:val="auto"/>
                <w:kern w:val="0"/>
                <w:sz w:val="24"/>
                <w:szCs w:val="24"/>
                <w:u w:val="none"/>
              </w:rPr>
            </w:pPr>
          </w:p>
        </w:tc>
        <w:tc>
          <w:tcPr>
            <w:tcW w:w="1250" w:type="dxa"/>
            <w:tcBorders>
              <w:top w:val="nil"/>
              <w:left w:val="nil"/>
              <w:bottom w:val="single" w:color="auto" w:sz="4" w:space="0"/>
              <w:right w:val="single" w:color="auto" w:sz="4" w:space="0"/>
            </w:tcBorders>
            <w:noWrap w:val="0"/>
            <w:vAlign w:val="center"/>
          </w:tcPr>
          <w:p w14:paraId="1089F71F">
            <w:pPr>
              <w:widowControl/>
              <w:jc w:val="center"/>
              <w:rPr>
                <w:rFonts w:ascii="Calibri" w:hAnsi="Calibri" w:cs="宋体"/>
                <w:b w:val="0"/>
                <w:bCs/>
                <w:color w:val="auto"/>
                <w:kern w:val="0"/>
                <w:sz w:val="24"/>
                <w:szCs w:val="24"/>
                <w:u w:val="none"/>
              </w:rPr>
            </w:pPr>
          </w:p>
        </w:tc>
        <w:tc>
          <w:tcPr>
            <w:tcW w:w="1395" w:type="dxa"/>
            <w:gridSpan w:val="2"/>
            <w:tcBorders>
              <w:top w:val="nil"/>
              <w:left w:val="nil"/>
              <w:bottom w:val="single" w:color="auto" w:sz="4" w:space="0"/>
              <w:right w:val="single" w:color="auto" w:sz="4" w:space="0"/>
            </w:tcBorders>
            <w:noWrap w:val="0"/>
            <w:vAlign w:val="center"/>
          </w:tcPr>
          <w:p w14:paraId="629F8AEB">
            <w:pPr>
              <w:widowControl/>
              <w:jc w:val="center"/>
              <w:rPr>
                <w:rFonts w:ascii="Calibri" w:hAnsi="Calibri" w:cs="宋体"/>
                <w:b w:val="0"/>
                <w:bCs/>
                <w:color w:val="auto"/>
                <w:kern w:val="0"/>
                <w:sz w:val="24"/>
                <w:szCs w:val="24"/>
                <w:u w:val="none"/>
              </w:rPr>
            </w:pPr>
          </w:p>
        </w:tc>
      </w:tr>
      <w:tr w14:paraId="07402BAC">
        <w:tblPrEx>
          <w:tblCellMar>
            <w:top w:w="0" w:type="dxa"/>
            <w:left w:w="108" w:type="dxa"/>
            <w:bottom w:w="0" w:type="dxa"/>
            <w:right w:w="108" w:type="dxa"/>
          </w:tblCellMar>
        </w:tblPrEx>
        <w:trPr>
          <w:trHeight w:val="343" w:hRule="atLeast"/>
        </w:trPr>
        <w:tc>
          <w:tcPr>
            <w:tcW w:w="705" w:type="dxa"/>
            <w:tcBorders>
              <w:top w:val="nil"/>
              <w:left w:val="single" w:color="auto" w:sz="4" w:space="0"/>
              <w:bottom w:val="single" w:color="auto" w:sz="4" w:space="0"/>
              <w:right w:val="single" w:color="auto" w:sz="4" w:space="0"/>
            </w:tcBorders>
            <w:noWrap w:val="0"/>
            <w:vAlign w:val="center"/>
          </w:tcPr>
          <w:p w14:paraId="5411F499">
            <w:pPr>
              <w:widowControl/>
              <w:jc w:val="center"/>
              <w:rPr>
                <w:rFonts w:ascii="Arial" w:hAnsi="Arial" w:cs="Arial"/>
                <w:b w:val="0"/>
                <w:bCs/>
                <w:color w:val="auto"/>
                <w:kern w:val="0"/>
                <w:sz w:val="24"/>
                <w:szCs w:val="24"/>
                <w:u w:val="none"/>
              </w:rPr>
            </w:pPr>
          </w:p>
        </w:tc>
        <w:tc>
          <w:tcPr>
            <w:tcW w:w="1685" w:type="dxa"/>
            <w:tcBorders>
              <w:top w:val="nil"/>
              <w:left w:val="nil"/>
              <w:bottom w:val="single" w:color="auto" w:sz="4" w:space="0"/>
              <w:right w:val="single" w:color="auto" w:sz="4" w:space="0"/>
            </w:tcBorders>
            <w:noWrap w:val="0"/>
            <w:vAlign w:val="center"/>
          </w:tcPr>
          <w:p w14:paraId="5AAAC057">
            <w:pPr>
              <w:widowControl/>
              <w:jc w:val="center"/>
              <w:rPr>
                <w:rFonts w:ascii="Arial" w:hAnsi="Arial" w:cs="Arial"/>
                <w:b w:val="0"/>
                <w:bCs/>
                <w:color w:val="auto"/>
                <w:kern w:val="0"/>
                <w:sz w:val="24"/>
                <w:szCs w:val="24"/>
                <w:u w:val="none"/>
              </w:rPr>
            </w:pPr>
          </w:p>
        </w:tc>
        <w:tc>
          <w:tcPr>
            <w:tcW w:w="1328" w:type="dxa"/>
            <w:tcBorders>
              <w:top w:val="nil"/>
              <w:left w:val="nil"/>
              <w:bottom w:val="single" w:color="auto" w:sz="4" w:space="0"/>
              <w:right w:val="single" w:color="auto" w:sz="4" w:space="0"/>
            </w:tcBorders>
            <w:noWrap w:val="0"/>
            <w:vAlign w:val="center"/>
          </w:tcPr>
          <w:p w14:paraId="534AB6E0">
            <w:pPr>
              <w:widowControl/>
              <w:jc w:val="center"/>
              <w:rPr>
                <w:rFonts w:ascii="Calibri" w:hAnsi="Calibri" w:cs="宋体"/>
                <w:b w:val="0"/>
                <w:bCs/>
                <w:color w:val="auto"/>
                <w:kern w:val="0"/>
                <w:sz w:val="24"/>
                <w:szCs w:val="24"/>
                <w:u w:val="none"/>
              </w:rPr>
            </w:pPr>
          </w:p>
        </w:tc>
        <w:tc>
          <w:tcPr>
            <w:tcW w:w="908" w:type="dxa"/>
            <w:tcBorders>
              <w:top w:val="nil"/>
              <w:left w:val="nil"/>
              <w:bottom w:val="single" w:color="auto" w:sz="4" w:space="0"/>
              <w:right w:val="single" w:color="auto" w:sz="4" w:space="0"/>
            </w:tcBorders>
            <w:noWrap w:val="0"/>
            <w:vAlign w:val="center"/>
          </w:tcPr>
          <w:p w14:paraId="74473418">
            <w:pPr>
              <w:widowControl/>
              <w:jc w:val="center"/>
              <w:rPr>
                <w:rFonts w:ascii="Calibri" w:hAnsi="Calibri" w:cs="宋体"/>
                <w:b w:val="0"/>
                <w:bCs/>
                <w:color w:val="auto"/>
                <w:kern w:val="0"/>
                <w:sz w:val="24"/>
                <w:szCs w:val="24"/>
                <w:u w:val="none"/>
              </w:rPr>
            </w:pPr>
          </w:p>
        </w:tc>
        <w:tc>
          <w:tcPr>
            <w:tcW w:w="788" w:type="dxa"/>
            <w:tcBorders>
              <w:top w:val="nil"/>
              <w:left w:val="nil"/>
              <w:bottom w:val="single" w:color="auto" w:sz="4" w:space="0"/>
              <w:right w:val="single" w:color="auto" w:sz="4" w:space="0"/>
            </w:tcBorders>
            <w:noWrap w:val="0"/>
            <w:vAlign w:val="center"/>
          </w:tcPr>
          <w:p w14:paraId="651A0C5B">
            <w:pPr>
              <w:widowControl/>
              <w:jc w:val="center"/>
              <w:rPr>
                <w:rFonts w:ascii="Calibri" w:hAnsi="Calibri" w:cs="宋体"/>
                <w:b w:val="0"/>
                <w:bCs/>
                <w:color w:val="auto"/>
                <w:kern w:val="0"/>
                <w:sz w:val="24"/>
                <w:szCs w:val="24"/>
                <w:u w:val="none"/>
              </w:rPr>
            </w:pPr>
          </w:p>
        </w:tc>
        <w:tc>
          <w:tcPr>
            <w:tcW w:w="824" w:type="dxa"/>
            <w:tcBorders>
              <w:top w:val="nil"/>
              <w:left w:val="nil"/>
              <w:bottom w:val="single" w:color="auto" w:sz="4" w:space="0"/>
              <w:right w:val="single" w:color="auto" w:sz="4" w:space="0"/>
            </w:tcBorders>
            <w:noWrap w:val="0"/>
            <w:vAlign w:val="center"/>
          </w:tcPr>
          <w:p w14:paraId="3226FA30">
            <w:pPr>
              <w:widowControl/>
              <w:jc w:val="center"/>
              <w:rPr>
                <w:rFonts w:ascii="Calibri" w:hAnsi="Calibri" w:cs="宋体"/>
                <w:b w:val="0"/>
                <w:bCs/>
                <w:color w:val="auto"/>
                <w:kern w:val="0"/>
                <w:sz w:val="24"/>
                <w:szCs w:val="24"/>
                <w:u w:val="none"/>
              </w:rPr>
            </w:pPr>
          </w:p>
        </w:tc>
        <w:tc>
          <w:tcPr>
            <w:tcW w:w="703" w:type="dxa"/>
            <w:tcBorders>
              <w:top w:val="nil"/>
              <w:left w:val="nil"/>
              <w:bottom w:val="single" w:color="auto" w:sz="4" w:space="0"/>
              <w:right w:val="single" w:color="auto" w:sz="4" w:space="0"/>
            </w:tcBorders>
            <w:noWrap w:val="0"/>
            <w:vAlign w:val="center"/>
          </w:tcPr>
          <w:p w14:paraId="068B96E1">
            <w:pPr>
              <w:widowControl/>
              <w:jc w:val="center"/>
              <w:rPr>
                <w:rFonts w:ascii="Calibri" w:hAnsi="Calibri" w:cs="宋体"/>
                <w:b w:val="0"/>
                <w:bCs/>
                <w:color w:val="auto"/>
                <w:kern w:val="0"/>
                <w:sz w:val="24"/>
                <w:szCs w:val="24"/>
                <w:u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74077274">
            <w:pPr>
              <w:widowControl/>
              <w:jc w:val="center"/>
              <w:rPr>
                <w:rFonts w:ascii="Calibri" w:hAnsi="Calibri" w:cs="宋体"/>
                <w:b w:val="0"/>
                <w:bCs/>
                <w:color w:val="auto"/>
                <w:kern w:val="0"/>
                <w:sz w:val="24"/>
                <w:szCs w:val="24"/>
                <w:u w:val="none"/>
              </w:rPr>
            </w:pPr>
          </w:p>
        </w:tc>
        <w:tc>
          <w:tcPr>
            <w:tcW w:w="806" w:type="dxa"/>
            <w:tcBorders>
              <w:top w:val="single" w:color="auto" w:sz="4" w:space="0"/>
              <w:left w:val="single" w:color="auto" w:sz="4" w:space="0"/>
              <w:bottom w:val="single" w:color="auto" w:sz="4" w:space="0"/>
              <w:right w:val="single" w:color="auto" w:sz="4" w:space="0"/>
            </w:tcBorders>
            <w:noWrap w:val="0"/>
            <w:vAlign w:val="center"/>
          </w:tcPr>
          <w:p w14:paraId="4203C1B4">
            <w:pPr>
              <w:widowControl/>
              <w:jc w:val="center"/>
              <w:rPr>
                <w:rFonts w:ascii="Calibri" w:hAnsi="Calibri" w:cs="宋体"/>
                <w:b w:val="0"/>
                <w:bCs/>
                <w:color w:val="auto"/>
                <w:kern w:val="0"/>
                <w:sz w:val="24"/>
                <w:szCs w:val="24"/>
                <w:u w:val="none"/>
              </w:rPr>
            </w:pPr>
          </w:p>
        </w:tc>
        <w:tc>
          <w:tcPr>
            <w:tcW w:w="925" w:type="dxa"/>
            <w:tcBorders>
              <w:top w:val="single" w:color="auto" w:sz="4" w:space="0"/>
              <w:left w:val="single" w:color="auto" w:sz="4" w:space="0"/>
              <w:bottom w:val="single" w:color="auto" w:sz="4" w:space="0"/>
              <w:right w:val="single" w:color="auto" w:sz="4" w:space="0"/>
            </w:tcBorders>
            <w:noWrap w:val="0"/>
            <w:vAlign w:val="center"/>
          </w:tcPr>
          <w:p w14:paraId="1C9243EB">
            <w:pPr>
              <w:widowControl/>
              <w:jc w:val="center"/>
              <w:rPr>
                <w:rFonts w:hint="eastAsia" w:ascii="宋体" w:hAnsi="宋体" w:cs="宋体"/>
                <w:b w:val="0"/>
                <w:bCs/>
                <w:color w:val="auto"/>
                <w:kern w:val="0"/>
                <w:sz w:val="24"/>
                <w:szCs w:val="24"/>
                <w:u w:val="none"/>
              </w:rPr>
            </w:pPr>
          </w:p>
        </w:tc>
        <w:tc>
          <w:tcPr>
            <w:tcW w:w="955" w:type="dxa"/>
            <w:tcBorders>
              <w:top w:val="nil"/>
              <w:left w:val="nil"/>
              <w:bottom w:val="single" w:color="auto" w:sz="4" w:space="0"/>
              <w:right w:val="single" w:color="auto" w:sz="4" w:space="0"/>
            </w:tcBorders>
            <w:noWrap w:val="0"/>
            <w:vAlign w:val="center"/>
          </w:tcPr>
          <w:p w14:paraId="7D2E1FEC">
            <w:pPr>
              <w:widowControl/>
              <w:jc w:val="center"/>
              <w:rPr>
                <w:rFonts w:ascii="Calibri" w:hAnsi="Calibri" w:cs="宋体"/>
                <w:b w:val="0"/>
                <w:bCs/>
                <w:color w:val="auto"/>
                <w:kern w:val="0"/>
                <w:sz w:val="24"/>
                <w:szCs w:val="24"/>
                <w:u w:val="none"/>
              </w:rPr>
            </w:pPr>
          </w:p>
        </w:tc>
        <w:tc>
          <w:tcPr>
            <w:tcW w:w="1200" w:type="dxa"/>
            <w:tcBorders>
              <w:top w:val="nil"/>
              <w:left w:val="nil"/>
              <w:bottom w:val="single" w:color="auto" w:sz="4" w:space="0"/>
              <w:right w:val="single" w:color="auto" w:sz="4" w:space="0"/>
            </w:tcBorders>
            <w:noWrap w:val="0"/>
            <w:vAlign w:val="center"/>
          </w:tcPr>
          <w:p w14:paraId="0D8A10E5">
            <w:pPr>
              <w:widowControl/>
              <w:jc w:val="center"/>
              <w:rPr>
                <w:rFonts w:ascii="Calibri" w:hAnsi="Calibri" w:cs="宋体"/>
                <w:b w:val="0"/>
                <w:bCs/>
                <w:color w:val="auto"/>
                <w:kern w:val="0"/>
                <w:sz w:val="24"/>
                <w:szCs w:val="24"/>
                <w:u w:val="none"/>
              </w:rPr>
            </w:pPr>
          </w:p>
        </w:tc>
        <w:tc>
          <w:tcPr>
            <w:tcW w:w="1250" w:type="dxa"/>
            <w:tcBorders>
              <w:top w:val="nil"/>
              <w:left w:val="nil"/>
              <w:bottom w:val="single" w:color="auto" w:sz="4" w:space="0"/>
              <w:right w:val="single" w:color="auto" w:sz="4" w:space="0"/>
            </w:tcBorders>
            <w:noWrap w:val="0"/>
            <w:vAlign w:val="center"/>
          </w:tcPr>
          <w:p w14:paraId="4269AD5A">
            <w:pPr>
              <w:widowControl/>
              <w:jc w:val="center"/>
              <w:rPr>
                <w:rFonts w:ascii="Calibri" w:hAnsi="Calibri" w:cs="宋体"/>
                <w:b w:val="0"/>
                <w:bCs/>
                <w:color w:val="auto"/>
                <w:kern w:val="0"/>
                <w:sz w:val="24"/>
                <w:szCs w:val="24"/>
                <w:u w:val="none"/>
              </w:rPr>
            </w:pPr>
          </w:p>
        </w:tc>
        <w:tc>
          <w:tcPr>
            <w:tcW w:w="1395" w:type="dxa"/>
            <w:gridSpan w:val="2"/>
            <w:tcBorders>
              <w:top w:val="nil"/>
              <w:left w:val="nil"/>
              <w:bottom w:val="single" w:color="auto" w:sz="4" w:space="0"/>
              <w:right w:val="single" w:color="auto" w:sz="4" w:space="0"/>
            </w:tcBorders>
            <w:noWrap w:val="0"/>
            <w:vAlign w:val="center"/>
          </w:tcPr>
          <w:p w14:paraId="1E96FFAF">
            <w:pPr>
              <w:widowControl/>
              <w:jc w:val="center"/>
              <w:rPr>
                <w:rFonts w:ascii="Calibri" w:hAnsi="Calibri" w:cs="宋体"/>
                <w:b w:val="0"/>
                <w:bCs/>
                <w:color w:val="auto"/>
                <w:kern w:val="0"/>
                <w:sz w:val="24"/>
                <w:szCs w:val="24"/>
                <w:u w:val="none"/>
              </w:rPr>
            </w:pPr>
          </w:p>
        </w:tc>
      </w:tr>
      <w:tr w14:paraId="64371C11">
        <w:tblPrEx>
          <w:tblCellMar>
            <w:top w:w="0" w:type="dxa"/>
            <w:left w:w="108" w:type="dxa"/>
            <w:bottom w:w="0" w:type="dxa"/>
            <w:right w:w="108" w:type="dxa"/>
          </w:tblCellMar>
        </w:tblPrEx>
        <w:trPr>
          <w:trHeight w:val="285" w:hRule="atLeast"/>
        </w:trPr>
        <w:tc>
          <w:tcPr>
            <w:tcW w:w="705" w:type="dxa"/>
            <w:tcBorders>
              <w:top w:val="nil"/>
              <w:left w:val="single" w:color="auto" w:sz="4" w:space="0"/>
              <w:bottom w:val="single" w:color="auto" w:sz="4" w:space="0"/>
              <w:right w:val="single" w:color="auto" w:sz="4" w:space="0"/>
            </w:tcBorders>
            <w:noWrap w:val="0"/>
            <w:vAlign w:val="center"/>
          </w:tcPr>
          <w:p w14:paraId="05FCAB77">
            <w:pPr>
              <w:widowControl/>
              <w:jc w:val="center"/>
              <w:rPr>
                <w:rFonts w:ascii="Arial" w:hAnsi="Arial" w:cs="Arial"/>
                <w:b w:val="0"/>
                <w:bCs/>
                <w:color w:val="auto"/>
                <w:kern w:val="0"/>
                <w:sz w:val="24"/>
                <w:szCs w:val="24"/>
                <w:u w:val="none"/>
              </w:rPr>
            </w:pPr>
          </w:p>
        </w:tc>
        <w:tc>
          <w:tcPr>
            <w:tcW w:w="1685" w:type="dxa"/>
            <w:tcBorders>
              <w:top w:val="nil"/>
              <w:left w:val="nil"/>
              <w:bottom w:val="single" w:color="auto" w:sz="4" w:space="0"/>
              <w:right w:val="single" w:color="auto" w:sz="4" w:space="0"/>
            </w:tcBorders>
            <w:noWrap w:val="0"/>
            <w:vAlign w:val="center"/>
          </w:tcPr>
          <w:p w14:paraId="5297666B">
            <w:pPr>
              <w:widowControl/>
              <w:jc w:val="center"/>
              <w:rPr>
                <w:rFonts w:ascii="Arial" w:hAnsi="Arial" w:cs="Arial"/>
                <w:b w:val="0"/>
                <w:bCs/>
                <w:color w:val="auto"/>
                <w:kern w:val="0"/>
                <w:sz w:val="24"/>
                <w:szCs w:val="24"/>
                <w:u w:val="none"/>
              </w:rPr>
            </w:pPr>
          </w:p>
        </w:tc>
        <w:tc>
          <w:tcPr>
            <w:tcW w:w="1328" w:type="dxa"/>
            <w:tcBorders>
              <w:top w:val="nil"/>
              <w:left w:val="nil"/>
              <w:bottom w:val="single" w:color="auto" w:sz="4" w:space="0"/>
              <w:right w:val="single" w:color="auto" w:sz="4" w:space="0"/>
            </w:tcBorders>
            <w:noWrap w:val="0"/>
            <w:vAlign w:val="center"/>
          </w:tcPr>
          <w:p w14:paraId="7EC8332D">
            <w:pPr>
              <w:widowControl/>
              <w:jc w:val="center"/>
              <w:rPr>
                <w:rFonts w:ascii="Calibri" w:hAnsi="Calibri" w:cs="宋体"/>
                <w:b w:val="0"/>
                <w:bCs/>
                <w:color w:val="auto"/>
                <w:kern w:val="0"/>
                <w:sz w:val="24"/>
                <w:szCs w:val="24"/>
                <w:u w:val="none"/>
              </w:rPr>
            </w:pPr>
          </w:p>
        </w:tc>
        <w:tc>
          <w:tcPr>
            <w:tcW w:w="908" w:type="dxa"/>
            <w:tcBorders>
              <w:top w:val="nil"/>
              <w:left w:val="nil"/>
              <w:bottom w:val="single" w:color="auto" w:sz="4" w:space="0"/>
              <w:right w:val="single" w:color="auto" w:sz="4" w:space="0"/>
            </w:tcBorders>
            <w:noWrap w:val="0"/>
            <w:vAlign w:val="center"/>
          </w:tcPr>
          <w:p w14:paraId="6BE85582">
            <w:pPr>
              <w:widowControl/>
              <w:jc w:val="center"/>
              <w:rPr>
                <w:rFonts w:ascii="Calibri" w:hAnsi="Calibri" w:cs="宋体"/>
                <w:b w:val="0"/>
                <w:bCs/>
                <w:color w:val="auto"/>
                <w:kern w:val="0"/>
                <w:sz w:val="24"/>
                <w:szCs w:val="24"/>
                <w:u w:val="none"/>
              </w:rPr>
            </w:pPr>
          </w:p>
        </w:tc>
        <w:tc>
          <w:tcPr>
            <w:tcW w:w="788" w:type="dxa"/>
            <w:tcBorders>
              <w:top w:val="nil"/>
              <w:left w:val="nil"/>
              <w:bottom w:val="single" w:color="auto" w:sz="4" w:space="0"/>
              <w:right w:val="single" w:color="auto" w:sz="4" w:space="0"/>
            </w:tcBorders>
            <w:noWrap w:val="0"/>
            <w:vAlign w:val="center"/>
          </w:tcPr>
          <w:p w14:paraId="0658949C">
            <w:pPr>
              <w:widowControl/>
              <w:jc w:val="center"/>
              <w:rPr>
                <w:rFonts w:ascii="Calibri" w:hAnsi="Calibri" w:cs="宋体"/>
                <w:b w:val="0"/>
                <w:bCs/>
                <w:color w:val="auto"/>
                <w:kern w:val="0"/>
                <w:sz w:val="24"/>
                <w:szCs w:val="24"/>
                <w:u w:val="none"/>
              </w:rPr>
            </w:pPr>
          </w:p>
        </w:tc>
        <w:tc>
          <w:tcPr>
            <w:tcW w:w="824" w:type="dxa"/>
            <w:tcBorders>
              <w:top w:val="nil"/>
              <w:left w:val="nil"/>
              <w:bottom w:val="single" w:color="auto" w:sz="4" w:space="0"/>
              <w:right w:val="single" w:color="auto" w:sz="4" w:space="0"/>
            </w:tcBorders>
            <w:noWrap w:val="0"/>
            <w:vAlign w:val="center"/>
          </w:tcPr>
          <w:p w14:paraId="7725938A">
            <w:pPr>
              <w:widowControl/>
              <w:jc w:val="center"/>
              <w:rPr>
                <w:rFonts w:ascii="Calibri" w:hAnsi="Calibri" w:cs="宋体"/>
                <w:b w:val="0"/>
                <w:bCs/>
                <w:color w:val="auto"/>
                <w:kern w:val="0"/>
                <w:sz w:val="24"/>
                <w:szCs w:val="24"/>
                <w:u w:val="none"/>
              </w:rPr>
            </w:pPr>
          </w:p>
        </w:tc>
        <w:tc>
          <w:tcPr>
            <w:tcW w:w="703" w:type="dxa"/>
            <w:tcBorders>
              <w:top w:val="nil"/>
              <w:left w:val="nil"/>
              <w:bottom w:val="single" w:color="auto" w:sz="4" w:space="0"/>
              <w:right w:val="single" w:color="auto" w:sz="4" w:space="0"/>
            </w:tcBorders>
            <w:noWrap w:val="0"/>
            <w:vAlign w:val="center"/>
          </w:tcPr>
          <w:p w14:paraId="624CA490">
            <w:pPr>
              <w:widowControl/>
              <w:jc w:val="center"/>
              <w:rPr>
                <w:rFonts w:ascii="Calibri" w:hAnsi="Calibri" w:cs="宋体"/>
                <w:b w:val="0"/>
                <w:bCs/>
                <w:color w:val="auto"/>
                <w:kern w:val="0"/>
                <w:sz w:val="24"/>
                <w:szCs w:val="24"/>
                <w:u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6D310AB5">
            <w:pPr>
              <w:widowControl/>
              <w:jc w:val="center"/>
              <w:rPr>
                <w:rFonts w:ascii="Calibri" w:hAnsi="Calibri" w:cs="宋体"/>
                <w:b w:val="0"/>
                <w:bCs/>
                <w:color w:val="auto"/>
                <w:kern w:val="0"/>
                <w:sz w:val="24"/>
                <w:szCs w:val="24"/>
                <w:u w:val="none"/>
              </w:rPr>
            </w:pPr>
          </w:p>
        </w:tc>
        <w:tc>
          <w:tcPr>
            <w:tcW w:w="806" w:type="dxa"/>
            <w:tcBorders>
              <w:top w:val="single" w:color="auto" w:sz="4" w:space="0"/>
              <w:left w:val="single" w:color="auto" w:sz="4" w:space="0"/>
              <w:bottom w:val="single" w:color="auto" w:sz="4" w:space="0"/>
              <w:right w:val="single" w:color="auto" w:sz="4" w:space="0"/>
            </w:tcBorders>
            <w:noWrap w:val="0"/>
            <w:vAlign w:val="center"/>
          </w:tcPr>
          <w:p w14:paraId="4744B203">
            <w:pPr>
              <w:widowControl/>
              <w:jc w:val="center"/>
              <w:rPr>
                <w:rFonts w:ascii="Calibri" w:hAnsi="Calibri" w:cs="宋体"/>
                <w:b w:val="0"/>
                <w:bCs/>
                <w:color w:val="auto"/>
                <w:kern w:val="0"/>
                <w:sz w:val="24"/>
                <w:szCs w:val="24"/>
                <w:u w:val="none"/>
              </w:rPr>
            </w:pPr>
          </w:p>
        </w:tc>
        <w:tc>
          <w:tcPr>
            <w:tcW w:w="925" w:type="dxa"/>
            <w:tcBorders>
              <w:top w:val="single" w:color="auto" w:sz="4" w:space="0"/>
              <w:left w:val="single" w:color="auto" w:sz="4" w:space="0"/>
              <w:bottom w:val="single" w:color="auto" w:sz="4" w:space="0"/>
              <w:right w:val="single" w:color="auto" w:sz="4" w:space="0"/>
            </w:tcBorders>
            <w:noWrap w:val="0"/>
            <w:vAlign w:val="center"/>
          </w:tcPr>
          <w:p w14:paraId="3686963B">
            <w:pPr>
              <w:widowControl/>
              <w:jc w:val="center"/>
              <w:rPr>
                <w:rFonts w:hint="eastAsia" w:ascii="宋体" w:hAnsi="宋体" w:cs="宋体"/>
                <w:b w:val="0"/>
                <w:bCs/>
                <w:color w:val="auto"/>
                <w:kern w:val="0"/>
                <w:sz w:val="24"/>
                <w:szCs w:val="24"/>
                <w:u w:val="none"/>
              </w:rPr>
            </w:pPr>
          </w:p>
        </w:tc>
        <w:tc>
          <w:tcPr>
            <w:tcW w:w="955" w:type="dxa"/>
            <w:tcBorders>
              <w:top w:val="nil"/>
              <w:left w:val="nil"/>
              <w:bottom w:val="single" w:color="auto" w:sz="4" w:space="0"/>
              <w:right w:val="single" w:color="auto" w:sz="4" w:space="0"/>
            </w:tcBorders>
            <w:noWrap w:val="0"/>
            <w:vAlign w:val="center"/>
          </w:tcPr>
          <w:p w14:paraId="1441B35F">
            <w:pPr>
              <w:widowControl/>
              <w:jc w:val="center"/>
              <w:rPr>
                <w:rFonts w:ascii="Calibri" w:hAnsi="Calibri" w:cs="宋体"/>
                <w:b w:val="0"/>
                <w:bCs/>
                <w:color w:val="auto"/>
                <w:kern w:val="0"/>
                <w:sz w:val="24"/>
                <w:szCs w:val="24"/>
                <w:u w:val="none"/>
              </w:rPr>
            </w:pPr>
          </w:p>
        </w:tc>
        <w:tc>
          <w:tcPr>
            <w:tcW w:w="1200" w:type="dxa"/>
            <w:tcBorders>
              <w:top w:val="nil"/>
              <w:left w:val="nil"/>
              <w:bottom w:val="single" w:color="auto" w:sz="4" w:space="0"/>
              <w:right w:val="single" w:color="auto" w:sz="4" w:space="0"/>
            </w:tcBorders>
            <w:noWrap w:val="0"/>
            <w:vAlign w:val="center"/>
          </w:tcPr>
          <w:p w14:paraId="41768F6D">
            <w:pPr>
              <w:widowControl/>
              <w:jc w:val="center"/>
              <w:rPr>
                <w:rFonts w:ascii="Calibri" w:hAnsi="Calibri" w:cs="宋体"/>
                <w:b w:val="0"/>
                <w:bCs/>
                <w:color w:val="auto"/>
                <w:kern w:val="0"/>
                <w:sz w:val="24"/>
                <w:szCs w:val="24"/>
                <w:u w:val="none"/>
              </w:rPr>
            </w:pPr>
          </w:p>
        </w:tc>
        <w:tc>
          <w:tcPr>
            <w:tcW w:w="1250" w:type="dxa"/>
            <w:tcBorders>
              <w:top w:val="nil"/>
              <w:left w:val="nil"/>
              <w:bottom w:val="single" w:color="auto" w:sz="4" w:space="0"/>
              <w:right w:val="single" w:color="auto" w:sz="4" w:space="0"/>
            </w:tcBorders>
            <w:noWrap w:val="0"/>
            <w:vAlign w:val="center"/>
          </w:tcPr>
          <w:p w14:paraId="4D49E1A6">
            <w:pPr>
              <w:widowControl/>
              <w:jc w:val="center"/>
              <w:rPr>
                <w:rFonts w:ascii="Calibri" w:hAnsi="Calibri" w:cs="宋体"/>
                <w:b w:val="0"/>
                <w:bCs/>
                <w:color w:val="auto"/>
                <w:kern w:val="0"/>
                <w:sz w:val="24"/>
                <w:szCs w:val="24"/>
                <w:u w:val="none"/>
              </w:rPr>
            </w:pPr>
          </w:p>
        </w:tc>
        <w:tc>
          <w:tcPr>
            <w:tcW w:w="1395" w:type="dxa"/>
            <w:gridSpan w:val="2"/>
            <w:tcBorders>
              <w:top w:val="nil"/>
              <w:left w:val="nil"/>
              <w:bottom w:val="single" w:color="auto" w:sz="4" w:space="0"/>
              <w:right w:val="single" w:color="auto" w:sz="4" w:space="0"/>
            </w:tcBorders>
            <w:noWrap w:val="0"/>
            <w:vAlign w:val="center"/>
          </w:tcPr>
          <w:p w14:paraId="537F8BE6">
            <w:pPr>
              <w:widowControl/>
              <w:jc w:val="center"/>
              <w:rPr>
                <w:rFonts w:ascii="Calibri" w:hAnsi="Calibri" w:cs="宋体"/>
                <w:b w:val="0"/>
                <w:bCs/>
                <w:color w:val="auto"/>
                <w:kern w:val="0"/>
                <w:sz w:val="24"/>
                <w:szCs w:val="24"/>
                <w:u w:val="none"/>
              </w:rPr>
            </w:pPr>
          </w:p>
        </w:tc>
      </w:tr>
      <w:tr w14:paraId="05F6691A">
        <w:tblPrEx>
          <w:tblCellMar>
            <w:top w:w="0" w:type="dxa"/>
            <w:left w:w="108" w:type="dxa"/>
            <w:bottom w:w="0" w:type="dxa"/>
            <w:right w:w="108" w:type="dxa"/>
          </w:tblCellMar>
        </w:tblPrEx>
        <w:trPr>
          <w:trHeight w:val="285" w:hRule="atLeast"/>
        </w:trPr>
        <w:tc>
          <w:tcPr>
            <w:tcW w:w="705" w:type="dxa"/>
            <w:tcBorders>
              <w:top w:val="nil"/>
              <w:left w:val="single" w:color="auto" w:sz="4" w:space="0"/>
              <w:bottom w:val="single" w:color="auto" w:sz="4" w:space="0"/>
              <w:right w:val="single" w:color="auto" w:sz="4" w:space="0"/>
            </w:tcBorders>
            <w:noWrap w:val="0"/>
            <w:vAlign w:val="center"/>
          </w:tcPr>
          <w:p w14:paraId="4B04A118">
            <w:pPr>
              <w:widowControl/>
              <w:jc w:val="center"/>
              <w:rPr>
                <w:rFonts w:ascii="Arial" w:hAnsi="Arial" w:cs="Arial"/>
                <w:b w:val="0"/>
                <w:bCs/>
                <w:color w:val="auto"/>
                <w:kern w:val="0"/>
                <w:sz w:val="24"/>
                <w:szCs w:val="24"/>
                <w:u w:val="none"/>
              </w:rPr>
            </w:pPr>
          </w:p>
        </w:tc>
        <w:tc>
          <w:tcPr>
            <w:tcW w:w="1685" w:type="dxa"/>
            <w:tcBorders>
              <w:top w:val="nil"/>
              <w:left w:val="nil"/>
              <w:bottom w:val="single" w:color="auto" w:sz="4" w:space="0"/>
              <w:right w:val="single" w:color="auto" w:sz="4" w:space="0"/>
            </w:tcBorders>
            <w:noWrap w:val="0"/>
            <w:vAlign w:val="center"/>
          </w:tcPr>
          <w:p w14:paraId="371EF6E7">
            <w:pPr>
              <w:widowControl/>
              <w:jc w:val="center"/>
              <w:rPr>
                <w:rFonts w:ascii="Arial" w:hAnsi="Arial" w:cs="Arial"/>
                <w:b w:val="0"/>
                <w:bCs/>
                <w:color w:val="auto"/>
                <w:kern w:val="0"/>
                <w:sz w:val="24"/>
                <w:szCs w:val="24"/>
                <w:u w:val="none"/>
              </w:rPr>
            </w:pPr>
          </w:p>
        </w:tc>
        <w:tc>
          <w:tcPr>
            <w:tcW w:w="1328" w:type="dxa"/>
            <w:tcBorders>
              <w:top w:val="nil"/>
              <w:left w:val="nil"/>
              <w:bottom w:val="single" w:color="auto" w:sz="4" w:space="0"/>
              <w:right w:val="single" w:color="auto" w:sz="4" w:space="0"/>
            </w:tcBorders>
            <w:noWrap w:val="0"/>
            <w:vAlign w:val="center"/>
          </w:tcPr>
          <w:p w14:paraId="60CE08FF">
            <w:pPr>
              <w:widowControl/>
              <w:jc w:val="center"/>
              <w:rPr>
                <w:rFonts w:ascii="Calibri" w:hAnsi="Calibri" w:cs="宋体"/>
                <w:b w:val="0"/>
                <w:bCs/>
                <w:color w:val="auto"/>
                <w:kern w:val="0"/>
                <w:sz w:val="24"/>
                <w:szCs w:val="24"/>
                <w:u w:val="none"/>
              </w:rPr>
            </w:pPr>
          </w:p>
        </w:tc>
        <w:tc>
          <w:tcPr>
            <w:tcW w:w="908" w:type="dxa"/>
            <w:tcBorders>
              <w:top w:val="nil"/>
              <w:left w:val="nil"/>
              <w:bottom w:val="single" w:color="auto" w:sz="4" w:space="0"/>
              <w:right w:val="single" w:color="auto" w:sz="4" w:space="0"/>
            </w:tcBorders>
            <w:noWrap w:val="0"/>
            <w:vAlign w:val="center"/>
          </w:tcPr>
          <w:p w14:paraId="2FA3742B">
            <w:pPr>
              <w:widowControl/>
              <w:jc w:val="center"/>
              <w:rPr>
                <w:rFonts w:ascii="Calibri" w:hAnsi="Calibri" w:cs="宋体"/>
                <w:b w:val="0"/>
                <w:bCs/>
                <w:color w:val="auto"/>
                <w:kern w:val="0"/>
                <w:sz w:val="24"/>
                <w:szCs w:val="24"/>
                <w:u w:val="none"/>
              </w:rPr>
            </w:pPr>
          </w:p>
        </w:tc>
        <w:tc>
          <w:tcPr>
            <w:tcW w:w="788" w:type="dxa"/>
            <w:tcBorders>
              <w:top w:val="nil"/>
              <w:left w:val="nil"/>
              <w:bottom w:val="single" w:color="auto" w:sz="4" w:space="0"/>
              <w:right w:val="single" w:color="auto" w:sz="4" w:space="0"/>
            </w:tcBorders>
            <w:noWrap w:val="0"/>
            <w:vAlign w:val="center"/>
          </w:tcPr>
          <w:p w14:paraId="07F55CC1">
            <w:pPr>
              <w:widowControl/>
              <w:jc w:val="center"/>
              <w:rPr>
                <w:rFonts w:ascii="Calibri" w:hAnsi="Calibri" w:cs="宋体"/>
                <w:b w:val="0"/>
                <w:bCs/>
                <w:color w:val="auto"/>
                <w:kern w:val="0"/>
                <w:sz w:val="24"/>
                <w:szCs w:val="24"/>
                <w:u w:val="none"/>
              </w:rPr>
            </w:pPr>
          </w:p>
        </w:tc>
        <w:tc>
          <w:tcPr>
            <w:tcW w:w="824" w:type="dxa"/>
            <w:tcBorders>
              <w:top w:val="nil"/>
              <w:left w:val="nil"/>
              <w:bottom w:val="single" w:color="auto" w:sz="4" w:space="0"/>
              <w:right w:val="single" w:color="auto" w:sz="4" w:space="0"/>
            </w:tcBorders>
            <w:noWrap w:val="0"/>
            <w:vAlign w:val="center"/>
          </w:tcPr>
          <w:p w14:paraId="669B6D7E">
            <w:pPr>
              <w:widowControl/>
              <w:jc w:val="center"/>
              <w:rPr>
                <w:rFonts w:ascii="Calibri" w:hAnsi="Calibri" w:cs="宋体"/>
                <w:b w:val="0"/>
                <w:bCs/>
                <w:color w:val="auto"/>
                <w:kern w:val="0"/>
                <w:sz w:val="24"/>
                <w:szCs w:val="24"/>
                <w:u w:val="none"/>
              </w:rPr>
            </w:pPr>
          </w:p>
        </w:tc>
        <w:tc>
          <w:tcPr>
            <w:tcW w:w="703" w:type="dxa"/>
            <w:tcBorders>
              <w:top w:val="nil"/>
              <w:left w:val="nil"/>
              <w:bottom w:val="single" w:color="auto" w:sz="4" w:space="0"/>
              <w:right w:val="single" w:color="auto" w:sz="4" w:space="0"/>
            </w:tcBorders>
            <w:noWrap w:val="0"/>
            <w:vAlign w:val="center"/>
          </w:tcPr>
          <w:p w14:paraId="0B7900FB">
            <w:pPr>
              <w:widowControl/>
              <w:jc w:val="center"/>
              <w:rPr>
                <w:rFonts w:ascii="Calibri" w:hAnsi="Calibri" w:cs="宋体"/>
                <w:b w:val="0"/>
                <w:bCs/>
                <w:color w:val="auto"/>
                <w:kern w:val="0"/>
                <w:sz w:val="24"/>
                <w:szCs w:val="24"/>
                <w:u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23201D72">
            <w:pPr>
              <w:widowControl/>
              <w:jc w:val="center"/>
              <w:rPr>
                <w:rFonts w:ascii="Calibri" w:hAnsi="Calibri" w:cs="宋体"/>
                <w:b w:val="0"/>
                <w:bCs/>
                <w:color w:val="auto"/>
                <w:kern w:val="0"/>
                <w:sz w:val="24"/>
                <w:szCs w:val="24"/>
                <w:u w:val="none"/>
              </w:rPr>
            </w:pPr>
          </w:p>
        </w:tc>
        <w:tc>
          <w:tcPr>
            <w:tcW w:w="806" w:type="dxa"/>
            <w:tcBorders>
              <w:top w:val="single" w:color="auto" w:sz="4" w:space="0"/>
              <w:left w:val="single" w:color="auto" w:sz="4" w:space="0"/>
              <w:bottom w:val="single" w:color="auto" w:sz="4" w:space="0"/>
              <w:right w:val="single" w:color="auto" w:sz="4" w:space="0"/>
            </w:tcBorders>
            <w:noWrap w:val="0"/>
            <w:vAlign w:val="center"/>
          </w:tcPr>
          <w:p w14:paraId="0DA6EA30">
            <w:pPr>
              <w:widowControl/>
              <w:jc w:val="center"/>
              <w:rPr>
                <w:rFonts w:ascii="Calibri" w:hAnsi="Calibri" w:cs="宋体"/>
                <w:b w:val="0"/>
                <w:bCs/>
                <w:color w:val="auto"/>
                <w:kern w:val="0"/>
                <w:sz w:val="24"/>
                <w:szCs w:val="24"/>
                <w:u w:val="none"/>
              </w:rPr>
            </w:pPr>
          </w:p>
        </w:tc>
        <w:tc>
          <w:tcPr>
            <w:tcW w:w="925" w:type="dxa"/>
            <w:tcBorders>
              <w:top w:val="single" w:color="auto" w:sz="4" w:space="0"/>
              <w:left w:val="single" w:color="auto" w:sz="4" w:space="0"/>
              <w:bottom w:val="single" w:color="auto" w:sz="4" w:space="0"/>
              <w:right w:val="single" w:color="auto" w:sz="4" w:space="0"/>
            </w:tcBorders>
            <w:noWrap w:val="0"/>
            <w:vAlign w:val="center"/>
          </w:tcPr>
          <w:p w14:paraId="6727E366">
            <w:pPr>
              <w:widowControl/>
              <w:jc w:val="center"/>
              <w:rPr>
                <w:rFonts w:hint="eastAsia" w:ascii="宋体" w:hAnsi="宋体" w:cs="宋体"/>
                <w:b w:val="0"/>
                <w:bCs/>
                <w:color w:val="auto"/>
                <w:kern w:val="0"/>
                <w:sz w:val="24"/>
                <w:szCs w:val="24"/>
                <w:u w:val="none"/>
              </w:rPr>
            </w:pPr>
          </w:p>
        </w:tc>
        <w:tc>
          <w:tcPr>
            <w:tcW w:w="955" w:type="dxa"/>
            <w:tcBorders>
              <w:top w:val="nil"/>
              <w:left w:val="nil"/>
              <w:bottom w:val="single" w:color="auto" w:sz="4" w:space="0"/>
              <w:right w:val="single" w:color="auto" w:sz="4" w:space="0"/>
            </w:tcBorders>
            <w:noWrap w:val="0"/>
            <w:vAlign w:val="center"/>
          </w:tcPr>
          <w:p w14:paraId="12FC910F">
            <w:pPr>
              <w:widowControl/>
              <w:jc w:val="center"/>
              <w:rPr>
                <w:rFonts w:ascii="Calibri" w:hAnsi="Calibri" w:cs="宋体"/>
                <w:b w:val="0"/>
                <w:bCs/>
                <w:color w:val="auto"/>
                <w:kern w:val="0"/>
                <w:sz w:val="24"/>
                <w:szCs w:val="24"/>
                <w:u w:val="none"/>
              </w:rPr>
            </w:pPr>
          </w:p>
        </w:tc>
        <w:tc>
          <w:tcPr>
            <w:tcW w:w="1200" w:type="dxa"/>
            <w:tcBorders>
              <w:top w:val="nil"/>
              <w:left w:val="nil"/>
              <w:bottom w:val="single" w:color="auto" w:sz="4" w:space="0"/>
              <w:right w:val="single" w:color="auto" w:sz="4" w:space="0"/>
            </w:tcBorders>
            <w:noWrap w:val="0"/>
            <w:vAlign w:val="center"/>
          </w:tcPr>
          <w:p w14:paraId="5DE5FE41">
            <w:pPr>
              <w:widowControl/>
              <w:jc w:val="center"/>
              <w:rPr>
                <w:rFonts w:ascii="Calibri" w:hAnsi="Calibri" w:cs="宋体"/>
                <w:b w:val="0"/>
                <w:bCs/>
                <w:color w:val="auto"/>
                <w:kern w:val="0"/>
                <w:sz w:val="24"/>
                <w:szCs w:val="24"/>
                <w:u w:val="none"/>
              </w:rPr>
            </w:pPr>
          </w:p>
        </w:tc>
        <w:tc>
          <w:tcPr>
            <w:tcW w:w="1250" w:type="dxa"/>
            <w:tcBorders>
              <w:top w:val="nil"/>
              <w:left w:val="nil"/>
              <w:bottom w:val="single" w:color="auto" w:sz="4" w:space="0"/>
              <w:right w:val="single" w:color="auto" w:sz="4" w:space="0"/>
            </w:tcBorders>
            <w:noWrap w:val="0"/>
            <w:vAlign w:val="center"/>
          </w:tcPr>
          <w:p w14:paraId="338819B8">
            <w:pPr>
              <w:widowControl/>
              <w:jc w:val="center"/>
              <w:rPr>
                <w:rFonts w:ascii="Calibri" w:hAnsi="Calibri" w:cs="宋体"/>
                <w:b w:val="0"/>
                <w:bCs/>
                <w:color w:val="auto"/>
                <w:kern w:val="0"/>
                <w:sz w:val="24"/>
                <w:szCs w:val="24"/>
                <w:u w:val="none"/>
              </w:rPr>
            </w:pPr>
          </w:p>
        </w:tc>
        <w:tc>
          <w:tcPr>
            <w:tcW w:w="1395" w:type="dxa"/>
            <w:gridSpan w:val="2"/>
            <w:tcBorders>
              <w:top w:val="nil"/>
              <w:left w:val="nil"/>
              <w:bottom w:val="single" w:color="auto" w:sz="4" w:space="0"/>
              <w:right w:val="single" w:color="auto" w:sz="4" w:space="0"/>
            </w:tcBorders>
            <w:noWrap w:val="0"/>
            <w:vAlign w:val="center"/>
          </w:tcPr>
          <w:p w14:paraId="5C69AF18">
            <w:pPr>
              <w:widowControl/>
              <w:jc w:val="center"/>
              <w:rPr>
                <w:rFonts w:ascii="Calibri" w:hAnsi="Calibri" w:cs="宋体"/>
                <w:b w:val="0"/>
                <w:bCs/>
                <w:color w:val="auto"/>
                <w:kern w:val="0"/>
                <w:sz w:val="24"/>
                <w:szCs w:val="24"/>
                <w:u w:val="none"/>
              </w:rPr>
            </w:pPr>
          </w:p>
        </w:tc>
      </w:tr>
      <w:tr w14:paraId="10F5311F">
        <w:tblPrEx>
          <w:tblCellMar>
            <w:top w:w="0" w:type="dxa"/>
            <w:left w:w="108" w:type="dxa"/>
            <w:bottom w:w="0" w:type="dxa"/>
            <w:right w:w="108" w:type="dxa"/>
          </w:tblCellMar>
        </w:tblPrEx>
        <w:trPr>
          <w:trHeight w:val="285" w:hRule="atLeast"/>
        </w:trPr>
        <w:tc>
          <w:tcPr>
            <w:tcW w:w="705" w:type="dxa"/>
            <w:tcBorders>
              <w:top w:val="nil"/>
              <w:left w:val="single" w:color="auto" w:sz="4" w:space="0"/>
              <w:bottom w:val="single" w:color="auto" w:sz="4" w:space="0"/>
              <w:right w:val="single" w:color="auto" w:sz="4" w:space="0"/>
            </w:tcBorders>
            <w:noWrap w:val="0"/>
            <w:vAlign w:val="center"/>
          </w:tcPr>
          <w:p w14:paraId="1D0C703D">
            <w:pPr>
              <w:widowControl/>
              <w:jc w:val="center"/>
              <w:rPr>
                <w:rFonts w:ascii="Arial" w:hAnsi="Arial" w:cs="Arial"/>
                <w:b w:val="0"/>
                <w:bCs/>
                <w:color w:val="auto"/>
                <w:kern w:val="0"/>
                <w:sz w:val="24"/>
                <w:szCs w:val="24"/>
                <w:u w:val="none"/>
              </w:rPr>
            </w:pPr>
          </w:p>
        </w:tc>
        <w:tc>
          <w:tcPr>
            <w:tcW w:w="1685" w:type="dxa"/>
            <w:tcBorders>
              <w:top w:val="nil"/>
              <w:left w:val="nil"/>
              <w:bottom w:val="single" w:color="auto" w:sz="4" w:space="0"/>
              <w:right w:val="single" w:color="auto" w:sz="4" w:space="0"/>
            </w:tcBorders>
            <w:noWrap w:val="0"/>
            <w:vAlign w:val="center"/>
          </w:tcPr>
          <w:p w14:paraId="6E9708AB">
            <w:pPr>
              <w:widowControl/>
              <w:jc w:val="center"/>
              <w:rPr>
                <w:rFonts w:ascii="Arial" w:hAnsi="Arial" w:cs="Arial"/>
                <w:b w:val="0"/>
                <w:bCs/>
                <w:color w:val="auto"/>
                <w:kern w:val="0"/>
                <w:sz w:val="24"/>
                <w:szCs w:val="24"/>
                <w:u w:val="none"/>
              </w:rPr>
            </w:pPr>
          </w:p>
        </w:tc>
        <w:tc>
          <w:tcPr>
            <w:tcW w:w="1328" w:type="dxa"/>
            <w:tcBorders>
              <w:top w:val="nil"/>
              <w:left w:val="nil"/>
              <w:bottom w:val="single" w:color="auto" w:sz="4" w:space="0"/>
              <w:right w:val="single" w:color="auto" w:sz="4" w:space="0"/>
            </w:tcBorders>
            <w:noWrap w:val="0"/>
            <w:vAlign w:val="center"/>
          </w:tcPr>
          <w:p w14:paraId="39367256">
            <w:pPr>
              <w:widowControl/>
              <w:jc w:val="center"/>
              <w:rPr>
                <w:rFonts w:ascii="Calibri" w:hAnsi="Calibri" w:cs="宋体"/>
                <w:b w:val="0"/>
                <w:bCs/>
                <w:color w:val="auto"/>
                <w:kern w:val="0"/>
                <w:sz w:val="24"/>
                <w:szCs w:val="24"/>
                <w:u w:val="none"/>
              </w:rPr>
            </w:pPr>
          </w:p>
        </w:tc>
        <w:tc>
          <w:tcPr>
            <w:tcW w:w="908" w:type="dxa"/>
            <w:tcBorders>
              <w:top w:val="nil"/>
              <w:left w:val="nil"/>
              <w:bottom w:val="single" w:color="auto" w:sz="4" w:space="0"/>
              <w:right w:val="single" w:color="auto" w:sz="4" w:space="0"/>
            </w:tcBorders>
            <w:noWrap w:val="0"/>
            <w:vAlign w:val="center"/>
          </w:tcPr>
          <w:p w14:paraId="74E5ABA2">
            <w:pPr>
              <w:widowControl/>
              <w:jc w:val="center"/>
              <w:rPr>
                <w:rFonts w:ascii="Calibri" w:hAnsi="Calibri" w:cs="宋体"/>
                <w:b w:val="0"/>
                <w:bCs/>
                <w:color w:val="auto"/>
                <w:kern w:val="0"/>
                <w:sz w:val="24"/>
                <w:szCs w:val="24"/>
                <w:u w:val="none"/>
              </w:rPr>
            </w:pPr>
          </w:p>
        </w:tc>
        <w:tc>
          <w:tcPr>
            <w:tcW w:w="788" w:type="dxa"/>
            <w:tcBorders>
              <w:top w:val="nil"/>
              <w:left w:val="nil"/>
              <w:bottom w:val="single" w:color="auto" w:sz="4" w:space="0"/>
              <w:right w:val="single" w:color="auto" w:sz="4" w:space="0"/>
            </w:tcBorders>
            <w:noWrap w:val="0"/>
            <w:vAlign w:val="center"/>
          </w:tcPr>
          <w:p w14:paraId="7AB0A447">
            <w:pPr>
              <w:widowControl/>
              <w:jc w:val="center"/>
              <w:rPr>
                <w:rFonts w:ascii="Calibri" w:hAnsi="Calibri" w:cs="宋体"/>
                <w:b w:val="0"/>
                <w:bCs/>
                <w:color w:val="auto"/>
                <w:kern w:val="0"/>
                <w:sz w:val="24"/>
                <w:szCs w:val="24"/>
                <w:u w:val="none"/>
              </w:rPr>
            </w:pPr>
          </w:p>
        </w:tc>
        <w:tc>
          <w:tcPr>
            <w:tcW w:w="824" w:type="dxa"/>
            <w:tcBorders>
              <w:top w:val="nil"/>
              <w:left w:val="nil"/>
              <w:bottom w:val="single" w:color="auto" w:sz="4" w:space="0"/>
              <w:right w:val="single" w:color="auto" w:sz="4" w:space="0"/>
            </w:tcBorders>
            <w:noWrap w:val="0"/>
            <w:vAlign w:val="center"/>
          </w:tcPr>
          <w:p w14:paraId="775EE43D">
            <w:pPr>
              <w:widowControl/>
              <w:jc w:val="center"/>
              <w:rPr>
                <w:rFonts w:ascii="Calibri" w:hAnsi="Calibri" w:cs="宋体"/>
                <w:b w:val="0"/>
                <w:bCs/>
                <w:color w:val="auto"/>
                <w:kern w:val="0"/>
                <w:sz w:val="24"/>
                <w:szCs w:val="24"/>
                <w:u w:val="none"/>
              </w:rPr>
            </w:pPr>
          </w:p>
        </w:tc>
        <w:tc>
          <w:tcPr>
            <w:tcW w:w="703" w:type="dxa"/>
            <w:tcBorders>
              <w:top w:val="nil"/>
              <w:left w:val="nil"/>
              <w:bottom w:val="single" w:color="auto" w:sz="4" w:space="0"/>
              <w:right w:val="single" w:color="auto" w:sz="4" w:space="0"/>
            </w:tcBorders>
            <w:noWrap w:val="0"/>
            <w:vAlign w:val="center"/>
          </w:tcPr>
          <w:p w14:paraId="6B770652">
            <w:pPr>
              <w:widowControl/>
              <w:jc w:val="center"/>
              <w:rPr>
                <w:rFonts w:ascii="Calibri" w:hAnsi="Calibri" w:cs="宋体"/>
                <w:b w:val="0"/>
                <w:bCs/>
                <w:color w:val="auto"/>
                <w:kern w:val="0"/>
                <w:sz w:val="24"/>
                <w:szCs w:val="24"/>
                <w:u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0DBE9CDE">
            <w:pPr>
              <w:widowControl/>
              <w:jc w:val="center"/>
              <w:rPr>
                <w:rFonts w:ascii="Calibri" w:hAnsi="Calibri" w:cs="宋体"/>
                <w:b w:val="0"/>
                <w:bCs/>
                <w:color w:val="auto"/>
                <w:kern w:val="0"/>
                <w:sz w:val="24"/>
                <w:szCs w:val="24"/>
                <w:u w:val="none"/>
              </w:rPr>
            </w:pPr>
          </w:p>
        </w:tc>
        <w:tc>
          <w:tcPr>
            <w:tcW w:w="806" w:type="dxa"/>
            <w:tcBorders>
              <w:top w:val="single" w:color="auto" w:sz="4" w:space="0"/>
              <w:left w:val="single" w:color="auto" w:sz="4" w:space="0"/>
              <w:bottom w:val="single" w:color="auto" w:sz="4" w:space="0"/>
              <w:right w:val="single" w:color="auto" w:sz="4" w:space="0"/>
            </w:tcBorders>
            <w:noWrap w:val="0"/>
            <w:vAlign w:val="center"/>
          </w:tcPr>
          <w:p w14:paraId="5795C105">
            <w:pPr>
              <w:widowControl/>
              <w:jc w:val="center"/>
              <w:rPr>
                <w:rFonts w:ascii="Calibri" w:hAnsi="Calibri" w:cs="宋体"/>
                <w:b w:val="0"/>
                <w:bCs/>
                <w:color w:val="auto"/>
                <w:kern w:val="0"/>
                <w:sz w:val="24"/>
                <w:szCs w:val="24"/>
                <w:u w:val="none"/>
              </w:rPr>
            </w:pPr>
          </w:p>
        </w:tc>
        <w:tc>
          <w:tcPr>
            <w:tcW w:w="925" w:type="dxa"/>
            <w:tcBorders>
              <w:top w:val="single" w:color="auto" w:sz="4" w:space="0"/>
              <w:left w:val="single" w:color="auto" w:sz="4" w:space="0"/>
              <w:bottom w:val="single" w:color="auto" w:sz="4" w:space="0"/>
              <w:right w:val="single" w:color="auto" w:sz="4" w:space="0"/>
            </w:tcBorders>
            <w:noWrap w:val="0"/>
            <w:vAlign w:val="center"/>
          </w:tcPr>
          <w:p w14:paraId="026FEBAD">
            <w:pPr>
              <w:widowControl/>
              <w:jc w:val="center"/>
              <w:rPr>
                <w:rFonts w:hint="eastAsia" w:ascii="宋体" w:hAnsi="宋体" w:cs="宋体"/>
                <w:b w:val="0"/>
                <w:bCs/>
                <w:color w:val="auto"/>
                <w:kern w:val="0"/>
                <w:sz w:val="24"/>
                <w:szCs w:val="24"/>
                <w:u w:val="none"/>
              </w:rPr>
            </w:pPr>
          </w:p>
        </w:tc>
        <w:tc>
          <w:tcPr>
            <w:tcW w:w="955" w:type="dxa"/>
            <w:tcBorders>
              <w:top w:val="nil"/>
              <w:left w:val="nil"/>
              <w:bottom w:val="single" w:color="auto" w:sz="4" w:space="0"/>
              <w:right w:val="single" w:color="auto" w:sz="4" w:space="0"/>
            </w:tcBorders>
            <w:noWrap w:val="0"/>
            <w:vAlign w:val="center"/>
          </w:tcPr>
          <w:p w14:paraId="2EE36A5C">
            <w:pPr>
              <w:widowControl/>
              <w:jc w:val="center"/>
              <w:rPr>
                <w:rFonts w:ascii="Calibri" w:hAnsi="Calibri" w:cs="宋体"/>
                <w:b w:val="0"/>
                <w:bCs/>
                <w:color w:val="auto"/>
                <w:kern w:val="0"/>
                <w:sz w:val="24"/>
                <w:szCs w:val="24"/>
                <w:u w:val="none"/>
              </w:rPr>
            </w:pPr>
          </w:p>
        </w:tc>
        <w:tc>
          <w:tcPr>
            <w:tcW w:w="1200" w:type="dxa"/>
            <w:tcBorders>
              <w:top w:val="nil"/>
              <w:left w:val="nil"/>
              <w:bottom w:val="single" w:color="auto" w:sz="4" w:space="0"/>
              <w:right w:val="single" w:color="auto" w:sz="4" w:space="0"/>
            </w:tcBorders>
            <w:noWrap w:val="0"/>
            <w:vAlign w:val="center"/>
          </w:tcPr>
          <w:p w14:paraId="44AFD36B">
            <w:pPr>
              <w:widowControl/>
              <w:jc w:val="center"/>
              <w:rPr>
                <w:rFonts w:ascii="Calibri" w:hAnsi="Calibri" w:cs="宋体"/>
                <w:b w:val="0"/>
                <w:bCs/>
                <w:color w:val="auto"/>
                <w:kern w:val="0"/>
                <w:sz w:val="24"/>
                <w:szCs w:val="24"/>
                <w:u w:val="none"/>
              </w:rPr>
            </w:pPr>
          </w:p>
        </w:tc>
        <w:tc>
          <w:tcPr>
            <w:tcW w:w="1250" w:type="dxa"/>
            <w:tcBorders>
              <w:top w:val="nil"/>
              <w:left w:val="nil"/>
              <w:bottom w:val="single" w:color="auto" w:sz="4" w:space="0"/>
              <w:right w:val="single" w:color="auto" w:sz="4" w:space="0"/>
            </w:tcBorders>
            <w:noWrap w:val="0"/>
            <w:vAlign w:val="center"/>
          </w:tcPr>
          <w:p w14:paraId="112C8BFD">
            <w:pPr>
              <w:widowControl/>
              <w:jc w:val="center"/>
              <w:rPr>
                <w:rFonts w:ascii="Calibri" w:hAnsi="Calibri" w:cs="宋体"/>
                <w:b w:val="0"/>
                <w:bCs/>
                <w:color w:val="auto"/>
                <w:kern w:val="0"/>
                <w:sz w:val="24"/>
                <w:szCs w:val="24"/>
                <w:u w:val="none"/>
              </w:rPr>
            </w:pPr>
          </w:p>
        </w:tc>
        <w:tc>
          <w:tcPr>
            <w:tcW w:w="1395" w:type="dxa"/>
            <w:gridSpan w:val="2"/>
            <w:tcBorders>
              <w:top w:val="nil"/>
              <w:left w:val="nil"/>
              <w:bottom w:val="single" w:color="auto" w:sz="4" w:space="0"/>
              <w:right w:val="single" w:color="auto" w:sz="4" w:space="0"/>
            </w:tcBorders>
            <w:noWrap w:val="0"/>
            <w:vAlign w:val="center"/>
          </w:tcPr>
          <w:p w14:paraId="2659F00A">
            <w:pPr>
              <w:widowControl/>
              <w:jc w:val="center"/>
              <w:rPr>
                <w:rFonts w:ascii="Calibri" w:hAnsi="Calibri" w:cs="宋体"/>
                <w:b w:val="0"/>
                <w:bCs/>
                <w:color w:val="auto"/>
                <w:kern w:val="0"/>
                <w:sz w:val="24"/>
                <w:szCs w:val="24"/>
                <w:u w:val="none"/>
              </w:rPr>
            </w:pPr>
          </w:p>
        </w:tc>
      </w:tr>
      <w:tr w14:paraId="22195FC6">
        <w:tblPrEx>
          <w:tblCellMar>
            <w:top w:w="0" w:type="dxa"/>
            <w:left w:w="108" w:type="dxa"/>
            <w:bottom w:w="0" w:type="dxa"/>
            <w:right w:w="108" w:type="dxa"/>
          </w:tblCellMar>
        </w:tblPrEx>
        <w:trPr>
          <w:trHeight w:val="285" w:hRule="atLeast"/>
        </w:trPr>
        <w:tc>
          <w:tcPr>
            <w:tcW w:w="705" w:type="dxa"/>
            <w:tcBorders>
              <w:top w:val="nil"/>
              <w:left w:val="single" w:color="auto" w:sz="4" w:space="0"/>
              <w:bottom w:val="single" w:color="auto" w:sz="4" w:space="0"/>
              <w:right w:val="single" w:color="auto" w:sz="4" w:space="0"/>
            </w:tcBorders>
            <w:noWrap w:val="0"/>
            <w:vAlign w:val="center"/>
          </w:tcPr>
          <w:p w14:paraId="0F6BF25D">
            <w:pPr>
              <w:widowControl/>
              <w:jc w:val="center"/>
              <w:rPr>
                <w:rFonts w:ascii="Arial" w:hAnsi="Arial" w:cs="Arial"/>
                <w:b w:val="0"/>
                <w:bCs/>
                <w:color w:val="auto"/>
                <w:kern w:val="0"/>
                <w:sz w:val="24"/>
                <w:szCs w:val="24"/>
                <w:u w:val="none"/>
              </w:rPr>
            </w:pPr>
          </w:p>
        </w:tc>
        <w:tc>
          <w:tcPr>
            <w:tcW w:w="1685" w:type="dxa"/>
            <w:tcBorders>
              <w:top w:val="nil"/>
              <w:left w:val="nil"/>
              <w:bottom w:val="single" w:color="auto" w:sz="4" w:space="0"/>
              <w:right w:val="single" w:color="auto" w:sz="4" w:space="0"/>
            </w:tcBorders>
            <w:noWrap w:val="0"/>
            <w:vAlign w:val="center"/>
          </w:tcPr>
          <w:p w14:paraId="767CD2DC">
            <w:pPr>
              <w:widowControl/>
              <w:jc w:val="center"/>
              <w:rPr>
                <w:rFonts w:ascii="Arial" w:hAnsi="Arial" w:cs="Arial"/>
                <w:b w:val="0"/>
                <w:bCs/>
                <w:color w:val="auto"/>
                <w:kern w:val="0"/>
                <w:sz w:val="24"/>
                <w:szCs w:val="24"/>
                <w:u w:val="none"/>
              </w:rPr>
            </w:pPr>
          </w:p>
        </w:tc>
        <w:tc>
          <w:tcPr>
            <w:tcW w:w="1328" w:type="dxa"/>
            <w:tcBorders>
              <w:top w:val="nil"/>
              <w:left w:val="nil"/>
              <w:bottom w:val="single" w:color="auto" w:sz="4" w:space="0"/>
              <w:right w:val="single" w:color="auto" w:sz="4" w:space="0"/>
            </w:tcBorders>
            <w:noWrap w:val="0"/>
            <w:vAlign w:val="center"/>
          </w:tcPr>
          <w:p w14:paraId="6B9F2D9F">
            <w:pPr>
              <w:widowControl/>
              <w:jc w:val="center"/>
              <w:rPr>
                <w:rFonts w:ascii="Calibri" w:hAnsi="Calibri" w:cs="宋体"/>
                <w:b w:val="0"/>
                <w:bCs/>
                <w:color w:val="auto"/>
                <w:kern w:val="0"/>
                <w:sz w:val="24"/>
                <w:szCs w:val="24"/>
                <w:u w:val="none"/>
              </w:rPr>
            </w:pPr>
          </w:p>
        </w:tc>
        <w:tc>
          <w:tcPr>
            <w:tcW w:w="908" w:type="dxa"/>
            <w:tcBorders>
              <w:top w:val="nil"/>
              <w:left w:val="nil"/>
              <w:bottom w:val="single" w:color="auto" w:sz="4" w:space="0"/>
              <w:right w:val="single" w:color="auto" w:sz="4" w:space="0"/>
            </w:tcBorders>
            <w:noWrap w:val="0"/>
            <w:vAlign w:val="center"/>
          </w:tcPr>
          <w:p w14:paraId="5D4FC8F9">
            <w:pPr>
              <w:widowControl/>
              <w:jc w:val="center"/>
              <w:rPr>
                <w:rFonts w:ascii="Calibri" w:hAnsi="Calibri" w:cs="宋体"/>
                <w:b w:val="0"/>
                <w:bCs/>
                <w:color w:val="auto"/>
                <w:kern w:val="0"/>
                <w:sz w:val="24"/>
                <w:szCs w:val="24"/>
                <w:u w:val="none"/>
              </w:rPr>
            </w:pPr>
          </w:p>
        </w:tc>
        <w:tc>
          <w:tcPr>
            <w:tcW w:w="788" w:type="dxa"/>
            <w:tcBorders>
              <w:top w:val="nil"/>
              <w:left w:val="nil"/>
              <w:bottom w:val="single" w:color="auto" w:sz="4" w:space="0"/>
              <w:right w:val="single" w:color="auto" w:sz="4" w:space="0"/>
            </w:tcBorders>
            <w:noWrap w:val="0"/>
            <w:vAlign w:val="center"/>
          </w:tcPr>
          <w:p w14:paraId="6A47EFFB">
            <w:pPr>
              <w:widowControl/>
              <w:jc w:val="center"/>
              <w:rPr>
                <w:rFonts w:ascii="Calibri" w:hAnsi="Calibri" w:cs="宋体"/>
                <w:b w:val="0"/>
                <w:bCs/>
                <w:color w:val="auto"/>
                <w:kern w:val="0"/>
                <w:sz w:val="24"/>
                <w:szCs w:val="24"/>
                <w:u w:val="none"/>
              </w:rPr>
            </w:pPr>
          </w:p>
        </w:tc>
        <w:tc>
          <w:tcPr>
            <w:tcW w:w="824" w:type="dxa"/>
            <w:tcBorders>
              <w:top w:val="nil"/>
              <w:left w:val="nil"/>
              <w:bottom w:val="single" w:color="auto" w:sz="4" w:space="0"/>
              <w:right w:val="single" w:color="auto" w:sz="4" w:space="0"/>
            </w:tcBorders>
            <w:noWrap w:val="0"/>
            <w:vAlign w:val="center"/>
          </w:tcPr>
          <w:p w14:paraId="37D05B07">
            <w:pPr>
              <w:widowControl/>
              <w:jc w:val="center"/>
              <w:rPr>
                <w:rFonts w:ascii="Calibri" w:hAnsi="Calibri" w:cs="宋体"/>
                <w:b w:val="0"/>
                <w:bCs/>
                <w:color w:val="auto"/>
                <w:kern w:val="0"/>
                <w:sz w:val="24"/>
                <w:szCs w:val="24"/>
                <w:u w:val="none"/>
              </w:rPr>
            </w:pPr>
          </w:p>
        </w:tc>
        <w:tc>
          <w:tcPr>
            <w:tcW w:w="703" w:type="dxa"/>
            <w:tcBorders>
              <w:top w:val="nil"/>
              <w:left w:val="nil"/>
              <w:bottom w:val="single" w:color="auto" w:sz="4" w:space="0"/>
              <w:right w:val="single" w:color="auto" w:sz="4" w:space="0"/>
            </w:tcBorders>
            <w:noWrap w:val="0"/>
            <w:vAlign w:val="center"/>
          </w:tcPr>
          <w:p w14:paraId="2FA227BD">
            <w:pPr>
              <w:widowControl/>
              <w:jc w:val="center"/>
              <w:rPr>
                <w:rFonts w:ascii="Calibri" w:hAnsi="Calibri" w:cs="宋体"/>
                <w:b w:val="0"/>
                <w:bCs/>
                <w:color w:val="auto"/>
                <w:kern w:val="0"/>
                <w:sz w:val="24"/>
                <w:szCs w:val="24"/>
                <w:u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0995071D">
            <w:pPr>
              <w:widowControl/>
              <w:jc w:val="center"/>
              <w:rPr>
                <w:rFonts w:ascii="Calibri" w:hAnsi="Calibri" w:cs="宋体"/>
                <w:b w:val="0"/>
                <w:bCs/>
                <w:color w:val="auto"/>
                <w:kern w:val="0"/>
                <w:sz w:val="24"/>
                <w:szCs w:val="24"/>
                <w:u w:val="none"/>
              </w:rPr>
            </w:pPr>
          </w:p>
        </w:tc>
        <w:tc>
          <w:tcPr>
            <w:tcW w:w="806" w:type="dxa"/>
            <w:tcBorders>
              <w:top w:val="single" w:color="auto" w:sz="4" w:space="0"/>
              <w:left w:val="single" w:color="auto" w:sz="4" w:space="0"/>
              <w:bottom w:val="single" w:color="auto" w:sz="4" w:space="0"/>
              <w:right w:val="single" w:color="auto" w:sz="4" w:space="0"/>
            </w:tcBorders>
            <w:noWrap w:val="0"/>
            <w:vAlign w:val="center"/>
          </w:tcPr>
          <w:p w14:paraId="55A2B4DC">
            <w:pPr>
              <w:widowControl/>
              <w:jc w:val="center"/>
              <w:rPr>
                <w:rFonts w:ascii="Calibri" w:hAnsi="Calibri" w:cs="宋体"/>
                <w:b w:val="0"/>
                <w:bCs/>
                <w:color w:val="auto"/>
                <w:kern w:val="0"/>
                <w:sz w:val="24"/>
                <w:szCs w:val="24"/>
                <w:u w:val="none"/>
              </w:rPr>
            </w:pPr>
          </w:p>
        </w:tc>
        <w:tc>
          <w:tcPr>
            <w:tcW w:w="925" w:type="dxa"/>
            <w:tcBorders>
              <w:top w:val="single" w:color="auto" w:sz="4" w:space="0"/>
              <w:left w:val="single" w:color="auto" w:sz="4" w:space="0"/>
              <w:bottom w:val="single" w:color="auto" w:sz="4" w:space="0"/>
              <w:right w:val="single" w:color="auto" w:sz="4" w:space="0"/>
            </w:tcBorders>
            <w:noWrap w:val="0"/>
            <w:vAlign w:val="center"/>
          </w:tcPr>
          <w:p w14:paraId="1338A321">
            <w:pPr>
              <w:widowControl/>
              <w:jc w:val="center"/>
              <w:rPr>
                <w:rFonts w:hint="eastAsia" w:ascii="宋体" w:hAnsi="宋体" w:cs="宋体"/>
                <w:b w:val="0"/>
                <w:bCs/>
                <w:color w:val="auto"/>
                <w:kern w:val="0"/>
                <w:sz w:val="24"/>
                <w:szCs w:val="24"/>
                <w:u w:val="none"/>
              </w:rPr>
            </w:pPr>
          </w:p>
        </w:tc>
        <w:tc>
          <w:tcPr>
            <w:tcW w:w="955" w:type="dxa"/>
            <w:tcBorders>
              <w:top w:val="nil"/>
              <w:left w:val="nil"/>
              <w:bottom w:val="single" w:color="auto" w:sz="4" w:space="0"/>
              <w:right w:val="single" w:color="auto" w:sz="4" w:space="0"/>
            </w:tcBorders>
            <w:noWrap w:val="0"/>
            <w:vAlign w:val="center"/>
          </w:tcPr>
          <w:p w14:paraId="456DD49A">
            <w:pPr>
              <w:widowControl/>
              <w:jc w:val="center"/>
              <w:rPr>
                <w:rFonts w:ascii="Calibri" w:hAnsi="Calibri" w:cs="宋体"/>
                <w:b w:val="0"/>
                <w:bCs/>
                <w:color w:val="auto"/>
                <w:kern w:val="0"/>
                <w:sz w:val="24"/>
                <w:szCs w:val="24"/>
                <w:u w:val="none"/>
              </w:rPr>
            </w:pPr>
          </w:p>
        </w:tc>
        <w:tc>
          <w:tcPr>
            <w:tcW w:w="1200" w:type="dxa"/>
            <w:tcBorders>
              <w:top w:val="nil"/>
              <w:left w:val="nil"/>
              <w:bottom w:val="single" w:color="auto" w:sz="4" w:space="0"/>
              <w:right w:val="single" w:color="auto" w:sz="4" w:space="0"/>
            </w:tcBorders>
            <w:noWrap w:val="0"/>
            <w:vAlign w:val="center"/>
          </w:tcPr>
          <w:p w14:paraId="3777A762">
            <w:pPr>
              <w:widowControl/>
              <w:jc w:val="center"/>
              <w:rPr>
                <w:rFonts w:ascii="Calibri" w:hAnsi="Calibri" w:cs="宋体"/>
                <w:b w:val="0"/>
                <w:bCs/>
                <w:color w:val="auto"/>
                <w:kern w:val="0"/>
                <w:sz w:val="24"/>
                <w:szCs w:val="24"/>
                <w:u w:val="none"/>
              </w:rPr>
            </w:pPr>
          </w:p>
        </w:tc>
        <w:tc>
          <w:tcPr>
            <w:tcW w:w="1250" w:type="dxa"/>
            <w:tcBorders>
              <w:top w:val="nil"/>
              <w:left w:val="nil"/>
              <w:bottom w:val="single" w:color="auto" w:sz="4" w:space="0"/>
              <w:right w:val="single" w:color="auto" w:sz="4" w:space="0"/>
            </w:tcBorders>
            <w:noWrap w:val="0"/>
            <w:vAlign w:val="center"/>
          </w:tcPr>
          <w:p w14:paraId="0FE8B58C">
            <w:pPr>
              <w:widowControl/>
              <w:jc w:val="center"/>
              <w:rPr>
                <w:rFonts w:ascii="Calibri" w:hAnsi="Calibri" w:cs="宋体"/>
                <w:b w:val="0"/>
                <w:bCs/>
                <w:color w:val="auto"/>
                <w:kern w:val="0"/>
                <w:sz w:val="24"/>
                <w:szCs w:val="24"/>
                <w:u w:val="none"/>
              </w:rPr>
            </w:pPr>
          </w:p>
        </w:tc>
        <w:tc>
          <w:tcPr>
            <w:tcW w:w="1395" w:type="dxa"/>
            <w:gridSpan w:val="2"/>
            <w:tcBorders>
              <w:top w:val="nil"/>
              <w:left w:val="nil"/>
              <w:bottom w:val="single" w:color="auto" w:sz="4" w:space="0"/>
              <w:right w:val="single" w:color="auto" w:sz="4" w:space="0"/>
            </w:tcBorders>
            <w:noWrap w:val="0"/>
            <w:vAlign w:val="center"/>
          </w:tcPr>
          <w:p w14:paraId="2A18FE68">
            <w:pPr>
              <w:widowControl/>
              <w:jc w:val="center"/>
              <w:rPr>
                <w:rFonts w:ascii="Calibri" w:hAnsi="Calibri" w:cs="宋体"/>
                <w:b w:val="0"/>
                <w:bCs/>
                <w:color w:val="auto"/>
                <w:kern w:val="0"/>
                <w:sz w:val="24"/>
                <w:szCs w:val="24"/>
                <w:u w:val="none"/>
              </w:rPr>
            </w:pPr>
          </w:p>
        </w:tc>
      </w:tr>
      <w:tr w14:paraId="3A3D6CEA">
        <w:tblPrEx>
          <w:tblCellMar>
            <w:top w:w="0" w:type="dxa"/>
            <w:left w:w="108" w:type="dxa"/>
            <w:bottom w:w="0" w:type="dxa"/>
            <w:right w:w="108" w:type="dxa"/>
          </w:tblCellMar>
        </w:tblPrEx>
        <w:trPr>
          <w:trHeight w:val="285" w:hRule="atLeast"/>
        </w:trPr>
        <w:tc>
          <w:tcPr>
            <w:tcW w:w="705" w:type="dxa"/>
            <w:tcBorders>
              <w:top w:val="nil"/>
              <w:left w:val="single" w:color="auto" w:sz="4" w:space="0"/>
              <w:bottom w:val="single" w:color="auto" w:sz="4" w:space="0"/>
              <w:right w:val="single" w:color="auto" w:sz="4" w:space="0"/>
            </w:tcBorders>
            <w:noWrap w:val="0"/>
            <w:vAlign w:val="center"/>
          </w:tcPr>
          <w:p w14:paraId="1C28944E">
            <w:pPr>
              <w:widowControl/>
              <w:jc w:val="center"/>
              <w:rPr>
                <w:rFonts w:ascii="Arial" w:hAnsi="Arial" w:cs="Arial"/>
                <w:b w:val="0"/>
                <w:bCs/>
                <w:color w:val="auto"/>
                <w:kern w:val="0"/>
                <w:sz w:val="24"/>
                <w:szCs w:val="24"/>
                <w:u w:val="none"/>
              </w:rPr>
            </w:pPr>
          </w:p>
        </w:tc>
        <w:tc>
          <w:tcPr>
            <w:tcW w:w="1685" w:type="dxa"/>
            <w:tcBorders>
              <w:top w:val="nil"/>
              <w:left w:val="nil"/>
              <w:bottom w:val="single" w:color="auto" w:sz="4" w:space="0"/>
              <w:right w:val="single" w:color="auto" w:sz="4" w:space="0"/>
            </w:tcBorders>
            <w:noWrap w:val="0"/>
            <w:vAlign w:val="center"/>
          </w:tcPr>
          <w:p w14:paraId="50E6C34F">
            <w:pPr>
              <w:widowControl/>
              <w:jc w:val="center"/>
              <w:rPr>
                <w:rFonts w:ascii="Arial" w:hAnsi="Arial" w:cs="Arial"/>
                <w:b w:val="0"/>
                <w:bCs/>
                <w:color w:val="auto"/>
                <w:kern w:val="0"/>
                <w:sz w:val="24"/>
                <w:szCs w:val="24"/>
                <w:u w:val="none"/>
              </w:rPr>
            </w:pPr>
          </w:p>
        </w:tc>
        <w:tc>
          <w:tcPr>
            <w:tcW w:w="1328" w:type="dxa"/>
            <w:tcBorders>
              <w:top w:val="nil"/>
              <w:left w:val="nil"/>
              <w:bottom w:val="single" w:color="auto" w:sz="4" w:space="0"/>
              <w:right w:val="single" w:color="auto" w:sz="4" w:space="0"/>
            </w:tcBorders>
            <w:noWrap w:val="0"/>
            <w:vAlign w:val="center"/>
          </w:tcPr>
          <w:p w14:paraId="3C04303B">
            <w:pPr>
              <w:widowControl/>
              <w:jc w:val="center"/>
              <w:rPr>
                <w:rFonts w:ascii="Calibri" w:hAnsi="Calibri" w:cs="宋体"/>
                <w:b w:val="0"/>
                <w:bCs/>
                <w:color w:val="auto"/>
                <w:kern w:val="0"/>
                <w:sz w:val="24"/>
                <w:szCs w:val="24"/>
                <w:u w:val="none"/>
              </w:rPr>
            </w:pPr>
          </w:p>
        </w:tc>
        <w:tc>
          <w:tcPr>
            <w:tcW w:w="908" w:type="dxa"/>
            <w:tcBorders>
              <w:top w:val="nil"/>
              <w:left w:val="nil"/>
              <w:bottom w:val="single" w:color="auto" w:sz="4" w:space="0"/>
              <w:right w:val="single" w:color="auto" w:sz="4" w:space="0"/>
            </w:tcBorders>
            <w:noWrap w:val="0"/>
            <w:vAlign w:val="center"/>
          </w:tcPr>
          <w:p w14:paraId="2D94D268">
            <w:pPr>
              <w:widowControl/>
              <w:jc w:val="center"/>
              <w:rPr>
                <w:rFonts w:ascii="Calibri" w:hAnsi="Calibri" w:cs="宋体"/>
                <w:b w:val="0"/>
                <w:bCs/>
                <w:color w:val="auto"/>
                <w:kern w:val="0"/>
                <w:sz w:val="24"/>
                <w:szCs w:val="24"/>
                <w:u w:val="none"/>
              </w:rPr>
            </w:pPr>
          </w:p>
        </w:tc>
        <w:tc>
          <w:tcPr>
            <w:tcW w:w="788" w:type="dxa"/>
            <w:tcBorders>
              <w:top w:val="nil"/>
              <w:left w:val="nil"/>
              <w:bottom w:val="single" w:color="auto" w:sz="4" w:space="0"/>
              <w:right w:val="single" w:color="auto" w:sz="4" w:space="0"/>
            </w:tcBorders>
            <w:noWrap w:val="0"/>
            <w:vAlign w:val="center"/>
          </w:tcPr>
          <w:p w14:paraId="5176A0FF">
            <w:pPr>
              <w:widowControl/>
              <w:jc w:val="center"/>
              <w:rPr>
                <w:rFonts w:ascii="Calibri" w:hAnsi="Calibri" w:cs="宋体"/>
                <w:b w:val="0"/>
                <w:bCs/>
                <w:color w:val="auto"/>
                <w:kern w:val="0"/>
                <w:sz w:val="24"/>
                <w:szCs w:val="24"/>
                <w:u w:val="none"/>
              </w:rPr>
            </w:pPr>
          </w:p>
        </w:tc>
        <w:tc>
          <w:tcPr>
            <w:tcW w:w="824" w:type="dxa"/>
            <w:tcBorders>
              <w:top w:val="nil"/>
              <w:left w:val="nil"/>
              <w:bottom w:val="single" w:color="auto" w:sz="4" w:space="0"/>
              <w:right w:val="single" w:color="auto" w:sz="4" w:space="0"/>
            </w:tcBorders>
            <w:noWrap w:val="0"/>
            <w:vAlign w:val="center"/>
          </w:tcPr>
          <w:p w14:paraId="01546C60">
            <w:pPr>
              <w:widowControl/>
              <w:jc w:val="center"/>
              <w:rPr>
                <w:rFonts w:ascii="Calibri" w:hAnsi="Calibri" w:cs="宋体"/>
                <w:b w:val="0"/>
                <w:bCs/>
                <w:color w:val="auto"/>
                <w:kern w:val="0"/>
                <w:sz w:val="24"/>
                <w:szCs w:val="24"/>
                <w:u w:val="none"/>
              </w:rPr>
            </w:pPr>
          </w:p>
        </w:tc>
        <w:tc>
          <w:tcPr>
            <w:tcW w:w="703" w:type="dxa"/>
            <w:tcBorders>
              <w:top w:val="nil"/>
              <w:left w:val="nil"/>
              <w:bottom w:val="single" w:color="auto" w:sz="4" w:space="0"/>
              <w:right w:val="single" w:color="auto" w:sz="4" w:space="0"/>
            </w:tcBorders>
            <w:noWrap w:val="0"/>
            <w:vAlign w:val="center"/>
          </w:tcPr>
          <w:p w14:paraId="1CA08A24">
            <w:pPr>
              <w:widowControl/>
              <w:jc w:val="center"/>
              <w:rPr>
                <w:rFonts w:ascii="Calibri" w:hAnsi="Calibri" w:cs="宋体"/>
                <w:b w:val="0"/>
                <w:bCs/>
                <w:color w:val="auto"/>
                <w:kern w:val="0"/>
                <w:sz w:val="24"/>
                <w:szCs w:val="24"/>
                <w:u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2ACFE2B2">
            <w:pPr>
              <w:widowControl/>
              <w:jc w:val="center"/>
              <w:rPr>
                <w:rFonts w:ascii="Calibri" w:hAnsi="Calibri" w:cs="宋体"/>
                <w:b w:val="0"/>
                <w:bCs/>
                <w:color w:val="auto"/>
                <w:kern w:val="0"/>
                <w:sz w:val="24"/>
                <w:szCs w:val="24"/>
                <w:u w:val="none"/>
              </w:rPr>
            </w:pPr>
          </w:p>
        </w:tc>
        <w:tc>
          <w:tcPr>
            <w:tcW w:w="806" w:type="dxa"/>
            <w:tcBorders>
              <w:top w:val="single" w:color="auto" w:sz="4" w:space="0"/>
              <w:left w:val="single" w:color="auto" w:sz="4" w:space="0"/>
              <w:bottom w:val="single" w:color="auto" w:sz="4" w:space="0"/>
              <w:right w:val="single" w:color="auto" w:sz="4" w:space="0"/>
            </w:tcBorders>
            <w:noWrap w:val="0"/>
            <w:vAlign w:val="center"/>
          </w:tcPr>
          <w:p w14:paraId="6BD12AC1">
            <w:pPr>
              <w:widowControl/>
              <w:jc w:val="center"/>
              <w:rPr>
                <w:rFonts w:ascii="Calibri" w:hAnsi="Calibri" w:cs="宋体"/>
                <w:b w:val="0"/>
                <w:bCs/>
                <w:color w:val="auto"/>
                <w:kern w:val="0"/>
                <w:sz w:val="24"/>
                <w:szCs w:val="24"/>
                <w:u w:val="none"/>
              </w:rPr>
            </w:pPr>
          </w:p>
        </w:tc>
        <w:tc>
          <w:tcPr>
            <w:tcW w:w="925" w:type="dxa"/>
            <w:tcBorders>
              <w:top w:val="single" w:color="auto" w:sz="4" w:space="0"/>
              <w:left w:val="single" w:color="auto" w:sz="4" w:space="0"/>
              <w:bottom w:val="single" w:color="auto" w:sz="4" w:space="0"/>
              <w:right w:val="single" w:color="auto" w:sz="4" w:space="0"/>
            </w:tcBorders>
            <w:noWrap w:val="0"/>
            <w:vAlign w:val="center"/>
          </w:tcPr>
          <w:p w14:paraId="097CF744">
            <w:pPr>
              <w:widowControl/>
              <w:jc w:val="center"/>
              <w:rPr>
                <w:rFonts w:hint="eastAsia" w:ascii="宋体" w:hAnsi="宋体" w:cs="宋体"/>
                <w:b w:val="0"/>
                <w:bCs/>
                <w:color w:val="auto"/>
                <w:kern w:val="0"/>
                <w:sz w:val="24"/>
                <w:szCs w:val="24"/>
                <w:u w:val="none"/>
              </w:rPr>
            </w:pPr>
          </w:p>
        </w:tc>
        <w:tc>
          <w:tcPr>
            <w:tcW w:w="955" w:type="dxa"/>
            <w:tcBorders>
              <w:top w:val="nil"/>
              <w:left w:val="nil"/>
              <w:bottom w:val="single" w:color="auto" w:sz="4" w:space="0"/>
              <w:right w:val="single" w:color="auto" w:sz="4" w:space="0"/>
            </w:tcBorders>
            <w:noWrap w:val="0"/>
            <w:vAlign w:val="center"/>
          </w:tcPr>
          <w:p w14:paraId="62B2E111">
            <w:pPr>
              <w:widowControl/>
              <w:jc w:val="center"/>
              <w:rPr>
                <w:rFonts w:ascii="Calibri" w:hAnsi="Calibri" w:cs="宋体"/>
                <w:b w:val="0"/>
                <w:bCs/>
                <w:color w:val="auto"/>
                <w:kern w:val="0"/>
                <w:sz w:val="24"/>
                <w:szCs w:val="24"/>
                <w:u w:val="none"/>
              </w:rPr>
            </w:pPr>
          </w:p>
        </w:tc>
        <w:tc>
          <w:tcPr>
            <w:tcW w:w="1200" w:type="dxa"/>
            <w:tcBorders>
              <w:top w:val="nil"/>
              <w:left w:val="nil"/>
              <w:bottom w:val="single" w:color="auto" w:sz="4" w:space="0"/>
              <w:right w:val="single" w:color="auto" w:sz="4" w:space="0"/>
            </w:tcBorders>
            <w:noWrap w:val="0"/>
            <w:vAlign w:val="center"/>
          </w:tcPr>
          <w:p w14:paraId="4C26D2F8">
            <w:pPr>
              <w:widowControl/>
              <w:jc w:val="center"/>
              <w:rPr>
                <w:rFonts w:ascii="Calibri" w:hAnsi="Calibri" w:cs="宋体"/>
                <w:b w:val="0"/>
                <w:bCs/>
                <w:color w:val="auto"/>
                <w:kern w:val="0"/>
                <w:sz w:val="24"/>
                <w:szCs w:val="24"/>
                <w:u w:val="none"/>
              </w:rPr>
            </w:pPr>
          </w:p>
        </w:tc>
        <w:tc>
          <w:tcPr>
            <w:tcW w:w="1250" w:type="dxa"/>
            <w:tcBorders>
              <w:top w:val="nil"/>
              <w:left w:val="nil"/>
              <w:bottom w:val="single" w:color="auto" w:sz="4" w:space="0"/>
              <w:right w:val="single" w:color="auto" w:sz="4" w:space="0"/>
            </w:tcBorders>
            <w:noWrap w:val="0"/>
            <w:vAlign w:val="center"/>
          </w:tcPr>
          <w:p w14:paraId="609835F2">
            <w:pPr>
              <w:widowControl/>
              <w:jc w:val="center"/>
              <w:rPr>
                <w:rFonts w:ascii="Calibri" w:hAnsi="Calibri" w:cs="宋体"/>
                <w:b w:val="0"/>
                <w:bCs/>
                <w:color w:val="auto"/>
                <w:kern w:val="0"/>
                <w:sz w:val="24"/>
                <w:szCs w:val="24"/>
                <w:u w:val="none"/>
              </w:rPr>
            </w:pPr>
          </w:p>
        </w:tc>
        <w:tc>
          <w:tcPr>
            <w:tcW w:w="1395" w:type="dxa"/>
            <w:gridSpan w:val="2"/>
            <w:tcBorders>
              <w:top w:val="nil"/>
              <w:left w:val="nil"/>
              <w:bottom w:val="single" w:color="auto" w:sz="4" w:space="0"/>
              <w:right w:val="single" w:color="auto" w:sz="4" w:space="0"/>
            </w:tcBorders>
            <w:noWrap w:val="0"/>
            <w:vAlign w:val="center"/>
          </w:tcPr>
          <w:p w14:paraId="3957F6AC">
            <w:pPr>
              <w:widowControl/>
              <w:jc w:val="center"/>
              <w:rPr>
                <w:rFonts w:ascii="Calibri" w:hAnsi="Calibri" w:cs="宋体"/>
                <w:b w:val="0"/>
                <w:bCs/>
                <w:color w:val="auto"/>
                <w:kern w:val="0"/>
                <w:sz w:val="24"/>
                <w:szCs w:val="24"/>
                <w:u w:val="none"/>
              </w:rPr>
            </w:pPr>
          </w:p>
        </w:tc>
      </w:tr>
      <w:tr w14:paraId="33910026">
        <w:tblPrEx>
          <w:tblCellMar>
            <w:top w:w="0" w:type="dxa"/>
            <w:left w:w="108" w:type="dxa"/>
            <w:bottom w:w="0" w:type="dxa"/>
            <w:right w:w="108" w:type="dxa"/>
          </w:tblCellMar>
        </w:tblPrEx>
        <w:trPr>
          <w:trHeight w:val="285" w:hRule="atLeast"/>
        </w:trPr>
        <w:tc>
          <w:tcPr>
            <w:tcW w:w="705" w:type="dxa"/>
            <w:tcBorders>
              <w:top w:val="nil"/>
              <w:left w:val="single" w:color="auto" w:sz="4" w:space="0"/>
              <w:bottom w:val="single" w:color="auto" w:sz="4" w:space="0"/>
              <w:right w:val="single" w:color="auto" w:sz="4" w:space="0"/>
            </w:tcBorders>
            <w:noWrap w:val="0"/>
            <w:vAlign w:val="center"/>
          </w:tcPr>
          <w:p w14:paraId="3EE2E520">
            <w:pPr>
              <w:widowControl/>
              <w:jc w:val="center"/>
              <w:rPr>
                <w:rFonts w:ascii="Arial" w:hAnsi="Arial" w:cs="Arial"/>
                <w:b w:val="0"/>
                <w:bCs/>
                <w:color w:val="auto"/>
                <w:kern w:val="0"/>
                <w:sz w:val="24"/>
                <w:szCs w:val="24"/>
                <w:u w:val="none"/>
              </w:rPr>
            </w:pPr>
          </w:p>
        </w:tc>
        <w:tc>
          <w:tcPr>
            <w:tcW w:w="1685" w:type="dxa"/>
            <w:tcBorders>
              <w:top w:val="nil"/>
              <w:left w:val="nil"/>
              <w:bottom w:val="single" w:color="auto" w:sz="4" w:space="0"/>
              <w:right w:val="single" w:color="auto" w:sz="4" w:space="0"/>
            </w:tcBorders>
            <w:noWrap w:val="0"/>
            <w:vAlign w:val="center"/>
          </w:tcPr>
          <w:p w14:paraId="140FB78A">
            <w:pPr>
              <w:widowControl/>
              <w:jc w:val="center"/>
              <w:rPr>
                <w:rFonts w:ascii="Arial" w:hAnsi="Arial" w:cs="Arial"/>
                <w:b w:val="0"/>
                <w:bCs/>
                <w:color w:val="auto"/>
                <w:kern w:val="0"/>
                <w:sz w:val="24"/>
                <w:szCs w:val="24"/>
                <w:u w:val="none"/>
              </w:rPr>
            </w:pPr>
          </w:p>
        </w:tc>
        <w:tc>
          <w:tcPr>
            <w:tcW w:w="1328" w:type="dxa"/>
            <w:tcBorders>
              <w:top w:val="nil"/>
              <w:left w:val="nil"/>
              <w:bottom w:val="single" w:color="auto" w:sz="4" w:space="0"/>
              <w:right w:val="single" w:color="auto" w:sz="4" w:space="0"/>
            </w:tcBorders>
            <w:noWrap w:val="0"/>
            <w:vAlign w:val="center"/>
          </w:tcPr>
          <w:p w14:paraId="37692B89">
            <w:pPr>
              <w:widowControl/>
              <w:jc w:val="center"/>
              <w:rPr>
                <w:rFonts w:ascii="Calibri" w:hAnsi="Calibri" w:cs="宋体"/>
                <w:b w:val="0"/>
                <w:bCs/>
                <w:color w:val="auto"/>
                <w:kern w:val="0"/>
                <w:sz w:val="24"/>
                <w:szCs w:val="24"/>
                <w:u w:val="none"/>
              </w:rPr>
            </w:pPr>
          </w:p>
        </w:tc>
        <w:tc>
          <w:tcPr>
            <w:tcW w:w="908" w:type="dxa"/>
            <w:tcBorders>
              <w:top w:val="nil"/>
              <w:left w:val="nil"/>
              <w:bottom w:val="single" w:color="auto" w:sz="4" w:space="0"/>
              <w:right w:val="single" w:color="auto" w:sz="4" w:space="0"/>
            </w:tcBorders>
            <w:noWrap w:val="0"/>
            <w:vAlign w:val="center"/>
          </w:tcPr>
          <w:p w14:paraId="22AB5561">
            <w:pPr>
              <w:widowControl/>
              <w:jc w:val="center"/>
              <w:rPr>
                <w:rFonts w:ascii="Calibri" w:hAnsi="Calibri" w:cs="宋体"/>
                <w:b w:val="0"/>
                <w:bCs/>
                <w:color w:val="auto"/>
                <w:kern w:val="0"/>
                <w:sz w:val="24"/>
                <w:szCs w:val="24"/>
                <w:u w:val="none"/>
              </w:rPr>
            </w:pPr>
          </w:p>
        </w:tc>
        <w:tc>
          <w:tcPr>
            <w:tcW w:w="788" w:type="dxa"/>
            <w:tcBorders>
              <w:top w:val="nil"/>
              <w:left w:val="nil"/>
              <w:bottom w:val="single" w:color="auto" w:sz="4" w:space="0"/>
              <w:right w:val="single" w:color="auto" w:sz="4" w:space="0"/>
            </w:tcBorders>
            <w:noWrap w:val="0"/>
            <w:vAlign w:val="center"/>
          </w:tcPr>
          <w:p w14:paraId="5CFD9B7B">
            <w:pPr>
              <w:widowControl/>
              <w:jc w:val="center"/>
              <w:rPr>
                <w:rFonts w:ascii="Calibri" w:hAnsi="Calibri" w:cs="宋体"/>
                <w:b w:val="0"/>
                <w:bCs/>
                <w:color w:val="auto"/>
                <w:kern w:val="0"/>
                <w:sz w:val="24"/>
                <w:szCs w:val="24"/>
                <w:u w:val="none"/>
              </w:rPr>
            </w:pPr>
          </w:p>
        </w:tc>
        <w:tc>
          <w:tcPr>
            <w:tcW w:w="824" w:type="dxa"/>
            <w:tcBorders>
              <w:top w:val="nil"/>
              <w:left w:val="nil"/>
              <w:bottom w:val="single" w:color="auto" w:sz="4" w:space="0"/>
              <w:right w:val="single" w:color="auto" w:sz="4" w:space="0"/>
            </w:tcBorders>
            <w:noWrap w:val="0"/>
            <w:vAlign w:val="center"/>
          </w:tcPr>
          <w:p w14:paraId="34BAD772">
            <w:pPr>
              <w:widowControl/>
              <w:jc w:val="center"/>
              <w:rPr>
                <w:rFonts w:ascii="Calibri" w:hAnsi="Calibri" w:cs="宋体"/>
                <w:b w:val="0"/>
                <w:bCs/>
                <w:color w:val="auto"/>
                <w:kern w:val="0"/>
                <w:sz w:val="24"/>
                <w:szCs w:val="24"/>
                <w:u w:val="none"/>
              </w:rPr>
            </w:pPr>
          </w:p>
        </w:tc>
        <w:tc>
          <w:tcPr>
            <w:tcW w:w="703" w:type="dxa"/>
            <w:tcBorders>
              <w:top w:val="nil"/>
              <w:left w:val="nil"/>
              <w:bottom w:val="single" w:color="auto" w:sz="4" w:space="0"/>
              <w:right w:val="single" w:color="auto" w:sz="4" w:space="0"/>
            </w:tcBorders>
            <w:noWrap w:val="0"/>
            <w:vAlign w:val="center"/>
          </w:tcPr>
          <w:p w14:paraId="16273BFD">
            <w:pPr>
              <w:widowControl/>
              <w:jc w:val="center"/>
              <w:rPr>
                <w:rFonts w:ascii="Calibri" w:hAnsi="Calibri" w:cs="宋体"/>
                <w:b w:val="0"/>
                <w:bCs/>
                <w:color w:val="auto"/>
                <w:kern w:val="0"/>
                <w:sz w:val="24"/>
                <w:szCs w:val="24"/>
                <w:u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46638F62">
            <w:pPr>
              <w:widowControl/>
              <w:jc w:val="center"/>
              <w:rPr>
                <w:rFonts w:ascii="Calibri" w:hAnsi="Calibri" w:cs="宋体"/>
                <w:b w:val="0"/>
                <w:bCs/>
                <w:color w:val="auto"/>
                <w:kern w:val="0"/>
                <w:sz w:val="24"/>
                <w:szCs w:val="24"/>
                <w:u w:val="none"/>
              </w:rPr>
            </w:pPr>
          </w:p>
        </w:tc>
        <w:tc>
          <w:tcPr>
            <w:tcW w:w="806" w:type="dxa"/>
            <w:tcBorders>
              <w:top w:val="single" w:color="auto" w:sz="4" w:space="0"/>
              <w:left w:val="single" w:color="auto" w:sz="4" w:space="0"/>
              <w:bottom w:val="single" w:color="auto" w:sz="4" w:space="0"/>
              <w:right w:val="single" w:color="auto" w:sz="4" w:space="0"/>
            </w:tcBorders>
            <w:noWrap w:val="0"/>
            <w:vAlign w:val="center"/>
          </w:tcPr>
          <w:p w14:paraId="3501075A">
            <w:pPr>
              <w:widowControl/>
              <w:jc w:val="center"/>
              <w:rPr>
                <w:rFonts w:ascii="Calibri" w:hAnsi="Calibri" w:cs="宋体"/>
                <w:b w:val="0"/>
                <w:bCs/>
                <w:color w:val="auto"/>
                <w:kern w:val="0"/>
                <w:sz w:val="24"/>
                <w:szCs w:val="24"/>
                <w:u w:val="none"/>
              </w:rPr>
            </w:pPr>
          </w:p>
        </w:tc>
        <w:tc>
          <w:tcPr>
            <w:tcW w:w="925" w:type="dxa"/>
            <w:tcBorders>
              <w:top w:val="single" w:color="auto" w:sz="4" w:space="0"/>
              <w:left w:val="single" w:color="auto" w:sz="4" w:space="0"/>
              <w:bottom w:val="single" w:color="auto" w:sz="4" w:space="0"/>
              <w:right w:val="single" w:color="auto" w:sz="4" w:space="0"/>
            </w:tcBorders>
            <w:noWrap w:val="0"/>
            <w:vAlign w:val="center"/>
          </w:tcPr>
          <w:p w14:paraId="00194507">
            <w:pPr>
              <w:widowControl/>
              <w:jc w:val="center"/>
              <w:rPr>
                <w:rFonts w:hint="eastAsia" w:ascii="宋体" w:hAnsi="宋体" w:cs="宋体"/>
                <w:b w:val="0"/>
                <w:bCs/>
                <w:color w:val="auto"/>
                <w:kern w:val="0"/>
                <w:sz w:val="24"/>
                <w:szCs w:val="24"/>
                <w:u w:val="none"/>
              </w:rPr>
            </w:pPr>
          </w:p>
        </w:tc>
        <w:tc>
          <w:tcPr>
            <w:tcW w:w="955" w:type="dxa"/>
            <w:tcBorders>
              <w:top w:val="nil"/>
              <w:left w:val="nil"/>
              <w:bottom w:val="single" w:color="auto" w:sz="4" w:space="0"/>
              <w:right w:val="single" w:color="auto" w:sz="4" w:space="0"/>
            </w:tcBorders>
            <w:noWrap w:val="0"/>
            <w:vAlign w:val="center"/>
          </w:tcPr>
          <w:p w14:paraId="235E9114">
            <w:pPr>
              <w:widowControl/>
              <w:jc w:val="center"/>
              <w:rPr>
                <w:rFonts w:ascii="Calibri" w:hAnsi="Calibri" w:cs="宋体"/>
                <w:b w:val="0"/>
                <w:bCs/>
                <w:color w:val="auto"/>
                <w:kern w:val="0"/>
                <w:sz w:val="24"/>
                <w:szCs w:val="24"/>
                <w:u w:val="none"/>
              </w:rPr>
            </w:pPr>
          </w:p>
        </w:tc>
        <w:tc>
          <w:tcPr>
            <w:tcW w:w="1200" w:type="dxa"/>
            <w:tcBorders>
              <w:top w:val="nil"/>
              <w:left w:val="nil"/>
              <w:bottom w:val="single" w:color="auto" w:sz="4" w:space="0"/>
              <w:right w:val="single" w:color="auto" w:sz="4" w:space="0"/>
            </w:tcBorders>
            <w:noWrap w:val="0"/>
            <w:vAlign w:val="center"/>
          </w:tcPr>
          <w:p w14:paraId="18A46FCB">
            <w:pPr>
              <w:widowControl/>
              <w:jc w:val="center"/>
              <w:rPr>
                <w:rFonts w:ascii="Calibri" w:hAnsi="Calibri" w:cs="宋体"/>
                <w:b w:val="0"/>
                <w:bCs/>
                <w:color w:val="auto"/>
                <w:kern w:val="0"/>
                <w:sz w:val="24"/>
                <w:szCs w:val="24"/>
                <w:u w:val="none"/>
              </w:rPr>
            </w:pPr>
          </w:p>
        </w:tc>
        <w:tc>
          <w:tcPr>
            <w:tcW w:w="1250" w:type="dxa"/>
            <w:tcBorders>
              <w:top w:val="nil"/>
              <w:left w:val="nil"/>
              <w:bottom w:val="single" w:color="auto" w:sz="4" w:space="0"/>
              <w:right w:val="single" w:color="auto" w:sz="4" w:space="0"/>
            </w:tcBorders>
            <w:noWrap w:val="0"/>
            <w:vAlign w:val="center"/>
          </w:tcPr>
          <w:p w14:paraId="608B2FA6">
            <w:pPr>
              <w:widowControl/>
              <w:jc w:val="center"/>
              <w:rPr>
                <w:rFonts w:ascii="Calibri" w:hAnsi="Calibri" w:cs="宋体"/>
                <w:b w:val="0"/>
                <w:bCs/>
                <w:color w:val="auto"/>
                <w:kern w:val="0"/>
                <w:sz w:val="24"/>
                <w:szCs w:val="24"/>
                <w:u w:val="none"/>
              </w:rPr>
            </w:pPr>
          </w:p>
        </w:tc>
        <w:tc>
          <w:tcPr>
            <w:tcW w:w="1395" w:type="dxa"/>
            <w:gridSpan w:val="2"/>
            <w:tcBorders>
              <w:top w:val="nil"/>
              <w:left w:val="nil"/>
              <w:bottom w:val="single" w:color="auto" w:sz="4" w:space="0"/>
              <w:right w:val="single" w:color="auto" w:sz="4" w:space="0"/>
            </w:tcBorders>
            <w:noWrap w:val="0"/>
            <w:vAlign w:val="center"/>
          </w:tcPr>
          <w:p w14:paraId="1FBF24A7">
            <w:pPr>
              <w:widowControl/>
              <w:jc w:val="center"/>
              <w:rPr>
                <w:rFonts w:ascii="Calibri" w:hAnsi="Calibri" w:cs="宋体"/>
                <w:b w:val="0"/>
                <w:bCs/>
                <w:color w:val="auto"/>
                <w:kern w:val="0"/>
                <w:sz w:val="24"/>
                <w:szCs w:val="24"/>
                <w:u w:val="none"/>
              </w:rPr>
            </w:pPr>
          </w:p>
        </w:tc>
      </w:tr>
      <w:tr w14:paraId="7D753E9B">
        <w:tblPrEx>
          <w:tblCellMar>
            <w:top w:w="0" w:type="dxa"/>
            <w:left w:w="108" w:type="dxa"/>
            <w:bottom w:w="0" w:type="dxa"/>
            <w:right w:w="108" w:type="dxa"/>
          </w:tblCellMar>
        </w:tblPrEx>
        <w:trPr>
          <w:trHeight w:val="285" w:hRule="atLeast"/>
        </w:trPr>
        <w:tc>
          <w:tcPr>
            <w:tcW w:w="705" w:type="dxa"/>
            <w:tcBorders>
              <w:top w:val="nil"/>
              <w:left w:val="single" w:color="auto" w:sz="4" w:space="0"/>
              <w:bottom w:val="single" w:color="auto" w:sz="4" w:space="0"/>
              <w:right w:val="single" w:color="auto" w:sz="4" w:space="0"/>
            </w:tcBorders>
            <w:noWrap w:val="0"/>
            <w:vAlign w:val="center"/>
          </w:tcPr>
          <w:p w14:paraId="468C8014">
            <w:pPr>
              <w:widowControl/>
              <w:jc w:val="center"/>
              <w:rPr>
                <w:rFonts w:ascii="Arial" w:hAnsi="Arial" w:cs="Arial"/>
                <w:b w:val="0"/>
                <w:bCs/>
                <w:color w:val="auto"/>
                <w:kern w:val="0"/>
                <w:sz w:val="24"/>
                <w:szCs w:val="24"/>
                <w:u w:val="none"/>
              </w:rPr>
            </w:pPr>
          </w:p>
        </w:tc>
        <w:tc>
          <w:tcPr>
            <w:tcW w:w="1685" w:type="dxa"/>
            <w:tcBorders>
              <w:top w:val="nil"/>
              <w:left w:val="nil"/>
              <w:bottom w:val="single" w:color="auto" w:sz="4" w:space="0"/>
              <w:right w:val="single" w:color="auto" w:sz="4" w:space="0"/>
            </w:tcBorders>
            <w:noWrap w:val="0"/>
            <w:vAlign w:val="center"/>
          </w:tcPr>
          <w:p w14:paraId="66B0231B">
            <w:pPr>
              <w:widowControl/>
              <w:jc w:val="center"/>
              <w:rPr>
                <w:rFonts w:ascii="Arial" w:hAnsi="Arial" w:cs="Arial"/>
                <w:b w:val="0"/>
                <w:bCs/>
                <w:color w:val="auto"/>
                <w:kern w:val="0"/>
                <w:sz w:val="24"/>
                <w:szCs w:val="24"/>
                <w:u w:val="none"/>
              </w:rPr>
            </w:pPr>
          </w:p>
        </w:tc>
        <w:tc>
          <w:tcPr>
            <w:tcW w:w="1328" w:type="dxa"/>
            <w:tcBorders>
              <w:top w:val="nil"/>
              <w:left w:val="nil"/>
              <w:bottom w:val="single" w:color="auto" w:sz="4" w:space="0"/>
              <w:right w:val="single" w:color="auto" w:sz="4" w:space="0"/>
            </w:tcBorders>
            <w:noWrap w:val="0"/>
            <w:vAlign w:val="center"/>
          </w:tcPr>
          <w:p w14:paraId="136CF884">
            <w:pPr>
              <w:widowControl/>
              <w:jc w:val="center"/>
              <w:rPr>
                <w:rFonts w:ascii="Calibri" w:hAnsi="Calibri" w:cs="宋体"/>
                <w:b w:val="0"/>
                <w:bCs/>
                <w:color w:val="auto"/>
                <w:kern w:val="0"/>
                <w:sz w:val="24"/>
                <w:szCs w:val="24"/>
                <w:u w:val="none"/>
              </w:rPr>
            </w:pPr>
          </w:p>
        </w:tc>
        <w:tc>
          <w:tcPr>
            <w:tcW w:w="908" w:type="dxa"/>
            <w:tcBorders>
              <w:top w:val="nil"/>
              <w:left w:val="nil"/>
              <w:bottom w:val="single" w:color="auto" w:sz="4" w:space="0"/>
              <w:right w:val="single" w:color="auto" w:sz="4" w:space="0"/>
            </w:tcBorders>
            <w:noWrap w:val="0"/>
            <w:vAlign w:val="center"/>
          </w:tcPr>
          <w:p w14:paraId="48B37F74">
            <w:pPr>
              <w:widowControl/>
              <w:jc w:val="center"/>
              <w:rPr>
                <w:rFonts w:ascii="Calibri" w:hAnsi="Calibri" w:cs="宋体"/>
                <w:b w:val="0"/>
                <w:bCs/>
                <w:color w:val="auto"/>
                <w:kern w:val="0"/>
                <w:sz w:val="24"/>
                <w:szCs w:val="24"/>
                <w:u w:val="none"/>
              </w:rPr>
            </w:pPr>
          </w:p>
        </w:tc>
        <w:tc>
          <w:tcPr>
            <w:tcW w:w="788" w:type="dxa"/>
            <w:tcBorders>
              <w:top w:val="nil"/>
              <w:left w:val="nil"/>
              <w:bottom w:val="single" w:color="auto" w:sz="4" w:space="0"/>
              <w:right w:val="single" w:color="auto" w:sz="4" w:space="0"/>
            </w:tcBorders>
            <w:noWrap w:val="0"/>
            <w:vAlign w:val="center"/>
          </w:tcPr>
          <w:p w14:paraId="293AFF92">
            <w:pPr>
              <w:widowControl/>
              <w:jc w:val="center"/>
              <w:rPr>
                <w:rFonts w:ascii="Calibri" w:hAnsi="Calibri" w:cs="宋体"/>
                <w:b w:val="0"/>
                <w:bCs/>
                <w:color w:val="auto"/>
                <w:kern w:val="0"/>
                <w:sz w:val="24"/>
                <w:szCs w:val="24"/>
                <w:u w:val="none"/>
              </w:rPr>
            </w:pPr>
          </w:p>
        </w:tc>
        <w:tc>
          <w:tcPr>
            <w:tcW w:w="824" w:type="dxa"/>
            <w:tcBorders>
              <w:top w:val="nil"/>
              <w:left w:val="nil"/>
              <w:bottom w:val="single" w:color="auto" w:sz="4" w:space="0"/>
              <w:right w:val="single" w:color="auto" w:sz="4" w:space="0"/>
            </w:tcBorders>
            <w:noWrap w:val="0"/>
            <w:vAlign w:val="center"/>
          </w:tcPr>
          <w:p w14:paraId="5F04C3BE">
            <w:pPr>
              <w:widowControl/>
              <w:jc w:val="center"/>
              <w:rPr>
                <w:rFonts w:ascii="Calibri" w:hAnsi="Calibri" w:cs="宋体"/>
                <w:b w:val="0"/>
                <w:bCs/>
                <w:color w:val="auto"/>
                <w:kern w:val="0"/>
                <w:sz w:val="24"/>
                <w:szCs w:val="24"/>
                <w:u w:val="none"/>
              </w:rPr>
            </w:pPr>
          </w:p>
        </w:tc>
        <w:tc>
          <w:tcPr>
            <w:tcW w:w="703" w:type="dxa"/>
            <w:tcBorders>
              <w:top w:val="nil"/>
              <w:left w:val="nil"/>
              <w:bottom w:val="single" w:color="auto" w:sz="4" w:space="0"/>
              <w:right w:val="single" w:color="auto" w:sz="4" w:space="0"/>
            </w:tcBorders>
            <w:noWrap w:val="0"/>
            <w:vAlign w:val="center"/>
          </w:tcPr>
          <w:p w14:paraId="12E1FCE3">
            <w:pPr>
              <w:widowControl/>
              <w:jc w:val="center"/>
              <w:rPr>
                <w:rFonts w:ascii="Calibri" w:hAnsi="Calibri" w:cs="宋体"/>
                <w:b w:val="0"/>
                <w:bCs/>
                <w:color w:val="auto"/>
                <w:kern w:val="0"/>
                <w:sz w:val="24"/>
                <w:szCs w:val="24"/>
                <w:u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0A720618">
            <w:pPr>
              <w:widowControl/>
              <w:jc w:val="center"/>
              <w:rPr>
                <w:rFonts w:ascii="Calibri" w:hAnsi="Calibri" w:cs="宋体"/>
                <w:b w:val="0"/>
                <w:bCs/>
                <w:color w:val="auto"/>
                <w:kern w:val="0"/>
                <w:sz w:val="24"/>
                <w:szCs w:val="24"/>
                <w:u w:val="none"/>
              </w:rPr>
            </w:pPr>
          </w:p>
        </w:tc>
        <w:tc>
          <w:tcPr>
            <w:tcW w:w="806" w:type="dxa"/>
            <w:tcBorders>
              <w:top w:val="single" w:color="auto" w:sz="4" w:space="0"/>
              <w:left w:val="single" w:color="auto" w:sz="4" w:space="0"/>
              <w:bottom w:val="single" w:color="auto" w:sz="4" w:space="0"/>
              <w:right w:val="single" w:color="auto" w:sz="4" w:space="0"/>
            </w:tcBorders>
            <w:noWrap w:val="0"/>
            <w:vAlign w:val="center"/>
          </w:tcPr>
          <w:p w14:paraId="116B8137">
            <w:pPr>
              <w:widowControl/>
              <w:jc w:val="center"/>
              <w:rPr>
                <w:rFonts w:ascii="Calibri" w:hAnsi="Calibri" w:cs="宋体"/>
                <w:b w:val="0"/>
                <w:bCs/>
                <w:color w:val="auto"/>
                <w:kern w:val="0"/>
                <w:sz w:val="24"/>
                <w:szCs w:val="24"/>
                <w:u w:val="none"/>
              </w:rPr>
            </w:pPr>
          </w:p>
        </w:tc>
        <w:tc>
          <w:tcPr>
            <w:tcW w:w="925" w:type="dxa"/>
            <w:tcBorders>
              <w:top w:val="single" w:color="auto" w:sz="4" w:space="0"/>
              <w:left w:val="single" w:color="auto" w:sz="4" w:space="0"/>
              <w:bottom w:val="single" w:color="auto" w:sz="4" w:space="0"/>
              <w:right w:val="single" w:color="auto" w:sz="4" w:space="0"/>
            </w:tcBorders>
            <w:noWrap w:val="0"/>
            <w:vAlign w:val="center"/>
          </w:tcPr>
          <w:p w14:paraId="1F718729">
            <w:pPr>
              <w:widowControl/>
              <w:jc w:val="center"/>
              <w:rPr>
                <w:rFonts w:hint="eastAsia" w:ascii="宋体" w:hAnsi="宋体" w:cs="宋体"/>
                <w:b w:val="0"/>
                <w:bCs/>
                <w:color w:val="auto"/>
                <w:kern w:val="0"/>
                <w:sz w:val="24"/>
                <w:szCs w:val="24"/>
                <w:u w:val="none"/>
              </w:rPr>
            </w:pPr>
          </w:p>
        </w:tc>
        <w:tc>
          <w:tcPr>
            <w:tcW w:w="955" w:type="dxa"/>
            <w:tcBorders>
              <w:top w:val="nil"/>
              <w:left w:val="nil"/>
              <w:bottom w:val="single" w:color="auto" w:sz="4" w:space="0"/>
              <w:right w:val="single" w:color="auto" w:sz="4" w:space="0"/>
            </w:tcBorders>
            <w:noWrap w:val="0"/>
            <w:vAlign w:val="center"/>
          </w:tcPr>
          <w:p w14:paraId="71E0239A">
            <w:pPr>
              <w:widowControl/>
              <w:jc w:val="center"/>
              <w:rPr>
                <w:rFonts w:ascii="Calibri" w:hAnsi="Calibri" w:cs="宋体"/>
                <w:b w:val="0"/>
                <w:bCs/>
                <w:color w:val="auto"/>
                <w:kern w:val="0"/>
                <w:sz w:val="24"/>
                <w:szCs w:val="24"/>
                <w:u w:val="none"/>
              </w:rPr>
            </w:pPr>
          </w:p>
        </w:tc>
        <w:tc>
          <w:tcPr>
            <w:tcW w:w="1200" w:type="dxa"/>
            <w:tcBorders>
              <w:top w:val="nil"/>
              <w:left w:val="nil"/>
              <w:bottom w:val="single" w:color="auto" w:sz="4" w:space="0"/>
              <w:right w:val="single" w:color="auto" w:sz="4" w:space="0"/>
            </w:tcBorders>
            <w:noWrap w:val="0"/>
            <w:vAlign w:val="center"/>
          </w:tcPr>
          <w:p w14:paraId="65A7F451">
            <w:pPr>
              <w:widowControl/>
              <w:jc w:val="center"/>
              <w:rPr>
                <w:rFonts w:ascii="Calibri" w:hAnsi="Calibri" w:cs="宋体"/>
                <w:b w:val="0"/>
                <w:bCs/>
                <w:color w:val="auto"/>
                <w:kern w:val="0"/>
                <w:sz w:val="24"/>
                <w:szCs w:val="24"/>
                <w:u w:val="none"/>
              </w:rPr>
            </w:pPr>
          </w:p>
        </w:tc>
        <w:tc>
          <w:tcPr>
            <w:tcW w:w="1250" w:type="dxa"/>
            <w:tcBorders>
              <w:top w:val="nil"/>
              <w:left w:val="nil"/>
              <w:bottom w:val="single" w:color="auto" w:sz="4" w:space="0"/>
              <w:right w:val="single" w:color="auto" w:sz="4" w:space="0"/>
            </w:tcBorders>
            <w:noWrap w:val="0"/>
            <w:vAlign w:val="center"/>
          </w:tcPr>
          <w:p w14:paraId="662AC53B">
            <w:pPr>
              <w:widowControl/>
              <w:jc w:val="center"/>
              <w:rPr>
                <w:rFonts w:ascii="Calibri" w:hAnsi="Calibri" w:cs="宋体"/>
                <w:b w:val="0"/>
                <w:bCs/>
                <w:color w:val="auto"/>
                <w:kern w:val="0"/>
                <w:sz w:val="24"/>
                <w:szCs w:val="24"/>
                <w:u w:val="none"/>
              </w:rPr>
            </w:pPr>
          </w:p>
        </w:tc>
        <w:tc>
          <w:tcPr>
            <w:tcW w:w="1395" w:type="dxa"/>
            <w:gridSpan w:val="2"/>
            <w:tcBorders>
              <w:top w:val="nil"/>
              <w:left w:val="nil"/>
              <w:bottom w:val="single" w:color="auto" w:sz="4" w:space="0"/>
              <w:right w:val="single" w:color="auto" w:sz="4" w:space="0"/>
            </w:tcBorders>
            <w:noWrap w:val="0"/>
            <w:vAlign w:val="center"/>
          </w:tcPr>
          <w:p w14:paraId="7AB1B376">
            <w:pPr>
              <w:widowControl/>
              <w:jc w:val="center"/>
              <w:rPr>
                <w:rFonts w:ascii="Calibri" w:hAnsi="Calibri" w:cs="宋体"/>
                <w:b w:val="0"/>
                <w:bCs/>
                <w:color w:val="auto"/>
                <w:kern w:val="0"/>
                <w:sz w:val="24"/>
                <w:szCs w:val="24"/>
                <w:u w:val="none"/>
              </w:rPr>
            </w:pPr>
          </w:p>
        </w:tc>
      </w:tr>
      <w:tr w14:paraId="0EB51879">
        <w:tblPrEx>
          <w:tblCellMar>
            <w:top w:w="0" w:type="dxa"/>
            <w:left w:w="108" w:type="dxa"/>
            <w:bottom w:w="0" w:type="dxa"/>
            <w:right w:w="108" w:type="dxa"/>
          </w:tblCellMar>
        </w:tblPrEx>
        <w:trPr>
          <w:trHeight w:val="285" w:hRule="atLeast"/>
        </w:trPr>
        <w:tc>
          <w:tcPr>
            <w:tcW w:w="705" w:type="dxa"/>
            <w:tcBorders>
              <w:top w:val="nil"/>
              <w:left w:val="single" w:color="auto" w:sz="4" w:space="0"/>
              <w:bottom w:val="single" w:color="auto" w:sz="4" w:space="0"/>
              <w:right w:val="single" w:color="auto" w:sz="4" w:space="0"/>
            </w:tcBorders>
            <w:noWrap w:val="0"/>
            <w:vAlign w:val="center"/>
          </w:tcPr>
          <w:p w14:paraId="3BDFD9B2">
            <w:pPr>
              <w:widowControl/>
              <w:jc w:val="center"/>
              <w:rPr>
                <w:rFonts w:ascii="Arial" w:hAnsi="Arial" w:cs="Arial"/>
                <w:b w:val="0"/>
                <w:bCs/>
                <w:color w:val="auto"/>
                <w:kern w:val="0"/>
                <w:sz w:val="24"/>
                <w:szCs w:val="24"/>
                <w:u w:val="none"/>
              </w:rPr>
            </w:pPr>
          </w:p>
        </w:tc>
        <w:tc>
          <w:tcPr>
            <w:tcW w:w="1685" w:type="dxa"/>
            <w:tcBorders>
              <w:top w:val="nil"/>
              <w:left w:val="nil"/>
              <w:bottom w:val="single" w:color="auto" w:sz="4" w:space="0"/>
              <w:right w:val="single" w:color="auto" w:sz="4" w:space="0"/>
            </w:tcBorders>
            <w:noWrap w:val="0"/>
            <w:vAlign w:val="center"/>
          </w:tcPr>
          <w:p w14:paraId="34CF0EB1">
            <w:pPr>
              <w:widowControl/>
              <w:jc w:val="center"/>
              <w:rPr>
                <w:rFonts w:ascii="Arial" w:hAnsi="Arial" w:cs="Arial"/>
                <w:b w:val="0"/>
                <w:bCs/>
                <w:color w:val="auto"/>
                <w:kern w:val="0"/>
                <w:sz w:val="24"/>
                <w:szCs w:val="24"/>
                <w:u w:val="none"/>
              </w:rPr>
            </w:pPr>
          </w:p>
        </w:tc>
        <w:tc>
          <w:tcPr>
            <w:tcW w:w="1328" w:type="dxa"/>
            <w:tcBorders>
              <w:top w:val="nil"/>
              <w:left w:val="nil"/>
              <w:bottom w:val="single" w:color="auto" w:sz="4" w:space="0"/>
              <w:right w:val="single" w:color="auto" w:sz="4" w:space="0"/>
            </w:tcBorders>
            <w:noWrap w:val="0"/>
            <w:vAlign w:val="center"/>
          </w:tcPr>
          <w:p w14:paraId="477DE07E">
            <w:pPr>
              <w:widowControl/>
              <w:jc w:val="center"/>
              <w:rPr>
                <w:rFonts w:ascii="Calibri" w:hAnsi="Calibri" w:cs="宋体"/>
                <w:b w:val="0"/>
                <w:bCs/>
                <w:color w:val="auto"/>
                <w:kern w:val="0"/>
                <w:sz w:val="24"/>
                <w:szCs w:val="24"/>
                <w:u w:val="none"/>
              </w:rPr>
            </w:pPr>
          </w:p>
        </w:tc>
        <w:tc>
          <w:tcPr>
            <w:tcW w:w="908" w:type="dxa"/>
            <w:tcBorders>
              <w:top w:val="nil"/>
              <w:left w:val="nil"/>
              <w:bottom w:val="single" w:color="auto" w:sz="4" w:space="0"/>
              <w:right w:val="single" w:color="auto" w:sz="4" w:space="0"/>
            </w:tcBorders>
            <w:noWrap w:val="0"/>
            <w:vAlign w:val="center"/>
          </w:tcPr>
          <w:p w14:paraId="78A4077B">
            <w:pPr>
              <w:widowControl/>
              <w:jc w:val="center"/>
              <w:rPr>
                <w:rFonts w:ascii="Calibri" w:hAnsi="Calibri" w:cs="宋体"/>
                <w:b w:val="0"/>
                <w:bCs/>
                <w:color w:val="auto"/>
                <w:kern w:val="0"/>
                <w:sz w:val="24"/>
                <w:szCs w:val="24"/>
                <w:u w:val="none"/>
              </w:rPr>
            </w:pPr>
          </w:p>
        </w:tc>
        <w:tc>
          <w:tcPr>
            <w:tcW w:w="788" w:type="dxa"/>
            <w:tcBorders>
              <w:top w:val="nil"/>
              <w:left w:val="nil"/>
              <w:bottom w:val="single" w:color="auto" w:sz="4" w:space="0"/>
              <w:right w:val="single" w:color="auto" w:sz="4" w:space="0"/>
            </w:tcBorders>
            <w:noWrap w:val="0"/>
            <w:vAlign w:val="center"/>
          </w:tcPr>
          <w:p w14:paraId="7E9E9CA8">
            <w:pPr>
              <w:widowControl/>
              <w:jc w:val="center"/>
              <w:rPr>
                <w:rFonts w:ascii="Calibri" w:hAnsi="Calibri" w:cs="宋体"/>
                <w:b w:val="0"/>
                <w:bCs/>
                <w:color w:val="auto"/>
                <w:kern w:val="0"/>
                <w:sz w:val="24"/>
                <w:szCs w:val="24"/>
                <w:u w:val="none"/>
              </w:rPr>
            </w:pPr>
          </w:p>
        </w:tc>
        <w:tc>
          <w:tcPr>
            <w:tcW w:w="824" w:type="dxa"/>
            <w:tcBorders>
              <w:top w:val="nil"/>
              <w:left w:val="nil"/>
              <w:bottom w:val="single" w:color="auto" w:sz="4" w:space="0"/>
              <w:right w:val="single" w:color="auto" w:sz="4" w:space="0"/>
            </w:tcBorders>
            <w:noWrap w:val="0"/>
            <w:vAlign w:val="center"/>
          </w:tcPr>
          <w:p w14:paraId="5C89372B">
            <w:pPr>
              <w:widowControl/>
              <w:jc w:val="center"/>
              <w:rPr>
                <w:rFonts w:ascii="Calibri" w:hAnsi="Calibri" w:cs="宋体"/>
                <w:b w:val="0"/>
                <w:bCs/>
                <w:color w:val="auto"/>
                <w:kern w:val="0"/>
                <w:sz w:val="24"/>
                <w:szCs w:val="24"/>
                <w:u w:val="none"/>
              </w:rPr>
            </w:pPr>
          </w:p>
        </w:tc>
        <w:tc>
          <w:tcPr>
            <w:tcW w:w="703" w:type="dxa"/>
            <w:tcBorders>
              <w:top w:val="nil"/>
              <w:left w:val="nil"/>
              <w:bottom w:val="single" w:color="auto" w:sz="4" w:space="0"/>
              <w:right w:val="single" w:color="auto" w:sz="4" w:space="0"/>
            </w:tcBorders>
            <w:noWrap w:val="0"/>
            <w:vAlign w:val="center"/>
          </w:tcPr>
          <w:p w14:paraId="0C25A31D">
            <w:pPr>
              <w:widowControl/>
              <w:jc w:val="center"/>
              <w:rPr>
                <w:rFonts w:ascii="Calibri" w:hAnsi="Calibri" w:cs="宋体"/>
                <w:b w:val="0"/>
                <w:bCs/>
                <w:color w:val="auto"/>
                <w:kern w:val="0"/>
                <w:sz w:val="24"/>
                <w:szCs w:val="24"/>
                <w:u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3FD62948">
            <w:pPr>
              <w:widowControl/>
              <w:jc w:val="center"/>
              <w:rPr>
                <w:rFonts w:ascii="Calibri" w:hAnsi="Calibri" w:cs="宋体"/>
                <w:b w:val="0"/>
                <w:bCs/>
                <w:color w:val="auto"/>
                <w:kern w:val="0"/>
                <w:sz w:val="24"/>
                <w:szCs w:val="24"/>
                <w:u w:val="none"/>
              </w:rPr>
            </w:pPr>
          </w:p>
        </w:tc>
        <w:tc>
          <w:tcPr>
            <w:tcW w:w="806" w:type="dxa"/>
            <w:tcBorders>
              <w:top w:val="single" w:color="auto" w:sz="4" w:space="0"/>
              <w:left w:val="single" w:color="auto" w:sz="4" w:space="0"/>
              <w:bottom w:val="single" w:color="auto" w:sz="4" w:space="0"/>
              <w:right w:val="single" w:color="auto" w:sz="4" w:space="0"/>
            </w:tcBorders>
            <w:noWrap w:val="0"/>
            <w:vAlign w:val="center"/>
          </w:tcPr>
          <w:p w14:paraId="35879E53">
            <w:pPr>
              <w:widowControl/>
              <w:jc w:val="center"/>
              <w:rPr>
                <w:rFonts w:ascii="Calibri" w:hAnsi="Calibri" w:cs="宋体"/>
                <w:b w:val="0"/>
                <w:bCs/>
                <w:color w:val="auto"/>
                <w:kern w:val="0"/>
                <w:sz w:val="24"/>
                <w:szCs w:val="24"/>
                <w:u w:val="none"/>
              </w:rPr>
            </w:pPr>
          </w:p>
        </w:tc>
        <w:tc>
          <w:tcPr>
            <w:tcW w:w="925" w:type="dxa"/>
            <w:tcBorders>
              <w:top w:val="single" w:color="auto" w:sz="4" w:space="0"/>
              <w:left w:val="single" w:color="auto" w:sz="4" w:space="0"/>
              <w:bottom w:val="single" w:color="auto" w:sz="4" w:space="0"/>
              <w:right w:val="single" w:color="auto" w:sz="4" w:space="0"/>
            </w:tcBorders>
            <w:noWrap w:val="0"/>
            <w:vAlign w:val="center"/>
          </w:tcPr>
          <w:p w14:paraId="5D75B431">
            <w:pPr>
              <w:widowControl/>
              <w:jc w:val="center"/>
              <w:rPr>
                <w:rFonts w:hint="eastAsia" w:ascii="宋体" w:hAnsi="宋体" w:cs="宋体"/>
                <w:b w:val="0"/>
                <w:bCs/>
                <w:color w:val="auto"/>
                <w:kern w:val="0"/>
                <w:sz w:val="24"/>
                <w:szCs w:val="24"/>
                <w:u w:val="none"/>
              </w:rPr>
            </w:pPr>
          </w:p>
        </w:tc>
        <w:tc>
          <w:tcPr>
            <w:tcW w:w="955" w:type="dxa"/>
            <w:tcBorders>
              <w:top w:val="nil"/>
              <w:left w:val="nil"/>
              <w:bottom w:val="single" w:color="auto" w:sz="4" w:space="0"/>
              <w:right w:val="single" w:color="auto" w:sz="4" w:space="0"/>
            </w:tcBorders>
            <w:noWrap w:val="0"/>
            <w:vAlign w:val="center"/>
          </w:tcPr>
          <w:p w14:paraId="2AD2833C">
            <w:pPr>
              <w:widowControl/>
              <w:jc w:val="center"/>
              <w:rPr>
                <w:rFonts w:ascii="Calibri" w:hAnsi="Calibri" w:cs="宋体"/>
                <w:b w:val="0"/>
                <w:bCs/>
                <w:color w:val="auto"/>
                <w:kern w:val="0"/>
                <w:sz w:val="24"/>
                <w:szCs w:val="24"/>
                <w:u w:val="none"/>
              </w:rPr>
            </w:pPr>
          </w:p>
        </w:tc>
        <w:tc>
          <w:tcPr>
            <w:tcW w:w="1200" w:type="dxa"/>
            <w:tcBorders>
              <w:top w:val="nil"/>
              <w:left w:val="nil"/>
              <w:bottom w:val="single" w:color="auto" w:sz="4" w:space="0"/>
              <w:right w:val="single" w:color="auto" w:sz="4" w:space="0"/>
            </w:tcBorders>
            <w:noWrap w:val="0"/>
            <w:vAlign w:val="center"/>
          </w:tcPr>
          <w:p w14:paraId="1D7BA732">
            <w:pPr>
              <w:widowControl/>
              <w:jc w:val="center"/>
              <w:rPr>
                <w:rFonts w:ascii="Calibri" w:hAnsi="Calibri" w:cs="宋体"/>
                <w:b w:val="0"/>
                <w:bCs/>
                <w:color w:val="auto"/>
                <w:kern w:val="0"/>
                <w:sz w:val="24"/>
                <w:szCs w:val="24"/>
                <w:u w:val="none"/>
              </w:rPr>
            </w:pPr>
          </w:p>
        </w:tc>
        <w:tc>
          <w:tcPr>
            <w:tcW w:w="1250" w:type="dxa"/>
            <w:tcBorders>
              <w:top w:val="nil"/>
              <w:left w:val="nil"/>
              <w:bottom w:val="single" w:color="auto" w:sz="4" w:space="0"/>
              <w:right w:val="single" w:color="auto" w:sz="4" w:space="0"/>
            </w:tcBorders>
            <w:noWrap w:val="0"/>
            <w:vAlign w:val="center"/>
          </w:tcPr>
          <w:p w14:paraId="2DB90177">
            <w:pPr>
              <w:widowControl/>
              <w:jc w:val="center"/>
              <w:rPr>
                <w:rFonts w:ascii="Calibri" w:hAnsi="Calibri" w:cs="宋体"/>
                <w:b w:val="0"/>
                <w:bCs/>
                <w:color w:val="auto"/>
                <w:kern w:val="0"/>
                <w:sz w:val="24"/>
                <w:szCs w:val="24"/>
                <w:u w:val="none"/>
              </w:rPr>
            </w:pPr>
          </w:p>
        </w:tc>
        <w:tc>
          <w:tcPr>
            <w:tcW w:w="1395" w:type="dxa"/>
            <w:gridSpan w:val="2"/>
            <w:tcBorders>
              <w:top w:val="nil"/>
              <w:left w:val="nil"/>
              <w:bottom w:val="single" w:color="auto" w:sz="4" w:space="0"/>
              <w:right w:val="single" w:color="auto" w:sz="4" w:space="0"/>
            </w:tcBorders>
            <w:noWrap w:val="0"/>
            <w:vAlign w:val="center"/>
          </w:tcPr>
          <w:p w14:paraId="47EAC321">
            <w:pPr>
              <w:widowControl/>
              <w:jc w:val="center"/>
              <w:rPr>
                <w:rFonts w:ascii="Calibri" w:hAnsi="Calibri" w:cs="宋体"/>
                <w:b w:val="0"/>
                <w:bCs/>
                <w:color w:val="auto"/>
                <w:kern w:val="0"/>
                <w:sz w:val="24"/>
                <w:szCs w:val="24"/>
                <w:u w:val="none"/>
              </w:rPr>
            </w:pPr>
          </w:p>
        </w:tc>
      </w:tr>
      <w:tr w14:paraId="60C7C6E2">
        <w:tblPrEx>
          <w:tblCellMar>
            <w:top w:w="0" w:type="dxa"/>
            <w:left w:w="108" w:type="dxa"/>
            <w:bottom w:w="0" w:type="dxa"/>
            <w:right w:w="108" w:type="dxa"/>
          </w:tblCellMar>
        </w:tblPrEx>
        <w:trPr>
          <w:trHeight w:val="285" w:hRule="atLeast"/>
        </w:trPr>
        <w:tc>
          <w:tcPr>
            <w:tcW w:w="705" w:type="dxa"/>
            <w:tcBorders>
              <w:top w:val="nil"/>
              <w:left w:val="single" w:color="auto" w:sz="4" w:space="0"/>
              <w:bottom w:val="single" w:color="auto" w:sz="4" w:space="0"/>
              <w:right w:val="single" w:color="auto" w:sz="4" w:space="0"/>
            </w:tcBorders>
            <w:noWrap w:val="0"/>
            <w:vAlign w:val="center"/>
          </w:tcPr>
          <w:p w14:paraId="55AA7C36">
            <w:pPr>
              <w:widowControl/>
              <w:jc w:val="center"/>
              <w:rPr>
                <w:rFonts w:ascii="Arial" w:hAnsi="Arial" w:cs="Arial"/>
                <w:b w:val="0"/>
                <w:bCs/>
                <w:color w:val="auto"/>
                <w:kern w:val="0"/>
                <w:sz w:val="24"/>
                <w:szCs w:val="24"/>
                <w:u w:val="none"/>
              </w:rPr>
            </w:pPr>
          </w:p>
        </w:tc>
        <w:tc>
          <w:tcPr>
            <w:tcW w:w="1685" w:type="dxa"/>
            <w:tcBorders>
              <w:top w:val="nil"/>
              <w:left w:val="nil"/>
              <w:bottom w:val="single" w:color="auto" w:sz="4" w:space="0"/>
              <w:right w:val="single" w:color="auto" w:sz="4" w:space="0"/>
            </w:tcBorders>
            <w:noWrap w:val="0"/>
            <w:vAlign w:val="center"/>
          </w:tcPr>
          <w:p w14:paraId="43B4D75E">
            <w:pPr>
              <w:widowControl/>
              <w:jc w:val="center"/>
              <w:rPr>
                <w:rFonts w:ascii="Arial" w:hAnsi="Arial" w:cs="Arial"/>
                <w:b w:val="0"/>
                <w:bCs/>
                <w:color w:val="auto"/>
                <w:kern w:val="0"/>
                <w:sz w:val="24"/>
                <w:szCs w:val="24"/>
                <w:u w:val="none"/>
              </w:rPr>
            </w:pPr>
          </w:p>
        </w:tc>
        <w:tc>
          <w:tcPr>
            <w:tcW w:w="1328" w:type="dxa"/>
            <w:tcBorders>
              <w:top w:val="nil"/>
              <w:left w:val="nil"/>
              <w:bottom w:val="single" w:color="auto" w:sz="4" w:space="0"/>
              <w:right w:val="single" w:color="auto" w:sz="4" w:space="0"/>
            </w:tcBorders>
            <w:noWrap w:val="0"/>
            <w:vAlign w:val="center"/>
          </w:tcPr>
          <w:p w14:paraId="67108BBD">
            <w:pPr>
              <w:widowControl/>
              <w:jc w:val="center"/>
              <w:rPr>
                <w:rFonts w:ascii="Calibri" w:hAnsi="Calibri" w:cs="宋体"/>
                <w:b w:val="0"/>
                <w:bCs/>
                <w:color w:val="auto"/>
                <w:kern w:val="0"/>
                <w:sz w:val="24"/>
                <w:szCs w:val="24"/>
                <w:u w:val="none"/>
              </w:rPr>
            </w:pPr>
          </w:p>
        </w:tc>
        <w:tc>
          <w:tcPr>
            <w:tcW w:w="908" w:type="dxa"/>
            <w:tcBorders>
              <w:top w:val="nil"/>
              <w:left w:val="nil"/>
              <w:bottom w:val="single" w:color="auto" w:sz="4" w:space="0"/>
              <w:right w:val="single" w:color="auto" w:sz="4" w:space="0"/>
            </w:tcBorders>
            <w:noWrap w:val="0"/>
            <w:vAlign w:val="center"/>
          </w:tcPr>
          <w:p w14:paraId="5FED7A7A">
            <w:pPr>
              <w:widowControl/>
              <w:jc w:val="center"/>
              <w:rPr>
                <w:rFonts w:ascii="Calibri" w:hAnsi="Calibri" w:cs="宋体"/>
                <w:b w:val="0"/>
                <w:bCs/>
                <w:color w:val="auto"/>
                <w:kern w:val="0"/>
                <w:sz w:val="24"/>
                <w:szCs w:val="24"/>
                <w:u w:val="none"/>
              </w:rPr>
            </w:pPr>
          </w:p>
        </w:tc>
        <w:tc>
          <w:tcPr>
            <w:tcW w:w="788" w:type="dxa"/>
            <w:tcBorders>
              <w:top w:val="nil"/>
              <w:left w:val="nil"/>
              <w:bottom w:val="single" w:color="auto" w:sz="4" w:space="0"/>
              <w:right w:val="single" w:color="auto" w:sz="4" w:space="0"/>
            </w:tcBorders>
            <w:noWrap w:val="0"/>
            <w:vAlign w:val="center"/>
          </w:tcPr>
          <w:p w14:paraId="084CA6DC">
            <w:pPr>
              <w:widowControl/>
              <w:jc w:val="center"/>
              <w:rPr>
                <w:rFonts w:ascii="Calibri" w:hAnsi="Calibri" w:cs="宋体"/>
                <w:b w:val="0"/>
                <w:bCs/>
                <w:color w:val="auto"/>
                <w:kern w:val="0"/>
                <w:sz w:val="24"/>
                <w:szCs w:val="24"/>
                <w:u w:val="none"/>
              </w:rPr>
            </w:pPr>
          </w:p>
        </w:tc>
        <w:tc>
          <w:tcPr>
            <w:tcW w:w="824" w:type="dxa"/>
            <w:tcBorders>
              <w:top w:val="nil"/>
              <w:left w:val="nil"/>
              <w:bottom w:val="single" w:color="auto" w:sz="4" w:space="0"/>
              <w:right w:val="single" w:color="auto" w:sz="4" w:space="0"/>
            </w:tcBorders>
            <w:noWrap w:val="0"/>
            <w:vAlign w:val="center"/>
          </w:tcPr>
          <w:p w14:paraId="7C95F145">
            <w:pPr>
              <w:widowControl/>
              <w:jc w:val="center"/>
              <w:rPr>
                <w:rFonts w:ascii="Calibri" w:hAnsi="Calibri" w:cs="宋体"/>
                <w:b w:val="0"/>
                <w:bCs/>
                <w:color w:val="auto"/>
                <w:kern w:val="0"/>
                <w:sz w:val="24"/>
                <w:szCs w:val="24"/>
                <w:u w:val="none"/>
              </w:rPr>
            </w:pPr>
          </w:p>
        </w:tc>
        <w:tc>
          <w:tcPr>
            <w:tcW w:w="703" w:type="dxa"/>
            <w:tcBorders>
              <w:top w:val="nil"/>
              <w:left w:val="nil"/>
              <w:bottom w:val="single" w:color="auto" w:sz="4" w:space="0"/>
              <w:right w:val="single" w:color="auto" w:sz="4" w:space="0"/>
            </w:tcBorders>
            <w:noWrap w:val="0"/>
            <w:vAlign w:val="center"/>
          </w:tcPr>
          <w:p w14:paraId="035AF0F3">
            <w:pPr>
              <w:widowControl/>
              <w:jc w:val="center"/>
              <w:rPr>
                <w:rFonts w:ascii="Calibri" w:hAnsi="Calibri" w:cs="宋体"/>
                <w:b w:val="0"/>
                <w:bCs/>
                <w:color w:val="auto"/>
                <w:kern w:val="0"/>
                <w:sz w:val="24"/>
                <w:szCs w:val="24"/>
                <w:u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53C0AE94">
            <w:pPr>
              <w:widowControl/>
              <w:jc w:val="center"/>
              <w:rPr>
                <w:rFonts w:ascii="Calibri" w:hAnsi="Calibri" w:cs="宋体"/>
                <w:b w:val="0"/>
                <w:bCs/>
                <w:color w:val="auto"/>
                <w:kern w:val="0"/>
                <w:sz w:val="24"/>
                <w:szCs w:val="24"/>
                <w:u w:val="none"/>
              </w:rPr>
            </w:pPr>
          </w:p>
        </w:tc>
        <w:tc>
          <w:tcPr>
            <w:tcW w:w="806" w:type="dxa"/>
            <w:tcBorders>
              <w:top w:val="single" w:color="auto" w:sz="4" w:space="0"/>
              <w:left w:val="single" w:color="auto" w:sz="4" w:space="0"/>
              <w:bottom w:val="single" w:color="auto" w:sz="4" w:space="0"/>
              <w:right w:val="single" w:color="auto" w:sz="4" w:space="0"/>
            </w:tcBorders>
            <w:noWrap w:val="0"/>
            <w:vAlign w:val="center"/>
          </w:tcPr>
          <w:p w14:paraId="3DF6C35B">
            <w:pPr>
              <w:widowControl/>
              <w:jc w:val="center"/>
              <w:rPr>
                <w:rFonts w:ascii="Calibri" w:hAnsi="Calibri" w:cs="宋体"/>
                <w:b w:val="0"/>
                <w:bCs/>
                <w:color w:val="auto"/>
                <w:kern w:val="0"/>
                <w:sz w:val="24"/>
                <w:szCs w:val="24"/>
                <w:u w:val="none"/>
              </w:rPr>
            </w:pPr>
          </w:p>
        </w:tc>
        <w:tc>
          <w:tcPr>
            <w:tcW w:w="925" w:type="dxa"/>
            <w:tcBorders>
              <w:top w:val="single" w:color="auto" w:sz="4" w:space="0"/>
              <w:left w:val="single" w:color="auto" w:sz="4" w:space="0"/>
              <w:bottom w:val="single" w:color="auto" w:sz="4" w:space="0"/>
              <w:right w:val="single" w:color="auto" w:sz="4" w:space="0"/>
            </w:tcBorders>
            <w:noWrap w:val="0"/>
            <w:vAlign w:val="center"/>
          </w:tcPr>
          <w:p w14:paraId="6943BDE8">
            <w:pPr>
              <w:widowControl/>
              <w:jc w:val="center"/>
              <w:rPr>
                <w:rFonts w:hint="eastAsia" w:ascii="宋体" w:hAnsi="宋体" w:cs="宋体"/>
                <w:b w:val="0"/>
                <w:bCs/>
                <w:color w:val="auto"/>
                <w:kern w:val="0"/>
                <w:sz w:val="24"/>
                <w:szCs w:val="24"/>
                <w:u w:val="none"/>
              </w:rPr>
            </w:pPr>
          </w:p>
        </w:tc>
        <w:tc>
          <w:tcPr>
            <w:tcW w:w="955" w:type="dxa"/>
            <w:tcBorders>
              <w:top w:val="nil"/>
              <w:left w:val="nil"/>
              <w:bottom w:val="single" w:color="auto" w:sz="4" w:space="0"/>
              <w:right w:val="single" w:color="auto" w:sz="4" w:space="0"/>
            </w:tcBorders>
            <w:noWrap w:val="0"/>
            <w:vAlign w:val="center"/>
          </w:tcPr>
          <w:p w14:paraId="426AFADE">
            <w:pPr>
              <w:widowControl/>
              <w:jc w:val="center"/>
              <w:rPr>
                <w:rFonts w:ascii="Calibri" w:hAnsi="Calibri" w:cs="宋体"/>
                <w:b w:val="0"/>
                <w:bCs/>
                <w:color w:val="auto"/>
                <w:kern w:val="0"/>
                <w:sz w:val="24"/>
                <w:szCs w:val="24"/>
                <w:u w:val="none"/>
              </w:rPr>
            </w:pPr>
          </w:p>
        </w:tc>
        <w:tc>
          <w:tcPr>
            <w:tcW w:w="1200" w:type="dxa"/>
            <w:tcBorders>
              <w:top w:val="nil"/>
              <w:left w:val="nil"/>
              <w:bottom w:val="single" w:color="auto" w:sz="4" w:space="0"/>
              <w:right w:val="single" w:color="auto" w:sz="4" w:space="0"/>
            </w:tcBorders>
            <w:noWrap w:val="0"/>
            <w:vAlign w:val="center"/>
          </w:tcPr>
          <w:p w14:paraId="6A55B323">
            <w:pPr>
              <w:widowControl/>
              <w:jc w:val="center"/>
              <w:rPr>
                <w:rFonts w:ascii="Calibri" w:hAnsi="Calibri" w:cs="宋体"/>
                <w:b w:val="0"/>
                <w:bCs/>
                <w:color w:val="auto"/>
                <w:kern w:val="0"/>
                <w:sz w:val="24"/>
                <w:szCs w:val="24"/>
                <w:u w:val="none"/>
              </w:rPr>
            </w:pPr>
          </w:p>
        </w:tc>
        <w:tc>
          <w:tcPr>
            <w:tcW w:w="1250" w:type="dxa"/>
            <w:tcBorders>
              <w:top w:val="nil"/>
              <w:left w:val="nil"/>
              <w:bottom w:val="single" w:color="auto" w:sz="4" w:space="0"/>
              <w:right w:val="single" w:color="auto" w:sz="4" w:space="0"/>
            </w:tcBorders>
            <w:noWrap w:val="0"/>
            <w:vAlign w:val="center"/>
          </w:tcPr>
          <w:p w14:paraId="1880F5BF">
            <w:pPr>
              <w:widowControl/>
              <w:jc w:val="center"/>
              <w:rPr>
                <w:rFonts w:ascii="Calibri" w:hAnsi="Calibri" w:cs="宋体"/>
                <w:b w:val="0"/>
                <w:bCs/>
                <w:color w:val="auto"/>
                <w:kern w:val="0"/>
                <w:sz w:val="24"/>
                <w:szCs w:val="24"/>
                <w:u w:val="none"/>
              </w:rPr>
            </w:pPr>
          </w:p>
        </w:tc>
        <w:tc>
          <w:tcPr>
            <w:tcW w:w="1395" w:type="dxa"/>
            <w:gridSpan w:val="2"/>
            <w:tcBorders>
              <w:top w:val="nil"/>
              <w:left w:val="nil"/>
              <w:bottom w:val="single" w:color="auto" w:sz="4" w:space="0"/>
              <w:right w:val="single" w:color="auto" w:sz="4" w:space="0"/>
            </w:tcBorders>
            <w:noWrap w:val="0"/>
            <w:vAlign w:val="center"/>
          </w:tcPr>
          <w:p w14:paraId="678582B3">
            <w:pPr>
              <w:widowControl/>
              <w:jc w:val="center"/>
              <w:rPr>
                <w:rFonts w:ascii="Calibri" w:hAnsi="Calibri" w:cs="宋体"/>
                <w:b w:val="0"/>
                <w:bCs/>
                <w:color w:val="auto"/>
                <w:kern w:val="0"/>
                <w:sz w:val="24"/>
                <w:szCs w:val="24"/>
                <w:u w:val="none"/>
              </w:rPr>
            </w:pPr>
          </w:p>
        </w:tc>
      </w:tr>
      <w:tr w14:paraId="6E6ECB66">
        <w:tblPrEx>
          <w:tblCellMar>
            <w:top w:w="0" w:type="dxa"/>
            <w:left w:w="108" w:type="dxa"/>
            <w:bottom w:w="0" w:type="dxa"/>
            <w:right w:w="108" w:type="dxa"/>
          </w:tblCellMar>
        </w:tblPrEx>
        <w:trPr>
          <w:trHeight w:val="285" w:hRule="atLeast"/>
        </w:trPr>
        <w:tc>
          <w:tcPr>
            <w:tcW w:w="705" w:type="dxa"/>
            <w:tcBorders>
              <w:top w:val="nil"/>
              <w:left w:val="single" w:color="auto" w:sz="4" w:space="0"/>
              <w:bottom w:val="single" w:color="auto" w:sz="4" w:space="0"/>
              <w:right w:val="single" w:color="auto" w:sz="4" w:space="0"/>
            </w:tcBorders>
            <w:noWrap w:val="0"/>
            <w:vAlign w:val="center"/>
          </w:tcPr>
          <w:p w14:paraId="5BB603F4">
            <w:pPr>
              <w:widowControl/>
              <w:jc w:val="center"/>
              <w:rPr>
                <w:rFonts w:ascii="Arial" w:hAnsi="Arial" w:cs="Arial"/>
                <w:b w:val="0"/>
                <w:bCs/>
                <w:color w:val="auto"/>
                <w:kern w:val="0"/>
                <w:sz w:val="24"/>
                <w:szCs w:val="24"/>
                <w:u w:val="none"/>
              </w:rPr>
            </w:pPr>
          </w:p>
        </w:tc>
        <w:tc>
          <w:tcPr>
            <w:tcW w:w="1685" w:type="dxa"/>
            <w:tcBorders>
              <w:top w:val="nil"/>
              <w:left w:val="nil"/>
              <w:bottom w:val="single" w:color="auto" w:sz="4" w:space="0"/>
              <w:right w:val="single" w:color="auto" w:sz="4" w:space="0"/>
            </w:tcBorders>
            <w:noWrap w:val="0"/>
            <w:vAlign w:val="center"/>
          </w:tcPr>
          <w:p w14:paraId="31B79A1C">
            <w:pPr>
              <w:widowControl/>
              <w:jc w:val="center"/>
              <w:rPr>
                <w:rFonts w:ascii="Arial" w:hAnsi="Arial" w:cs="Arial"/>
                <w:b w:val="0"/>
                <w:bCs/>
                <w:color w:val="auto"/>
                <w:kern w:val="0"/>
                <w:sz w:val="24"/>
                <w:szCs w:val="24"/>
                <w:u w:val="none"/>
              </w:rPr>
            </w:pPr>
          </w:p>
        </w:tc>
        <w:tc>
          <w:tcPr>
            <w:tcW w:w="1328" w:type="dxa"/>
            <w:tcBorders>
              <w:top w:val="nil"/>
              <w:left w:val="nil"/>
              <w:bottom w:val="single" w:color="auto" w:sz="4" w:space="0"/>
              <w:right w:val="single" w:color="auto" w:sz="4" w:space="0"/>
            </w:tcBorders>
            <w:noWrap w:val="0"/>
            <w:vAlign w:val="center"/>
          </w:tcPr>
          <w:p w14:paraId="781704D0">
            <w:pPr>
              <w:widowControl/>
              <w:jc w:val="center"/>
              <w:rPr>
                <w:rFonts w:ascii="Calibri" w:hAnsi="Calibri" w:cs="宋体"/>
                <w:b w:val="0"/>
                <w:bCs/>
                <w:color w:val="auto"/>
                <w:kern w:val="0"/>
                <w:sz w:val="24"/>
                <w:szCs w:val="24"/>
                <w:u w:val="none"/>
              </w:rPr>
            </w:pPr>
          </w:p>
        </w:tc>
        <w:tc>
          <w:tcPr>
            <w:tcW w:w="908" w:type="dxa"/>
            <w:tcBorders>
              <w:top w:val="nil"/>
              <w:left w:val="nil"/>
              <w:bottom w:val="single" w:color="auto" w:sz="4" w:space="0"/>
              <w:right w:val="single" w:color="auto" w:sz="4" w:space="0"/>
            </w:tcBorders>
            <w:noWrap w:val="0"/>
            <w:vAlign w:val="center"/>
          </w:tcPr>
          <w:p w14:paraId="17C5D351">
            <w:pPr>
              <w:widowControl/>
              <w:jc w:val="center"/>
              <w:rPr>
                <w:rFonts w:ascii="Calibri" w:hAnsi="Calibri" w:cs="宋体"/>
                <w:b w:val="0"/>
                <w:bCs/>
                <w:color w:val="auto"/>
                <w:kern w:val="0"/>
                <w:sz w:val="24"/>
                <w:szCs w:val="24"/>
                <w:u w:val="none"/>
              </w:rPr>
            </w:pPr>
          </w:p>
        </w:tc>
        <w:tc>
          <w:tcPr>
            <w:tcW w:w="788" w:type="dxa"/>
            <w:tcBorders>
              <w:top w:val="nil"/>
              <w:left w:val="nil"/>
              <w:bottom w:val="single" w:color="auto" w:sz="4" w:space="0"/>
              <w:right w:val="single" w:color="auto" w:sz="4" w:space="0"/>
            </w:tcBorders>
            <w:noWrap w:val="0"/>
            <w:vAlign w:val="center"/>
          </w:tcPr>
          <w:p w14:paraId="3F507633">
            <w:pPr>
              <w:widowControl/>
              <w:jc w:val="center"/>
              <w:rPr>
                <w:rFonts w:ascii="Calibri" w:hAnsi="Calibri" w:cs="宋体"/>
                <w:b w:val="0"/>
                <w:bCs/>
                <w:color w:val="auto"/>
                <w:kern w:val="0"/>
                <w:sz w:val="24"/>
                <w:szCs w:val="24"/>
                <w:u w:val="none"/>
              </w:rPr>
            </w:pPr>
          </w:p>
        </w:tc>
        <w:tc>
          <w:tcPr>
            <w:tcW w:w="824" w:type="dxa"/>
            <w:tcBorders>
              <w:top w:val="nil"/>
              <w:left w:val="nil"/>
              <w:bottom w:val="single" w:color="auto" w:sz="4" w:space="0"/>
              <w:right w:val="single" w:color="auto" w:sz="4" w:space="0"/>
            </w:tcBorders>
            <w:noWrap w:val="0"/>
            <w:vAlign w:val="center"/>
          </w:tcPr>
          <w:p w14:paraId="1C8F6B6B">
            <w:pPr>
              <w:widowControl/>
              <w:jc w:val="center"/>
              <w:rPr>
                <w:rFonts w:ascii="Calibri" w:hAnsi="Calibri" w:cs="宋体"/>
                <w:b w:val="0"/>
                <w:bCs/>
                <w:color w:val="auto"/>
                <w:kern w:val="0"/>
                <w:sz w:val="24"/>
                <w:szCs w:val="24"/>
                <w:u w:val="none"/>
              </w:rPr>
            </w:pPr>
          </w:p>
        </w:tc>
        <w:tc>
          <w:tcPr>
            <w:tcW w:w="703" w:type="dxa"/>
            <w:tcBorders>
              <w:top w:val="nil"/>
              <w:left w:val="nil"/>
              <w:bottom w:val="single" w:color="auto" w:sz="4" w:space="0"/>
              <w:right w:val="single" w:color="auto" w:sz="4" w:space="0"/>
            </w:tcBorders>
            <w:noWrap w:val="0"/>
            <w:vAlign w:val="center"/>
          </w:tcPr>
          <w:p w14:paraId="43AA4F40">
            <w:pPr>
              <w:widowControl/>
              <w:jc w:val="center"/>
              <w:rPr>
                <w:rFonts w:ascii="Calibri" w:hAnsi="Calibri" w:cs="宋体"/>
                <w:b w:val="0"/>
                <w:bCs/>
                <w:color w:val="auto"/>
                <w:kern w:val="0"/>
                <w:sz w:val="24"/>
                <w:szCs w:val="24"/>
                <w:u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18808DBE">
            <w:pPr>
              <w:widowControl/>
              <w:jc w:val="center"/>
              <w:rPr>
                <w:rFonts w:ascii="Calibri" w:hAnsi="Calibri" w:cs="宋体"/>
                <w:b w:val="0"/>
                <w:bCs/>
                <w:color w:val="auto"/>
                <w:kern w:val="0"/>
                <w:sz w:val="24"/>
                <w:szCs w:val="24"/>
                <w:u w:val="none"/>
              </w:rPr>
            </w:pPr>
          </w:p>
        </w:tc>
        <w:tc>
          <w:tcPr>
            <w:tcW w:w="806" w:type="dxa"/>
            <w:tcBorders>
              <w:top w:val="single" w:color="auto" w:sz="4" w:space="0"/>
              <w:left w:val="single" w:color="auto" w:sz="4" w:space="0"/>
              <w:bottom w:val="single" w:color="auto" w:sz="4" w:space="0"/>
              <w:right w:val="single" w:color="auto" w:sz="4" w:space="0"/>
            </w:tcBorders>
            <w:noWrap w:val="0"/>
            <w:vAlign w:val="center"/>
          </w:tcPr>
          <w:p w14:paraId="41F31BC7">
            <w:pPr>
              <w:widowControl/>
              <w:jc w:val="center"/>
              <w:rPr>
                <w:rFonts w:ascii="Calibri" w:hAnsi="Calibri" w:cs="宋体"/>
                <w:b w:val="0"/>
                <w:bCs/>
                <w:color w:val="auto"/>
                <w:kern w:val="0"/>
                <w:sz w:val="24"/>
                <w:szCs w:val="24"/>
                <w:u w:val="none"/>
              </w:rPr>
            </w:pPr>
          </w:p>
        </w:tc>
        <w:tc>
          <w:tcPr>
            <w:tcW w:w="925" w:type="dxa"/>
            <w:tcBorders>
              <w:top w:val="single" w:color="auto" w:sz="4" w:space="0"/>
              <w:left w:val="single" w:color="auto" w:sz="4" w:space="0"/>
              <w:bottom w:val="single" w:color="auto" w:sz="4" w:space="0"/>
              <w:right w:val="single" w:color="auto" w:sz="4" w:space="0"/>
            </w:tcBorders>
            <w:noWrap w:val="0"/>
            <w:vAlign w:val="center"/>
          </w:tcPr>
          <w:p w14:paraId="33080BC0">
            <w:pPr>
              <w:widowControl/>
              <w:jc w:val="center"/>
              <w:rPr>
                <w:rFonts w:hint="eastAsia" w:ascii="宋体" w:hAnsi="宋体" w:cs="宋体"/>
                <w:b w:val="0"/>
                <w:bCs/>
                <w:color w:val="auto"/>
                <w:kern w:val="0"/>
                <w:sz w:val="24"/>
                <w:szCs w:val="24"/>
                <w:u w:val="none"/>
              </w:rPr>
            </w:pPr>
          </w:p>
        </w:tc>
        <w:tc>
          <w:tcPr>
            <w:tcW w:w="955" w:type="dxa"/>
            <w:tcBorders>
              <w:top w:val="nil"/>
              <w:left w:val="nil"/>
              <w:bottom w:val="single" w:color="auto" w:sz="4" w:space="0"/>
              <w:right w:val="single" w:color="auto" w:sz="4" w:space="0"/>
            </w:tcBorders>
            <w:noWrap w:val="0"/>
            <w:vAlign w:val="center"/>
          </w:tcPr>
          <w:p w14:paraId="3E9BB7C7">
            <w:pPr>
              <w:widowControl/>
              <w:jc w:val="center"/>
              <w:rPr>
                <w:rFonts w:ascii="Calibri" w:hAnsi="Calibri" w:cs="宋体"/>
                <w:b w:val="0"/>
                <w:bCs/>
                <w:color w:val="auto"/>
                <w:kern w:val="0"/>
                <w:sz w:val="24"/>
                <w:szCs w:val="24"/>
                <w:u w:val="none"/>
              </w:rPr>
            </w:pPr>
          </w:p>
        </w:tc>
        <w:tc>
          <w:tcPr>
            <w:tcW w:w="1200" w:type="dxa"/>
            <w:tcBorders>
              <w:top w:val="nil"/>
              <w:left w:val="nil"/>
              <w:bottom w:val="single" w:color="auto" w:sz="4" w:space="0"/>
              <w:right w:val="single" w:color="auto" w:sz="4" w:space="0"/>
            </w:tcBorders>
            <w:noWrap w:val="0"/>
            <w:vAlign w:val="center"/>
          </w:tcPr>
          <w:p w14:paraId="20E87283">
            <w:pPr>
              <w:widowControl/>
              <w:jc w:val="center"/>
              <w:rPr>
                <w:rFonts w:ascii="Calibri" w:hAnsi="Calibri" w:cs="宋体"/>
                <w:b w:val="0"/>
                <w:bCs/>
                <w:color w:val="auto"/>
                <w:kern w:val="0"/>
                <w:sz w:val="24"/>
                <w:szCs w:val="24"/>
                <w:u w:val="none"/>
              </w:rPr>
            </w:pPr>
          </w:p>
        </w:tc>
        <w:tc>
          <w:tcPr>
            <w:tcW w:w="1250" w:type="dxa"/>
            <w:tcBorders>
              <w:top w:val="nil"/>
              <w:left w:val="nil"/>
              <w:bottom w:val="single" w:color="auto" w:sz="4" w:space="0"/>
              <w:right w:val="single" w:color="auto" w:sz="4" w:space="0"/>
            </w:tcBorders>
            <w:noWrap w:val="0"/>
            <w:vAlign w:val="center"/>
          </w:tcPr>
          <w:p w14:paraId="6DE63A48">
            <w:pPr>
              <w:widowControl/>
              <w:jc w:val="center"/>
              <w:rPr>
                <w:rFonts w:ascii="Calibri" w:hAnsi="Calibri" w:cs="宋体"/>
                <w:b w:val="0"/>
                <w:bCs/>
                <w:color w:val="auto"/>
                <w:kern w:val="0"/>
                <w:sz w:val="24"/>
                <w:szCs w:val="24"/>
                <w:u w:val="none"/>
              </w:rPr>
            </w:pPr>
          </w:p>
        </w:tc>
        <w:tc>
          <w:tcPr>
            <w:tcW w:w="1395" w:type="dxa"/>
            <w:gridSpan w:val="2"/>
            <w:tcBorders>
              <w:top w:val="nil"/>
              <w:left w:val="nil"/>
              <w:bottom w:val="single" w:color="auto" w:sz="4" w:space="0"/>
              <w:right w:val="single" w:color="auto" w:sz="4" w:space="0"/>
            </w:tcBorders>
            <w:noWrap w:val="0"/>
            <w:vAlign w:val="center"/>
          </w:tcPr>
          <w:p w14:paraId="250850F3">
            <w:pPr>
              <w:widowControl/>
              <w:jc w:val="center"/>
              <w:rPr>
                <w:rFonts w:ascii="Calibri" w:hAnsi="Calibri" w:cs="宋体"/>
                <w:b w:val="0"/>
                <w:bCs/>
                <w:color w:val="auto"/>
                <w:kern w:val="0"/>
                <w:sz w:val="24"/>
                <w:szCs w:val="24"/>
                <w:u w:val="none"/>
              </w:rPr>
            </w:pPr>
          </w:p>
        </w:tc>
      </w:tr>
      <w:tr w14:paraId="256F6569">
        <w:tblPrEx>
          <w:tblCellMar>
            <w:top w:w="0" w:type="dxa"/>
            <w:left w:w="108" w:type="dxa"/>
            <w:bottom w:w="0" w:type="dxa"/>
            <w:right w:w="108" w:type="dxa"/>
          </w:tblCellMar>
        </w:tblPrEx>
        <w:trPr>
          <w:trHeight w:val="285" w:hRule="atLeast"/>
        </w:trPr>
        <w:tc>
          <w:tcPr>
            <w:tcW w:w="705" w:type="dxa"/>
            <w:tcBorders>
              <w:top w:val="nil"/>
              <w:left w:val="single" w:color="auto" w:sz="4" w:space="0"/>
              <w:bottom w:val="single" w:color="auto" w:sz="4" w:space="0"/>
              <w:right w:val="single" w:color="auto" w:sz="4" w:space="0"/>
            </w:tcBorders>
            <w:noWrap w:val="0"/>
            <w:vAlign w:val="center"/>
          </w:tcPr>
          <w:p w14:paraId="59FBE0B3">
            <w:pPr>
              <w:widowControl/>
              <w:jc w:val="center"/>
              <w:rPr>
                <w:rFonts w:ascii="Arial" w:hAnsi="Arial" w:cs="Arial"/>
                <w:b w:val="0"/>
                <w:bCs/>
                <w:color w:val="auto"/>
                <w:kern w:val="0"/>
                <w:sz w:val="24"/>
                <w:szCs w:val="24"/>
                <w:u w:val="none"/>
              </w:rPr>
            </w:pPr>
          </w:p>
        </w:tc>
        <w:tc>
          <w:tcPr>
            <w:tcW w:w="1685" w:type="dxa"/>
            <w:tcBorders>
              <w:top w:val="nil"/>
              <w:left w:val="nil"/>
              <w:bottom w:val="single" w:color="auto" w:sz="4" w:space="0"/>
              <w:right w:val="single" w:color="auto" w:sz="4" w:space="0"/>
            </w:tcBorders>
            <w:noWrap w:val="0"/>
            <w:vAlign w:val="center"/>
          </w:tcPr>
          <w:p w14:paraId="3ABE496C">
            <w:pPr>
              <w:widowControl/>
              <w:jc w:val="center"/>
              <w:rPr>
                <w:rFonts w:ascii="Arial" w:hAnsi="Arial" w:cs="Arial"/>
                <w:b w:val="0"/>
                <w:bCs/>
                <w:color w:val="auto"/>
                <w:kern w:val="0"/>
                <w:sz w:val="24"/>
                <w:szCs w:val="24"/>
                <w:u w:val="none"/>
              </w:rPr>
            </w:pPr>
          </w:p>
        </w:tc>
        <w:tc>
          <w:tcPr>
            <w:tcW w:w="1328" w:type="dxa"/>
            <w:tcBorders>
              <w:top w:val="nil"/>
              <w:left w:val="nil"/>
              <w:bottom w:val="single" w:color="auto" w:sz="4" w:space="0"/>
              <w:right w:val="single" w:color="auto" w:sz="4" w:space="0"/>
            </w:tcBorders>
            <w:noWrap w:val="0"/>
            <w:vAlign w:val="center"/>
          </w:tcPr>
          <w:p w14:paraId="274E8D09">
            <w:pPr>
              <w:widowControl/>
              <w:jc w:val="center"/>
              <w:rPr>
                <w:rFonts w:ascii="Calibri" w:hAnsi="Calibri" w:cs="宋体"/>
                <w:b w:val="0"/>
                <w:bCs/>
                <w:color w:val="auto"/>
                <w:kern w:val="0"/>
                <w:sz w:val="24"/>
                <w:szCs w:val="24"/>
                <w:u w:val="none"/>
              </w:rPr>
            </w:pPr>
          </w:p>
        </w:tc>
        <w:tc>
          <w:tcPr>
            <w:tcW w:w="908" w:type="dxa"/>
            <w:tcBorders>
              <w:top w:val="nil"/>
              <w:left w:val="nil"/>
              <w:bottom w:val="single" w:color="auto" w:sz="4" w:space="0"/>
              <w:right w:val="single" w:color="auto" w:sz="4" w:space="0"/>
            </w:tcBorders>
            <w:noWrap w:val="0"/>
            <w:vAlign w:val="center"/>
          </w:tcPr>
          <w:p w14:paraId="47E067F8">
            <w:pPr>
              <w:widowControl/>
              <w:jc w:val="center"/>
              <w:rPr>
                <w:rFonts w:ascii="Calibri" w:hAnsi="Calibri" w:cs="宋体"/>
                <w:b w:val="0"/>
                <w:bCs/>
                <w:color w:val="auto"/>
                <w:kern w:val="0"/>
                <w:sz w:val="24"/>
                <w:szCs w:val="24"/>
                <w:u w:val="none"/>
              </w:rPr>
            </w:pPr>
          </w:p>
        </w:tc>
        <w:tc>
          <w:tcPr>
            <w:tcW w:w="788" w:type="dxa"/>
            <w:tcBorders>
              <w:top w:val="nil"/>
              <w:left w:val="nil"/>
              <w:bottom w:val="single" w:color="auto" w:sz="4" w:space="0"/>
              <w:right w:val="single" w:color="auto" w:sz="4" w:space="0"/>
            </w:tcBorders>
            <w:noWrap w:val="0"/>
            <w:vAlign w:val="center"/>
          </w:tcPr>
          <w:p w14:paraId="7F2540C9">
            <w:pPr>
              <w:widowControl/>
              <w:jc w:val="center"/>
              <w:rPr>
                <w:rFonts w:ascii="Calibri" w:hAnsi="Calibri" w:cs="宋体"/>
                <w:b w:val="0"/>
                <w:bCs/>
                <w:color w:val="auto"/>
                <w:kern w:val="0"/>
                <w:sz w:val="24"/>
                <w:szCs w:val="24"/>
                <w:u w:val="none"/>
              </w:rPr>
            </w:pPr>
          </w:p>
        </w:tc>
        <w:tc>
          <w:tcPr>
            <w:tcW w:w="824" w:type="dxa"/>
            <w:tcBorders>
              <w:top w:val="nil"/>
              <w:left w:val="nil"/>
              <w:bottom w:val="single" w:color="auto" w:sz="4" w:space="0"/>
              <w:right w:val="single" w:color="auto" w:sz="4" w:space="0"/>
            </w:tcBorders>
            <w:noWrap w:val="0"/>
            <w:vAlign w:val="center"/>
          </w:tcPr>
          <w:p w14:paraId="790ADDE5">
            <w:pPr>
              <w:widowControl/>
              <w:jc w:val="center"/>
              <w:rPr>
                <w:rFonts w:ascii="Calibri" w:hAnsi="Calibri" w:cs="宋体"/>
                <w:b w:val="0"/>
                <w:bCs/>
                <w:color w:val="auto"/>
                <w:kern w:val="0"/>
                <w:sz w:val="24"/>
                <w:szCs w:val="24"/>
                <w:u w:val="none"/>
              </w:rPr>
            </w:pPr>
          </w:p>
        </w:tc>
        <w:tc>
          <w:tcPr>
            <w:tcW w:w="703" w:type="dxa"/>
            <w:tcBorders>
              <w:top w:val="nil"/>
              <w:left w:val="nil"/>
              <w:bottom w:val="single" w:color="auto" w:sz="4" w:space="0"/>
              <w:right w:val="single" w:color="auto" w:sz="4" w:space="0"/>
            </w:tcBorders>
            <w:noWrap w:val="0"/>
            <w:vAlign w:val="center"/>
          </w:tcPr>
          <w:p w14:paraId="3A16E4DC">
            <w:pPr>
              <w:widowControl/>
              <w:jc w:val="center"/>
              <w:rPr>
                <w:rFonts w:ascii="Calibri" w:hAnsi="Calibri" w:cs="宋体"/>
                <w:b w:val="0"/>
                <w:bCs/>
                <w:color w:val="auto"/>
                <w:kern w:val="0"/>
                <w:sz w:val="24"/>
                <w:szCs w:val="24"/>
                <w:u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2E88683D">
            <w:pPr>
              <w:widowControl/>
              <w:jc w:val="center"/>
              <w:rPr>
                <w:rFonts w:ascii="Calibri" w:hAnsi="Calibri" w:cs="宋体"/>
                <w:b w:val="0"/>
                <w:bCs/>
                <w:color w:val="auto"/>
                <w:kern w:val="0"/>
                <w:sz w:val="24"/>
                <w:szCs w:val="24"/>
                <w:u w:val="none"/>
              </w:rPr>
            </w:pPr>
          </w:p>
        </w:tc>
        <w:tc>
          <w:tcPr>
            <w:tcW w:w="806" w:type="dxa"/>
            <w:tcBorders>
              <w:top w:val="single" w:color="auto" w:sz="4" w:space="0"/>
              <w:left w:val="single" w:color="auto" w:sz="4" w:space="0"/>
              <w:bottom w:val="single" w:color="auto" w:sz="4" w:space="0"/>
              <w:right w:val="single" w:color="auto" w:sz="4" w:space="0"/>
            </w:tcBorders>
            <w:noWrap w:val="0"/>
            <w:vAlign w:val="center"/>
          </w:tcPr>
          <w:p w14:paraId="47D306F5">
            <w:pPr>
              <w:widowControl/>
              <w:jc w:val="center"/>
              <w:rPr>
                <w:rFonts w:ascii="Calibri" w:hAnsi="Calibri" w:cs="宋体"/>
                <w:b w:val="0"/>
                <w:bCs/>
                <w:color w:val="auto"/>
                <w:kern w:val="0"/>
                <w:sz w:val="24"/>
                <w:szCs w:val="24"/>
                <w:u w:val="none"/>
              </w:rPr>
            </w:pPr>
          </w:p>
        </w:tc>
        <w:tc>
          <w:tcPr>
            <w:tcW w:w="925" w:type="dxa"/>
            <w:tcBorders>
              <w:top w:val="single" w:color="auto" w:sz="4" w:space="0"/>
              <w:left w:val="single" w:color="auto" w:sz="4" w:space="0"/>
              <w:bottom w:val="single" w:color="auto" w:sz="4" w:space="0"/>
              <w:right w:val="single" w:color="auto" w:sz="4" w:space="0"/>
            </w:tcBorders>
            <w:noWrap w:val="0"/>
            <w:vAlign w:val="center"/>
          </w:tcPr>
          <w:p w14:paraId="7C1CB536">
            <w:pPr>
              <w:widowControl/>
              <w:jc w:val="center"/>
              <w:rPr>
                <w:rFonts w:hint="eastAsia" w:ascii="宋体" w:hAnsi="宋体" w:cs="宋体"/>
                <w:b w:val="0"/>
                <w:bCs/>
                <w:color w:val="auto"/>
                <w:kern w:val="0"/>
                <w:sz w:val="24"/>
                <w:szCs w:val="24"/>
                <w:u w:val="none"/>
              </w:rPr>
            </w:pPr>
          </w:p>
        </w:tc>
        <w:tc>
          <w:tcPr>
            <w:tcW w:w="955" w:type="dxa"/>
            <w:tcBorders>
              <w:top w:val="nil"/>
              <w:left w:val="nil"/>
              <w:bottom w:val="single" w:color="auto" w:sz="4" w:space="0"/>
              <w:right w:val="single" w:color="auto" w:sz="4" w:space="0"/>
            </w:tcBorders>
            <w:noWrap w:val="0"/>
            <w:vAlign w:val="center"/>
          </w:tcPr>
          <w:p w14:paraId="4BA0757D">
            <w:pPr>
              <w:widowControl/>
              <w:jc w:val="center"/>
              <w:rPr>
                <w:rFonts w:ascii="Calibri" w:hAnsi="Calibri" w:cs="宋体"/>
                <w:b w:val="0"/>
                <w:bCs/>
                <w:color w:val="auto"/>
                <w:kern w:val="0"/>
                <w:sz w:val="24"/>
                <w:szCs w:val="24"/>
                <w:u w:val="none"/>
              </w:rPr>
            </w:pPr>
          </w:p>
        </w:tc>
        <w:tc>
          <w:tcPr>
            <w:tcW w:w="1200" w:type="dxa"/>
            <w:tcBorders>
              <w:top w:val="nil"/>
              <w:left w:val="nil"/>
              <w:bottom w:val="single" w:color="auto" w:sz="4" w:space="0"/>
              <w:right w:val="single" w:color="auto" w:sz="4" w:space="0"/>
            </w:tcBorders>
            <w:noWrap w:val="0"/>
            <w:vAlign w:val="center"/>
          </w:tcPr>
          <w:p w14:paraId="55AFFF09">
            <w:pPr>
              <w:widowControl/>
              <w:jc w:val="center"/>
              <w:rPr>
                <w:rFonts w:ascii="Calibri" w:hAnsi="Calibri" w:cs="宋体"/>
                <w:b w:val="0"/>
                <w:bCs/>
                <w:color w:val="auto"/>
                <w:kern w:val="0"/>
                <w:sz w:val="24"/>
                <w:szCs w:val="24"/>
                <w:u w:val="none"/>
              </w:rPr>
            </w:pPr>
          </w:p>
        </w:tc>
        <w:tc>
          <w:tcPr>
            <w:tcW w:w="1250" w:type="dxa"/>
            <w:tcBorders>
              <w:top w:val="nil"/>
              <w:left w:val="nil"/>
              <w:bottom w:val="single" w:color="auto" w:sz="4" w:space="0"/>
              <w:right w:val="single" w:color="auto" w:sz="4" w:space="0"/>
            </w:tcBorders>
            <w:noWrap w:val="0"/>
            <w:vAlign w:val="center"/>
          </w:tcPr>
          <w:p w14:paraId="4060CF6B">
            <w:pPr>
              <w:widowControl/>
              <w:jc w:val="center"/>
              <w:rPr>
                <w:rFonts w:ascii="Calibri" w:hAnsi="Calibri" w:cs="宋体"/>
                <w:b w:val="0"/>
                <w:bCs/>
                <w:color w:val="auto"/>
                <w:kern w:val="0"/>
                <w:sz w:val="24"/>
                <w:szCs w:val="24"/>
                <w:u w:val="none"/>
              </w:rPr>
            </w:pPr>
          </w:p>
        </w:tc>
        <w:tc>
          <w:tcPr>
            <w:tcW w:w="1395" w:type="dxa"/>
            <w:gridSpan w:val="2"/>
            <w:tcBorders>
              <w:top w:val="nil"/>
              <w:left w:val="nil"/>
              <w:bottom w:val="single" w:color="auto" w:sz="4" w:space="0"/>
              <w:right w:val="single" w:color="auto" w:sz="4" w:space="0"/>
            </w:tcBorders>
            <w:noWrap w:val="0"/>
            <w:vAlign w:val="center"/>
          </w:tcPr>
          <w:p w14:paraId="785539B7">
            <w:pPr>
              <w:widowControl/>
              <w:jc w:val="center"/>
              <w:rPr>
                <w:rFonts w:ascii="Calibri" w:hAnsi="Calibri" w:cs="宋体"/>
                <w:b w:val="0"/>
                <w:bCs/>
                <w:color w:val="auto"/>
                <w:kern w:val="0"/>
                <w:sz w:val="24"/>
                <w:szCs w:val="24"/>
                <w:u w:val="none"/>
              </w:rPr>
            </w:pPr>
          </w:p>
        </w:tc>
      </w:tr>
    </w:tbl>
    <w:p w14:paraId="00A02483">
      <w:pPr>
        <w:spacing w:line="520" w:lineRule="exact"/>
        <w:jc w:val="left"/>
        <w:rPr>
          <w:rFonts w:hint="eastAsia" w:ascii="仿宋_GB2312" w:hAnsi="仿宋_GB2312" w:eastAsia="仿宋_GB2312" w:cs="仿宋_GB2312"/>
          <w:bCs/>
          <w:color w:val="000000"/>
          <w:sz w:val="34"/>
          <w:szCs w:val="34"/>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decorative"/>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82C19">
    <w:pPr>
      <w:pStyle w:val="6"/>
      <w:ind w:right="420" w:rightChars="200"/>
      <w:jc w:val="center"/>
      <w:rPr>
        <w:rFonts w:ascii="宋体" w:hAnsi="宋体"/>
        <w:sz w:val="28"/>
        <w:szCs w:val="28"/>
      </w:rPr>
    </w:pPr>
    <w:r>
      <w:rPr>
        <w:rFonts w:ascii="宋体" w:hAnsi="宋体"/>
        <w:kern w:val="0"/>
        <w:sz w:val="28"/>
        <w:szCs w:val="28"/>
      </w:rPr>
      <w:t xml:space="preserve">- </w:t>
    </w:r>
    <w:r>
      <w:rPr>
        <w:rFonts w:ascii="宋体" w:hAnsi="宋体"/>
        <w:kern w:val="0"/>
        <w:sz w:val="28"/>
        <w:szCs w:val="28"/>
      </w:rPr>
      <w:fldChar w:fldCharType="begin"/>
    </w:r>
    <w:r>
      <w:rPr>
        <w:rFonts w:ascii="宋体" w:hAnsi="宋体"/>
        <w:kern w:val="0"/>
        <w:sz w:val="28"/>
        <w:szCs w:val="28"/>
      </w:rPr>
      <w:instrText xml:space="preserve"> PAGE </w:instrText>
    </w:r>
    <w:r>
      <w:rPr>
        <w:rFonts w:ascii="宋体" w:hAnsi="宋体"/>
        <w:kern w:val="0"/>
        <w:sz w:val="28"/>
        <w:szCs w:val="28"/>
      </w:rPr>
      <w:fldChar w:fldCharType="separate"/>
    </w:r>
    <w:r>
      <w:rPr>
        <w:rFonts w:ascii="宋体" w:hAnsi="宋体"/>
        <w:kern w:val="0"/>
        <w:sz w:val="28"/>
        <w:szCs w:val="28"/>
      </w:rPr>
      <w:t>1</w:t>
    </w:r>
    <w:r>
      <w:rPr>
        <w:rFonts w:ascii="宋体" w:hAnsi="宋体"/>
        <w:kern w:val="0"/>
        <w:sz w:val="28"/>
        <w:szCs w:val="28"/>
      </w:rPr>
      <w:fldChar w:fldCharType="end"/>
    </w:r>
    <w:r>
      <w:rPr>
        <w:rFonts w:ascii="宋体" w:hAnsi="宋体"/>
        <w:kern w:val="0"/>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23B8A">
    <w:pPr>
      <w:pStyle w:val="6"/>
      <w:ind w:left="420" w:leftChars="200"/>
      <w:jc w:val="center"/>
      <w:rPr>
        <w:rFonts w:ascii="宋体" w:hAnsi="宋体"/>
        <w:sz w:val="28"/>
        <w:szCs w:val="28"/>
      </w:rPr>
    </w:pPr>
    <w:r>
      <w:rPr>
        <w:rFonts w:ascii="宋体" w:hAnsi="宋体"/>
        <w:kern w:val="0"/>
        <w:sz w:val="28"/>
        <w:szCs w:val="28"/>
      </w:rPr>
      <w:t xml:space="preserve">- </w:t>
    </w:r>
    <w:r>
      <w:rPr>
        <w:rFonts w:ascii="宋体" w:hAnsi="宋体"/>
        <w:kern w:val="0"/>
        <w:sz w:val="28"/>
        <w:szCs w:val="28"/>
      </w:rPr>
      <w:fldChar w:fldCharType="begin"/>
    </w:r>
    <w:r>
      <w:rPr>
        <w:rFonts w:ascii="宋体" w:hAnsi="宋体"/>
        <w:kern w:val="0"/>
        <w:sz w:val="28"/>
        <w:szCs w:val="28"/>
      </w:rPr>
      <w:instrText xml:space="preserve"> PAGE </w:instrText>
    </w:r>
    <w:r>
      <w:rPr>
        <w:rFonts w:ascii="宋体" w:hAnsi="宋体"/>
        <w:kern w:val="0"/>
        <w:sz w:val="28"/>
        <w:szCs w:val="28"/>
      </w:rPr>
      <w:fldChar w:fldCharType="separate"/>
    </w:r>
    <w:r>
      <w:rPr>
        <w:rFonts w:ascii="宋体" w:hAnsi="宋体"/>
        <w:kern w:val="0"/>
        <w:sz w:val="28"/>
        <w:szCs w:val="28"/>
      </w:rPr>
      <w:t>2</w:t>
    </w:r>
    <w:r>
      <w:rPr>
        <w:rFonts w:ascii="宋体" w:hAnsi="宋体"/>
        <w:kern w:val="0"/>
        <w:sz w:val="28"/>
        <w:szCs w:val="28"/>
      </w:rPr>
      <w:fldChar w:fldCharType="end"/>
    </w:r>
    <w:r>
      <w:rPr>
        <w:rFonts w:ascii="宋体" w:hAnsi="宋体"/>
        <w:kern w:val="0"/>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D4817">
    <w:pPr>
      <w:pStyle w:val="7"/>
      <w:pBdr>
        <w:bottom w:val="none" w:color="auto" w:sz="0" w:space="0"/>
      </w:pBd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1A3ADE"/>
    <w:rsid w:val="04C7107F"/>
    <w:rsid w:val="088300D0"/>
    <w:rsid w:val="11B1613B"/>
    <w:rsid w:val="14985570"/>
    <w:rsid w:val="156231D2"/>
    <w:rsid w:val="19B13A50"/>
    <w:rsid w:val="1ACA1D2E"/>
    <w:rsid w:val="1C970B28"/>
    <w:rsid w:val="247C62DD"/>
    <w:rsid w:val="249068C2"/>
    <w:rsid w:val="24976235"/>
    <w:rsid w:val="25A92033"/>
    <w:rsid w:val="280C6C33"/>
    <w:rsid w:val="28F60A9F"/>
    <w:rsid w:val="2CCC2BB2"/>
    <w:rsid w:val="2D394D0A"/>
    <w:rsid w:val="2E7D3DBA"/>
    <w:rsid w:val="33595291"/>
    <w:rsid w:val="35816B0E"/>
    <w:rsid w:val="35AE78C5"/>
    <w:rsid w:val="35C21228"/>
    <w:rsid w:val="3A261EFC"/>
    <w:rsid w:val="41B8199C"/>
    <w:rsid w:val="4CCC659E"/>
    <w:rsid w:val="519D334F"/>
    <w:rsid w:val="51CE66DB"/>
    <w:rsid w:val="528A11CD"/>
    <w:rsid w:val="54B8007B"/>
    <w:rsid w:val="58295DD4"/>
    <w:rsid w:val="58861B9A"/>
    <w:rsid w:val="58E2709E"/>
    <w:rsid w:val="59CF7EFE"/>
    <w:rsid w:val="63F27544"/>
    <w:rsid w:val="64691584"/>
    <w:rsid w:val="6CC30349"/>
    <w:rsid w:val="731953E4"/>
    <w:rsid w:val="737045FE"/>
    <w:rsid w:val="7A1855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spacing w:beforeAutospacing="1" w:afterAutospacing="1"/>
      <w:jc w:val="left"/>
      <w:outlineLvl w:val="1"/>
    </w:pPr>
    <w:rPr>
      <w:rFonts w:hint="eastAsia" w:ascii="宋体" w:hAnsi="宋体" w:eastAsia="宋体" w:cs="Times New Roman"/>
      <w:b/>
      <w:kern w:val="0"/>
      <w:sz w:val="36"/>
      <w:szCs w:val="36"/>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w:basedOn w:val="1"/>
    <w:next w:val="5"/>
    <w:unhideWhenUsed/>
    <w:qFormat/>
    <w:uiPriority w:val="99"/>
    <w:pPr>
      <w:spacing w:after="120"/>
    </w:pPr>
  </w:style>
  <w:style w:type="paragraph" w:styleId="5">
    <w:name w:val="Plain Text"/>
    <w:basedOn w:val="1"/>
    <w:unhideWhenUsed/>
    <w:qFormat/>
    <w:uiPriority w:val="99"/>
    <w:rPr>
      <w:rFonts w:ascii="宋体" w:hAnsi="Courier New"/>
      <w:kern w:val="0"/>
      <w:sz w:val="20"/>
      <w:szCs w:val="20"/>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character" w:styleId="11">
    <w:name w:val="page number"/>
    <w:basedOn w:val="10"/>
    <w:qFormat/>
    <w:uiPriority w:val="0"/>
  </w:style>
  <w:style w:type="character" w:customStyle="1" w:styleId="12">
    <w:name w:val="font01"/>
    <w:basedOn w:val="10"/>
    <w:qFormat/>
    <w:uiPriority w:val="0"/>
    <w:rPr>
      <w:rFonts w:hint="eastAsia" w:ascii="宋体" w:hAnsi="宋体" w:eastAsia="宋体" w:cs="宋体"/>
      <w:color w:val="FF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6220</Words>
  <Characters>6513</Characters>
  <Lines>0</Lines>
  <Paragraphs>0</Paragraphs>
  <TotalTime>6</TotalTime>
  <ScaleCrop>false</ScaleCrop>
  <LinksUpToDate>false</LinksUpToDate>
  <CharactersWithSpaces>6967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2025-11-24T03:02:00Z</dcterms:created>
  <dc:creator>Administrator</dc:creator>
  <cp:lastModifiedBy>爱你的熊猫</cp:lastModifiedBy>
  <dcterms:modified xsi:type="dcterms:W3CDTF">2026-09-30T01:12:06Z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eyJoZGlkIjoiY2NmN2RjYjE2ZDEzZDg1OTM3ZDBhZDBkNWRjNzVkMzYiLCJ1c2VySWQiOiIyMjgzNDc0MjUifQ==</vt:lpwstr>
  </property>
  <property fmtid="{D5CDD505-2E9C-101B-9397-08002B2CF9AE}" pid="4" name="ICV">
    <vt:lpwstr>A0DF7B32A9044183AE88EEBDF9167C28_12</vt:lpwstr>
  </property>
</Properties>
</file>