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视镜公开采购文件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w:t>
      </w:r>
      <w:r>
        <w:rPr>
          <w:rFonts w:hint="eastAsia" w:ascii="仿宋_GB2312" w:hAnsi="仿宋_GB2312" w:eastAsia="仿宋_GB2312" w:cs="仿宋_GB2312"/>
          <w:color w:val="auto"/>
          <w:kern w:val="1"/>
          <w:sz w:val="28"/>
          <w:szCs w:val="28"/>
          <w:u w:val="single"/>
          <w:lang w:val="en-US" w:eastAsia="zh-CN"/>
        </w:rPr>
        <w:t>视镜12只</w:t>
      </w:r>
      <w:r>
        <w:rPr>
          <w:rFonts w:hint="eastAsia" w:ascii="仿宋_GB2312" w:hAnsi="仿宋_GB2312" w:eastAsia="仿宋_GB2312" w:cs="仿宋_GB2312"/>
          <w:color w:val="auto"/>
          <w:kern w:val="1"/>
          <w:sz w:val="28"/>
          <w:szCs w:val="28"/>
          <w:lang w:val="en-US" w:eastAsia="zh-CN"/>
        </w:rPr>
        <w:t>，现在索普官网公开发布采购信息，实行满足要求的最低价中选。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视镜12只。</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15</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10</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15</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上</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9：30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1"/>
        <w:tblW w:w="107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4"/>
        <w:gridCol w:w="1412"/>
        <w:gridCol w:w="1813"/>
        <w:gridCol w:w="2625"/>
        <w:gridCol w:w="2525"/>
        <w:gridCol w:w="825"/>
        <w:gridCol w:w="770"/>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63CB1AFE">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525"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825"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770"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3B74256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73-SG-0004</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087AD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6B64303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6453EEC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1F3C042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73-SG-0002A~D</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7640A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2774840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S31603 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D5775C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0080439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r>
      <w:tr w14:paraId="35F8F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45D432B7">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1858B9C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1E4A735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73-SG-0003</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4EE347F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D261BF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S30408 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7728AA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388C18A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45477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5EF0AD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7AEBD4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445EAB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73-SG-0001</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0BEBD1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D90AD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S30408 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EE0C1B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792E1BBA">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6A41B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7E94130A">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322283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4289142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73-SG-0006</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1A318FE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490E2A1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2F154CB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2B1F4D8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r>
      <w:tr w14:paraId="246A3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784" w:type="dxa"/>
            <w:tcBorders>
              <w:top w:val="single" w:color="000000" w:sz="4" w:space="0"/>
              <w:left w:val="single" w:color="000000" w:sz="4" w:space="0"/>
              <w:bottom w:val="single" w:color="000000" w:sz="4" w:space="0"/>
              <w:right w:val="single" w:color="000000" w:sz="4" w:space="0"/>
            </w:tcBorders>
            <w:noWrap/>
            <w:vAlign w:val="center"/>
          </w:tcPr>
          <w:p w14:paraId="3A310FA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412" w:type="dxa"/>
            <w:tcBorders>
              <w:top w:val="single" w:color="000000" w:sz="4" w:space="0"/>
              <w:left w:val="single" w:color="000000" w:sz="4" w:space="0"/>
              <w:bottom w:val="single" w:color="000000" w:sz="4" w:space="0"/>
              <w:right w:val="single" w:color="000000" w:sz="4" w:space="0"/>
            </w:tcBorders>
            <w:noWrap w:val="0"/>
            <w:vAlign w:val="center"/>
          </w:tcPr>
          <w:p w14:paraId="791E915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13" w:type="dxa"/>
            <w:tcBorders>
              <w:top w:val="single" w:color="000000" w:sz="4" w:space="0"/>
              <w:left w:val="single" w:color="000000" w:sz="4" w:space="0"/>
              <w:bottom w:val="single" w:color="000000" w:sz="4" w:space="0"/>
              <w:right w:val="single" w:color="000000" w:sz="4" w:space="0"/>
            </w:tcBorders>
            <w:noWrap w:val="0"/>
            <w:vAlign w:val="center"/>
          </w:tcPr>
          <w:p w14:paraId="115890F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73-SG-0005A~D</w:t>
            </w:r>
          </w:p>
        </w:tc>
        <w:tc>
          <w:tcPr>
            <w:tcW w:w="2625" w:type="dxa"/>
            <w:tcBorders>
              <w:top w:val="single" w:color="000000" w:sz="4" w:space="0"/>
              <w:left w:val="single" w:color="000000" w:sz="4" w:space="0"/>
              <w:bottom w:val="single" w:color="000000" w:sz="4" w:space="0"/>
              <w:right w:val="single" w:color="000000" w:sz="4" w:space="0"/>
            </w:tcBorders>
            <w:noWrap w:val="0"/>
            <w:vAlign w:val="center"/>
          </w:tcPr>
          <w:p w14:paraId="6D4D2C1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2BE2401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CS钢化硼硅玻璃</w:t>
            </w:r>
          </w:p>
        </w:tc>
        <w:tc>
          <w:tcPr>
            <w:tcW w:w="825" w:type="dxa"/>
            <w:tcBorders>
              <w:top w:val="single" w:color="000000" w:sz="4" w:space="0"/>
              <w:left w:val="single" w:color="000000" w:sz="4" w:space="0"/>
              <w:bottom w:val="single" w:color="000000" w:sz="4" w:space="0"/>
              <w:right w:val="single" w:color="000000" w:sz="4" w:space="0"/>
            </w:tcBorders>
            <w:noWrap/>
            <w:vAlign w:val="center"/>
          </w:tcPr>
          <w:p w14:paraId="0FF73EB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770" w:type="dxa"/>
            <w:tcBorders>
              <w:top w:val="single" w:color="000000" w:sz="4" w:space="0"/>
              <w:left w:val="single" w:color="000000" w:sz="4" w:space="0"/>
              <w:bottom w:val="single" w:color="000000" w:sz="4" w:space="0"/>
              <w:right w:val="single" w:color="000000" w:sz="4" w:space="0"/>
            </w:tcBorders>
            <w:noWrap/>
            <w:vAlign w:val="center"/>
          </w:tcPr>
          <w:p w14:paraId="7DF1A26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r>
    </w:tbl>
    <w:p w14:paraId="6F25080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590D817F">
      <w:pPr>
        <w:keepNext w:val="0"/>
        <w:keepLines w:val="0"/>
        <w:pageBreakBefore w:val="0"/>
        <w:widowControl/>
        <w:kinsoku w:val="0"/>
        <w:wordWrap/>
        <w:overflowPunct/>
        <w:topLinePunct w:val="0"/>
        <w:autoSpaceDE w:val="0"/>
        <w:autoSpaceDN w:val="0"/>
        <w:bidi w:val="0"/>
        <w:adjustRightInd w:val="0"/>
        <w:snapToGrid w:val="0"/>
        <w:spacing w:line="360" w:lineRule="auto"/>
        <w:ind w:firstLine="560" w:firstLineChars="200"/>
        <w:textAlignment w:val="baseline"/>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本次采购视镜，产品设计、制造、检验、试验、包装、运输及验收全过程，须严格执行HG/T 21605《钢制管道视镜》等先行标准</w:t>
      </w:r>
    </w:p>
    <w:p w14:paraId="15FBE598">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3.2 视镜参数详见附件 1《视镜数据表》。视镜应满足数据表的要求，视镜视窗材质采用高透明度、高强度且无明显畸变的钢化硼硅玻璃，其耐温耐压等级必须满足设计要求，并能承受系统的温度冲击和压力波动。厚度及具体技术参数由投标方根据设计压力、温度核算并提供证明。视窗玻璃与视镜主体之间的密封垫片应采用耐介质、耐温的优质材质，确保长期无泄漏。密封结构设计应合理，便于更换。</w:t>
      </w:r>
    </w:p>
    <w:p w14:paraId="362FB552">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eastAsia" w:ascii="宋体" w:hAnsi="宋体" w:eastAsia="宋体" w:cs="宋体"/>
          <w:sz w:val="24"/>
          <w:szCs w:val="24"/>
          <w:lang w:eastAsia="zh-CN"/>
        </w:rPr>
      </w:pPr>
      <w:r>
        <w:rPr>
          <w:rFonts w:hint="eastAsia" w:ascii="仿宋_GB2312" w:hAnsi="仿宋_GB2312" w:eastAsia="仿宋_GB2312" w:cs="仿宋_GB2312"/>
          <w:color w:val="000000"/>
          <w:kern w:val="1"/>
          <w:sz w:val="28"/>
          <w:szCs w:val="28"/>
          <w:lang w:val="en-US" w:eastAsia="zh-CN" w:bidi="ar-SA"/>
        </w:rPr>
        <w:t>3.3 视镜出厂每台进行外观尺寸检查、硼硅玻璃外观及内应力检查；整体装配状态下做壳体水压强度试验、气密性试验。</w:t>
      </w:r>
    </w:p>
    <w:p w14:paraId="1E9C9007">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Chars="0" w:firstLine="560" w:firstLineChars="200"/>
        <w:rPr>
          <w:rFonts w:hint="default" w:ascii="宋体" w:hAnsi="宋体" w:eastAsia="宋体" w:cs="宋体"/>
          <w:sz w:val="24"/>
          <w:szCs w:val="24"/>
          <w:lang w:val="en-US" w:eastAsia="zh-CN"/>
        </w:rPr>
      </w:pPr>
      <w:r>
        <w:rPr>
          <w:rFonts w:hint="eastAsia" w:ascii="仿宋_GB2312" w:hAnsi="仿宋_GB2312" w:eastAsia="仿宋_GB2312" w:cs="仿宋_GB2312"/>
          <w:color w:val="000000"/>
          <w:kern w:val="1"/>
          <w:sz w:val="28"/>
          <w:szCs w:val="28"/>
          <w:lang w:val="en-US" w:eastAsia="zh-CN" w:bidi="ar-SA"/>
        </w:rPr>
        <w:t>3.4 视镜铭牌为不锈钢材质，刻印：位号、压力、通径、设计温度、介质、制造单位、出厂编号、制造日期等。运输时两端法兰做好保护工作，整体单独木箱包装，玻璃面保护，防止运输磕碰损坏。</w:t>
      </w:r>
    </w:p>
    <w:p w14:paraId="29F1E3E1">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0" w:firstLineChars="200"/>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3.5 每台管道视镜出厂随机配套备件：同规格视窗玻璃 2 件、全套密封垫片 2 套、配套螺柱螺母紧固件 1 套。备件材质、规格与本体完全一致，单独包装并标识清楚。备件不单独计价，包含在本次报价内。</w:t>
      </w:r>
    </w:p>
    <w:p w14:paraId="32BA62A0">
      <w:pPr>
        <w:pStyle w:val="29"/>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0" w:firstLineChars="200"/>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3.6 随货提供出厂合格证、质量证明书、水压 / 气密试验报告、玻璃性能检测报告（耐温耐压）及产品安装、维护、更换玻璃操作手册等。</w:t>
      </w:r>
    </w:p>
    <w:p w14:paraId="20752E21">
      <w:pPr>
        <w:pStyle w:val="5"/>
        <w:spacing w:line="360" w:lineRule="auto"/>
        <w:ind w:firstLine="560" w:firstLineChars="20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80"/>
        <w:gridCol w:w="6"/>
        <w:gridCol w:w="1070"/>
        <w:gridCol w:w="1888"/>
        <w:gridCol w:w="1388"/>
        <w:gridCol w:w="1601"/>
        <w:gridCol w:w="604"/>
        <w:gridCol w:w="581"/>
        <w:gridCol w:w="919"/>
        <w:gridCol w:w="913"/>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352" w:type="pct"/>
            <w:tcBorders>
              <w:top w:val="single" w:color="000000" w:sz="4" w:space="0"/>
              <w:left w:val="single" w:color="000000" w:sz="4" w:space="0"/>
              <w:bottom w:val="single" w:color="000000" w:sz="4" w:space="0"/>
              <w:right w:val="single" w:color="000000" w:sz="4" w:space="0"/>
            </w:tcBorders>
            <w:noWrap/>
            <w:vAlign w:val="center"/>
          </w:tcPr>
          <w:p w14:paraId="2AE88A8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557" w:type="pct"/>
            <w:gridSpan w:val="2"/>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978"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位号</w:t>
            </w:r>
          </w:p>
        </w:tc>
        <w:tc>
          <w:tcPr>
            <w:tcW w:w="719"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829"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2"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1"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76" w:type="pct"/>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473"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46C89D7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73-SG-0004</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32B6AFD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73-SG-0002A~D</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S31603 钢化硼硅玻璃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6620A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772B1278">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3</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7625126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01D1F76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73-SG-0003</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CEF7FC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94483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S30408 钢化硼硅玻璃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19F73E6C">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73C9FE3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A0E933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7388140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1EE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0AB8717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47EAD69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1464710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73-SG-0001</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4FDCF1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CL150/DN150/WN/RF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25D4856F">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S30408 钢化硼硅玻璃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4624EBD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541CF4D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4F2F159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676BBB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1C5C0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27DEBB7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5</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237C5CFB">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3DFCF78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73-SG-0006</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B69A3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5DDC6EE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60774F4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0754B5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6719F5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753C998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572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680" w:type="dxa"/>
            <w:tcBorders>
              <w:top w:val="single" w:color="000000" w:sz="4" w:space="0"/>
              <w:left w:val="single" w:color="000000" w:sz="4" w:space="0"/>
              <w:bottom w:val="single" w:color="000000" w:sz="4" w:space="0"/>
              <w:right w:val="single" w:color="000000" w:sz="4" w:space="0"/>
            </w:tcBorders>
            <w:noWrap/>
            <w:vAlign w:val="center"/>
          </w:tcPr>
          <w:p w14:paraId="7D0D152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6</w:t>
            </w:r>
          </w:p>
        </w:tc>
        <w:tc>
          <w:tcPr>
            <w:tcW w:w="1076" w:type="dxa"/>
            <w:gridSpan w:val="2"/>
            <w:tcBorders>
              <w:top w:val="single" w:color="000000" w:sz="4" w:space="0"/>
              <w:left w:val="single" w:color="000000" w:sz="4" w:space="0"/>
              <w:bottom w:val="single" w:color="000000" w:sz="4" w:space="0"/>
              <w:right w:val="single" w:color="000000" w:sz="4" w:space="0"/>
            </w:tcBorders>
            <w:noWrap w:val="0"/>
            <w:vAlign w:val="center"/>
          </w:tcPr>
          <w:p w14:paraId="2C63BC0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视镜</w:t>
            </w:r>
          </w:p>
        </w:tc>
        <w:tc>
          <w:tcPr>
            <w:tcW w:w="1888" w:type="dxa"/>
            <w:tcBorders>
              <w:top w:val="single" w:color="000000" w:sz="4" w:space="0"/>
              <w:left w:val="single" w:color="000000" w:sz="4" w:space="0"/>
              <w:bottom w:val="single" w:color="000000" w:sz="4" w:space="0"/>
              <w:right w:val="single" w:color="000000" w:sz="4" w:space="0"/>
            </w:tcBorders>
            <w:noWrap w:val="0"/>
            <w:vAlign w:val="center"/>
          </w:tcPr>
          <w:p w14:paraId="2A79702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73-SG-0005A~D</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2131273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CL150/DN25/WN/RF</w:t>
            </w:r>
          </w:p>
        </w:tc>
        <w:tc>
          <w:tcPr>
            <w:tcW w:w="1601" w:type="dxa"/>
            <w:tcBorders>
              <w:top w:val="single" w:color="000000" w:sz="4" w:space="0"/>
              <w:left w:val="single" w:color="000000" w:sz="4" w:space="0"/>
              <w:bottom w:val="single" w:color="000000" w:sz="4" w:space="0"/>
              <w:right w:val="single" w:color="000000" w:sz="4" w:space="0"/>
            </w:tcBorders>
            <w:noWrap/>
            <w:vAlign w:val="center"/>
          </w:tcPr>
          <w:p w14:paraId="3974B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CS钢化硼硅</w:t>
            </w:r>
            <w:bookmarkStart w:id="0" w:name="_GoBack"/>
            <w:bookmarkEnd w:id="0"/>
            <w:r>
              <w:rPr>
                <w:rFonts w:hint="eastAsia" w:ascii="仿宋_GB2312" w:hAnsi="仿宋_GB2312" w:eastAsia="仿宋_GB2312" w:cs="仿宋_GB2312"/>
                <w:i w:val="0"/>
                <w:iCs w:val="0"/>
                <w:color w:val="000000"/>
                <w:kern w:val="0"/>
                <w:sz w:val="24"/>
                <w:szCs w:val="24"/>
                <w:u w:val="none"/>
                <w:lang w:val="en-US" w:eastAsia="zh-CN" w:bidi="ar"/>
              </w:rPr>
              <w:t>玻璃</w:t>
            </w:r>
          </w:p>
        </w:tc>
        <w:tc>
          <w:tcPr>
            <w:tcW w:w="604" w:type="dxa"/>
            <w:tcBorders>
              <w:top w:val="single" w:color="000000" w:sz="4" w:space="0"/>
              <w:left w:val="single" w:color="000000" w:sz="4" w:space="0"/>
              <w:bottom w:val="single" w:color="000000" w:sz="4" w:space="0"/>
              <w:right w:val="single" w:color="000000" w:sz="4" w:space="0"/>
            </w:tcBorders>
            <w:noWrap/>
            <w:vAlign w:val="center"/>
          </w:tcPr>
          <w:p w14:paraId="5BA74EB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只</w:t>
            </w:r>
          </w:p>
        </w:tc>
        <w:tc>
          <w:tcPr>
            <w:tcW w:w="581" w:type="dxa"/>
            <w:tcBorders>
              <w:top w:val="single" w:color="000000" w:sz="4" w:space="0"/>
              <w:left w:val="single" w:color="000000" w:sz="4" w:space="0"/>
              <w:bottom w:val="single" w:color="000000" w:sz="4" w:space="0"/>
              <w:right w:val="single" w:color="000000" w:sz="4" w:space="0"/>
            </w:tcBorders>
            <w:noWrap/>
            <w:vAlign w:val="center"/>
          </w:tcPr>
          <w:p w14:paraId="55682D6E">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4</w:t>
            </w:r>
          </w:p>
        </w:tc>
        <w:tc>
          <w:tcPr>
            <w:tcW w:w="476" w:type="pct"/>
            <w:tcBorders>
              <w:top w:val="single" w:color="000000" w:sz="4" w:space="0"/>
              <w:left w:val="single" w:color="000000" w:sz="4" w:space="0"/>
              <w:bottom w:val="single" w:color="000000" w:sz="4" w:space="0"/>
              <w:right w:val="single" w:color="000000" w:sz="4" w:space="0"/>
            </w:tcBorders>
            <w:noWrap/>
            <w:vAlign w:val="center"/>
          </w:tcPr>
          <w:p w14:paraId="694DED4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2F38FA8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355" w:type="pct"/>
            <w:gridSpan w:val="2"/>
            <w:tcBorders>
              <w:top w:val="single" w:color="000000" w:sz="4" w:space="0"/>
              <w:left w:val="single" w:color="000000" w:sz="4" w:space="0"/>
              <w:bottom w:val="single" w:color="000000" w:sz="4" w:space="0"/>
              <w:right w:val="single" w:color="000000" w:sz="4" w:space="0"/>
            </w:tcBorders>
            <w:noWrap/>
            <w:vAlign w:val="center"/>
          </w:tcPr>
          <w:p w14:paraId="634A086D">
            <w:pPr>
              <w:keepNext w:val="0"/>
              <w:keepLines w:val="0"/>
              <w:widowControl/>
              <w:suppressLineNumbers w:val="0"/>
              <w:jc w:val="center"/>
              <w:textAlignment w:val="center"/>
              <w:rPr>
                <w:rFonts w:hint="eastAsia" w:ascii="宋体" w:hAnsi="宋体" w:cs="宋体"/>
                <w:i w:val="0"/>
                <w:iCs w:val="0"/>
                <w:color w:val="000000"/>
                <w:kern w:val="0"/>
                <w:sz w:val="22"/>
                <w:szCs w:val="22"/>
                <w:u w:val="none"/>
                <w:lang w:val="en-US" w:eastAsia="zh-CN" w:bidi="ar"/>
              </w:rPr>
            </w:pPr>
          </w:p>
        </w:tc>
        <w:tc>
          <w:tcPr>
            <w:tcW w:w="4171"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合计：</w:t>
            </w:r>
          </w:p>
        </w:tc>
        <w:tc>
          <w:tcPr>
            <w:tcW w:w="473" w:type="pct"/>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3CC0667">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A43AC5A">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12ACBE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A79D65">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D3661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6C4A3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EA4B34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0B0EC4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6E597E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723A44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9207F6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F9D6F0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7AEE9B">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0C32EB0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758791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80E0B51">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618FD9">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1"/>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7"/>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noWrap w:val="0"/>
            <w:vAlign w:val="center"/>
          </w:tcPr>
          <w:p w14:paraId="4DE27B5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8"/>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5"/>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5"/>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20EDDB7">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B96325"/>
    <w:rsid w:val="19D3125A"/>
    <w:rsid w:val="1AC066E3"/>
    <w:rsid w:val="1B9405AB"/>
    <w:rsid w:val="1BD306B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1FA2F4E"/>
    <w:rsid w:val="33604F9A"/>
    <w:rsid w:val="341252C0"/>
    <w:rsid w:val="34C82096"/>
    <w:rsid w:val="3583599F"/>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271989"/>
    <w:rsid w:val="465A0D1A"/>
    <w:rsid w:val="46885DF8"/>
    <w:rsid w:val="47276D0E"/>
    <w:rsid w:val="475F1FDB"/>
    <w:rsid w:val="483056E3"/>
    <w:rsid w:val="48F071BE"/>
    <w:rsid w:val="49480DF6"/>
    <w:rsid w:val="4A052FB9"/>
    <w:rsid w:val="4A2C20B8"/>
    <w:rsid w:val="4AEC2C1A"/>
    <w:rsid w:val="4B663938"/>
    <w:rsid w:val="4C6726AF"/>
    <w:rsid w:val="4CAE01A9"/>
    <w:rsid w:val="4CCC1EC1"/>
    <w:rsid w:val="4D244105"/>
    <w:rsid w:val="4D9E2555"/>
    <w:rsid w:val="4DC75912"/>
    <w:rsid w:val="4E975E71"/>
    <w:rsid w:val="4ECC5A50"/>
    <w:rsid w:val="503045D8"/>
    <w:rsid w:val="503F3393"/>
    <w:rsid w:val="507C7259"/>
    <w:rsid w:val="509007D0"/>
    <w:rsid w:val="50A618CB"/>
    <w:rsid w:val="51FC55C8"/>
    <w:rsid w:val="521E5249"/>
    <w:rsid w:val="528F250F"/>
    <w:rsid w:val="5342557F"/>
    <w:rsid w:val="53B67FCD"/>
    <w:rsid w:val="53C47D96"/>
    <w:rsid w:val="543B4165"/>
    <w:rsid w:val="54750A52"/>
    <w:rsid w:val="549E18C1"/>
    <w:rsid w:val="55115289"/>
    <w:rsid w:val="55431F02"/>
    <w:rsid w:val="55C3235D"/>
    <w:rsid w:val="56D44020"/>
    <w:rsid w:val="57AE7C02"/>
    <w:rsid w:val="58141266"/>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A2A7D"/>
    <w:rsid w:val="6C4E17FE"/>
    <w:rsid w:val="6CAF1558"/>
    <w:rsid w:val="6DD528D6"/>
    <w:rsid w:val="6E360072"/>
    <w:rsid w:val="6EF6477A"/>
    <w:rsid w:val="6F59261E"/>
    <w:rsid w:val="6FFD6C0D"/>
    <w:rsid w:val="70774E35"/>
    <w:rsid w:val="708A46FF"/>
    <w:rsid w:val="70BE516F"/>
    <w:rsid w:val="70CF12D0"/>
    <w:rsid w:val="70D55500"/>
    <w:rsid w:val="71324FB4"/>
    <w:rsid w:val="72631CF3"/>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character" w:styleId="16">
    <w:name w:val="Hyperlink"/>
    <w:basedOn w:val="13"/>
    <w:qFormat/>
    <w:uiPriority w:val="0"/>
    <w:rPr>
      <w:color w:val="0000FF"/>
      <w:u w:val="single"/>
    </w:rPr>
  </w:style>
  <w:style w:type="paragraph" w:customStyle="1" w:styleId="17">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8">
    <w:name w:val="font31"/>
    <w:basedOn w:val="13"/>
    <w:qFormat/>
    <w:uiPriority w:val="0"/>
    <w:rPr>
      <w:rFonts w:hint="default" w:ascii="Times New Roman" w:hAnsi="Times New Roman" w:cs="Times New Roman"/>
      <w:color w:val="000000"/>
      <w:sz w:val="20"/>
      <w:szCs w:val="20"/>
      <w:u w:val="none"/>
    </w:rPr>
  </w:style>
  <w:style w:type="character" w:customStyle="1" w:styleId="19">
    <w:name w:val="font41"/>
    <w:basedOn w:val="13"/>
    <w:qFormat/>
    <w:uiPriority w:val="0"/>
    <w:rPr>
      <w:rFonts w:hint="eastAsia" w:ascii="宋体" w:hAnsi="宋体" w:eastAsia="宋体" w:cs="宋体"/>
      <w:color w:val="000000"/>
      <w:sz w:val="20"/>
      <w:szCs w:val="20"/>
      <w:u w:val="none"/>
    </w:rPr>
  </w:style>
  <w:style w:type="character" w:customStyle="1" w:styleId="20">
    <w:name w:val="font21"/>
    <w:basedOn w:val="13"/>
    <w:qFormat/>
    <w:uiPriority w:val="0"/>
    <w:rPr>
      <w:rFonts w:hint="eastAsia" w:ascii="宋体" w:hAnsi="宋体" w:eastAsia="宋体" w:cs="宋体"/>
      <w:color w:val="000000"/>
      <w:sz w:val="20"/>
      <w:szCs w:val="20"/>
      <w:u w:val="none"/>
    </w:rPr>
  </w:style>
  <w:style w:type="character" w:customStyle="1" w:styleId="21">
    <w:name w:val="font11"/>
    <w:basedOn w:val="13"/>
    <w:qFormat/>
    <w:uiPriority w:val="0"/>
    <w:rPr>
      <w:rFonts w:hint="eastAsia" w:ascii="仿宋_GB2312" w:eastAsia="仿宋_GB2312" w:cs="仿宋_GB2312"/>
      <w:color w:val="000000"/>
      <w:sz w:val="18"/>
      <w:szCs w:val="18"/>
      <w:u w:val="none"/>
    </w:rPr>
  </w:style>
  <w:style w:type="character" w:customStyle="1" w:styleId="22">
    <w:name w:val="font51"/>
    <w:basedOn w:val="13"/>
    <w:qFormat/>
    <w:uiPriority w:val="0"/>
    <w:rPr>
      <w:rFonts w:ascii="Calibri" w:hAnsi="Calibri" w:cs="Calibri"/>
      <w:color w:val="000000"/>
      <w:sz w:val="18"/>
      <w:szCs w:val="18"/>
      <w:u w:val="none"/>
    </w:rPr>
  </w:style>
  <w:style w:type="character" w:customStyle="1" w:styleId="23">
    <w:name w:val="font61"/>
    <w:basedOn w:val="13"/>
    <w:qFormat/>
    <w:uiPriority w:val="0"/>
    <w:rPr>
      <w:rFonts w:ascii="Arial" w:hAnsi="Arial" w:cs="Arial"/>
      <w:b/>
      <w:bCs/>
      <w:color w:val="FF0000"/>
      <w:sz w:val="18"/>
      <w:szCs w:val="18"/>
      <w:u w:val="none"/>
    </w:rPr>
  </w:style>
  <w:style w:type="character" w:customStyle="1" w:styleId="24">
    <w:name w:val="font71"/>
    <w:basedOn w:val="13"/>
    <w:qFormat/>
    <w:uiPriority w:val="0"/>
    <w:rPr>
      <w:rFonts w:ascii="Arial" w:hAnsi="Arial" w:cs="Arial"/>
      <w:color w:val="000000"/>
      <w:sz w:val="18"/>
      <w:szCs w:val="18"/>
      <w:u w:val="none"/>
    </w:rPr>
  </w:style>
  <w:style w:type="paragraph" w:customStyle="1" w:styleId="25">
    <w:name w:val="小于节标题"/>
    <w:basedOn w:val="26"/>
    <w:qFormat/>
    <w:uiPriority w:val="0"/>
    <w:pPr>
      <w:tabs>
        <w:tab w:val="left" w:pos="567"/>
      </w:tabs>
      <w:ind w:firstLine="0" w:firstLineChars="0"/>
    </w:pPr>
  </w:style>
  <w:style w:type="paragraph" w:customStyle="1" w:styleId="26">
    <w:name w:val="新正文样式"/>
    <w:basedOn w:val="1"/>
    <w:qFormat/>
    <w:uiPriority w:val="0"/>
    <w:pPr>
      <w:tabs>
        <w:tab w:val="left" w:pos="567"/>
      </w:tabs>
      <w:spacing w:line="360" w:lineRule="auto"/>
      <w:ind w:firstLine="200" w:firstLineChars="200"/>
    </w:pPr>
    <w:rPr>
      <w:spacing w:val="0"/>
      <w:szCs w:val="24"/>
    </w:rPr>
  </w:style>
  <w:style w:type="paragraph" w:customStyle="1" w:styleId="27">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8">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styleId="2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4224</Words>
  <Characters>4837</Characters>
  <Lines>0</Lines>
  <Paragraphs>0</Paragraphs>
  <TotalTime>0</TotalTime>
  <ScaleCrop>false</ScaleCrop>
  <LinksUpToDate>false</LinksUpToDate>
  <CharactersWithSpaces>5005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2026-10-08T01:09:24Z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